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广发服务业精选灵活配置混合型证券投资基金</w:t>
      </w: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2018年第2季度报告</w:t>
      </w:r>
    </w:p>
    <w:p w:rsidR="004061AC" w:rsidRPr="00BF6314" w:rsidRDefault="00655CD8" w:rsidP="00542546">
      <w:pPr>
        <w:spacing w:line="360" w:lineRule="auto"/>
        <w:jc w:val="center"/>
        <w:rPr>
          <w:rFonts w:asciiTheme="minorEastAsia" w:eastAsiaTheme="minorEastAsia" w:hAnsiTheme="minorEastAsia"/>
          <w:b/>
          <w:sz w:val="24"/>
          <w:szCs w:val="24"/>
        </w:rPr>
      </w:pPr>
      <w:r w:rsidRPr="00BF6314">
        <w:rPr>
          <w:rFonts w:asciiTheme="minorEastAsia" w:eastAsiaTheme="minorEastAsia" w:hAnsiTheme="minorEastAsia"/>
          <w:b/>
          <w:sz w:val="24"/>
          <w:szCs w:val="24"/>
        </w:rPr>
        <w:t>2018年6月30日</w:t>
      </w: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rPr>
          <w:rFonts w:asciiTheme="minorEastAsia" w:eastAsiaTheme="minorEastAsia" w:hAnsiTheme="minorEastAsia"/>
          <w:b/>
          <w:bCs/>
          <w:color w:val="000000"/>
          <w:sz w:val="24"/>
          <w:szCs w:val="24"/>
        </w:rPr>
      </w:pP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基金管理人：</w:t>
      </w:r>
      <w:r w:rsidRPr="00264E55">
        <w:rPr>
          <w:rFonts w:asciiTheme="minorEastAsia" w:eastAsiaTheme="minorEastAsia" w:hAnsiTheme="minorEastAsia"/>
          <w:b/>
          <w:color w:val="000000"/>
          <w:sz w:val="24"/>
          <w:szCs w:val="24"/>
        </w:rPr>
        <w:t>广发基金管理有限公司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基金托管人：</w:t>
      </w:r>
      <w:r w:rsidRPr="00264E55">
        <w:rPr>
          <w:rFonts w:asciiTheme="minorEastAsia" w:eastAsiaTheme="minorEastAsia" w:hAnsiTheme="minorEastAsia"/>
          <w:b/>
          <w:color w:val="000000"/>
          <w:sz w:val="24"/>
          <w:szCs w:val="24"/>
        </w:rPr>
        <w:t>中国银行股份有限公司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sectPr w:rsidR="004061AC"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Theme="minorEastAsia" w:eastAsiaTheme="minorEastAsia" w:hAnsiTheme="minorEastAsia" w:hint="eastAsia"/>
          <w:b/>
          <w:color w:val="000000"/>
          <w:sz w:val="24"/>
          <w:szCs w:val="24"/>
        </w:rPr>
        <w:t>报告送出日期：</w:t>
      </w:r>
      <w:r w:rsidR="00F16E3F" w:rsidRPr="00264E55">
        <w:rPr>
          <w:rFonts w:asciiTheme="minorEastAsia" w:eastAsiaTheme="minorEastAsia" w:hAnsiTheme="minorEastAsia"/>
          <w:b/>
          <w:color w:val="000000"/>
          <w:sz w:val="24"/>
          <w:szCs w:val="24"/>
        </w:rPr>
        <w:t>二〇一八年七月二十日</w:t>
      </w:r>
    </w:p>
    <w:p w:rsidR="004061AC" w:rsidRPr="001611C5" w:rsidRDefault="004061AC" w:rsidP="00017E25">
      <w:pPr>
        <w:pStyle w:val="1"/>
        <w:spacing w:beforeLines="100" w:afterLines="100" w:line="360" w:lineRule="auto"/>
        <w:jc w:val="center"/>
        <w:rPr>
          <w:rFonts w:asciiTheme="minorEastAsia" w:eastAsiaTheme="minorEastAsia" w:hAnsiTheme="minorEastAsia"/>
          <w:b w:val="0"/>
          <w:bCs w:val="0"/>
          <w:color w:val="000000"/>
          <w:kern w:val="0"/>
          <w:sz w:val="24"/>
          <w:szCs w:val="24"/>
        </w:rPr>
      </w:pPr>
      <w:r w:rsidRPr="001611C5">
        <w:rPr>
          <w:rFonts w:asciiTheme="minorEastAsia" w:eastAsiaTheme="minorEastAsia" w:hAnsiTheme="minorEastAsia" w:hint="eastAsia"/>
          <w:color w:val="000000"/>
          <w:kern w:val="0"/>
          <w:sz w:val="24"/>
          <w:szCs w:val="24"/>
        </w:rPr>
        <w:lastRenderedPageBreak/>
        <w:t>§</w:t>
      </w:r>
      <w:r w:rsidRPr="001611C5">
        <w:rPr>
          <w:rFonts w:asciiTheme="minorEastAsia" w:eastAsiaTheme="minorEastAsia" w:hAnsiTheme="minorEastAsia"/>
          <w:color w:val="000000"/>
          <w:kern w:val="0"/>
          <w:sz w:val="24"/>
          <w:szCs w:val="24"/>
        </w:rPr>
        <w:t xml:space="preserve">1  </w:t>
      </w:r>
      <w:r w:rsidRPr="001611C5">
        <w:rPr>
          <w:rFonts w:asciiTheme="minorEastAsia" w:eastAsiaTheme="minorEastAsia" w:hAnsiTheme="minorEastAsia" w:hint="eastAsia"/>
          <w:color w:val="000000"/>
          <w:kern w:val="0"/>
          <w:sz w:val="24"/>
          <w:szCs w:val="24"/>
        </w:rPr>
        <w:t>重要提示</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szCs w:val="24"/>
        </w:rPr>
        <w:t xml:space="preserve"> </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基金托管人中国银行股份有限公司根据本基金合同规定，于</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18</w:t>
      </w:r>
      <w:r>
        <w:rPr>
          <w:rFonts w:eastAsiaTheme="minorEastAsia"/>
          <w:color w:val="000000"/>
          <w:sz w:val="24"/>
          <w:szCs w:val="24"/>
        </w:rPr>
        <w:t>日复核了本报告中的财务指标、净值表现和投资组合报告等内容，保证复核内容不存在虚假记载、误导性陈述或者重大遗漏。</w:t>
      </w:r>
      <w:r>
        <w:rPr>
          <w:rFonts w:eastAsiaTheme="minorEastAsia"/>
          <w:color w:val="000000"/>
          <w:sz w:val="24"/>
          <w:szCs w:val="24"/>
        </w:rPr>
        <w:t xml:space="preserve"> </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基金管理人承诺以诚实信用、勤勉尽责的原则管理和运用基金资产，但不保证基金一定盈利。</w:t>
      </w:r>
      <w:r>
        <w:rPr>
          <w:rFonts w:eastAsiaTheme="minorEastAsia"/>
          <w:color w:val="000000"/>
          <w:sz w:val="24"/>
          <w:szCs w:val="24"/>
        </w:rPr>
        <w:t xml:space="preserve"> </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基金的过往业绩并不代表其未来表现。投资有风险，投资者在作出投资决策前应仔细阅读本基金的招募说明书。</w:t>
      </w:r>
      <w:r>
        <w:rPr>
          <w:rFonts w:eastAsiaTheme="minorEastAsia"/>
          <w:color w:val="000000"/>
          <w:sz w:val="24"/>
          <w:szCs w:val="24"/>
        </w:rPr>
        <w:t xml:space="preserve"> </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本报告中财务资料未经审计。</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本报告期自</w:t>
      </w:r>
      <w:r w:rsidRPr="00CD2DB1">
        <w:rPr>
          <w:rFonts w:eastAsiaTheme="minorEastAsia"/>
          <w:color w:val="000000"/>
          <w:sz w:val="24"/>
          <w:szCs w:val="24"/>
        </w:rPr>
        <w:t>2018</w:t>
      </w:r>
      <w:r w:rsidRPr="00CD2DB1">
        <w:rPr>
          <w:rFonts w:eastAsiaTheme="minorEastAsia"/>
          <w:color w:val="000000"/>
          <w:sz w:val="24"/>
          <w:szCs w:val="24"/>
        </w:rPr>
        <w:t>年</w:t>
      </w:r>
      <w:r w:rsidRPr="00CD2DB1">
        <w:rPr>
          <w:rFonts w:eastAsiaTheme="minorEastAsia"/>
          <w:color w:val="000000"/>
          <w:sz w:val="24"/>
          <w:szCs w:val="24"/>
        </w:rPr>
        <w:t>4</w:t>
      </w:r>
      <w:r w:rsidRPr="00CD2DB1">
        <w:rPr>
          <w:rFonts w:eastAsiaTheme="minorEastAsia"/>
          <w:color w:val="000000"/>
          <w:sz w:val="24"/>
          <w:szCs w:val="24"/>
        </w:rPr>
        <w:t>月</w:t>
      </w:r>
      <w:r w:rsidRPr="00CD2DB1">
        <w:rPr>
          <w:rFonts w:eastAsiaTheme="minorEastAsia"/>
          <w:color w:val="000000"/>
          <w:sz w:val="24"/>
          <w:szCs w:val="24"/>
        </w:rPr>
        <w:t>1</w:t>
      </w:r>
      <w:r w:rsidRPr="00CD2DB1">
        <w:rPr>
          <w:rFonts w:eastAsiaTheme="minorEastAsia"/>
          <w:color w:val="000000"/>
          <w:sz w:val="24"/>
          <w:szCs w:val="24"/>
        </w:rPr>
        <w:t>日起至</w:t>
      </w:r>
      <w:r w:rsidRPr="00CD2DB1">
        <w:rPr>
          <w:rFonts w:eastAsiaTheme="minorEastAsia"/>
          <w:color w:val="000000"/>
          <w:sz w:val="24"/>
          <w:szCs w:val="24"/>
        </w:rPr>
        <w:t>6</w:t>
      </w:r>
      <w:r w:rsidRPr="00CD2DB1">
        <w:rPr>
          <w:rFonts w:eastAsiaTheme="minorEastAsia"/>
          <w:color w:val="000000"/>
          <w:sz w:val="24"/>
          <w:szCs w:val="24"/>
        </w:rPr>
        <w:t>月</w:t>
      </w:r>
      <w:r w:rsidRPr="00CD2DB1">
        <w:rPr>
          <w:rFonts w:eastAsiaTheme="minorEastAsia"/>
          <w:color w:val="000000"/>
          <w:sz w:val="24"/>
          <w:szCs w:val="24"/>
        </w:rPr>
        <w:t>30</w:t>
      </w:r>
      <w:r w:rsidRPr="00CD2DB1">
        <w:rPr>
          <w:rFonts w:eastAsiaTheme="minorEastAsia"/>
          <w:color w:val="000000"/>
          <w:sz w:val="24"/>
          <w:szCs w:val="24"/>
        </w:rPr>
        <w:t>日止。</w:t>
      </w:r>
    </w:p>
    <w:p w:rsidR="004061AC" w:rsidRPr="001611C5" w:rsidRDefault="004061AC" w:rsidP="00017E25">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2  </w:t>
      </w:r>
      <w:r w:rsidRPr="001611C5">
        <w:rPr>
          <w:rFonts w:asciiTheme="minorEastAsia" w:eastAsiaTheme="minorEastAsia" w:hAnsiTheme="minorEastAsia"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4061AC" w:rsidRPr="001611C5" w:rsidTr="00BF6314">
        <w:tc>
          <w:tcPr>
            <w:tcW w:w="2835" w:type="dxa"/>
            <w:vAlign w:val="center"/>
          </w:tcPr>
          <w:p w:rsidR="004061AC" w:rsidRPr="006B72F7" w:rsidRDefault="004061AC"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基金简称</w:t>
            </w:r>
          </w:p>
        </w:tc>
        <w:tc>
          <w:tcPr>
            <w:tcW w:w="5479" w:type="dxa"/>
            <w:vAlign w:val="center"/>
          </w:tcPr>
          <w:p w:rsidR="004061AC" w:rsidRPr="006B72F7" w:rsidRDefault="004061AC"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广发服务业精选混合</w:t>
            </w:r>
          </w:p>
        </w:tc>
      </w:tr>
      <w:tr w:rsidR="00D94B8D" w:rsidRPr="001611C5"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002623</w:t>
            </w:r>
          </w:p>
        </w:tc>
      </w:tr>
      <w:tr w:rsidR="001B2F35" w:rsidRPr="001611C5"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6B72F7" w:rsidRDefault="001B2F35"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6B72F7" w:rsidRDefault="00C5218C" w:rsidP="00BF6314">
            <w:pPr>
              <w:adjustRightInd w:val="0"/>
              <w:spacing w:before="29" w:line="360" w:lineRule="auto"/>
              <w:ind w:left="17"/>
              <w:rPr>
                <w:rFonts w:eastAsiaTheme="minorEastAsia"/>
                <w:color w:val="000000"/>
                <w:kern w:val="0"/>
                <w:sz w:val="24"/>
                <w:szCs w:val="24"/>
              </w:rPr>
            </w:pPr>
            <w:r w:rsidRPr="006B72F7">
              <w:rPr>
                <w:rFonts w:eastAsiaTheme="minorEastAsia"/>
                <w:kern w:val="0"/>
                <w:sz w:val="24"/>
                <w:szCs w:val="24"/>
              </w:rPr>
              <w:t>002623</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基金运作方式</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契约型开放式</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基金合同生效日</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2016</w:t>
            </w:r>
            <w:r w:rsidRPr="006B72F7">
              <w:rPr>
                <w:rFonts w:eastAsiaTheme="minorEastAsia"/>
                <w:color w:val="000000"/>
                <w:kern w:val="0"/>
                <w:sz w:val="24"/>
                <w:szCs w:val="24"/>
              </w:rPr>
              <w:t>年</w:t>
            </w:r>
            <w:r w:rsidRPr="006B72F7">
              <w:rPr>
                <w:rFonts w:eastAsiaTheme="minorEastAsia"/>
                <w:color w:val="000000"/>
                <w:kern w:val="0"/>
                <w:sz w:val="24"/>
                <w:szCs w:val="24"/>
              </w:rPr>
              <w:t>9</w:t>
            </w:r>
            <w:r w:rsidRPr="006B72F7">
              <w:rPr>
                <w:rFonts w:eastAsiaTheme="minorEastAsia"/>
                <w:color w:val="000000"/>
                <w:kern w:val="0"/>
                <w:sz w:val="24"/>
                <w:szCs w:val="24"/>
              </w:rPr>
              <w:t>月</w:t>
            </w:r>
            <w:r w:rsidRPr="006B72F7">
              <w:rPr>
                <w:rFonts w:eastAsiaTheme="minorEastAsia"/>
                <w:color w:val="000000"/>
                <w:kern w:val="0"/>
                <w:sz w:val="24"/>
                <w:szCs w:val="24"/>
              </w:rPr>
              <w:t>23</w:t>
            </w:r>
            <w:r w:rsidRPr="006B72F7">
              <w:rPr>
                <w:rFonts w:eastAsiaTheme="minorEastAsia"/>
                <w:color w:val="000000"/>
                <w:kern w:val="0"/>
                <w:sz w:val="24"/>
                <w:szCs w:val="24"/>
              </w:rPr>
              <w:t>日</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报告期末基金份额总额</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925,191.20</w:t>
            </w:r>
            <w:r w:rsidRPr="006B72F7">
              <w:rPr>
                <w:rFonts w:eastAsiaTheme="minorEastAsia"/>
                <w:color w:val="000000"/>
                <w:kern w:val="0"/>
                <w:sz w:val="24"/>
                <w:szCs w:val="24"/>
              </w:rPr>
              <w:t>份</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投资目标</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本基金主要投资于服务业领域相关上市公司，通过深度挖掘，</w:t>
            </w:r>
            <w:r w:rsidRPr="006B72F7">
              <w:rPr>
                <w:rFonts w:eastAsiaTheme="minorEastAsia"/>
                <w:color w:val="000000"/>
                <w:kern w:val="0"/>
                <w:sz w:val="24"/>
                <w:szCs w:val="24"/>
              </w:rPr>
              <w:t xml:space="preserve"> </w:t>
            </w:r>
            <w:r w:rsidRPr="006B72F7">
              <w:rPr>
                <w:rFonts w:eastAsiaTheme="minorEastAsia"/>
                <w:color w:val="000000"/>
                <w:kern w:val="0"/>
                <w:sz w:val="24"/>
                <w:szCs w:val="24"/>
              </w:rPr>
              <w:t>精选个股，力争为基金份额持有人获取长期稳健的超额回报。</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投资策略</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本基金在宏观经济分析基础上，结合政策面、市场资金面，</w:t>
            </w:r>
            <w:r w:rsidRPr="006B72F7">
              <w:rPr>
                <w:rFonts w:eastAsiaTheme="minorEastAsia"/>
                <w:color w:val="000000"/>
                <w:kern w:val="0"/>
                <w:sz w:val="24"/>
                <w:szCs w:val="24"/>
              </w:rPr>
              <w:t xml:space="preserve"> </w:t>
            </w:r>
            <w:r w:rsidRPr="006B72F7">
              <w:rPr>
                <w:rFonts w:eastAsiaTheme="minorEastAsia"/>
                <w:color w:val="000000"/>
                <w:kern w:val="0"/>
                <w:sz w:val="24"/>
                <w:szCs w:val="24"/>
              </w:rPr>
              <w:t>积极把握市场发展趋势，根据经济周期不同阶段各类资产市场表现变化情况，对股票、债券和现金等大类资产投资比例进行战略配置和调</w:t>
            </w:r>
            <w:r w:rsidRPr="006B72F7">
              <w:rPr>
                <w:rFonts w:eastAsiaTheme="minorEastAsia"/>
                <w:color w:val="000000"/>
                <w:kern w:val="0"/>
                <w:sz w:val="24"/>
                <w:szCs w:val="24"/>
              </w:rPr>
              <w:lastRenderedPageBreak/>
              <w:t>整。</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lastRenderedPageBreak/>
              <w:t>业绩比较基准</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中证</w:t>
            </w:r>
            <w:r w:rsidRPr="006B72F7">
              <w:rPr>
                <w:rFonts w:eastAsiaTheme="minorEastAsia"/>
                <w:color w:val="000000"/>
                <w:kern w:val="0"/>
                <w:sz w:val="24"/>
                <w:szCs w:val="24"/>
              </w:rPr>
              <w:t xml:space="preserve"> 800 </w:t>
            </w:r>
            <w:r w:rsidRPr="006B72F7">
              <w:rPr>
                <w:rFonts w:eastAsiaTheme="minorEastAsia"/>
                <w:color w:val="000000"/>
                <w:kern w:val="0"/>
                <w:sz w:val="24"/>
                <w:szCs w:val="24"/>
              </w:rPr>
              <w:t>指数收益率</w:t>
            </w:r>
            <w:r w:rsidRPr="006B72F7">
              <w:rPr>
                <w:rFonts w:eastAsiaTheme="minorEastAsia"/>
                <w:color w:val="000000"/>
                <w:kern w:val="0"/>
                <w:sz w:val="24"/>
                <w:szCs w:val="24"/>
              </w:rPr>
              <w:t>×65%+</w:t>
            </w:r>
            <w:r w:rsidRPr="006B72F7">
              <w:rPr>
                <w:rFonts w:eastAsiaTheme="minorEastAsia"/>
                <w:color w:val="000000"/>
                <w:kern w:val="0"/>
                <w:sz w:val="24"/>
                <w:szCs w:val="24"/>
              </w:rPr>
              <w:t>中证全债指数收益率</w:t>
            </w:r>
            <w:r w:rsidRPr="006B72F7">
              <w:rPr>
                <w:rFonts w:eastAsiaTheme="minorEastAsia"/>
                <w:color w:val="000000"/>
                <w:kern w:val="0"/>
                <w:sz w:val="24"/>
                <w:szCs w:val="24"/>
              </w:rPr>
              <w:t xml:space="preserve">×35% </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风险收益特征</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本基金是混合型基金，其预期收益及风险水平高于货币市场基金和债券型基金，低于股票型基金，属于中高收益风险特征的基金。</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基金管理人</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广发基金管理有限公司</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基金托管人</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中国银行股份有限公司</w:t>
            </w:r>
          </w:p>
        </w:tc>
      </w:tr>
    </w:tbl>
    <w:p w:rsidR="004061AC" w:rsidRPr="001611C5" w:rsidRDefault="004061AC" w:rsidP="00017E25">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3  </w:t>
      </w:r>
      <w:r w:rsidRPr="001611C5">
        <w:rPr>
          <w:rFonts w:asciiTheme="minorEastAsia" w:eastAsiaTheme="minorEastAsia" w:hAnsiTheme="minorEastAsia" w:hint="eastAsia"/>
          <w:color w:val="000000"/>
          <w:kern w:val="0"/>
          <w:sz w:val="24"/>
          <w:szCs w:val="24"/>
        </w:rPr>
        <w:t>主要财务指标和基金净值表现</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3.1 </w:t>
      </w:r>
      <w:r w:rsidRPr="001611C5">
        <w:rPr>
          <w:rFonts w:asciiTheme="minorEastAsia" w:eastAsiaTheme="minorEastAsia" w:hAnsiTheme="minorEastAsia" w:hint="eastAsia"/>
          <w:b/>
          <w:bCs/>
          <w:color w:val="000000"/>
          <w:kern w:val="0"/>
          <w:sz w:val="24"/>
          <w:szCs w:val="24"/>
        </w:rPr>
        <w:t>主要财务指标</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
        <w:gridCol w:w="4961"/>
      </w:tblGrid>
      <w:tr w:rsidR="00C21520" w:rsidRPr="001611C5" w:rsidTr="00237F09">
        <w:tc>
          <w:tcPr>
            <w:tcW w:w="3402" w:type="dxa"/>
            <w:vAlign w:val="center"/>
          </w:tcPr>
          <w:p w:rsidR="00C21520" w:rsidRPr="006B72F7" w:rsidRDefault="00C21520" w:rsidP="00237F09">
            <w:pPr>
              <w:adjustRightInd w:val="0"/>
              <w:spacing w:before="29" w:line="360" w:lineRule="auto"/>
              <w:ind w:left="17"/>
              <w:jc w:val="center"/>
              <w:rPr>
                <w:rFonts w:eastAsiaTheme="minorEastAsia"/>
                <w:kern w:val="0"/>
                <w:sz w:val="24"/>
                <w:szCs w:val="24"/>
              </w:rPr>
            </w:pPr>
            <w:r w:rsidRPr="006B72F7">
              <w:rPr>
                <w:rFonts w:eastAsiaTheme="minorEastAsia"/>
                <w:kern w:val="0"/>
                <w:sz w:val="24"/>
                <w:szCs w:val="24"/>
              </w:rPr>
              <w:t>主要财务指标</w:t>
            </w:r>
          </w:p>
        </w:tc>
        <w:tc>
          <w:tcPr>
            <w:tcW w:w="4962" w:type="dxa"/>
            <w:hMerge w:val="restart"/>
            <w:vAlign w:val="center"/>
          </w:tcPr>
          <w:p w:rsidR="009C60F7"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报告期</w:t>
            </w:r>
          </w:p>
          <w:p w:rsidR="00C21520"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(2018</w:t>
            </w:r>
            <w:r w:rsidRPr="006B72F7">
              <w:rPr>
                <w:rFonts w:eastAsiaTheme="minorEastAsia"/>
                <w:color w:val="000000"/>
                <w:sz w:val="24"/>
                <w:szCs w:val="24"/>
              </w:rPr>
              <w:t>年</w:t>
            </w:r>
            <w:r w:rsidRPr="006B72F7">
              <w:rPr>
                <w:rFonts w:eastAsiaTheme="minorEastAsia"/>
                <w:color w:val="000000"/>
                <w:sz w:val="24"/>
                <w:szCs w:val="24"/>
              </w:rPr>
              <w:t>4</w:t>
            </w:r>
            <w:r w:rsidRPr="006B72F7">
              <w:rPr>
                <w:rFonts w:eastAsiaTheme="minorEastAsia"/>
                <w:color w:val="000000"/>
                <w:sz w:val="24"/>
                <w:szCs w:val="24"/>
              </w:rPr>
              <w:t>月</w:t>
            </w:r>
            <w:r w:rsidRPr="006B72F7">
              <w:rPr>
                <w:rFonts w:eastAsiaTheme="minorEastAsia"/>
                <w:color w:val="000000"/>
                <w:sz w:val="24"/>
                <w:szCs w:val="24"/>
              </w:rPr>
              <w:t>1</w:t>
            </w:r>
            <w:r w:rsidRPr="006B72F7">
              <w:rPr>
                <w:rFonts w:eastAsiaTheme="minorEastAsia"/>
                <w:color w:val="000000"/>
                <w:sz w:val="24"/>
                <w:szCs w:val="24"/>
              </w:rPr>
              <w:t>日</w:t>
            </w:r>
            <w:r w:rsidRPr="006B72F7">
              <w:rPr>
                <w:rFonts w:eastAsiaTheme="minorEastAsia"/>
                <w:color w:val="000000"/>
                <w:sz w:val="24"/>
                <w:szCs w:val="24"/>
              </w:rPr>
              <w:t>-2018</w:t>
            </w:r>
            <w:r w:rsidRPr="006B72F7">
              <w:rPr>
                <w:rFonts w:eastAsiaTheme="minorEastAsia"/>
                <w:color w:val="000000"/>
                <w:sz w:val="24"/>
                <w:szCs w:val="24"/>
              </w:rPr>
              <w:t>年</w:t>
            </w:r>
            <w:r w:rsidRPr="006B72F7">
              <w:rPr>
                <w:rFonts w:eastAsiaTheme="minorEastAsia"/>
                <w:color w:val="000000"/>
                <w:sz w:val="24"/>
                <w:szCs w:val="24"/>
              </w:rPr>
              <w:t>6</w:t>
            </w:r>
            <w:r w:rsidRPr="006B72F7">
              <w:rPr>
                <w:rFonts w:eastAsiaTheme="minorEastAsia"/>
                <w:color w:val="000000"/>
                <w:sz w:val="24"/>
                <w:szCs w:val="24"/>
              </w:rPr>
              <w:t>月</w:t>
            </w:r>
            <w:r w:rsidRPr="006B72F7">
              <w:rPr>
                <w:rFonts w:eastAsiaTheme="minorEastAsia"/>
                <w:color w:val="000000"/>
                <w:sz w:val="24"/>
                <w:szCs w:val="24"/>
              </w:rPr>
              <w:t>30</w:t>
            </w:r>
            <w:r w:rsidRPr="006B72F7">
              <w:rPr>
                <w:rFonts w:eastAsiaTheme="minorEastAsia"/>
                <w:color w:val="000000"/>
                <w:sz w:val="24"/>
                <w:szCs w:val="24"/>
              </w:rPr>
              <w:t>日</w:t>
            </w:r>
            <w:r w:rsidRPr="006B72F7">
              <w:rPr>
                <w:rFonts w:eastAsiaTheme="minorEastAsia"/>
                <w:color w:val="000000"/>
                <w:sz w:val="24"/>
                <w:szCs w:val="24"/>
              </w:rPr>
              <w:t>)</w:t>
            </w:r>
          </w:p>
        </w:tc>
        <w:tc>
          <w:tcPr>
            <w:tcW w:w="2410" w:type="dxa"/>
            <w:hMerge/>
            <w:vAlign w:val="center"/>
          </w:tcPr>
          <w:p w:rsidR="00C21520" w:rsidRPr="006B72F7" w:rsidRDefault="00C21520"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上期金额</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1.</w:t>
            </w:r>
            <w:r w:rsidRPr="006B72F7">
              <w:rPr>
                <w:rFonts w:eastAsiaTheme="minorEastAsia"/>
                <w:kern w:val="0"/>
                <w:sz w:val="24"/>
                <w:szCs w:val="24"/>
              </w:rPr>
              <w:t>本期已实现收益</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627,288.92</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2.</w:t>
            </w:r>
            <w:r w:rsidRPr="006B72F7">
              <w:rPr>
                <w:rFonts w:eastAsiaTheme="minorEastAsia"/>
                <w:kern w:val="0"/>
                <w:sz w:val="24"/>
                <w:szCs w:val="24"/>
              </w:rPr>
              <w:t>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100,753.99</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3.</w:t>
            </w:r>
            <w:r w:rsidRPr="006B72F7">
              <w:rPr>
                <w:rFonts w:eastAsiaTheme="minorEastAsia"/>
                <w:kern w:val="0"/>
                <w:sz w:val="24"/>
                <w:szCs w:val="24"/>
              </w:rPr>
              <w:t>加权平均基金份额本期利润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0.0155</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4.</w:t>
            </w:r>
            <w:r w:rsidRPr="006B72F7">
              <w:rPr>
                <w:rFonts w:eastAsiaTheme="minorEastAsia"/>
                <w:kern w:val="0"/>
                <w:sz w:val="24"/>
                <w:szCs w:val="24"/>
              </w:rPr>
              <w:t>期末基金资产净值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1,014,503.89</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rPr>
          <w:trHeight w:val="158"/>
        </w:trPr>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5.</w:t>
            </w:r>
            <w:r w:rsidRPr="006B72F7">
              <w:rPr>
                <w:rFonts w:eastAsiaTheme="minorEastAsia"/>
                <w:kern w:val="0"/>
                <w:sz w:val="24"/>
                <w:szCs w:val="24"/>
              </w:rPr>
              <w:t>期末基金份额净值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1.097</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bl>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）所述基金业绩指标不包括持有人认购或交易基金的各项费用，计入费用后实际收益水平要低于所列数字。</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3.2 </w:t>
      </w:r>
      <w:r w:rsidRPr="001611C5">
        <w:rPr>
          <w:rFonts w:asciiTheme="minorEastAsia" w:eastAsiaTheme="minorEastAsia" w:hAnsiTheme="minorEastAsia" w:hint="eastAsia"/>
          <w:b/>
          <w:bCs/>
          <w:color w:val="000000"/>
          <w:kern w:val="0"/>
          <w:sz w:val="24"/>
          <w:szCs w:val="24"/>
        </w:rPr>
        <w:t>基金净值表现</w:t>
      </w:r>
    </w:p>
    <w:p w:rsidR="00CF6572" w:rsidRPr="001611C5" w:rsidRDefault="004061AC" w:rsidP="009E7C6A">
      <w:pPr>
        <w:autoSpaceDE w:val="0"/>
        <w:autoSpaceDN w:val="0"/>
        <w:adjustRightInd w:val="0"/>
        <w:spacing w:line="360" w:lineRule="auto"/>
        <w:jc w:val="left"/>
        <w:rPr>
          <w:rFonts w:asciiTheme="minorEastAsia" w:eastAsiaTheme="minorEastAsia" w:hAnsiTheme="minorEastAsia" w:cs="宋体"/>
          <w:b/>
          <w:bCs/>
          <w:color w:val="000000"/>
          <w:kern w:val="0"/>
          <w:sz w:val="24"/>
          <w:szCs w:val="24"/>
        </w:rPr>
      </w:pPr>
      <w:r w:rsidRPr="001611C5">
        <w:rPr>
          <w:rFonts w:asciiTheme="minorEastAsia" w:eastAsiaTheme="minorEastAsia" w:hAnsiTheme="minorEastAsia"/>
          <w:b/>
          <w:bCs/>
          <w:color w:val="000000"/>
          <w:kern w:val="0"/>
          <w:sz w:val="24"/>
          <w:szCs w:val="24"/>
        </w:rPr>
        <w:t xml:space="preserve">3.2.1 </w:t>
      </w:r>
      <w:r w:rsidRPr="001611C5">
        <w:rPr>
          <w:rFonts w:asciiTheme="minorEastAsia" w:eastAsiaTheme="minorEastAsia" w:hAnsiTheme="minorEastAsia" w:cs="宋体" w:hint="eastAsia"/>
          <w:b/>
          <w:bCs/>
          <w:color w:val="000000"/>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EF6FA5" w:rsidRPr="001611C5" w:rsidTr="00BD7703">
        <w:tc>
          <w:tcPr>
            <w:tcW w:w="1395"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阶段</w:t>
            </w:r>
          </w:p>
        </w:tc>
        <w:tc>
          <w:tcPr>
            <w:tcW w:w="1092"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w:t>
            </w:r>
            <w:r w:rsidRPr="006B72F7">
              <w:rPr>
                <w:rFonts w:ascii="宋体" w:hAnsi="宋体" w:cs="宋体" w:hint="eastAsia"/>
                <w:color w:val="000000"/>
                <w:sz w:val="24"/>
                <w:szCs w:val="24"/>
              </w:rPr>
              <w:t>①</w:t>
            </w:r>
          </w:p>
        </w:tc>
        <w:tc>
          <w:tcPr>
            <w:tcW w:w="116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净值增长率标准差</w:t>
            </w:r>
            <w:r w:rsidRPr="006B72F7">
              <w:rPr>
                <w:rFonts w:ascii="宋体" w:hAnsi="宋体" w:cs="宋体" w:hint="eastAsia"/>
                <w:color w:val="000000"/>
                <w:sz w:val="24"/>
                <w:szCs w:val="24"/>
              </w:rPr>
              <w:t>②</w:t>
            </w:r>
          </w:p>
        </w:tc>
        <w:tc>
          <w:tcPr>
            <w:tcW w:w="118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w:t>
            </w:r>
            <w:r w:rsidRPr="006B72F7">
              <w:rPr>
                <w:rFonts w:ascii="宋体" w:hAnsi="宋体" w:cs="宋体" w:hint="eastAsia"/>
                <w:color w:val="000000"/>
                <w:sz w:val="24"/>
                <w:szCs w:val="24"/>
              </w:rPr>
              <w:t>③</w:t>
            </w:r>
          </w:p>
        </w:tc>
        <w:tc>
          <w:tcPr>
            <w:tcW w:w="1188"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业绩比较基准收益率标准差</w:t>
            </w:r>
            <w:r w:rsidRPr="006B72F7">
              <w:rPr>
                <w:rFonts w:ascii="宋体" w:hAnsi="宋体" w:cs="宋体" w:hint="eastAsia"/>
                <w:color w:val="000000"/>
                <w:sz w:val="24"/>
                <w:szCs w:val="24"/>
              </w:rPr>
              <w:t>④</w:t>
            </w:r>
          </w:p>
        </w:tc>
        <w:tc>
          <w:tcPr>
            <w:tcW w:w="1199"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①</w:t>
            </w:r>
            <w:r w:rsidRPr="006B72F7">
              <w:rPr>
                <w:rFonts w:eastAsiaTheme="minorEastAsia"/>
                <w:color w:val="000000"/>
                <w:sz w:val="24"/>
                <w:szCs w:val="24"/>
              </w:rPr>
              <w:t>-</w:t>
            </w:r>
            <w:r w:rsidRPr="006B72F7">
              <w:rPr>
                <w:rFonts w:ascii="宋体" w:hAnsi="宋体" w:cs="宋体" w:hint="eastAsia"/>
                <w:color w:val="000000"/>
                <w:sz w:val="24"/>
                <w:szCs w:val="24"/>
              </w:rPr>
              <w:t>③</w:t>
            </w:r>
          </w:p>
        </w:tc>
        <w:tc>
          <w:tcPr>
            <w:tcW w:w="1204"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②</w:t>
            </w:r>
            <w:r w:rsidRPr="006B72F7">
              <w:rPr>
                <w:rFonts w:eastAsiaTheme="minorEastAsia"/>
                <w:color w:val="000000"/>
                <w:sz w:val="24"/>
                <w:szCs w:val="24"/>
              </w:rPr>
              <w:t>-</w:t>
            </w:r>
            <w:r w:rsidRPr="006B72F7">
              <w:rPr>
                <w:rFonts w:ascii="宋体" w:hAnsi="宋体" w:cs="宋体" w:hint="eastAsia"/>
                <w:color w:val="000000"/>
                <w:sz w:val="24"/>
                <w:szCs w:val="24"/>
              </w:rPr>
              <w:t>④</w:t>
            </w:r>
          </w:p>
        </w:tc>
      </w:tr>
      <w:tr w:rsidR="0034196F">
        <w:tc>
          <w:tcPr>
            <w:tcW w:w="1395" w:type="dxa"/>
            <w:vAlign w:val="center"/>
          </w:tcPr>
          <w:p w:rsidR="0034196F" w:rsidRDefault="00017E25">
            <w:pPr>
              <w:jc w:val="left"/>
            </w:pPr>
            <w:r>
              <w:rPr>
                <w:rFonts w:eastAsiaTheme="minorEastAsia"/>
                <w:color w:val="000000"/>
                <w:sz w:val="24"/>
                <w:szCs w:val="24"/>
              </w:rPr>
              <w:t>过去三个月</w:t>
            </w:r>
          </w:p>
        </w:tc>
        <w:tc>
          <w:tcPr>
            <w:tcW w:w="1092" w:type="dxa"/>
            <w:vAlign w:val="center"/>
          </w:tcPr>
          <w:p w:rsidR="0034196F" w:rsidRDefault="00017E25">
            <w:pPr>
              <w:jc w:val="center"/>
            </w:pPr>
            <w:r>
              <w:rPr>
                <w:rFonts w:eastAsiaTheme="minorEastAsia"/>
                <w:color w:val="000000"/>
                <w:sz w:val="24"/>
                <w:szCs w:val="24"/>
              </w:rPr>
              <w:t>1.29%</w:t>
            </w:r>
          </w:p>
        </w:tc>
        <w:tc>
          <w:tcPr>
            <w:tcW w:w="1161" w:type="dxa"/>
            <w:vAlign w:val="center"/>
          </w:tcPr>
          <w:p w:rsidR="0034196F" w:rsidRDefault="00017E25">
            <w:pPr>
              <w:jc w:val="center"/>
            </w:pPr>
            <w:r>
              <w:rPr>
                <w:rFonts w:eastAsiaTheme="minorEastAsia"/>
                <w:color w:val="000000"/>
                <w:sz w:val="24"/>
                <w:szCs w:val="24"/>
              </w:rPr>
              <w:t>0.19%</w:t>
            </w:r>
          </w:p>
        </w:tc>
        <w:tc>
          <w:tcPr>
            <w:tcW w:w="1181" w:type="dxa"/>
            <w:vAlign w:val="center"/>
          </w:tcPr>
          <w:p w:rsidR="0034196F" w:rsidRDefault="00017E25">
            <w:pPr>
              <w:jc w:val="center"/>
            </w:pPr>
            <w:r>
              <w:rPr>
                <w:rFonts w:eastAsiaTheme="minorEastAsia"/>
                <w:color w:val="000000"/>
                <w:sz w:val="24"/>
                <w:szCs w:val="24"/>
              </w:rPr>
              <w:t>-6.52%</w:t>
            </w:r>
          </w:p>
        </w:tc>
        <w:tc>
          <w:tcPr>
            <w:tcW w:w="1188" w:type="dxa"/>
            <w:vAlign w:val="center"/>
          </w:tcPr>
          <w:p w:rsidR="0034196F" w:rsidRDefault="00017E25">
            <w:pPr>
              <w:jc w:val="center"/>
            </w:pPr>
            <w:r>
              <w:rPr>
                <w:rFonts w:eastAsiaTheme="minorEastAsia"/>
                <w:color w:val="000000"/>
                <w:sz w:val="24"/>
                <w:szCs w:val="24"/>
              </w:rPr>
              <w:t>0.75%</w:t>
            </w:r>
          </w:p>
        </w:tc>
        <w:tc>
          <w:tcPr>
            <w:tcW w:w="1199" w:type="dxa"/>
            <w:vAlign w:val="center"/>
          </w:tcPr>
          <w:p w:rsidR="0034196F" w:rsidRDefault="00017E25">
            <w:pPr>
              <w:jc w:val="center"/>
            </w:pPr>
            <w:r>
              <w:rPr>
                <w:rFonts w:eastAsiaTheme="minorEastAsia"/>
                <w:color w:val="000000"/>
                <w:sz w:val="24"/>
                <w:szCs w:val="24"/>
              </w:rPr>
              <w:t>7.81%</w:t>
            </w:r>
          </w:p>
        </w:tc>
        <w:tc>
          <w:tcPr>
            <w:tcW w:w="1204" w:type="dxa"/>
            <w:vAlign w:val="center"/>
          </w:tcPr>
          <w:p w:rsidR="0034196F" w:rsidRDefault="00017E25">
            <w:pPr>
              <w:jc w:val="center"/>
            </w:pPr>
            <w:r>
              <w:rPr>
                <w:rFonts w:eastAsiaTheme="minorEastAsia"/>
                <w:color w:val="000000"/>
                <w:sz w:val="24"/>
                <w:szCs w:val="24"/>
              </w:rPr>
              <w:t>-0.56%</w:t>
            </w:r>
          </w:p>
        </w:tc>
      </w:tr>
    </w:tbl>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3.2.2</w:t>
      </w:r>
      <w:r w:rsidR="00BF48B1" w:rsidRPr="00550FEB">
        <w:rPr>
          <w:rFonts w:asciiTheme="minorEastAsia" w:eastAsiaTheme="minorEastAsia" w:hAnsiTheme="minorEastAsia"/>
          <w:b/>
          <w:bCs/>
          <w:color w:val="000000"/>
          <w:sz w:val="24"/>
        </w:rPr>
        <w:t>自基金合同生效以来</w:t>
      </w:r>
      <w:r w:rsidR="00FB0BC9" w:rsidRPr="001611C5">
        <w:rPr>
          <w:rFonts w:asciiTheme="minorEastAsia" w:eastAsiaTheme="minorEastAsia" w:hAnsiTheme="minorEastAsia" w:hint="eastAsia"/>
          <w:b/>
          <w:bCs/>
          <w:color w:val="000000"/>
          <w:kern w:val="0"/>
          <w:sz w:val="24"/>
          <w:szCs w:val="24"/>
        </w:rPr>
        <w:t>基金累计</w:t>
      </w:r>
      <w:r w:rsidRPr="001611C5">
        <w:rPr>
          <w:rFonts w:asciiTheme="minorEastAsia" w:eastAsiaTheme="minorEastAsia" w:hAnsiTheme="minorEastAsia" w:hint="eastAsia"/>
          <w:b/>
          <w:bCs/>
          <w:color w:val="000000"/>
          <w:kern w:val="0"/>
          <w:sz w:val="24"/>
          <w:szCs w:val="24"/>
        </w:rPr>
        <w:t>净值增长率变动及其与同期业绩比较基准收益率变动的比较</w:t>
      </w:r>
    </w:p>
    <w:p w:rsidR="008606B6" w:rsidRPr="006B72F7" w:rsidRDefault="008606B6" w:rsidP="009E7C6A">
      <w:pPr>
        <w:spacing w:line="360" w:lineRule="auto"/>
        <w:jc w:val="center"/>
        <w:rPr>
          <w:rFonts w:eastAsiaTheme="minorEastAsia"/>
          <w:color w:val="000000"/>
          <w:sz w:val="24"/>
          <w:szCs w:val="24"/>
        </w:rPr>
      </w:pPr>
      <w:r w:rsidRPr="006B72F7">
        <w:rPr>
          <w:rFonts w:eastAsiaTheme="minorEastAsia"/>
          <w:color w:val="000000"/>
          <w:sz w:val="24"/>
          <w:szCs w:val="24"/>
        </w:rPr>
        <w:t>广发服务业精选灵活配置混合型证券投资基金</w:t>
      </w:r>
    </w:p>
    <w:p w:rsidR="004061AC" w:rsidRPr="006B72F7" w:rsidRDefault="00FB0BC9" w:rsidP="009E7C6A">
      <w:pPr>
        <w:pStyle w:val="a5"/>
        <w:snapToGrid w:val="0"/>
        <w:spacing w:line="360" w:lineRule="auto"/>
        <w:jc w:val="center"/>
        <w:rPr>
          <w:rFonts w:ascii="Times New Roman" w:eastAsiaTheme="minorEastAsia" w:hAnsi="Times New Roman" w:cs="Times New Roman"/>
          <w:color w:val="000000"/>
          <w:sz w:val="24"/>
          <w:szCs w:val="24"/>
        </w:rPr>
      </w:pPr>
      <w:r w:rsidRPr="006B72F7">
        <w:rPr>
          <w:rFonts w:ascii="Times New Roman" w:eastAsiaTheme="minorEastAsia" w:hAnsi="Times New Roman" w:cs="Times New Roman"/>
          <w:color w:val="000000"/>
          <w:sz w:val="24"/>
          <w:szCs w:val="24"/>
        </w:rPr>
        <w:t>累计净值增长率与业绩比较基准收益率</w:t>
      </w:r>
      <w:r w:rsidR="004061AC" w:rsidRPr="006B72F7">
        <w:rPr>
          <w:rFonts w:ascii="Times New Roman" w:eastAsiaTheme="minorEastAsia" w:hAnsi="Times New Roman" w:cs="Times New Roman"/>
          <w:color w:val="000000"/>
          <w:sz w:val="24"/>
          <w:szCs w:val="24"/>
        </w:rPr>
        <w:t>历史走势对比图</w:t>
      </w:r>
    </w:p>
    <w:p w:rsidR="00AE7962" w:rsidRPr="006B72F7" w:rsidRDefault="00AE7962" w:rsidP="009E7C6A">
      <w:pPr>
        <w:pStyle w:val="a5"/>
        <w:snapToGrid w:val="0"/>
        <w:spacing w:line="360" w:lineRule="auto"/>
        <w:ind w:firstLine="480"/>
        <w:jc w:val="center"/>
        <w:rPr>
          <w:rFonts w:ascii="Times New Roman" w:eastAsiaTheme="minorEastAsia" w:hAnsi="Times New Roman" w:cs="Times New Roman"/>
          <w:sz w:val="24"/>
          <w:szCs w:val="24"/>
        </w:rPr>
      </w:pPr>
      <w:r w:rsidRPr="006B72F7">
        <w:rPr>
          <w:rFonts w:ascii="Times New Roman" w:eastAsiaTheme="minorEastAsia" w:hAnsi="Times New Roman" w:cs="Times New Roman"/>
          <w:sz w:val="24"/>
          <w:szCs w:val="24"/>
        </w:rPr>
        <w:t>(</w:t>
      </w:r>
      <w:r w:rsidR="0042009D" w:rsidRPr="006B72F7">
        <w:rPr>
          <w:rFonts w:ascii="Times New Roman" w:eastAsiaTheme="minorEastAsia" w:hAnsi="Times New Roman" w:cs="Times New Roman"/>
          <w:sz w:val="24"/>
          <w:szCs w:val="24"/>
        </w:rPr>
        <w:t>2016</w:t>
      </w:r>
      <w:r w:rsidR="0042009D" w:rsidRPr="006B72F7">
        <w:rPr>
          <w:rFonts w:ascii="Times New Roman" w:eastAsiaTheme="minorEastAsia" w:hAnsi="Times New Roman" w:cs="Times New Roman"/>
          <w:sz w:val="24"/>
          <w:szCs w:val="24"/>
        </w:rPr>
        <w:t>年</w:t>
      </w:r>
      <w:r w:rsidR="0042009D" w:rsidRPr="006B72F7">
        <w:rPr>
          <w:rFonts w:ascii="Times New Roman" w:eastAsiaTheme="minorEastAsia" w:hAnsi="Times New Roman" w:cs="Times New Roman"/>
          <w:sz w:val="24"/>
          <w:szCs w:val="24"/>
        </w:rPr>
        <w:t>9</w:t>
      </w:r>
      <w:r w:rsidR="0042009D" w:rsidRPr="006B72F7">
        <w:rPr>
          <w:rFonts w:ascii="Times New Roman" w:eastAsiaTheme="minorEastAsia" w:hAnsi="Times New Roman" w:cs="Times New Roman"/>
          <w:sz w:val="24"/>
          <w:szCs w:val="24"/>
        </w:rPr>
        <w:t>月</w:t>
      </w:r>
      <w:r w:rsidR="0042009D" w:rsidRPr="006B72F7">
        <w:rPr>
          <w:rFonts w:ascii="Times New Roman" w:eastAsiaTheme="minorEastAsia" w:hAnsi="Times New Roman" w:cs="Times New Roman"/>
          <w:sz w:val="24"/>
          <w:szCs w:val="24"/>
        </w:rPr>
        <w:t>23</w:t>
      </w:r>
      <w:r w:rsidR="0042009D" w:rsidRPr="006B72F7">
        <w:rPr>
          <w:rFonts w:ascii="Times New Roman" w:eastAsiaTheme="minorEastAsia" w:hAnsi="Times New Roman" w:cs="Times New Roman"/>
          <w:sz w:val="24"/>
          <w:szCs w:val="24"/>
        </w:rPr>
        <w:t>日</w:t>
      </w:r>
      <w:r w:rsidRPr="006B72F7">
        <w:rPr>
          <w:rFonts w:ascii="Times New Roman" w:eastAsiaTheme="minorEastAsia" w:hAnsi="Times New Roman" w:cs="Times New Roman"/>
          <w:sz w:val="24"/>
          <w:szCs w:val="24"/>
        </w:rPr>
        <w:t>至</w:t>
      </w:r>
      <w:r w:rsidRPr="006B72F7">
        <w:rPr>
          <w:rFonts w:ascii="Times New Roman" w:eastAsiaTheme="minorEastAsia" w:hAnsi="Times New Roman" w:cs="Times New Roman"/>
          <w:sz w:val="24"/>
          <w:szCs w:val="24"/>
        </w:rPr>
        <w:t>2018</w:t>
      </w:r>
      <w:r w:rsidRPr="006B72F7">
        <w:rPr>
          <w:rFonts w:ascii="Times New Roman" w:eastAsiaTheme="minorEastAsia" w:hAnsi="Times New Roman" w:cs="Times New Roman"/>
          <w:sz w:val="24"/>
          <w:szCs w:val="24"/>
        </w:rPr>
        <w:t>年</w:t>
      </w:r>
      <w:r w:rsidRPr="006B72F7">
        <w:rPr>
          <w:rFonts w:ascii="Times New Roman" w:eastAsiaTheme="minorEastAsia" w:hAnsi="Times New Roman" w:cs="Times New Roman"/>
          <w:sz w:val="24"/>
          <w:szCs w:val="24"/>
        </w:rPr>
        <w:t>6</w:t>
      </w:r>
      <w:r w:rsidRPr="006B72F7">
        <w:rPr>
          <w:rFonts w:ascii="Times New Roman" w:eastAsiaTheme="minorEastAsia" w:hAnsi="Times New Roman" w:cs="Times New Roman"/>
          <w:sz w:val="24"/>
          <w:szCs w:val="24"/>
        </w:rPr>
        <w:t>月</w:t>
      </w:r>
      <w:r w:rsidRPr="006B72F7">
        <w:rPr>
          <w:rFonts w:ascii="Times New Roman" w:eastAsiaTheme="minorEastAsia" w:hAnsi="Times New Roman" w:cs="Times New Roman"/>
          <w:sz w:val="24"/>
          <w:szCs w:val="24"/>
        </w:rPr>
        <w:t>30</w:t>
      </w:r>
      <w:r w:rsidRPr="006B72F7">
        <w:rPr>
          <w:rFonts w:ascii="Times New Roman" w:eastAsiaTheme="minorEastAsia" w:hAnsi="Times New Roman" w:cs="Times New Roman"/>
          <w:sz w:val="24"/>
          <w:szCs w:val="24"/>
        </w:rPr>
        <w:t>日</w:t>
      </w:r>
      <w:r w:rsidRPr="006B72F7">
        <w:rPr>
          <w:rFonts w:ascii="Times New Roman" w:eastAsiaTheme="minorEastAsia" w:hAnsi="Times New Roman" w:cs="Times New Roman"/>
          <w:sz w:val="24"/>
          <w:szCs w:val="24"/>
        </w:rPr>
        <w:t>)</w:t>
      </w:r>
    </w:p>
    <w:p w:rsidR="004061AC" w:rsidRPr="001611C5" w:rsidRDefault="00866CF2" w:rsidP="004061AC">
      <w:pPr>
        <w:pStyle w:val="a5"/>
        <w:snapToGrid w:val="0"/>
        <w:spacing w:before="120" w:line="360" w:lineRule="auto"/>
        <w:jc w:val="center"/>
        <w:rPr>
          <w:rFonts w:asciiTheme="minorEastAsia" w:eastAsiaTheme="minorEastAsia" w:hAnsiTheme="minorEastAsia"/>
          <w:color w:val="000000"/>
          <w:sz w:val="24"/>
          <w:szCs w:val="24"/>
        </w:rPr>
      </w:pPr>
      <w:r w:rsidRPr="001611C5">
        <w:rPr>
          <w:rFonts w:asciiTheme="minorEastAsia" w:eastAsiaTheme="minorEastAsia" w:hAnsiTheme="minorEastAsia"/>
          <w:noProof/>
          <w:color w:val="000000"/>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276850" cy="3086100"/>
                    </a:xfrm>
                    <a:prstGeom prst="rect">
                      <a:avLst/>
                    </a:prstGeom>
                    <a:noFill/>
                    <a:ln>
                      <a:noFill/>
                    </a:ln>
                  </pic:spPr>
                </pic:pic>
              </a:graphicData>
            </a:graphic>
          </wp:inline>
        </w:drawing>
      </w:r>
    </w:p>
    <w:p w:rsidR="004061AC" w:rsidRPr="001611C5" w:rsidRDefault="004061AC" w:rsidP="00017E25">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4  </w:t>
      </w:r>
      <w:r w:rsidRPr="001611C5">
        <w:rPr>
          <w:rFonts w:asciiTheme="minorEastAsia" w:eastAsiaTheme="minorEastAsia" w:hAnsiTheme="minorEastAsia" w:hint="eastAsia"/>
          <w:color w:val="000000"/>
          <w:kern w:val="0"/>
          <w:sz w:val="24"/>
          <w:szCs w:val="24"/>
        </w:rPr>
        <w:t>管理人报告</w:t>
      </w:r>
    </w:p>
    <w:p w:rsidR="00B12B7D"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4.1 </w:t>
      </w:r>
      <w:r w:rsidRPr="001611C5">
        <w:rPr>
          <w:rFonts w:asciiTheme="minorEastAsia" w:eastAsiaTheme="minorEastAsia" w:hAnsiTheme="minorEastAsia" w:hint="eastAsia"/>
          <w:b/>
          <w:bCs/>
          <w:color w:val="000000"/>
          <w:kern w:val="0"/>
          <w:sz w:val="24"/>
          <w:szCs w:val="24"/>
        </w:rPr>
        <w:t>基金经理</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或基金经理小组</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01"/>
        <w:gridCol w:w="1134"/>
        <w:gridCol w:w="1134"/>
        <w:gridCol w:w="1417"/>
        <w:gridCol w:w="2694"/>
      </w:tblGrid>
      <w:tr w:rsidR="00286BEF" w:rsidRPr="001611C5" w:rsidTr="00091D41">
        <w:trPr>
          <w:cantSplit/>
          <w:trHeight w:val="292"/>
        </w:trPr>
        <w:tc>
          <w:tcPr>
            <w:tcW w:w="85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姓名</w:t>
            </w:r>
          </w:p>
        </w:tc>
        <w:tc>
          <w:tcPr>
            <w:tcW w:w="170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职务</w:t>
            </w:r>
          </w:p>
        </w:tc>
        <w:tc>
          <w:tcPr>
            <w:tcW w:w="2268" w:type="dxa"/>
            <w:gridSpan w:val="2"/>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任本基金的基金经理期限</w:t>
            </w:r>
          </w:p>
        </w:tc>
        <w:tc>
          <w:tcPr>
            <w:tcW w:w="1417" w:type="dxa"/>
            <w:vMerge w:val="restart"/>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证券从业年限</w:t>
            </w:r>
          </w:p>
        </w:tc>
        <w:tc>
          <w:tcPr>
            <w:tcW w:w="2694"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说明</w:t>
            </w:r>
          </w:p>
        </w:tc>
      </w:tr>
      <w:tr w:rsidR="00D13737" w:rsidRPr="001611C5" w:rsidTr="00091D41">
        <w:trPr>
          <w:cantSplit/>
        </w:trPr>
        <w:tc>
          <w:tcPr>
            <w:tcW w:w="85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70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任职日期</w:t>
            </w: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离任日期</w:t>
            </w:r>
          </w:p>
        </w:tc>
        <w:tc>
          <w:tcPr>
            <w:tcW w:w="1417"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2694"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r>
      <w:tr w:rsidR="0034196F">
        <w:tc>
          <w:tcPr>
            <w:tcW w:w="851" w:type="dxa"/>
            <w:vAlign w:val="center"/>
          </w:tcPr>
          <w:p w:rsidR="0034196F" w:rsidRDefault="00017E25">
            <w:pPr>
              <w:jc w:val="center"/>
            </w:pPr>
            <w:r>
              <w:rPr>
                <w:rFonts w:eastAsiaTheme="minorEastAsia"/>
                <w:color w:val="000000"/>
                <w:sz w:val="24"/>
                <w:szCs w:val="24"/>
              </w:rPr>
              <w:t>谢军</w:t>
            </w:r>
          </w:p>
        </w:tc>
        <w:tc>
          <w:tcPr>
            <w:tcW w:w="1701" w:type="dxa"/>
            <w:vAlign w:val="center"/>
          </w:tcPr>
          <w:p w:rsidR="0034196F" w:rsidRDefault="00017E25">
            <w:pPr>
              <w:jc w:val="center"/>
            </w:pPr>
            <w:r>
              <w:rPr>
                <w:rFonts w:eastAsiaTheme="minorEastAsia"/>
                <w:color w:val="000000"/>
                <w:sz w:val="24"/>
                <w:szCs w:val="24"/>
              </w:rPr>
              <w:t>本基金的基金经理；广发增强债券基金的基金经理；广发聚源定期债券基金的基金经理；广发安享混合基金的基金经理；广发安悦回报混合基金的基金经理；广发鑫源混合基金的基金经理；广发集瑞债券基金的基金经理；广发鑫利混合基金的基金经理；广发汇瑞</w:t>
            </w:r>
            <w:r>
              <w:rPr>
                <w:rFonts w:eastAsiaTheme="minorEastAsia"/>
                <w:color w:val="000000"/>
                <w:sz w:val="24"/>
                <w:szCs w:val="24"/>
              </w:rPr>
              <w:t>3</w:t>
            </w:r>
            <w:r>
              <w:rPr>
                <w:rFonts w:eastAsiaTheme="minorEastAsia"/>
                <w:color w:val="000000"/>
                <w:sz w:val="24"/>
                <w:szCs w:val="24"/>
              </w:rPr>
              <w:t>个月定期开放债券基金的基金经理；广发景华纯债基金的基金经理；广发安泽回报纯债基金的基金经理；广发景源纯债基金的基金经理；广发景祥纯债基金的基金经理；广发理财年年红债券基金的基金经理；广发聚安混合基金的基金经理；广发聚宝混合基金的基金经理；广发聚盛混合基金的基金经理；广发趋势优选灵</w:t>
            </w:r>
            <w:r>
              <w:rPr>
                <w:rFonts w:eastAsiaTheme="minorEastAsia"/>
                <w:color w:val="000000"/>
                <w:sz w:val="24"/>
                <w:szCs w:val="24"/>
              </w:rPr>
              <w:t>活配置混合基金的基金经理；广发稳安保本基金的基金经理；广发鑫和基金的基金经理；广发汇吉定开债基金的基金经理；广发汇元纯债定开发起式基金的基金经理；债券投资部总经理</w:t>
            </w:r>
          </w:p>
        </w:tc>
        <w:tc>
          <w:tcPr>
            <w:tcW w:w="1134" w:type="dxa"/>
            <w:vAlign w:val="center"/>
          </w:tcPr>
          <w:p w:rsidR="0034196F" w:rsidRDefault="00017E25">
            <w:pPr>
              <w:jc w:val="center"/>
            </w:pPr>
            <w:r>
              <w:rPr>
                <w:rFonts w:eastAsiaTheme="minorEastAsia"/>
                <w:color w:val="000000"/>
                <w:sz w:val="24"/>
                <w:szCs w:val="24"/>
              </w:rPr>
              <w:t>2016-11-09</w:t>
            </w:r>
          </w:p>
        </w:tc>
        <w:tc>
          <w:tcPr>
            <w:tcW w:w="1134" w:type="dxa"/>
            <w:vAlign w:val="center"/>
          </w:tcPr>
          <w:p w:rsidR="0034196F" w:rsidRDefault="00017E25">
            <w:pPr>
              <w:jc w:val="center"/>
            </w:pPr>
            <w:r>
              <w:rPr>
                <w:rFonts w:eastAsiaTheme="minorEastAsia"/>
                <w:color w:val="000000"/>
                <w:sz w:val="24"/>
                <w:szCs w:val="24"/>
              </w:rPr>
              <w:t>-</w:t>
            </w:r>
          </w:p>
        </w:tc>
        <w:tc>
          <w:tcPr>
            <w:tcW w:w="1417" w:type="dxa"/>
            <w:vAlign w:val="center"/>
          </w:tcPr>
          <w:p w:rsidR="0034196F" w:rsidRDefault="00017E25">
            <w:pPr>
              <w:jc w:val="center"/>
            </w:pPr>
            <w:r>
              <w:rPr>
                <w:rFonts w:eastAsiaTheme="minorEastAsia"/>
                <w:color w:val="000000"/>
                <w:sz w:val="24"/>
                <w:szCs w:val="24"/>
              </w:rPr>
              <w:t>15</w:t>
            </w:r>
            <w:r>
              <w:rPr>
                <w:rFonts w:eastAsiaTheme="minorEastAsia"/>
                <w:color w:val="000000"/>
                <w:sz w:val="24"/>
                <w:szCs w:val="24"/>
              </w:rPr>
              <w:t>年</w:t>
            </w:r>
          </w:p>
        </w:tc>
        <w:tc>
          <w:tcPr>
            <w:tcW w:w="2694" w:type="dxa"/>
            <w:vAlign w:val="center"/>
          </w:tcPr>
          <w:p w:rsidR="0034196F" w:rsidRDefault="00017E25">
            <w:r>
              <w:rPr>
                <w:rFonts w:eastAsiaTheme="minorEastAsia"/>
                <w:color w:val="000000"/>
                <w:sz w:val="24"/>
                <w:szCs w:val="24"/>
              </w:rPr>
              <w:t>谢军先生，金融学硕士，持有中国证券投资基金业从业证书。曾任广发基金管理有限公司固定收益部研究员、投资经理、固定收益部总经理助理、固定收益部副总经理、固定收益部总经理、广发货币市场基金基金经理（自</w:t>
            </w:r>
            <w:r>
              <w:rPr>
                <w:rFonts w:eastAsiaTheme="minorEastAsia"/>
                <w:color w:val="000000"/>
                <w:sz w:val="24"/>
                <w:szCs w:val="24"/>
              </w:rPr>
              <w:t>2006</w:t>
            </w:r>
            <w:r>
              <w:rPr>
                <w:rFonts w:eastAsiaTheme="minorEastAsia"/>
                <w:color w:val="000000"/>
                <w:sz w:val="24"/>
                <w:szCs w:val="24"/>
              </w:rPr>
              <w:t>年</w:t>
            </w:r>
            <w:r>
              <w:rPr>
                <w:rFonts w:eastAsiaTheme="minorEastAsia"/>
                <w:color w:val="000000"/>
                <w:sz w:val="24"/>
                <w:szCs w:val="24"/>
              </w:rPr>
              <w:t>9</w:t>
            </w:r>
            <w:r>
              <w:rPr>
                <w:rFonts w:eastAsiaTheme="minorEastAsia"/>
                <w:color w:val="000000"/>
                <w:sz w:val="24"/>
                <w:szCs w:val="24"/>
              </w:rPr>
              <w:t>月</w:t>
            </w:r>
            <w:r>
              <w:rPr>
                <w:rFonts w:eastAsiaTheme="minorEastAsia"/>
                <w:color w:val="000000"/>
                <w:sz w:val="24"/>
                <w:szCs w:val="24"/>
              </w:rPr>
              <w:t>12</w:t>
            </w:r>
            <w:r>
              <w:rPr>
                <w:rFonts w:eastAsiaTheme="minorEastAsia"/>
                <w:color w:val="000000"/>
                <w:sz w:val="24"/>
                <w:szCs w:val="24"/>
              </w:rPr>
              <w:t>日至</w:t>
            </w:r>
            <w:r>
              <w:rPr>
                <w:rFonts w:eastAsiaTheme="minorEastAsia"/>
                <w:color w:val="000000"/>
                <w:sz w:val="24"/>
                <w:szCs w:val="24"/>
              </w:rPr>
              <w:t>2010</w:t>
            </w:r>
            <w:r>
              <w:rPr>
                <w:rFonts w:eastAsiaTheme="minorEastAsia"/>
                <w:color w:val="000000"/>
                <w:sz w:val="24"/>
                <w:szCs w:val="24"/>
              </w:rPr>
              <w:t>年</w:t>
            </w:r>
            <w:r>
              <w:rPr>
                <w:rFonts w:eastAsiaTheme="minorEastAsia"/>
                <w:color w:val="000000"/>
                <w:sz w:val="24"/>
                <w:szCs w:val="24"/>
              </w:rPr>
              <w:t>4</w:t>
            </w:r>
            <w:r>
              <w:rPr>
                <w:rFonts w:eastAsiaTheme="minorEastAsia"/>
                <w:color w:val="000000"/>
                <w:sz w:val="24"/>
                <w:szCs w:val="24"/>
              </w:rPr>
              <w:t>月</w:t>
            </w:r>
            <w:r>
              <w:rPr>
                <w:rFonts w:eastAsiaTheme="minorEastAsia"/>
                <w:color w:val="000000"/>
                <w:sz w:val="24"/>
                <w:szCs w:val="24"/>
              </w:rPr>
              <w:t>29</w:t>
            </w:r>
            <w:r>
              <w:rPr>
                <w:rFonts w:eastAsiaTheme="minorEastAsia"/>
                <w:color w:val="000000"/>
                <w:sz w:val="24"/>
                <w:szCs w:val="24"/>
              </w:rPr>
              <w:t>日）、广发聚祥保本混合证券投资基金基金经理（自</w:t>
            </w:r>
            <w:r>
              <w:rPr>
                <w:rFonts w:eastAsiaTheme="minorEastAsia"/>
                <w:color w:val="000000"/>
                <w:sz w:val="24"/>
                <w:szCs w:val="24"/>
              </w:rPr>
              <w:t>2011</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15</w:t>
            </w:r>
            <w:r>
              <w:rPr>
                <w:rFonts w:eastAsiaTheme="minorEastAsia"/>
                <w:color w:val="000000"/>
                <w:sz w:val="24"/>
                <w:szCs w:val="24"/>
              </w:rPr>
              <w:t>日至</w:t>
            </w:r>
            <w:r>
              <w:rPr>
                <w:rFonts w:eastAsiaTheme="minorEastAsia"/>
                <w:color w:val="000000"/>
                <w:sz w:val="24"/>
                <w:szCs w:val="24"/>
              </w:rPr>
              <w:t>2014</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20</w:t>
            </w:r>
            <w:r>
              <w:rPr>
                <w:rFonts w:eastAsiaTheme="minorEastAsia"/>
                <w:color w:val="000000"/>
                <w:sz w:val="24"/>
                <w:szCs w:val="24"/>
              </w:rPr>
              <w:t>日）、广发鑫富灵活配置混合型证券投资基金基金经理（自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10</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6</w:t>
            </w:r>
            <w:r>
              <w:rPr>
                <w:rFonts w:eastAsiaTheme="minorEastAsia"/>
                <w:color w:val="000000"/>
                <w:sz w:val="24"/>
                <w:szCs w:val="24"/>
              </w:rPr>
              <w:t>日）、广发汇瑞一年定期开放债券型证券投资基金基金经理（自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12</w:t>
            </w:r>
            <w:r>
              <w:rPr>
                <w:rFonts w:eastAsiaTheme="minorEastAsia"/>
                <w:color w:val="000000"/>
                <w:sz w:val="24"/>
                <w:szCs w:val="24"/>
              </w:rPr>
              <w:t>月</w:t>
            </w:r>
            <w:r>
              <w:rPr>
                <w:rFonts w:eastAsiaTheme="minorEastAsia"/>
                <w:color w:val="000000"/>
                <w:sz w:val="24"/>
                <w:szCs w:val="24"/>
              </w:rPr>
              <w:t>2</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12</w:t>
            </w:r>
            <w:r>
              <w:rPr>
                <w:rFonts w:eastAsiaTheme="minorEastAsia"/>
                <w:color w:val="000000"/>
                <w:sz w:val="24"/>
                <w:szCs w:val="24"/>
              </w:rPr>
              <w:t>日）。现任广发基金管理有限公司债券投资部总经理、广发增强债券型证券投资基金基金经理（自</w:t>
            </w:r>
            <w:r>
              <w:rPr>
                <w:rFonts w:eastAsiaTheme="minorEastAsia"/>
                <w:color w:val="000000"/>
                <w:sz w:val="24"/>
                <w:szCs w:val="24"/>
              </w:rPr>
              <w:t>2008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27</w:t>
            </w:r>
            <w:r>
              <w:rPr>
                <w:rFonts w:eastAsiaTheme="minorEastAsia"/>
                <w:color w:val="000000"/>
                <w:sz w:val="24"/>
                <w:szCs w:val="24"/>
              </w:rPr>
              <w:t>日起任职）、广发聚源定期开放债券型证券投资基金基金经理（自</w:t>
            </w:r>
            <w:r>
              <w:rPr>
                <w:rFonts w:eastAsiaTheme="minorEastAsia"/>
                <w:color w:val="000000"/>
                <w:sz w:val="24"/>
                <w:szCs w:val="24"/>
              </w:rPr>
              <w:t>2013</w:t>
            </w:r>
            <w:r>
              <w:rPr>
                <w:rFonts w:eastAsiaTheme="minorEastAsia"/>
                <w:color w:val="000000"/>
                <w:sz w:val="24"/>
                <w:szCs w:val="24"/>
              </w:rPr>
              <w:t>年</w:t>
            </w:r>
            <w:r>
              <w:rPr>
                <w:rFonts w:eastAsiaTheme="minorEastAsia"/>
                <w:color w:val="000000"/>
                <w:sz w:val="24"/>
                <w:szCs w:val="24"/>
              </w:rPr>
              <w:t>5</w:t>
            </w:r>
            <w:r>
              <w:rPr>
                <w:rFonts w:eastAsiaTheme="minorEastAsia"/>
                <w:color w:val="000000"/>
                <w:sz w:val="24"/>
                <w:szCs w:val="24"/>
              </w:rPr>
              <w:t>月</w:t>
            </w:r>
            <w:r>
              <w:rPr>
                <w:rFonts w:eastAsiaTheme="minorEastAsia"/>
                <w:color w:val="000000"/>
                <w:sz w:val="24"/>
                <w:szCs w:val="24"/>
              </w:rPr>
              <w:t>8</w:t>
            </w:r>
            <w:r>
              <w:rPr>
                <w:rFonts w:eastAsiaTheme="minorEastAsia"/>
                <w:color w:val="000000"/>
                <w:sz w:val="24"/>
                <w:szCs w:val="24"/>
              </w:rPr>
              <w:t>日起任职）、广发安享灵活配置混合型证券投资基金基金经理（自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2</w:t>
            </w:r>
            <w:r>
              <w:rPr>
                <w:rFonts w:eastAsiaTheme="minorEastAsia"/>
                <w:color w:val="000000"/>
                <w:sz w:val="24"/>
                <w:szCs w:val="24"/>
              </w:rPr>
              <w:t>月</w:t>
            </w:r>
            <w:r>
              <w:rPr>
                <w:rFonts w:eastAsiaTheme="minorEastAsia"/>
                <w:color w:val="000000"/>
                <w:sz w:val="24"/>
                <w:szCs w:val="24"/>
              </w:rPr>
              <w:t>22</w:t>
            </w:r>
            <w:r>
              <w:rPr>
                <w:rFonts w:eastAsiaTheme="minorEastAsia"/>
                <w:color w:val="000000"/>
                <w:sz w:val="24"/>
                <w:szCs w:val="24"/>
              </w:rPr>
              <w:t>日起任职）、广发安悦回报灵活配置混合型证券投资基金基金经理（自</w:t>
            </w:r>
            <w:r>
              <w:rPr>
                <w:rFonts w:eastAsiaTheme="minorEastAsia"/>
                <w:color w:val="000000"/>
                <w:sz w:val="24"/>
                <w:szCs w:val="24"/>
              </w:rPr>
              <w:t>20</w:t>
            </w:r>
            <w:r>
              <w:rPr>
                <w:rFonts w:eastAsiaTheme="minorEastAsia"/>
                <w:color w:val="000000"/>
                <w:sz w:val="24"/>
                <w:szCs w:val="24"/>
              </w:rPr>
              <w:t>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7</w:t>
            </w:r>
            <w:r>
              <w:rPr>
                <w:rFonts w:eastAsiaTheme="minorEastAsia"/>
                <w:color w:val="000000"/>
                <w:sz w:val="24"/>
                <w:szCs w:val="24"/>
              </w:rPr>
              <w:t>日起任职）、广发服务业精选灵活配置混合型证券投资基金基金经理（自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9</w:t>
            </w:r>
            <w:r>
              <w:rPr>
                <w:rFonts w:eastAsiaTheme="minorEastAsia"/>
                <w:color w:val="000000"/>
                <w:sz w:val="24"/>
                <w:szCs w:val="24"/>
              </w:rPr>
              <w:t>日起任职）、广发鑫源灵活配置混合型证券投资基金基金经理（自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9</w:t>
            </w:r>
            <w:r>
              <w:rPr>
                <w:rFonts w:eastAsiaTheme="minorEastAsia"/>
                <w:color w:val="000000"/>
                <w:sz w:val="24"/>
                <w:szCs w:val="24"/>
              </w:rPr>
              <w:t>日起任职）、广发集瑞债券型证券投资基金基金经理（自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18</w:t>
            </w:r>
            <w:r>
              <w:rPr>
                <w:rFonts w:eastAsiaTheme="minorEastAsia"/>
                <w:color w:val="000000"/>
                <w:sz w:val="24"/>
                <w:szCs w:val="24"/>
              </w:rPr>
              <w:t>日起任职）、广发鑫利灵活配置混合型证券投资基金基金经理（自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18</w:t>
            </w:r>
            <w:r>
              <w:rPr>
                <w:rFonts w:eastAsiaTheme="minorEastAsia"/>
                <w:color w:val="000000"/>
                <w:sz w:val="24"/>
                <w:szCs w:val="24"/>
              </w:rPr>
              <w:t>日起任职）、广发景华纯债债券型证券投资基金基金经理（自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28</w:t>
            </w:r>
            <w:r>
              <w:rPr>
                <w:rFonts w:eastAsiaTheme="minorEastAsia"/>
                <w:color w:val="000000"/>
                <w:sz w:val="24"/>
                <w:szCs w:val="24"/>
              </w:rPr>
              <w:t>日起任职）、广发安泽回报纯债债券型证券投资基金基金经理（自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10</w:t>
            </w:r>
            <w:r>
              <w:rPr>
                <w:rFonts w:eastAsiaTheme="minorEastAsia"/>
                <w:color w:val="000000"/>
                <w:sz w:val="24"/>
                <w:szCs w:val="24"/>
              </w:rPr>
              <w:t>日起任职）、广发景源纯债债券型证券投资基金</w:t>
            </w:r>
            <w:r>
              <w:rPr>
                <w:rFonts w:eastAsiaTheme="minorEastAsia"/>
                <w:color w:val="000000"/>
                <w:sz w:val="24"/>
                <w:szCs w:val="24"/>
              </w:rPr>
              <w:t>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2</w:t>
            </w:r>
            <w:r>
              <w:rPr>
                <w:rFonts w:eastAsiaTheme="minorEastAsia"/>
                <w:color w:val="000000"/>
                <w:sz w:val="24"/>
                <w:szCs w:val="24"/>
              </w:rPr>
              <w:t>月</w:t>
            </w:r>
            <w:r>
              <w:rPr>
                <w:rFonts w:eastAsiaTheme="minorEastAsia"/>
                <w:color w:val="000000"/>
                <w:sz w:val="24"/>
                <w:szCs w:val="24"/>
              </w:rPr>
              <w:t>17</w:t>
            </w:r>
            <w:r>
              <w:rPr>
                <w:rFonts w:eastAsiaTheme="minorEastAsia"/>
                <w:color w:val="000000"/>
                <w:sz w:val="24"/>
                <w:szCs w:val="24"/>
              </w:rPr>
              <w:t>日起任职）、广发景祥纯债债券型证券投资基金基金经理（自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w:t>
            </w:r>
            <w:r>
              <w:rPr>
                <w:rFonts w:eastAsiaTheme="minorEastAsia"/>
                <w:color w:val="000000"/>
                <w:sz w:val="24"/>
                <w:szCs w:val="24"/>
              </w:rPr>
              <w:t>日起任职）、广发理财年年红债券型证券投资基金基金经理（自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5</w:t>
            </w:r>
            <w:r>
              <w:rPr>
                <w:rFonts w:eastAsiaTheme="minorEastAsia"/>
                <w:color w:val="000000"/>
                <w:sz w:val="24"/>
                <w:szCs w:val="24"/>
              </w:rPr>
              <w:t>日起任职）、广发聚盛灵活配置混合型证券投资基金基金经理（自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31</w:t>
            </w:r>
            <w:r>
              <w:rPr>
                <w:rFonts w:eastAsiaTheme="minorEastAsia"/>
                <w:color w:val="000000"/>
                <w:sz w:val="24"/>
                <w:szCs w:val="24"/>
              </w:rPr>
              <w:t>日起任职）、广发趋势优选灵活配置混合型证券投资基金基金经理（自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31</w:t>
            </w:r>
            <w:r>
              <w:rPr>
                <w:rFonts w:eastAsiaTheme="minorEastAsia"/>
                <w:color w:val="000000"/>
                <w:sz w:val="24"/>
                <w:szCs w:val="24"/>
              </w:rPr>
              <w:t>日起任职）、广发聚安混合型证券投资基金基金经理（自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31</w:t>
            </w:r>
            <w:r>
              <w:rPr>
                <w:rFonts w:eastAsiaTheme="minorEastAsia"/>
                <w:color w:val="000000"/>
                <w:sz w:val="24"/>
                <w:szCs w:val="24"/>
              </w:rPr>
              <w:t>日起任职）、广发聚宝混合型证券投资基金基金经理（自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31</w:t>
            </w:r>
            <w:r>
              <w:rPr>
                <w:rFonts w:eastAsiaTheme="minorEastAsia"/>
                <w:color w:val="000000"/>
                <w:sz w:val="24"/>
                <w:szCs w:val="24"/>
              </w:rPr>
              <w:t>日起任职）、广发稳安保本混合型证券投资基</w:t>
            </w:r>
            <w:r>
              <w:rPr>
                <w:rFonts w:eastAsiaTheme="minorEastAsia"/>
                <w:color w:val="000000"/>
                <w:sz w:val="24"/>
                <w:szCs w:val="24"/>
              </w:rPr>
              <w:t>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31</w:t>
            </w:r>
            <w:r>
              <w:rPr>
                <w:rFonts w:eastAsiaTheme="minorEastAsia"/>
                <w:color w:val="000000"/>
                <w:sz w:val="24"/>
                <w:szCs w:val="24"/>
              </w:rPr>
              <w:t>日起任职）、广发鑫和灵活配置混合型证券投资基金基金经理（自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16</w:t>
            </w:r>
            <w:r>
              <w:rPr>
                <w:rFonts w:eastAsiaTheme="minorEastAsia"/>
                <w:color w:val="000000"/>
                <w:sz w:val="24"/>
                <w:szCs w:val="24"/>
              </w:rPr>
              <w:t>日起任职）、广发汇吉</w:t>
            </w:r>
            <w:r>
              <w:rPr>
                <w:rFonts w:eastAsiaTheme="minorEastAsia"/>
                <w:color w:val="000000"/>
                <w:sz w:val="24"/>
                <w:szCs w:val="24"/>
              </w:rPr>
              <w:t>3</w:t>
            </w:r>
            <w:r>
              <w:rPr>
                <w:rFonts w:eastAsiaTheme="minorEastAsia"/>
                <w:color w:val="000000"/>
                <w:sz w:val="24"/>
                <w:szCs w:val="24"/>
              </w:rPr>
              <w:t>个月定期开放债券型发起式证券投资基金的基金经理（自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w:t>
            </w:r>
            <w:r>
              <w:rPr>
                <w:rFonts w:eastAsiaTheme="minorEastAsia"/>
                <w:color w:val="000000"/>
                <w:sz w:val="24"/>
                <w:szCs w:val="24"/>
              </w:rPr>
              <w:t>日起任职）、广发汇元纯债定期开放债券型发起式证券投资基金基金经理（自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30</w:t>
            </w:r>
            <w:r>
              <w:rPr>
                <w:rFonts w:eastAsiaTheme="minorEastAsia"/>
                <w:color w:val="000000"/>
                <w:sz w:val="24"/>
                <w:szCs w:val="24"/>
              </w:rPr>
              <w:t>日起任职）、广发汇瑞</w:t>
            </w:r>
            <w:r>
              <w:rPr>
                <w:rFonts w:eastAsiaTheme="minorEastAsia"/>
                <w:color w:val="000000"/>
                <w:sz w:val="24"/>
                <w:szCs w:val="24"/>
              </w:rPr>
              <w:t>3</w:t>
            </w:r>
            <w:r>
              <w:rPr>
                <w:rFonts w:eastAsiaTheme="minorEastAsia"/>
                <w:color w:val="000000"/>
                <w:sz w:val="24"/>
                <w:szCs w:val="24"/>
              </w:rPr>
              <w:t>个月定期开放债券型证券投资基金基金经理（自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6</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日起任职）。</w:t>
            </w:r>
          </w:p>
        </w:tc>
      </w:tr>
    </w:tbl>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任职日期</w:t>
      </w:r>
      <w:r>
        <w:rPr>
          <w:rFonts w:eastAsiaTheme="minorEastAsia"/>
          <w:color w:val="000000"/>
          <w:sz w:val="24"/>
          <w:szCs w:val="24"/>
        </w:rPr>
        <w:t>”</w:t>
      </w:r>
      <w:r>
        <w:rPr>
          <w:rFonts w:eastAsiaTheme="minorEastAsia"/>
          <w:color w:val="000000"/>
          <w:sz w:val="24"/>
          <w:szCs w:val="24"/>
        </w:rPr>
        <w:t>和</w:t>
      </w:r>
      <w:r>
        <w:rPr>
          <w:rFonts w:eastAsiaTheme="minorEastAsia"/>
          <w:color w:val="000000"/>
          <w:sz w:val="24"/>
          <w:szCs w:val="24"/>
        </w:rPr>
        <w:t>“</w:t>
      </w:r>
      <w:r>
        <w:rPr>
          <w:rFonts w:eastAsiaTheme="minorEastAsia"/>
          <w:color w:val="000000"/>
          <w:sz w:val="24"/>
          <w:szCs w:val="24"/>
        </w:rPr>
        <w:t>离职日期</w:t>
      </w:r>
      <w:r>
        <w:rPr>
          <w:rFonts w:eastAsiaTheme="minorEastAsia"/>
          <w:color w:val="000000"/>
          <w:sz w:val="24"/>
          <w:szCs w:val="24"/>
        </w:rPr>
        <w:t>”</w:t>
      </w:r>
      <w:r>
        <w:rPr>
          <w:rFonts w:eastAsiaTheme="minorEastAsia"/>
          <w:color w:val="000000"/>
          <w:sz w:val="24"/>
          <w:szCs w:val="24"/>
        </w:rPr>
        <w:t>指公司公告聘任或解聘日期。</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2.</w:t>
      </w:r>
      <w:r w:rsidRPr="00CD2DB1">
        <w:rPr>
          <w:rFonts w:eastAsiaTheme="minorEastAsia"/>
          <w:color w:val="000000"/>
          <w:sz w:val="24"/>
          <w:szCs w:val="24"/>
        </w:rPr>
        <w:t>证券从业的含义遵从行业协会《证券业从业人员资格管理办法》的相关规定。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4.2 </w:t>
      </w:r>
      <w:r w:rsidRPr="001611C5">
        <w:rPr>
          <w:rFonts w:asciiTheme="minorEastAsia" w:eastAsiaTheme="minorEastAsia" w:hAnsiTheme="minorEastAsia" w:hint="eastAsia"/>
          <w:b/>
          <w:bCs/>
          <w:color w:val="000000"/>
          <w:kern w:val="0"/>
          <w:sz w:val="24"/>
          <w:szCs w:val="24"/>
        </w:rPr>
        <w:t>管理人对报告期内本基金运作遵规守信情况的说明</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本基金管理人严格遵守《中华人民共和国证券投资基金法》及其配套法规、《广发服务业精选灵活配置混合型证券投资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4.3 </w:t>
      </w:r>
      <w:r w:rsidRPr="001611C5">
        <w:rPr>
          <w:rFonts w:asciiTheme="minorEastAsia" w:eastAsiaTheme="minorEastAsia" w:hAnsiTheme="minorEastAsia" w:hint="eastAsia"/>
          <w:b/>
          <w:bCs/>
          <w:color w:val="000000"/>
          <w:kern w:val="0"/>
          <w:sz w:val="24"/>
          <w:szCs w:val="24"/>
        </w:rPr>
        <w:t>公平交易专项说明</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4.3.1 </w:t>
      </w:r>
      <w:r w:rsidRPr="001611C5">
        <w:rPr>
          <w:rFonts w:asciiTheme="minorEastAsia" w:eastAsiaTheme="minorEastAsia" w:hAnsiTheme="minorEastAsia" w:hint="eastAsia"/>
          <w:color w:val="000000"/>
          <w:sz w:val="24"/>
          <w:szCs w:val="24"/>
        </w:rPr>
        <w:t>公平交易制度的执行情况</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公司通过建立科学、制衡的投资决策体系，加强交易分配环节的内部控制，并通过实时的行为监控与及时的分析评估，保证公平交易原则的实现。</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在投资决策的内部控制方面，公司制度规定投资组合投资的股票必须来源于备选股票库，重点投资的股票必须来源于核心股票库。公司建立了严格的投资授权制度，投资组合经理在授权范围内可以自主决策，超过投资权限的操作需要经过严格的审批程序。在交易过程中，中央交易部按照</w:t>
      </w:r>
      <w:r>
        <w:rPr>
          <w:rFonts w:eastAsiaTheme="minorEastAsia"/>
          <w:color w:val="000000"/>
          <w:sz w:val="24"/>
          <w:szCs w:val="24"/>
        </w:rPr>
        <w:t>“</w:t>
      </w:r>
      <w:r>
        <w:rPr>
          <w:rFonts w:eastAsiaTheme="minorEastAsia"/>
          <w:color w:val="000000"/>
          <w:sz w:val="24"/>
          <w:szCs w:val="24"/>
        </w:rPr>
        <w:t>时间优先、价格优先、比例分配、综合平衡</w:t>
      </w:r>
      <w:r>
        <w:rPr>
          <w:rFonts w:eastAsiaTheme="minorEastAsia"/>
          <w:color w:val="000000"/>
          <w:sz w:val="24"/>
          <w:szCs w:val="24"/>
        </w:rPr>
        <w:t>”</w:t>
      </w:r>
      <w:r>
        <w:rPr>
          <w:rFonts w:eastAsiaTheme="minorEastAsia"/>
          <w:color w:val="000000"/>
          <w:sz w:val="24"/>
          <w:szCs w:val="24"/>
        </w:rPr>
        <w:t>的原则，公平分配投资指令。金融工程与风险管理部风险</w:t>
      </w:r>
      <w:r>
        <w:rPr>
          <w:rFonts w:eastAsiaTheme="minorEastAsia"/>
          <w:color w:val="000000"/>
          <w:sz w:val="24"/>
          <w:szCs w:val="24"/>
        </w:rPr>
        <w:t>控制岗通过投资交易系统对投资交易过程进行实时监控及预警，实现投资风险的事中风险控制；稽核岗通过对投资、研究及交易等全流程的独立监察稽核，实现投资风险的事后控制。</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本报告期内，上述公平交易制度总体执行情况良好，不同的投资组合受到了公平对待，未发生任何不公平的交易事项。</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4.3.2 </w:t>
      </w:r>
      <w:r w:rsidRPr="001611C5">
        <w:rPr>
          <w:rFonts w:asciiTheme="minorEastAsia" w:eastAsiaTheme="minorEastAsia" w:hAnsiTheme="minorEastAsia" w:hint="eastAsia"/>
          <w:color w:val="000000"/>
          <w:sz w:val="24"/>
          <w:szCs w:val="24"/>
        </w:rPr>
        <w:t>异常交易行为的专项说明</w:t>
      </w:r>
    </w:p>
    <w:p w:rsidR="0034196F" w:rsidRDefault="00017E25">
      <w:pPr>
        <w:spacing w:line="360" w:lineRule="auto"/>
        <w:ind w:firstLineChars="200" w:firstLine="480"/>
        <w:rPr>
          <w:rFonts w:eastAsiaTheme="minorEastAsia"/>
          <w:color w:val="000000"/>
          <w:sz w:val="24"/>
          <w:szCs w:val="24"/>
        </w:rPr>
      </w:pPr>
      <w:r>
        <w:rPr>
          <w:rFonts w:eastAsiaTheme="minorEastAsia" w:hint="eastAsia"/>
          <w:color w:val="000000"/>
          <w:sz w:val="24"/>
          <w:szCs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4061AC" w:rsidRPr="006B72F7" w:rsidRDefault="0095759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w:t>
      </w:r>
      <w:r w:rsidRPr="00CD2DB1">
        <w:rPr>
          <w:rFonts w:eastAsiaTheme="minorEastAsia" w:hint="eastAsia"/>
          <w:color w:val="000000"/>
          <w:sz w:val="24"/>
          <w:szCs w:val="24"/>
        </w:rPr>
        <w:t>5%</w:t>
      </w:r>
      <w:r w:rsidRPr="00CD2DB1">
        <w:rPr>
          <w:rFonts w:eastAsiaTheme="minorEastAsia" w:hint="eastAsia"/>
          <w:color w:val="000000"/>
          <w:sz w:val="24"/>
          <w:szCs w:val="24"/>
        </w:rPr>
        <w:t>。这些交易不存在任何利益输送的嫌疑。</w:t>
      </w:r>
    </w:p>
    <w:p w:rsidR="00091D41" w:rsidRPr="00B75DF8"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4.4</w:t>
      </w:r>
      <w:r>
        <w:rPr>
          <w:rFonts w:ascii="宋体" w:hAnsi="宋体" w:hint="eastAsia"/>
          <w:b/>
          <w:color w:val="000000"/>
          <w:sz w:val="24"/>
        </w:rPr>
        <w:t>报告期内基金的投资策略和运作分析</w:t>
      </w:r>
    </w:p>
    <w:p w:rsidR="00091D41" w:rsidRPr="00B75DF8" w:rsidRDefault="00091D41" w:rsidP="00091D41">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t>本季度，货币市场整体仍然维持较为宽松的态势，央行两次降准操作、不再跟随美联储上调政策利率等均印证货币政策结构性转松；宏观经济方面，生产数据显示宏观环境当下不弱，但需求端数据表现较差，社融数据的走弱更加重了市场的经济悲观预期。债市表现方面，利率债收益率整体下行，收益率曲线小幅平坦化；信用债方面，在经济预期回落、融资渠道收缩的过程中低评级主体信用风险的暴露引起市场高度关注，信用利差和等级利差均有所走阔。本季度，组合已经清盘。</w:t>
      </w:r>
    </w:p>
    <w:p w:rsidR="00091D41" w:rsidRPr="000A6C57"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Pr>
          <w:rFonts w:ascii="宋体" w:hAnsi="宋体" w:hint="eastAsia"/>
          <w:b/>
          <w:color w:val="000000"/>
          <w:sz w:val="24"/>
        </w:rPr>
        <w:t>报告期内基金的业绩表现</w:t>
      </w:r>
    </w:p>
    <w:p w:rsidR="00091D41" w:rsidRPr="00264591" w:rsidRDefault="00091D41" w:rsidP="00091D41">
      <w:pPr>
        <w:spacing w:line="360" w:lineRule="auto"/>
        <w:ind w:firstLineChars="200" w:firstLine="480"/>
        <w:rPr>
          <w:rFonts w:eastAsiaTheme="minorEastAsia"/>
          <w:color w:val="000000"/>
          <w:sz w:val="24"/>
        </w:rPr>
      </w:pPr>
      <w:r w:rsidRPr="00264591">
        <w:rPr>
          <w:rFonts w:eastAsiaTheme="minorEastAsia"/>
          <w:color w:val="000000"/>
          <w:sz w:val="24"/>
        </w:rPr>
        <w:t>本报告期内</w:t>
      </w:r>
      <w:r w:rsidRPr="00264591">
        <w:rPr>
          <w:rFonts w:eastAsiaTheme="minorEastAsia"/>
          <w:color w:val="000000"/>
          <w:sz w:val="24"/>
        </w:rPr>
        <w:t>,</w:t>
      </w:r>
      <w:r w:rsidRPr="00264591">
        <w:rPr>
          <w:rFonts w:eastAsiaTheme="minorEastAsia"/>
          <w:color w:val="000000"/>
          <w:sz w:val="24"/>
        </w:rPr>
        <w:t>广发服务业精选混合净值增长率为</w:t>
      </w:r>
      <w:r w:rsidRPr="00264591">
        <w:rPr>
          <w:rFonts w:eastAsiaTheme="minorEastAsia"/>
          <w:color w:val="000000"/>
          <w:sz w:val="24"/>
        </w:rPr>
        <w:t>1.29%,</w:t>
      </w:r>
      <w:r w:rsidRPr="00264591">
        <w:rPr>
          <w:rFonts w:eastAsiaTheme="minorEastAsia"/>
          <w:color w:val="000000"/>
          <w:sz w:val="24"/>
        </w:rPr>
        <w:t>同期业绩比较基准收益率为</w:t>
      </w:r>
      <w:r w:rsidRPr="00264591">
        <w:rPr>
          <w:rFonts w:eastAsiaTheme="minorEastAsia"/>
          <w:color w:val="000000"/>
          <w:sz w:val="24"/>
        </w:rPr>
        <w:t>-6.52%</w:t>
      </w:r>
    </w:p>
    <w:p w:rsidR="00091D41" w:rsidRPr="00C61B41"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091D41" w:rsidRPr="00CB1AA0" w:rsidRDefault="00091D41" w:rsidP="00091D41">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本报告期内，本基金存在连续二十个工作日基金资产净值低于五千万的情形。</w:t>
      </w:r>
    </w:p>
    <w:p w:rsidR="004061AC" w:rsidRPr="001611C5" w:rsidRDefault="004061AC" w:rsidP="00017E25">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1C0993" w:rsidRPr="001611C5">
        <w:rPr>
          <w:rFonts w:asciiTheme="minorEastAsia" w:eastAsiaTheme="minorEastAsia" w:hAnsiTheme="minorEastAsia" w:hint="eastAsia"/>
          <w:color w:val="000000"/>
          <w:kern w:val="0"/>
          <w:sz w:val="24"/>
          <w:szCs w:val="24"/>
        </w:rPr>
        <w:t>5</w:t>
      </w:r>
      <w:r w:rsidRPr="001611C5">
        <w:rPr>
          <w:rFonts w:asciiTheme="minorEastAsia" w:eastAsiaTheme="minorEastAsia" w:hAnsiTheme="minorEastAsia" w:hint="eastAsia"/>
          <w:color w:val="000000"/>
          <w:kern w:val="0"/>
          <w:sz w:val="24"/>
          <w:szCs w:val="24"/>
        </w:rPr>
        <w:t>投资组合报告</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5.1 </w:t>
      </w:r>
      <w:r w:rsidRPr="001611C5">
        <w:rPr>
          <w:rFonts w:asciiTheme="minorEastAsia" w:eastAsiaTheme="minorEastAsia" w:hAnsiTheme="minorEastAsia" w:hint="eastAsia"/>
          <w:b/>
          <w:bCs/>
          <w:color w:val="000000"/>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C91E1B" w:rsidRPr="001611C5" w:rsidTr="0069426C">
        <w:trPr>
          <w:jc w:val="center"/>
        </w:trPr>
        <w:tc>
          <w:tcPr>
            <w:tcW w:w="720"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3357"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项目</w:t>
            </w:r>
          </w:p>
        </w:tc>
        <w:tc>
          <w:tcPr>
            <w:tcW w:w="2977"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00D57B7C" w:rsidRPr="006B72F7">
              <w:rPr>
                <w:rFonts w:eastAsiaTheme="minorEastAsia"/>
                <w:color w:val="000000"/>
                <w:sz w:val="24"/>
                <w:szCs w:val="24"/>
              </w:rPr>
              <w:t>(</w:t>
            </w:r>
            <w:r w:rsidRPr="006B72F7">
              <w:rPr>
                <w:rFonts w:eastAsiaTheme="minorEastAsia"/>
                <w:color w:val="000000"/>
                <w:sz w:val="24"/>
                <w:szCs w:val="24"/>
              </w:rPr>
              <w:t>元</w:t>
            </w:r>
            <w:r w:rsidR="00D57B7C" w:rsidRPr="006B72F7">
              <w:rPr>
                <w:rFonts w:eastAsiaTheme="minorEastAsia"/>
                <w:color w:val="000000"/>
                <w:sz w:val="24"/>
                <w:szCs w:val="24"/>
              </w:rPr>
              <w:t>)</w:t>
            </w:r>
          </w:p>
        </w:tc>
        <w:tc>
          <w:tcPr>
            <w:tcW w:w="1843"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占基金总资产的比例</w:t>
            </w:r>
            <w:r w:rsidR="00D57B7C" w:rsidRPr="006B72F7">
              <w:rPr>
                <w:rFonts w:eastAsiaTheme="minorEastAsia"/>
                <w:color w:val="000000"/>
                <w:sz w:val="24"/>
                <w:szCs w:val="24"/>
              </w:rPr>
              <w:t>(</w:t>
            </w:r>
            <w:r w:rsidRPr="006B72F7">
              <w:rPr>
                <w:rFonts w:eastAsiaTheme="minorEastAsia"/>
                <w:color w:val="000000"/>
                <w:sz w:val="24"/>
                <w:szCs w:val="24"/>
              </w:rPr>
              <w:t>%</w:t>
            </w:r>
            <w:r w:rsidR="00D57B7C"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1</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权益投资</w:t>
            </w:r>
          </w:p>
        </w:tc>
        <w:tc>
          <w:tcPr>
            <w:tcW w:w="2977" w:type="dxa"/>
            <w:vAlign w:val="center"/>
          </w:tcPr>
          <w:p w:rsidR="00853140" w:rsidRPr="006B72F7" w:rsidRDefault="00C77AEF" w:rsidP="00C77AE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其中：股票</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2</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固定收益投资</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其中：债券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1611C5">
            <w:pPr>
              <w:autoSpaceDE w:val="0"/>
              <w:autoSpaceDN w:val="0"/>
              <w:adjustRightInd w:val="0"/>
              <w:spacing w:before="29" w:line="360" w:lineRule="auto"/>
              <w:ind w:left="17" w:firstLineChars="250" w:firstLine="600"/>
              <w:jc w:val="left"/>
              <w:rPr>
                <w:rFonts w:eastAsiaTheme="minorEastAsia"/>
                <w:color w:val="000000"/>
                <w:sz w:val="24"/>
                <w:szCs w:val="24"/>
              </w:rPr>
            </w:pPr>
            <w:r w:rsidRPr="006B72F7">
              <w:rPr>
                <w:rFonts w:eastAsiaTheme="minorEastAsia"/>
                <w:color w:val="000000"/>
                <w:sz w:val="24"/>
                <w:szCs w:val="24"/>
              </w:rPr>
              <w:t>资产支持证券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195020">
        <w:trPr>
          <w:jc w:val="center"/>
        </w:trPr>
        <w:tc>
          <w:tcPr>
            <w:tcW w:w="720" w:type="dxa"/>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3</w:t>
            </w:r>
          </w:p>
        </w:tc>
        <w:tc>
          <w:tcPr>
            <w:tcW w:w="3357" w:type="dxa"/>
          </w:tcPr>
          <w:p w:rsidR="001D63BB" w:rsidRPr="006B72F7" w:rsidRDefault="001D63BB" w:rsidP="001D63BB">
            <w:pPr>
              <w:spacing w:before="29" w:line="360" w:lineRule="auto"/>
              <w:ind w:leftChars="50" w:left="105"/>
              <w:rPr>
                <w:rFonts w:eastAsiaTheme="minorEastAsia"/>
                <w:color w:val="000000"/>
                <w:sz w:val="24"/>
                <w:szCs w:val="24"/>
              </w:rPr>
            </w:pPr>
            <w:r w:rsidRPr="006B72F7">
              <w:rPr>
                <w:rFonts w:eastAsiaTheme="minorEastAsia"/>
                <w:color w:val="000000"/>
                <w:sz w:val="24"/>
                <w:szCs w:val="24"/>
              </w:rPr>
              <w:t>贵金属投资</w:t>
            </w:r>
          </w:p>
        </w:tc>
        <w:tc>
          <w:tcPr>
            <w:tcW w:w="2977"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4</w:t>
            </w:r>
          </w:p>
        </w:tc>
        <w:tc>
          <w:tcPr>
            <w:tcW w:w="3357" w:type="dxa"/>
            <w:vAlign w:val="center"/>
          </w:tcPr>
          <w:p w:rsidR="001D63BB" w:rsidRPr="006B72F7" w:rsidRDefault="001D63BB" w:rsidP="00EA70F1">
            <w:pPr>
              <w:spacing w:before="29" w:line="360" w:lineRule="auto"/>
              <w:ind w:left="17"/>
              <w:jc w:val="left"/>
              <w:rPr>
                <w:rFonts w:eastAsiaTheme="minorEastAsia"/>
                <w:color w:val="000000"/>
                <w:sz w:val="24"/>
                <w:szCs w:val="24"/>
              </w:rPr>
            </w:pPr>
            <w:r w:rsidRPr="006B72F7">
              <w:rPr>
                <w:rFonts w:eastAsiaTheme="minorEastAsia"/>
                <w:color w:val="000000"/>
                <w:sz w:val="24"/>
                <w:szCs w:val="24"/>
              </w:rPr>
              <w:t>金融衍生品投资</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5</w:t>
            </w: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其中：买断式回购的买入返售金融资产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6</w:t>
            </w:r>
          </w:p>
        </w:tc>
        <w:tc>
          <w:tcPr>
            <w:tcW w:w="3357" w:type="dxa"/>
            <w:vAlign w:val="center"/>
          </w:tcPr>
          <w:p w:rsidR="001D63BB" w:rsidRPr="006B72F7" w:rsidRDefault="001D63BB" w:rsidP="00A03AAC">
            <w:pPr>
              <w:spacing w:before="29" w:line="360" w:lineRule="auto"/>
              <w:ind w:left="17"/>
              <w:jc w:val="left"/>
              <w:rPr>
                <w:rFonts w:eastAsiaTheme="minorEastAsia"/>
                <w:sz w:val="24"/>
                <w:szCs w:val="24"/>
              </w:rPr>
            </w:pPr>
            <w:r w:rsidRPr="006B72F7">
              <w:rPr>
                <w:rFonts w:eastAsiaTheme="minorEastAsia"/>
                <w:color w:val="000000"/>
                <w:sz w:val="24"/>
                <w:szCs w:val="24"/>
              </w:rPr>
              <w:t>银行存款和结算备付金合计</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1,120,678.87</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95.62</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7</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其他各项资产</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51,306.36</w:t>
            </w:r>
          </w:p>
        </w:tc>
        <w:tc>
          <w:tcPr>
            <w:tcW w:w="1843"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4.38</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8</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合计</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1,171,985.23</w:t>
            </w:r>
          </w:p>
        </w:tc>
        <w:tc>
          <w:tcPr>
            <w:tcW w:w="1843" w:type="dxa"/>
            <w:vAlign w:val="center"/>
          </w:tcPr>
          <w:p w:rsidR="001D63BB" w:rsidRPr="006B72F7" w:rsidRDefault="001D63BB" w:rsidP="001675CD">
            <w:pPr>
              <w:jc w:val="right"/>
              <w:rPr>
                <w:rFonts w:eastAsiaTheme="minorEastAsia"/>
                <w:color w:val="000000"/>
                <w:sz w:val="24"/>
                <w:szCs w:val="24"/>
              </w:rPr>
            </w:pPr>
            <w:r w:rsidRPr="006B72F7">
              <w:rPr>
                <w:rFonts w:eastAsiaTheme="minorEastAsia"/>
                <w:color w:val="000000"/>
                <w:sz w:val="24"/>
                <w:szCs w:val="24"/>
              </w:rPr>
              <w:t>100.00</w:t>
            </w:r>
          </w:p>
        </w:tc>
      </w:tr>
    </w:tbl>
    <w:p w:rsidR="001043C1" w:rsidRPr="00220C32" w:rsidRDefault="001043C1" w:rsidP="00D065B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1043C1" w:rsidRPr="00791180"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hint="eastAsia"/>
          <w:b/>
          <w:bCs/>
          <w:color w:val="000000" w:themeColor="text1"/>
          <w:kern w:val="0"/>
          <w:sz w:val="24"/>
          <w:szCs w:val="24"/>
        </w:rPr>
        <w:t>5.2.1报告期末按行业分类的境内股票投资组合</w:t>
      </w:r>
    </w:p>
    <w:p w:rsidR="004061AC"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本基金本报告期末未持有股票。</w:t>
      </w:r>
    </w:p>
    <w:p w:rsidR="001043C1" w:rsidRPr="008A409E"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b/>
          <w:bCs/>
          <w:color w:val="000000" w:themeColor="text1"/>
          <w:kern w:val="0"/>
          <w:sz w:val="24"/>
          <w:szCs w:val="24"/>
        </w:rPr>
        <w:t>5.2.2</w:t>
      </w:r>
      <w:r w:rsidR="00374488">
        <w:rPr>
          <w:rFonts w:asciiTheme="minorEastAsia" w:eastAsiaTheme="minorEastAsia" w:hAnsiTheme="minorEastAsia" w:hint="eastAsia"/>
          <w:b/>
          <w:bCs/>
          <w:color w:val="000000" w:themeColor="text1"/>
          <w:kern w:val="0"/>
          <w:sz w:val="24"/>
          <w:szCs w:val="24"/>
        </w:rPr>
        <w:t>报告期末按行业分类的港股通</w:t>
      </w:r>
      <w:r w:rsidRPr="00791180">
        <w:rPr>
          <w:rFonts w:asciiTheme="minorEastAsia" w:eastAsiaTheme="minorEastAsia" w:hAnsiTheme="minorEastAsia" w:hint="eastAsia"/>
          <w:b/>
          <w:bCs/>
          <w:color w:val="000000" w:themeColor="text1"/>
          <w:kern w:val="0"/>
          <w:sz w:val="24"/>
          <w:szCs w:val="24"/>
        </w:rPr>
        <w:t>投资股票投资组合</w:t>
      </w:r>
    </w:p>
    <w:p w:rsidR="001043C1" w:rsidRPr="00FE5D8B" w:rsidRDefault="001043C1"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本基金本报告期末未持有通过港股通投资的股票。</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5.3 </w:t>
      </w:r>
      <w:r w:rsidRPr="001611C5">
        <w:rPr>
          <w:rFonts w:asciiTheme="minorEastAsia" w:eastAsiaTheme="minorEastAsia" w:hAnsiTheme="minorEastAsia" w:hint="eastAsia"/>
          <w:b/>
          <w:bCs/>
          <w:color w:val="000000"/>
          <w:kern w:val="0"/>
          <w:sz w:val="24"/>
          <w:szCs w:val="24"/>
        </w:rPr>
        <w:t>报告期末按公允价值占基金资产净值比例大小排序的前十名股票投资明细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本基金本报告期末未持有股票。</w:t>
      </w:r>
    </w:p>
    <w:p w:rsidR="00C073E9" w:rsidRPr="00C073E9" w:rsidRDefault="004061AC" w:rsidP="00C073E9">
      <w:pPr>
        <w:autoSpaceDE w:val="0"/>
        <w:autoSpaceDN w:val="0"/>
        <w:adjustRightInd w:val="0"/>
        <w:spacing w:line="360" w:lineRule="auto"/>
        <w:jc w:val="left"/>
        <w:rPr>
          <w:rFonts w:eastAsiaTheme="minorEastAsia"/>
          <w:b/>
          <w:bCs/>
          <w:color w:val="000000" w:themeColor="text1"/>
          <w:kern w:val="0"/>
          <w:sz w:val="24"/>
          <w:szCs w:val="24"/>
        </w:rPr>
      </w:pPr>
      <w:r w:rsidRPr="001611C5">
        <w:rPr>
          <w:rFonts w:asciiTheme="minorEastAsia" w:eastAsiaTheme="minorEastAsia" w:hAnsiTheme="minorEastAsia"/>
          <w:b/>
          <w:bCs/>
          <w:color w:val="000000"/>
          <w:kern w:val="0"/>
          <w:sz w:val="24"/>
          <w:szCs w:val="24"/>
        </w:rPr>
        <w:t xml:space="preserve">5.4 </w:t>
      </w:r>
      <w:r w:rsidRPr="001611C5">
        <w:rPr>
          <w:rFonts w:asciiTheme="minorEastAsia" w:eastAsiaTheme="minorEastAsia" w:hAnsiTheme="minorEastAsia" w:hint="eastAsia"/>
          <w:b/>
          <w:bCs/>
          <w:color w:val="000000"/>
          <w:kern w:val="0"/>
          <w:sz w:val="24"/>
          <w:szCs w:val="24"/>
        </w:rPr>
        <w:t>报告期末按债券品种分类的债券投资组合</w:t>
      </w:r>
    </w:p>
    <w:p w:rsidR="004061AC" w:rsidRPr="00FE5D8B" w:rsidRDefault="00C073E9"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5.5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的前五名债券投资明细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5.6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的前十名资产支持证券投资明细</w:t>
      </w:r>
    </w:p>
    <w:p w:rsidR="001D63BB"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本基金本报告期末未持有资产支持证券。</w:t>
      </w:r>
    </w:p>
    <w:p w:rsidR="001D63BB" w:rsidRPr="001611C5" w:rsidRDefault="001D63BB" w:rsidP="001D63BB">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5.7 报告期末按公允价值占基金资产净值比例大小排序的前五名贵金属投资明细</w:t>
      </w:r>
    </w:p>
    <w:p w:rsidR="004061AC" w:rsidRPr="006B72F7" w:rsidRDefault="001D63BB"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本基金本报告期末未持有贵金属。</w:t>
      </w:r>
    </w:p>
    <w:p w:rsidR="004061AC" w:rsidRPr="001611C5" w:rsidRDefault="00A917B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5.8</w:t>
      </w:r>
      <w:r w:rsidR="004061AC"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004061AC" w:rsidRPr="001611C5">
        <w:rPr>
          <w:rFonts w:asciiTheme="minorEastAsia" w:eastAsiaTheme="minorEastAsia" w:hAnsiTheme="minorEastAsia" w:hint="eastAsia"/>
          <w:b/>
          <w:bCs/>
          <w:color w:val="000000"/>
          <w:kern w:val="0"/>
          <w:sz w:val="24"/>
          <w:szCs w:val="24"/>
        </w:rPr>
        <w:t>的前五名权证投资明细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本基金本报告期末未持有权证。</w:t>
      </w:r>
    </w:p>
    <w:p w:rsidR="00275745"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A917BF" w:rsidRPr="001611C5">
        <w:rPr>
          <w:rFonts w:asciiTheme="minorEastAsia" w:eastAsiaTheme="minorEastAsia" w:hAnsiTheme="minorEastAsia" w:hint="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9</w:t>
      </w:r>
      <w:r w:rsidR="00275745" w:rsidRPr="001611C5">
        <w:rPr>
          <w:rFonts w:asciiTheme="minorEastAsia" w:eastAsiaTheme="minorEastAsia" w:hAnsiTheme="minorEastAsia" w:hint="eastAsia"/>
          <w:b/>
          <w:bCs/>
          <w:color w:val="000000"/>
          <w:kern w:val="0"/>
          <w:sz w:val="24"/>
          <w:szCs w:val="24"/>
        </w:rPr>
        <w:t xml:space="preserve"> 报告期末本基金投资的股指期货交易情况说明</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）本基金本报告期末未持有股指期货。</w:t>
      </w:r>
    </w:p>
    <w:p w:rsidR="00AA3A38" w:rsidRPr="006B72F7" w:rsidRDefault="00AA3A38"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）本基金本报告期内未进行股指期货交易。</w:t>
      </w:r>
    </w:p>
    <w:p w:rsidR="00312A9F" w:rsidRPr="001611C5" w:rsidRDefault="00312A9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5.10报告期末本基金投资的国债期货交易情况说明</w:t>
      </w:r>
    </w:p>
    <w:p w:rsidR="0034196F" w:rsidRDefault="00017E25">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）本基金本报告期末未持有国债期货。</w:t>
      </w:r>
    </w:p>
    <w:p w:rsidR="00312A9F" w:rsidRPr="00CD2DB1" w:rsidRDefault="00312A9F" w:rsidP="00CD2DB1">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）本基金本报告期内未进行国债期货交易。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4061AC" w:rsidRPr="001611C5">
        <w:rPr>
          <w:rFonts w:asciiTheme="minorEastAsia" w:eastAsiaTheme="minorEastAsia" w:hAnsiTheme="minorEastAsia" w:hint="eastAsia"/>
          <w:b/>
          <w:bCs/>
          <w:color w:val="000000"/>
          <w:kern w:val="0"/>
          <w:sz w:val="24"/>
          <w:szCs w:val="24"/>
        </w:rPr>
        <w:t>投资组合报告附注</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w:t>
      </w:r>
      <w:r w:rsidR="004061AC" w:rsidRPr="006B72F7">
        <w:rPr>
          <w:rFonts w:eastAsiaTheme="minorEastAsia"/>
          <w:color w:val="000000"/>
          <w:sz w:val="24"/>
          <w:szCs w:val="24"/>
        </w:rPr>
        <w:t>本基金投资的前十名证券的发行主体在本报告期内没有出现被监管部门立案调查，或在报告编制日前一年内受到公开谴责、处罚的情形。</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275745"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2</w:t>
      </w:r>
      <w:r w:rsidR="004061AC" w:rsidRPr="006B72F7">
        <w:rPr>
          <w:rFonts w:eastAsiaTheme="minorEastAsia"/>
          <w:color w:val="000000"/>
          <w:sz w:val="24"/>
          <w:szCs w:val="24"/>
        </w:rPr>
        <w:t>报告期内本基金投资的前十名股票未超出基金合同规定的备选股票库。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hint="eastAsia"/>
          <w:b/>
          <w:bCs/>
          <w:color w:val="000000"/>
          <w:kern w:val="0"/>
          <w:sz w:val="24"/>
          <w:szCs w:val="24"/>
        </w:rPr>
        <w:t>其他各项资产构成</w:t>
      </w:r>
    </w:p>
    <w:tbl>
      <w:tblPr>
        <w:tblStyle w:val="af7"/>
        <w:tblW w:w="0" w:type="auto"/>
        <w:tblInd w:w="15" w:type="dxa"/>
        <w:tblLook w:val="04A0"/>
      </w:tblPr>
      <w:tblGrid>
        <w:gridCol w:w="1235"/>
        <w:gridCol w:w="2470"/>
        <w:gridCol w:w="4808"/>
      </w:tblGrid>
      <w:tr w:rsidR="00F31F6E" w:rsidRPr="001611C5" w:rsidTr="00F31F6E">
        <w:tc>
          <w:tcPr>
            <w:tcW w:w="1235"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2470"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名称</w:t>
            </w:r>
          </w:p>
        </w:tc>
        <w:tc>
          <w:tcPr>
            <w:tcW w:w="4808"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Pr="006B72F7">
              <w:rPr>
                <w:rFonts w:eastAsiaTheme="minorEastAsia"/>
                <w:color w:val="000000"/>
                <w:sz w:val="24"/>
                <w:szCs w:val="24"/>
              </w:rPr>
              <w:t>(</w:t>
            </w:r>
            <w:r w:rsidRPr="006B72F7">
              <w:rPr>
                <w:rFonts w:eastAsiaTheme="minorEastAsia"/>
                <w:color w:val="000000"/>
                <w:sz w:val="24"/>
                <w:szCs w:val="24"/>
              </w:rPr>
              <w:t>元</w:t>
            </w: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1</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存出保证金</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50,992.80</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2</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应收证券清算款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3</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应收股利</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4</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应收利息</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313.56</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5</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应收申购款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6</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其他应收款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EB2C07" w:rsidRPr="001611C5" w:rsidTr="00175D4F">
        <w:tc>
          <w:tcPr>
            <w:tcW w:w="1235" w:type="dxa"/>
            <w:vAlign w:val="center"/>
          </w:tcPr>
          <w:p w:rsidR="00EB2C07" w:rsidRPr="006B72F7" w:rsidRDefault="00EB2C07"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7</w:t>
            </w:r>
          </w:p>
        </w:tc>
        <w:tc>
          <w:tcPr>
            <w:tcW w:w="2470" w:type="dxa"/>
            <w:vAlign w:val="center"/>
          </w:tcPr>
          <w:p w:rsidR="00EB2C07" w:rsidRPr="006B72F7" w:rsidRDefault="00EB2C07"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待摊费用</w:t>
            </w:r>
          </w:p>
        </w:tc>
        <w:tc>
          <w:tcPr>
            <w:tcW w:w="4808" w:type="dxa"/>
            <w:vAlign w:val="center"/>
          </w:tcPr>
          <w:p w:rsidR="00EB2C07" w:rsidRPr="006B72F7" w:rsidRDefault="00EB2C07"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8</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9</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合计</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51,306.36</w:t>
            </w:r>
          </w:p>
        </w:tc>
      </w:tr>
    </w:tbl>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4</w:t>
      </w:r>
      <w:r w:rsidR="004061AC" w:rsidRPr="001611C5">
        <w:rPr>
          <w:rFonts w:asciiTheme="minorEastAsia" w:eastAsiaTheme="minorEastAsia" w:hAnsiTheme="minorEastAsia" w:hint="eastAsia"/>
          <w:b/>
          <w:bCs/>
          <w:color w:val="000000"/>
          <w:kern w:val="0"/>
          <w:sz w:val="24"/>
          <w:szCs w:val="24"/>
        </w:rPr>
        <w:t>报告期末持有的处于转股期的可转换债券明细</w:t>
      </w:r>
    </w:p>
    <w:p w:rsidR="002918E3"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本基金本报告期末未持有处于转股期的可转换债券。</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hint="eastAsia"/>
          <w:b/>
          <w:bCs/>
          <w:color w:val="000000"/>
          <w:kern w:val="0"/>
          <w:sz w:val="24"/>
          <w:szCs w:val="24"/>
        </w:rPr>
        <w:t>报告期末前十名股票中存在流通受限情况的说明</w:t>
      </w:r>
    </w:p>
    <w:p w:rsidR="002918E3"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本基金本报告期末前十名股票中不存在流通受限情况。</w:t>
      </w:r>
    </w:p>
    <w:p w:rsidR="004061AC" w:rsidRPr="001611C5" w:rsidRDefault="004061AC" w:rsidP="00017E25">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6  </w:t>
      </w:r>
      <w:r w:rsidRPr="001611C5">
        <w:rPr>
          <w:rFonts w:asciiTheme="minorEastAsia" w:eastAsiaTheme="minorEastAsia" w:hAnsiTheme="minorEastAsia" w:hint="eastAsia"/>
          <w:color w:val="000000"/>
          <w:kern w:val="0"/>
          <w:sz w:val="24"/>
          <w:szCs w:val="24"/>
        </w:rPr>
        <w:t>开放式基金份额变动</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单位：份</w:t>
      </w:r>
    </w:p>
    <w:tbl>
      <w:tblPr>
        <w:tblW w:w="0" w:type="auto"/>
        <w:tblInd w:w="-106" w:type="dxa"/>
        <w:tblLayout w:type="fixed"/>
        <w:tblLook w:val="0000"/>
      </w:tblPr>
      <w:tblGrid>
        <w:gridCol w:w="4609"/>
        <w:gridCol w:w="4025"/>
      </w:tblGrid>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6D7FF8"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18,790,285.65</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0.00</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减：</w:t>
            </w:r>
            <w:r w:rsidR="00FE179F" w:rsidRPr="006B72F7">
              <w:rPr>
                <w:rFonts w:eastAsiaTheme="minorEastAsia"/>
                <w:color w:val="000000"/>
                <w:kern w:val="0"/>
                <w:sz w:val="24"/>
                <w:szCs w:val="24"/>
              </w:rPr>
              <w:t>本报告期</w:t>
            </w:r>
            <w:r w:rsidRPr="006B72F7">
              <w:rPr>
                <w:rFonts w:eastAsiaTheme="minorEastAsia"/>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17,865,094.45</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0.00</w:t>
            </w:r>
          </w:p>
        </w:tc>
      </w:tr>
      <w:tr w:rsidR="006D7FF8"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0A2B53">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925,191.20</w:t>
            </w:r>
          </w:p>
        </w:tc>
      </w:tr>
    </w:tbl>
    <w:p w:rsidR="00EB374A" w:rsidRPr="001611C5" w:rsidRDefault="00EB374A" w:rsidP="00017E25">
      <w:pPr>
        <w:pStyle w:val="1"/>
        <w:tabs>
          <w:tab w:val="center" w:pos="4156"/>
          <w:tab w:val="right" w:pos="8312"/>
        </w:tabs>
        <w:spacing w:beforeLines="100" w:afterLines="100" w:line="360" w:lineRule="auto"/>
        <w:jc w:val="center"/>
        <w:rPr>
          <w:rFonts w:ascii="方正仿宋简体"/>
          <w:sz w:val="24"/>
          <w:szCs w:val="24"/>
        </w:rPr>
      </w:pPr>
      <w:r w:rsidRPr="001611C5">
        <w:rPr>
          <w:rFonts w:asciiTheme="minorEastAsia" w:eastAsiaTheme="minorEastAsia" w:hAnsiTheme="minorEastAsia" w:cs="Arial" w:hint="eastAsia"/>
          <w:color w:val="000000"/>
          <w:kern w:val="0"/>
          <w:sz w:val="24"/>
          <w:szCs w:val="24"/>
        </w:rPr>
        <w:t xml:space="preserve">§7  </w:t>
      </w:r>
      <w:r w:rsidRPr="001611C5">
        <w:rPr>
          <w:rFonts w:ascii="方正仿宋简体" w:hint="eastAsia"/>
          <w:sz w:val="24"/>
          <w:szCs w:val="24"/>
        </w:rPr>
        <w:t>基金管理人运用固有资金投资本基金情况</w:t>
      </w:r>
    </w:p>
    <w:p w:rsidR="00EB374A" w:rsidRPr="00CD2DB1" w:rsidRDefault="00EB374A" w:rsidP="00CD2DB1">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本报告期内，基金管理人不存在运用固有资金（认）申购、赎回或买卖本基金的情况。</w:t>
      </w:r>
    </w:p>
    <w:p w:rsidR="0079131B" w:rsidRPr="0079131B" w:rsidRDefault="0079131B" w:rsidP="00017E25">
      <w:pPr>
        <w:pStyle w:val="1"/>
        <w:spacing w:beforeLines="100" w:afterLines="100" w:line="360" w:lineRule="auto"/>
        <w:jc w:val="center"/>
        <w:rPr>
          <w:rFonts w:eastAsiaTheme="minorEastAsia"/>
          <w:color w:val="000000" w:themeColor="text1"/>
          <w:kern w:val="0"/>
          <w:sz w:val="24"/>
          <w:szCs w:val="24"/>
        </w:rPr>
      </w:pPr>
      <w:r w:rsidRPr="0079131B">
        <w:rPr>
          <w:rFonts w:eastAsiaTheme="minorEastAsia"/>
          <w:color w:val="000000" w:themeColor="text1"/>
          <w:kern w:val="0"/>
          <w:sz w:val="24"/>
          <w:szCs w:val="24"/>
        </w:rPr>
        <w:t>§8</w:t>
      </w:r>
      <w:r w:rsidRPr="0079131B">
        <w:rPr>
          <w:rFonts w:eastAsiaTheme="minorEastAsia"/>
          <w:color w:val="000000" w:themeColor="text1"/>
          <w:kern w:val="0"/>
          <w:sz w:val="24"/>
          <w:szCs w:val="24"/>
        </w:rPr>
        <w:t>影响投资者决策的其他重要信息</w:t>
      </w:r>
    </w:p>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b/>
          <w:bCs/>
          <w:color w:val="000000" w:themeColor="text1"/>
          <w:kern w:val="0"/>
          <w:sz w:val="24"/>
          <w:szCs w:val="24"/>
        </w:rPr>
        <w:t>8.</w:t>
      </w:r>
      <w:r w:rsidRPr="00636531">
        <w:rPr>
          <w:rFonts w:eastAsiaTheme="minorEastAsia" w:hint="eastAsia"/>
          <w:b/>
          <w:bCs/>
          <w:color w:val="000000" w:themeColor="text1"/>
          <w:kern w:val="0"/>
          <w:sz w:val="24"/>
          <w:szCs w:val="24"/>
        </w:rPr>
        <w:t xml:space="preserve">1 </w:t>
      </w:r>
      <w:r w:rsidRPr="00636531">
        <w:rPr>
          <w:rFonts w:eastAsiaTheme="minorEastAsia" w:hint="eastAsia"/>
          <w:b/>
          <w:bCs/>
          <w:color w:val="000000" w:themeColor="text1"/>
          <w:kern w:val="0"/>
          <w:sz w:val="24"/>
          <w:szCs w:val="24"/>
        </w:rPr>
        <w:t>报告期内单一投资者持有基金份额比例达到或超过</w:t>
      </w:r>
      <w:r w:rsidRPr="00636531">
        <w:rPr>
          <w:rFonts w:eastAsiaTheme="minorEastAsia" w:hint="eastAsia"/>
          <w:b/>
          <w:bCs/>
          <w:color w:val="000000" w:themeColor="text1"/>
          <w:kern w:val="0"/>
          <w:sz w:val="24"/>
          <w:szCs w:val="24"/>
        </w:rPr>
        <w:t>20%</w:t>
      </w:r>
      <w:r w:rsidRPr="00636531">
        <w:rPr>
          <w:rFonts w:eastAsiaTheme="minorEastAsia" w:hint="eastAsia"/>
          <w:b/>
          <w:bCs/>
          <w:color w:val="000000" w:themeColor="text1"/>
          <w:kern w:val="0"/>
          <w:sz w:val="24"/>
          <w:szCs w:val="24"/>
        </w:rPr>
        <w:t>的情况</w:t>
      </w:r>
    </w:p>
    <w:tbl>
      <w:tblPr>
        <w:tblStyle w:val="af7"/>
        <w:tblW w:w="9212" w:type="dxa"/>
        <w:tblInd w:w="-176" w:type="dxa"/>
        <w:tblLayout w:type="fixed"/>
        <w:tblLook w:val="04A0"/>
      </w:tblPr>
      <w:tblGrid>
        <w:gridCol w:w="993"/>
        <w:gridCol w:w="992"/>
        <w:gridCol w:w="1843"/>
        <w:gridCol w:w="851"/>
        <w:gridCol w:w="992"/>
        <w:gridCol w:w="850"/>
        <w:gridCol w:w="1418"/>
        <w:gridCol w:w="1273"/>
      </w:tblGrid>
      <w:tr w:rsidR="00F21783" w:rsidRPr="003131FD" w:rsidTr="00C10F10">
        <w:tc>
          <w:tcPr>
            <w:tcW w:w="993" w:type="dxa"/>
            <w:vMerge w:val="restart"/>
            <w:vAlign w:val="center"/>
          </w:tcPr>
          <w:p w:rsidR="00F21783" w:rsidRPr="003131FD" w:rsidRDefault="00F21783" w:rsidP="00C10F10">
            <w:pPr>
              <w:jc w:val="center"/>
              <w:rPr>
                <w:sz w:val="24"/>
                <w:szCs w:val="24"/>
              </w:rPr>
            </w:pPr>
            <w:r w:rsidRPr="003131FD">
              <w:rPr>
                <w:sz w:val="24"/>
                <w:szCs w:val="24"/>
              </w:rPr>
              <w:t>投资者类别</w:t>
            </w:r>
          </w:p>
        </w:tc>
        <w:tc>
          <w:tcPr>
            <w:tcW w:w="5528" w:type="dxa"/>
            <w:gridSpan w:val="5"/>
            <w:vAlign w:val="center"/>
          </w:tcPr>
          <w:p w:rsidR="00F21783" w:rsidRPr="003131FD" w:rsidRDefault="00F21783" w:rsidP="00C10F10">
            <w:pPr>
              <w:jc w:val="center"/>
              <w:rPr>
                <w:sz w:val="24"/>
                <w:szCs w:val="24"/>
              </w:rPr>
            </w:pPr>
            <w:r w:rsidRPr="003131FD">
              <w:rPr>
                <w:sz w:val="24"/>
                <w:szCs w:val="24"/>
              </w:rPr>
              <w:t>报告期内持有基金份额变化情况</w:t>
            </w:r>
          </w:p>
        </w:tc>
        <w:tc>
          <w:tcPr>
            <w:tcW w:w="2691" w:type="dxa"/>
            <w:gridSpan w:val="2"/>
            <w:vAlign w:val="center"/>
          </w:tcPr>
          <w:p w:rsidR="00F21783" w:rsidRPr="003131FD" w:rsidRDefault="00F21783" w:rsidP="00C10F10">
            <w:pPr>
              <w:jc w:val="center"/>
              <w:rPr>
                <w:sz w:val="24"/>
                <w:szCs w:val="24"/>
              </w:rPr>
            </w:pPr>
            <w:r w:rsidRPr="003131FD">
              <w:rPr>
                <w:sz w:val="24"/>
                <w:szCs w:val="24"/>
              </w:rPr>
              <w:t>报告期末持有基金情况</w:t>
            </w:r>
          </w:p>
        </w:tc>
      </w:tr>
      <w:tr w:rsidR="00F21783" w:rsidRPr="003131FD" w:rsidTr="00C10F10">
        <w:tc>
          <w:tcPr>
            <w:tcW w:w="993" w:type="dxa"/>
            <w:vMerge/>
            <w:vAlign w:val="center"/>
          </w:tcPr>
          <w:p w:rsidR="00F21783" w:rsidRPr="003131FD" w:rsidRDefault="00F21783" w:rsidP="00C10F10">
            <w:pPr>
              <w:jc w:val="center"/>
              <w:rPr>
                <w:sz w:val="24"/>
                <w:szCs w:val="24"/>
              </w:rPr>
            </w:pPr>
          </w:p>
        </w:tc>
        <w:tc>
          <w:tcPr>
            <w:tcW w:w="992" w:type="dxa"/>
            <w:vAlign w:val="center"/>
          </w:tcPr>
          <w:p w:rsidR="00F21783" w:rsidRPr="003131FD" w:rsidRDefault="00F21783" w:rsidP="00C10F10">
            <w:pPr>
              <w:jc w:val="center"/>
              <w:rPr>
                <w:sz w:val="24"/>
                <w:szCs w:val="24"/>
              </w:rPr>
            </w:pPr>
            <w:r w:rsidRPr="003131FD">
              <w:rPr>
                <w:sz w:val="24"/>
                <w:szCs w:val="24"/>
              </w:rPr>
              <w:t>序号</w:t>
            </w:r>
          </w:p>
        </w:tc>
        <w:tc>
          <w:tcPr>
            <w:tcW w:w="1843" w:type="dxa"/>
            <w:vAlign w:val="center"/>
          </w:tcPr>
          <w:p w:rsidR="00F21783" w:rsidRPr="003131FD" w:rsidRDefault="00F21783" w:rsidP="00C10F10">
            <w:pPr>
              <w:jc w:val="center"/>
              <w:rPr>
                <w:sz w:val="24"/>
                <w:szCs w:val="24"/>
              </w:rPr>
            </w:pPr>
            <w:r w:rsidRPr="003131FD">
              <w:rPr>
                <w:sz w:val="24"/>
                <w:szCs w:val="24"/>
              </w:rPr>
              <w:t>持有基金份额比例达到或者超过</w:t>
            </w:r>
            <w:r w:rsidRPr="003131FD">
              <w:rPr>
                <w:sz w:val="24"/>
                <w:szCs w:val="24"/>
              </w:rPr>
              <w:t>20%</w:t>
            </w:r>
            <w:r w:rsidRPr="003131FD">
              <w:rPr>
                <w:sz w:val="24"/>
                <w:szCs w:val="24"/>
              </w:rPr>
              <w:t>的时间区间</w:t>
            </w:r>
          </w:p>
        </w:tc>
        <w:tc>
          <w:tcPr>
            <w:tcW w:w="851" w:type="dxa"/>
            <w:vAlign w:val="center"/>
          </w:tcPr>
          <w:p w:rsidR="00F21783" w:rsidRPr="003131FD" w:rsidRDefault="00F21783" w:rsidP="00C10F10">
            <w:pPr>
              <w:jc w:val="center"/>
              <w:rPr>
                <w:sz w:val="24"/>
                <w:szCs w:val="24"/>
              </w:rPr>
            </w:pPr>
            <w:r w:rsidRPr="003131FD">
              <w:rPr>
                <w:sz w:val="24"/>
                <w:szCs w:val="24"/>
              </w:rPr>
              <w:t>期初份额</w:t>
            </w:r>
          </w:p>
        </w:tc>
        <w:tc>
          <w:tcPr>
            <w:tcW w:w="992" w:type="dxa"/>
            <w:vAlign w:val="center"/>
          </w:tcPr>
          <w:p w:rsidR="00F21783" w:rsidRPr="003131FD" w:rsidRDefault="00F21783" w:rsidP="00C10F10">
            <w:pPr>
              <w:jc w:val="center"/>
              <w:rPr>
                <w:sz w:val="24"/>
                <w:szCs w:val="24"/>
              </w:rPr>
            </w:pPr>
            <w:r w:rsidRPr="003131FD">
              <w:rPr>
                <w:sz w:val="24"/>
                <w:szCs w:val="24"/>
              </w:rPr>
              <w:t>申购份额</w:t>
            </w:r>
          </w:p>
        </w:tc>
        <w:tc>
          <w:tcPr>
            <w:tcW w:w="850" w:type="dxa"/>
            <w:vAlign w:val="center"/>
          </w:tcPr>
          <w:p w:rsidR="00F21783" w:rsidRPr="003131FD" w:rsidRDefault="00F21783" w:rsidP="00C10F10">
            <w:pPr>
              <w:jc w:val="center"/>
              <w:rPr>
                <w:sz w:val="24"/>
                <w:szCs w:val="24"/>
              </w:rPr>
            </w:pPr>
            <w:r w:rsidRPr="003131FD">
              <w:rPr>
                <w:sz w:val="24"/>
                <w:szCs w:val="24"/>
              </w:rPr>
              <w:t>赎回份额</w:t>
            </w:r>
          </w:p>
        </w:tc>
        <w:tc>
          <w:tcPr>
            <w:tcW w:w="1418" w:type="dxa"/>
            <w:vAlign w:val="center"/>
          </w:tcPr>
          <w:p w:rsidR="00F21783" w:rsidRPr="003131FD" w:rsidRDefault="00F21783" w:rsidP="00C10F10">
            <w:pPr>
              <w:jc w:val="center"/>
              <w:rPr>
                <w:sz w:val="24"/>
                <w:szCs w:val="24"/>
              </w:rPr>
            </w:pPr>
            <w:r w:rsidRPr="003131FD">
              <w:rPr>
                <w:sz w:val="24"/>
                <w:szCs w:val="24"/>
              </w:rPr>
              <w:t>持有份额</w:t>
            </w:r>
          </w:p>
        </w:tc>
        <w:tc>
          <w:tcPr>
            <w:tcW w:w="1273" w:type="dxa"/>
            <w:vAlign w:val="center"/>
          </w:tcPr>
          <w:p w:rsidR="00F21783" w:rsidRPr="003131FD" w:rsidRDefault="00F21783" w:rsidP="00C10F10">
            <w:pPr>
              <w:jc w:val="center"/>
              <w:rPr>
                <w:sz w:val="24"/>
                <w:szCs w:val="24"/>
              </w:rPr>
            </w:pPr>
            <w:r w:rsidRPr="003131FD">
              <w:rPr>
                <w:sz w:val="24"/>
                <w:szCs w:val="24"/>
              </w:rPr>
              <w:t>份额占比</w:t>
            </w:r>
          </w:p>
        </w:tc>
      </w:tr>
      <w:tr w:rsidR="0034196F">
        <w:tc>
          <w:tcPr>
            <w:tcW w:w="993" w:type="dxa"/>
            <w:vMerge w:val="restart"/>
          </w:tcPr>
          <w:p w:rsidR="0034196F" w:rsidRDefault="0034196F"/>
          <w:p w:rsidR="0034196F" w:rsidRDefault="00017E25">
            <w:r>
              <w:rPr>
                <w:sz w:val="24"/>
                <w:szCs w:val="24"/>
              </w:rPr>
              <w:t>机构</w:t>
            </w:r>
          </w:p>
        </w:tc>
        <w:tc>
          <w:tcPr>
            <w:tcW w:w="992" w:type="dxa"/>
            <w:vAlign w:val="center"/>
          </w:tcPr>
          <w:p w:rsidR="0034196F" w:rsidRDefault="00017E25">
            <w:pPr>
              <w:jc w:val="center"/>
            </w:pPr>
            <w:r>
              <w:rPr>
                <w:sz w:val="24"/>
                <w:szCs w:val="24"/>
              </w:rPr>
              <w:t>1</w:t>
            </w:r>
          </w:p>
        </w:tc>
        <w:tc>
          <w:tcPr>
            <w:tcW w:w="1843" w:type="dxa"/>
            <w:vAlign w:val="center"/>
          </w:tcPr>
          <w:p w:rsidR="0034196F" w:rsidRDefault="00017E25">
            <w:pPr>
              <w:jc w:val="center"/>
            </w:pPr>
            <w:r>
              <w:rPr>
                <w:sz w:val="24"/>
                <w:szCs w:val="24"/>
              </w:rPr>
              <w:t>20180401-20180630</w:t>
            </w:r>
          </w:p>
        </w:tc>
        <w:tc>
          <w:tcPr>
            <w:tcW w:w="851" w:type="dxa"/>
            <w:vAlign w:val="center"/>
          </w:tcPr>
          <w:p w:rsidR="0034196F" w:rsidRDefault="00017E25">
            <w:pPr>
              <w:jc w:val="center"/>
            </w:pPr>
            <w:r>
              <w:rPr>
                <w:sz w:val="24"/>
                <w:szCs w:val="24"/>
              </w:rPr>
              <w:t>18,710,350.55</w:t>
            </w:r>
          </w:p>
        </w:tc>
        <w:tc>
          <w:tcPr>
            <w:tcW w:w="992" w:type="dxa"/>
            <w:vAlign w:val="center"/>
          </w:tcPr>
          <w:p w:rsidR="0034196F" w:rsidRDefault="00017E25">
            <w:pPr>
              <w:jc w:val="center"/>
            </w:pPr>
            <w:r>
              <w:rPr>
                <w:sz w:val="24"/>
                <w:szCs w:val="24"/>
              </w:rPr>
              <w:t>0.00</w:t>
            </w:r>
          </w:p>
        </w:tc>
        <w:tc>
          <w:tcPr>
            <w:tcW w:w="850" w:type="dxa"/>
            <w:vAlign w:val="center"/>
          </w:tcPr>
          <w:p w:rsidR="0034196F" w:rsidRDefault="00017E25">
            <w:pPr>
              <w:jc w:val="center"/>
            </w:pPr>
            <w:r>
              <w:rPr>
                <w:sz w:val="24"/>
                <w:szCs w:val="24"/>
              </w:rPr>
              <w:t>17,790,000.00</w:t>
            </w:r>
          </w:p>
        </w:tc>
        <w:tc>
          <w:tcPr>
            <w:tcW w:w="1418" w:type="dxa"/>
            <w:vAlign w:val="center"/>
          </w:tcPr>
          <w:p w:rsidR="0034196F" w:rsidRDefault="00017E25">
            <w:pPr>
              <w:jc w:val="center"/>
            </w:pPr>
            <w:r>
              <w:rPr>
                <w:sz w:val="24"/>
                <w:szCs w:val="24"/>
              </w:rPr>
              <w:t>920,350.55</w:t>
            </w:r>
          </w:p>
        </w:tc>
        <w:tc>
          <w:tcPr>
            <w:tcW w:w="1273" w:type="dxa"/>
            <w:vAlign w:val="center"/>
          </w:tcPr>
          <w:p w:rsidR="0034196F" w:rsidRDefault="00017E25">
            <w:pPr>
              <w:jc w:val="center"/>
            </w:pPr>
            <w:r>
              <w:rPr>
                <w:sz w:val="24"/>
                <w:szCs w:val="24"/>
              </w:rPr>
              <w:t>99.48%</w:t>
            </w:r>
          </w:p>
        </w:tc>
      </w:tr>
      <w:tr w:rsidR="00F21783" w:rsidRPr="003131FD" w:rsidTr="00C10F10">
        <w:tc>
          <w:tcPr>
            <w:tcW w:w="9212" w:type="dxa"/>
            <w:gridSpan w:val="8"/>
            <w:vAlign w:val="center"/>
          </w:tcPr>
          <w:p w:rsidR="00F21783" w:rsidRPr="003131FD" w:rsidRDefault="00F21783" w:rsidP="00C10F10">
            <w:pPr>
              <w:autoSpaceDE w:val="0"/>
              <w:autoSpaceDN w:val="0"/>
              <w:adjustRightInd w:val="0"/>
              <w:ind w:firstLine="1126"/>
              <w:jc w:val="center"/>
              <w:rPr>
                <w:sz w:val="24"/>
                <w:szCs w:val="24"/>
              </w:rPr>
            </w:pPr>
            <w:r w:rsidRPr="003131FD">
              <w:rPr>
                <w:color w:val="000000"/>
                <w:sz w:val="24"/>
                <w:szCs w:val="24"/>
              </w:rPr>
              <w:t>产品特有风险</w:t>
            </w:r>
          </w:p>
        </w:tc>
      </w:tr>
      <w:tr w:rsidR="00F21783" w:rsidRPr="003131FD" w:rsidTr="00C10F10">
        <w:tc>
          <w:tcPr>
            <w:tcW w:w="9212" w:type="dxa"/>
            <w:gridSpan w:val="8"/>
            <w:vAlign w:val="center"/>
          </w:tcPr>
          <w:p w:rsidR="00F21783" w:rsidRPr="003131FD" w:rsidRDefault="00F21783" w:rsidP="00C10F10">
            <w:pPr>
              <w:autoSpaceDE w:val="0"/>
              <w:autoSpaceDN w:val="0"/>
              <w:adjustRightInd w:val="0"/>
              <w:jc w:val="left"/>
              <w:rPr>
                <w:sz w:val="24"/>
                <w:szCs w:val="24"/>
              </w:rPr>
            </w:pPr>
            <w:r w:rsidRPr="003131FD">
              <w:rPr>
                <w:sz w:val="24"/>
                <w:szCs w:val="24"/>
              </w:rPr>
              <w:t>报告期内，本基金存在单一投资者持有份额比例达到或超过</w:t>
            </w:r>
            <w:r w:rsidRPr="003131FD">
              <w:rPr>
                <w:sz w:val="24"/>
                <w:szCs w:val="24"/>
              </w:rPr>
              <w:t>20%</w:t>
            </w:r>
            <w:r w:rsidRPr="003131FD">
              <w:rPr>
                <w:sz w:val="24"/>
                <w:szCs w:val="24"/>
              </w:rPr>
              <w:t>的情况，由此可能导致的特有风险主要包括：当投资者持有份额占比较为集中时，个别投资者的大额赎回可能会对基金资产运作及净值表现产生较大影响；极端情况下基金管理人可能无法及时变现基金资产以应对投资者的赎回申请；若个别投资者大额赎回后本基金出现连续六十个工作日基金资产净值低于</w:t>
            </w:r>
            <w:r w:rsidRPr="003131FD">
              <w:rPr>
                <w:sz w:val="24"/>
                <w:szCs w:val="24"/>
              </w:rPr>
              <w:t xml:space="preserve"> 5000 </w:t>
            </w:r>
            <w:r w:rsidRPr="003131FD">
              <w:rPr>
                <w:sz w:val="24"/>
                <w:szCs w:val="24"/>
              </w:rPr>
              <w:t>万元，基金还可能面临转换运作方式、与其他基金合并或者终止基金合同等情形。本基金管理人将对基金的大额申赎进行审慎评估并合理应对，完善流动性风险管控机制，切实保护持有人利益。</w:t>
            </w:r>
          </w:p>
        </w:tc>
      </w:tr>
    </w:tbl>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hint="eastAsia"/>
          <w:b/>
          <w:bCs/>
          <w:color w:val="000000" w:themeColor="text1"/>
          <w:kern w:val="0"/>
          <w:sz w:val="24"/>
          <w:szCs w:val="24"/>
        </w:rPr>
        <w:t xml:space="preserve">8.2 </w:t>
      </w:r>
      <w:r w:rsidRPr="00636531">
        <w:rPr>
          <w:rFonts w:eastAsiaTheme="minorEastAsia" w:hint="eastAsia"/>
          <w:b/>
          <w:bCs/>
          <w:color w:val="000000" w:themeColor="text1"/>
          <w:kern w:val="0"/>
          <w:sz w:val="24"/>
          <w:szCs w:val="24"/>
        </w:rPr>
        <w:t>影响投资者决策的其他重要信息</w:t>
      </w:r>
    </w:p>
    <w:p w:rsidR="0079131B" w:rsidRPr="00200C59" w:rsidRDefault="00200C59" w:rsidP="00200C59">
      <w:pPr>
        <w:spacing w:line="360" w:lineRule="auto"/>
        <w:ind w:firstLineChars="200" w:firstLine="480"/>
        <w:rPr>
          <w:rFonts w:eastAsiaTheme="minorEastAsia"/>
          <w:color w:val="000000" w:themeColor="text1"/>
          <w:sz w:val="24"/>
          <w:szCs w:val="24"/>
        </w:rPr>
      </w:pP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5</w:t>
      </w:r>
      <w:r w:rsidRPr="00636531">
        <w:rPr>
          <w:rFonts w:eastAsiaTheme="minorEastAsia"/>
          <w:color w:val="000000" w:themeColor="text1"/>
          <w:sz w:val="24"/>
          <w:szCs w:val="24"/>
        </w:rPr>
        <w:t>月</w:t>
      </w:r>
      <w:r w:rsidRPr="00636531">
        <w:rPr>
          <w:rFonts w:eastAsiaTheme="minorEastAsia"/>
          <w:color w:val="000000" w:themeColor="text1"/>
          <w:sz w:val="24"/>
          <w:szCs w:val="24"/>
        </w:rPr>
        <w:t>14</w:t>
      </w:r>
      <w:r w:rsidRPr="00636531">
        <w:rPr>
          <w:rFonts w:eastAsiaTheme="minorEastAsia"/>
          <w:color w:val="000000" w:themeColor="text1"/>
          <w:sz w:val="24"/>
          <w:szCs w:val="24"/>
        </w:rPr>
        <w:t>日起，至</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6</w:t>
      </w:r>
      <w:r w:rsidRPr="00636531">
        <w:rPr>
          <w:rFonts w:eastAsiaTheme="minorEastAsia"/>
          <w:color w:val="000000" w:themeColor="text1"/>
          <w:sz w:val="24"/>
          <w:szCs w:val="24"/>
        </w:rPr>
        <w:t>月</w:t>
      </w:r>
      <w:r w:rsidRPr="00636531">
        <w:rPr>
          <w:rFonts w:eastAsiaTheme="minorEastAsia"/>
          <w:color w:val="000000" w:themeColor="text1"/>
          <w:sz w:val="24"/>
          <w:szCs w:val="24"/>
        </w:rPr>
        <w:t>13</w:t>
      </w:r>
      <w:r w:rsidRPr="00636531">
        <w:rPr>
          <w:rFonts w:eastAsiaTheme="minorEastAsia"/>
          <w:color w:val="000000" w:themeColor="text1"/>
          <w:sz w:val="24"/>
          <w:szCs w:val="24"/>
        </w:rPr>
        <w:t>日</w:t>
      </w:r>
      <w:r w:rsidRPr="00636531">
        <w:rPr>
          <w:rFonts w:eastAsiaTheme="minorEastAsia"/>
          <w:color w:val="000000" w:themeColor="text1"/>
          <w:sz w:val="24"/>
          <w:szCs w:val="24"/>
        </w:rPr>
        <w:t>15</w:t>
      </w:r>
      <w:r w:rsidRPr="00636531">
        <w:rPr>
          <w:rFonts w:eastAsiaTheme="minorEastAsia"/>
          <w:color w:val="000000" w:themeColor="text1"/>
          <w:sz w:val="24"/>
          <w:szCs w:val="24"/>
        </w:rPr>
        <w:t>：</w:t>
      </w:r>
      <w:r w:rsidRPr="00636531">
        <w:rPr>
          <w:rFonts w:eastAsiaTheme="minorEastAsia"/>
          <w:color w:val="000000" w:themeColor="text1"/>
          <w:sz w:val="24"/>
          <w:szCs w:val="24"/>
        </w:rPr>
        <w:t xml:space="preserve">00 </w:t>
      </w:r>
      <w:r w:rsidRPr="00636531">
        <w:rPr>
          <w:rFonts w:eastAsiaTheme="minorEastAsia"/>
          <w:color w:val="000000" w:themeColor="text1"/>
          <w:sz w:val="24"/>
          <w:szCs w:val="24"/>
        </w:rPr>
        <w:t>止，广发服务业精选灵活配置混合型证券投资基金以通讯方式召开了基金份额持有人大会，本次会议议案《关于终止广发服务业精选灵活配置混合型证券投资基金基金合同相关事项的议案》在</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6</w:t>
      </w:r>
      <w:r w:rsidRPr="00636531">
        <w:rPr>
          <w:rFonts w:eastAsiaTheme="minorEastAsia"/>
          <w:color w:val="000000" w:themeColor="text1"/>
          <w:sz w:val="24"/>
          <w:szCs w:val="24"/>
        </w:rPr>
        <w:t>月</w:t>
      </w:r>
      <w:r w:rsidRPr="00636531">
        <w:rPr>
          <w:rFonts w:eastAsiaTheme="minorEastAsia"/>
          <w:color w:val="000000" w:themeColor="text1"/>
          <w:sz w:val="24"/>
          <w:szCs w:val="24"/>
        </w:rPr>
        <w:t>15</w:t>
      </w:r>
      <w:r w:rsidRPr="00636531">
        <w:rPr>
          <w:rFonts w:eastAsiaTheme="minorEastAsia"/>
          <w:color w:val="000000" w:themeColor="text1"/>
          <w:sz w:val="24"/>
          <w:szCs w:val="24"/>
        </w:rPr>
        <w:t>日的计票会议上获得通过。根据持有人大会通过的议案，自</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6</w:t>
      </w:r>
      <w:r w:rsidRPr="00636531">
        <w:rPr>
          <w:rFonts w:eastAsiaTheme="minorEastAsia"/>
          <w:color w:val="000000" w:themeColor="text1"/>
          <w:sz w:val="24"/>
          <w:szCs w:val="24"/>
        </w:rPr>
        <w:t>月</w:t>
      </w:r>
      <w:r w:rsidRPr="00636531">
        <w:rPr>
          <w:rFonts w:eastAsiaTheme="minorEastAsia"/>
          <w:color w:val="000000" w:themeColor="text1"/>
          <w:sz w:val="24"/>
          <w:szCs w:val="24"/>
        </w:rPr>
        <w:t>20</w:t>
      </w:r>
      <w:r w:rsidRPr="00636531">
        <w:rPr>
          <w:rFonts w:eastAsiaTheme="minorEastAsia"/>
          <w:color w:val="000000" w:themeColor="text1"/>
          <w:sz w:val="24"/>
          <w:szCs w:val="24"/>
        </w:rPr>
        <w:t>日起，本基金进入清算期，基金管理人将组织成立基金财产清算小组履行基金财产清算程序，并将清算结果及时予以公告。有关重要事项详情可见本基金管理人于</w:t>
      </w:r>
      <w:r w:rsidRPr="00636531">
        <w:rPr>
          <w:rFonts w:eastAsiaTheme="minorEastAsia"/>
          <w:color w:val="000000" w:themeColor="text1"/>
          <w:sz w:val="24"/>
          <w:szCs w:val="24"/>
        </w:rPr>
        <w:t xml:space="preserve">2018 </w:t>
      </w:r>
      <w:r w:rsidRPr="00636531">
        <w:rPr>
          <w:rFonts w:eastAsiaTheme="minorEastAsia"/>
          <w:color w:val="000000" w:themeColor="text1"/>
          <w:sz w:val="24"/>
          <w:szCs w:val="24"/>
        </w:rPr>
        <w:t>年</w:t>
      </w:r>
      <w:r w:rsidRPr="00636531">
        <w:rPr>
          <w:rFonts w:eastAsiaTheme="minorEastAsia"/>
          <w:color w:val="000000" w:themeColor="text1"/>
          <w:sz w:val="24"/>
          <w:szCs w:val="24"/>
        </w:rPr>
        <w:t xml:space="preserve"> 6</w:t>
      </w:r>
      <w:r w:rsidRPr="00636531">
        <w:rPr>
          <w:rFonts w:eastAsiaTheme="minorEastAsia"/>
          <w:color w:val="000000" w:themeColor="text1"/>
          <w:sz w:val="24"/>
          <w:szCs w:val="24"/>
        </w:rPr>
        <w:t>月</w:t>
      </w:r>
      <w:r w:rsidRPr="00636531">
        <w:rPr>
          <w:rFonts w:eastAsiaTheme="minorEastAsia"/>
          <w:color w:val="000000" w:themeColor="text1"/>
          <w:sz w:val="24"/>
          <w:szCs w:val="24"/>
        </w:rPr>
        <w:t xml:space="preserve"> 19 </w:t>
      </w:r>
      <w:r w:rsidRPr="00636531">
        <w:rPr>
          <w:rFonts w:eastAsiaTheme="minorEastAsia"/>
          <w:color w:val="000000" w:themeColor="text1"/>
          <w:sz w:val="24"/>
          <w:szCs w:val="24"/>
        </w:rPr>
        <w:t>日在《中国证券报》、《上海证券报》、《证券时报》及本公司网站（</w:t>
      </w:r>
      <w:r w:rsidRPr="00636531">
        <w:rPr>
          <w:rFonts w:eastAsiaTheme="minorEastAsia"/>
          <w:color w:val="000000" w:themeColor="text1"/>
          <w:sz w:val="24"/>
          <w:szCs w:val="24"/>
        </w:rPr>
        <w:t>www.gffunds.com.cn</w:t>
      </w:r>
      <w:r w:rsidRPr="00636531">
        <w:rPr>
          <w:rFonts w:eastAsiaTheme="minorEastAsia"/>
          <w:color w:val="000000" w:themeColor="text1"/>
          <w:sz w:val="24"/>
          <w:szCs w:val="24"/>
        </w:rPr>
        <w:t>）刊登的《关于广发服务业精选灵活配置混合型证券投资基金份额持有人大会表决结果暨决议生效的公告》。</w:t>
      </w:r>
    </w:p>
    <w:p w:rsidR="004061AC" w:rsidRPr="001611C5" w:rsidRDefault="004061AC" w:rsidP="00017E25">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D02347" w:rsidRPr="001611C5">
        <w:rPr>
          <w:rFonts w:asciiTheme="minorEastAsia" w:eastAsiaTheme="minorEastAsia" w:hAnsiTheme="minorEastAsia" w:hint="eastAsia"/>
          <w:color w:val="000000"/>
          <w:kern w:val="0"/>
          <w:sz w:val="24"/>
          <w:szCs w:val="24"/>
        </w:rPr>
        <w:t>9</w:t>
      </w:r>
      <w:r w:rsidRPr="001611C5">
        <w:rPr>
          <w:rFonts w:asciiTheme="minorEastAsia" w:eastAsiaTheme="minorEastAsia" w:hAnsiTheme="minorEastAsia" w:hint="eastAsia"/>
          <w:color w:val="000000"/>
          <w:kern w:val="0"/>
          <w:sz w:val="24"/>
          <w:szCs w:val="24"/>
        </w:rPr>
        <w:t>备查文件目录</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1</w:t>
      </w:r>
      <w:r w:rsidR="004061AC" w:rsidRPr="001611C5">
        <w:rPr>
          <w:rFonts w:asciiTheme="minorEastAsia" w:eastAsiaTheme="minorEastAsia" w:hAnsiTheme="minorEastAsia" w:hint="eastAsia"/>
          <w:b/>
          <w:bCs/>
          <w:color w:val="000000"/>
          <w:kern w:val="0"/>
          <w:sz w:val="24"/>
          <w:szCs w:val="24"/>
        </w:rPr>
        <w:t>备查文件目录</w:t>
      </w:r>
    </w:p>
    <w:p w:rsidR="0034196F" w:rsidRDefault="00017E25">
      <w:pPr>
        <w:spacing w:line="360" w:lineRule="auto"/>
        <w:ind w:firstLineChars="200" w:firstLine="480"/>
        <w:rPr>
          <w:rFonts w:eastAsiaTheme="minorEastAsia"/>
          <w:color w:val="000000"/>
          <w:sz w:val="24"/>
          <w:szCs w:val="24"/>
        </w:rPr>
      </w:pPr>
      <w:r>
        <w:rPr>
          <w:rFonts w:eastAsiaTheme="minorEastAsia" w:hint="eastAsia"/>
          <w:color w:val="000000"/>
          <w:sz w:val="24"/>
          <w:szCs w:val="24"/>
        </w:rPr>
        <w:t>（一）中国证监会注册广发服务业精选灵活配置混合型证券投资基金募集的文件</w:t>
      </w:r>
    </w:p>
    <w:p w:rsidR="0034196F" w:rsidRDefault="00017E25">
      <w:pPr>
        <w:spacing w:line="360" w:lineRule="auto"/>
        <w:ind w:firstLineChars="200" w:firstLine="480"/>
        <w:rPr>
          <w:rFonts w:eastAsiaTheme="minorEastAsia"/>
          <w:color w:val="000000"/>
          <w:sz w:val="24"/>
          <w:szCs w:val="24"/>
        </w:rPr>
      </w:pPr>
      <w:r>
        <w:rPr>
          <w:rFonts w:eastAsiaTheme="minorEastAsia" w:hint="eastAsia"/>
          <w:color w:val="000000"/>
          <w:sz w:val="24"/>
          <w:szCs w:val="24"/>
        </w:rPr>
        <w:t>（二）《广发服务业精选灵活配置混合型证券投资基金基金合同》</w:t>
      </w:r>
    </w:p>
    <w:p w:rsidR="0034196F" w:rsidRDefault="00017E25">
      <w:pPr>
        <w:spacing w:line="360" w:lineRule="auto"/>
        <w:ind w:firstLineChars="200" w:firstLine="480"/>
        <w:rPr>
          <w:rFonts w:eastAsiaTheme="minorEastAsia"/>
          <w:color w:val="000000"/>
          <w:sz w:val="24"/>
          <w:szCs w:val="24"/>
        </w:rPr>
      </w:pPr>
      <w:r>
        <w:rPr>
          <w:rFonts w:eastAsiaTheme="minorEastAsia" w:hint="eastAsia"/>
          <w:color w:val="000000"/>
          <w:sz w:val="24"/>
          <w:szCs w:val="24"/>
        </w:rPr>
        <w:t>（三）《广发基金管理有限公司开放式基金业务规则》</w:t>
      </w:r>
    </w:p>
    <w:p w:rsidR="0034196F" w:rsidRDefault="00017E25">
      <w:pPr>
        <w:spacing w:line="360" w:lineRule="auto"/>
        <w:ind w:firstLineChars="200" w:firstLine="480"/>
        <w:rPr>
          <w:rFonts w:eastAsiaTheme="minorEastAsia"/>
          <w:color w:val="000000"/>
          <w:sz w:val="24"/>
          <w:szCs w:val="24"/>
        </w:rPr>
      </w:pPr>
      <w:r>
        <w:rPr>
          <w:rFonts w:eastAsiaTheme="minorEastAsia" w:hint="eastAsia"/>
          <w:color w:val="000000"/>
          <w:sz w:val="24"/>
          <w:szCs w:val="24"/>
        </w:rPr>
        <w:t>（四）《广发服务业精选灵活配置混合型证券投资基金托管协议》</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（五）法律意见书</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2</w:t>
      </w:r>
      <w:r w:rsidR="004061AC" w:rsidRPr="001611C5">
        <w:rPr>
          <w:rFonts w:asciiTheme="minorEastAsia" w:eastAsiaTheme="minorEastAsia" w:hAnsiTheme="minorEastAsia" w:hint="eastAsia"/>
          <w:b/>
          <w:bCs/>
          <w:color w:val="000000"/>
          <w:kern w:val="0"/>
          <w:sz w:val="24"/>
          <w:szCs w:val="24"/>
        </w:rPr>
        <w:t>存放地点</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广州市海珠区琶洲大道东</w:t>
      </w:r>
      <w:r w:rsidRPr="00CD2DB1">
        <w:rPr>
          <w:rFonts w:eastAsiaTheme="minorEastAsia" w:hint="eastAsia"/>
          <w:color w:val="000000"/>
          <w:sz w:val="24"/>
          <w:szCs w:val="24"/>
        </w:rPr>
        <w:t>1</w:t>
      </w:r>
      <w:r w:rsidRPr="00CD2DB1">
        <w:rPr>
          <w:rFonts w:eastAsiaTheme="minorEastAsia" w:hint="eastAsia"/>
          <w:color w:val="000000"/>
          <w:sz w:val="24"/>
          <w:szCs w:val="24"/>
        </w:rPr>
        <w:t>号保利国际广场南塔</w:t>
      </w:r>
      <w:r w:rsidRPr="00CD2DB1">
        <w:rPr>
          <w:rFonts w:eastAsiaTheme="minorEastAsia" w:hint="eastAsia"/>
          <w:color w:val="000000"/>
          <w:sz w:val="24"/>
          <w:szCs w:val="24"/>
        </w:rPr>
        <w:t>31-33</w:t>
      </w:r>
      <w:r w:rsidRPr="00CD2DB1">
        <w:rPr>
          <w:rFonts w:eastAsiaTheme="minorEastAsia" w:hint="eastAsia"/>
          <w:color w:val="000000"/>
          <w:sz w:val="24"/>
          <w:szCs w:val="24"/>
        </w:rPr>
        <w:t>楼</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hint="eastAsia"/>
          <w:b/>
          <w:bCs/>
          <w:color w:val="000000"/>
          <w:kern w:val="0"/>
          <w:sz w:val="24"/>
          <w:szCs w:val="24"/>
        </w:rPr>
        <w:t>查阅方式</w:t>
      </w:r>
    </w:p>
    <w:p w:rsidR="0034196F" w:rsidRDefault="00017E25">
      <w:pPr>
        <w:spacing w:line="360" w:lineRule="auto"/>
        <w:ind w:firstLineChars="200" w:firstLine="480"/>
        <w:rPr>
          <w:rFonts w:eastAsiaTheme="minorEastAsia"/>
          <w:color w:val="000000"/>
          <w:sz w:val="24"/>
          <w:szCs w:val="24"/>
        </w:rPr>
      </w:pPr>
      <w:r>
        <w:rPr>
          <w:rFonts w:eastAsiaTheme="minorEastAsia" w:hint="eastAsia"/>
          <w:color w:val="000000"/>
          <w:sz w:val="24"/>
          <w:szCs w:val="24"/>
        </w:rPr>
        <w:t>1.</w:t>
      </w:r>
      <w:r>
        <w:rPr>
          <w:rFonts w:eastAsiaTheme="minorEastAsia" w:hint="eastAsia"/>
          <w:color w:val="000000"/>
          <w:sz w:val="24"/>
          <w:szCs w:val="24"/>
        </w:rPr>
        <w:t>书面查阅：查阅时间为每工作日</w:t>
      </w:r>
      <w:r>
        <w:rPr>
          <w:rFonts w:eastAsiaTheme="minorEastAsia" w:hint="eastAsia"/>
          <w:color w:val="000000"/>
          <w:sz w:val="24"/>
          <w:szCs w:val="24"/>
        </w:rPr>
        <w:t>8:30-11:30</w:t>
      </w:r>
      <w:r>
        <w:rPr>
          <w:rFonts w:eastAsiaTheme="minorEastAsia" w:hint="eastAsia"/>
          <w:color w:val="000000"/>
          <w:sz w:val="24"/>
          <w:szCs w:val="24"/>
        </w:rPr>
        <w:t>，</w:t>
      </w:r>
      <w:r>
        <w:rPr>
          <w:rFonts w:eastAsiaTheme="minorEastAsia" w:hint="eastAsia"/>
          <w:color w:val="000000"/>
          <w:sz w:val="24"/>
          <w:szCs w:val="24"/>
        </w:rPr>
        <w:t>13:30-17:00</w:t>
      </w:r>
      <w:r>
        <w:rPr>
          <w:rFonts w:eastAsiaTheme="minorEastAsia" w:hint="eastAsia"/>
          <w:color w:val="000000"/>
          <w:sz w:val="24"/>
          <w:szCs w:val="24"/>
        </w:rPr>
        <w:t>。投资者可免费查阅，也可按工本费购买复印件；</w:t>
      </w:r>
    </w:p>
    <w:p w:rsidR="00636DB7" w:rsidRPr="00CD2DB1" w:rsidRDefault="006D7FF8" w:rsidP="001611C5">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2.</w:t>
      </w:r>
      <w:r w:rsidRPr="00CD2DB1">
        <w:rPr>
          <w:rFonts w:eastAsiaTheme="minorEastAsia" w:hint="eastAsia"/>
          <w:color w:val="000000"/>
          <w:sz w:val="24"/>
          <w:szCs w:val="24"/>
        </w:rPr>
        <w:t>网站查阅：基金管理人网址：</w:t>
      </w:r>
      <w:r w:rsidRPr="00CD2DB1">
        <w:rPr>
          <w:rFonts w:eastAsiaTheme="minorEastAsia" w:hint="eastAsia"/>
          <w:color w:val="000000"/>
          <w:sz w:val="24"/>
          <w:szCs w:val="24"/>
        </w:rPr>
        <w:t>http://www.gffunds.com.cn</w:t>
      </w: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832A00"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广发基金管理有限公司</w:t>
      </w:r>
    </w:p>
    <w:p w:rsidR="004061AC" w:rsidRPr="001611C5" w:rsidRDefault="00945AF6"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二〇一八年七月二十日</w:t>
      </w:r>
    </w:p>
    <w:p w:rsidR="00304A12" w:rsidRPr="001611C5" w:rsidRDefault="00304A12" w:rsidP="00955BE8">
      <w:pPr>
        <w:spacing w:line="360" w:lineRule="auto"/>
        <w:ind w:left="840"/>
        <w:jc w:val="right"/>
        <w:rPr>
          <w:rFonts w:asciiTheme="minorEastAsia" w:eastAsiaTheme="minorEastAsia" w:hAnsiTheme="minorEastAsia"/>
          <w:b/>
          <w:bCs/>
          <w:sz w:val="24"/>
          <w:szCs w:val="24"/>
        </w:rPr>
      </w:pPr>
    </w:p>
    <w:p w:rsidR="00A90049" w:rsidRPr="00264E55" w:rsidRDefault="00A90049">
      <w:pPr>
        <w:rPr>
          <w:rFonts w:asciiTheme="minorEastAsia" w:eastAsiaTheme="minorEastAsia" w:hAnsiTheme="minorEastAsia"/>
          <w:sz w:val="24"/>
          <w:szCs w:val="24"/>
        </w:rPr>
      </w:pPr>
    </w:p>
    <w:sectPr w:rsidR="00A90049" w:rsidRPr="00264E55"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38" w:rsidRDefault="000E4E38" w:rsidP="00876D65">
      <w:r>
        <w:separator/>
      </w:r>
    </w:p>
  </w:endnote>
  <w:endnote w:type="continuationSeparator" w:id="1">
    <w:p w:rsidR="000E4E38" w:rsidRDefault="000E4E3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34196F" w:rsidRPr="0034196F">
      <w:fldChar w:fldCharType="begin"/>
    </w:r>
    <w:r>
      <w:instrText xml:space="preserve"> PAGE   \* MERGEFORMAT </w:instrText>
    </w:r>
    <w:r w:rsidR="0034196F" w:rsidRPr="0034196F">
      <w:fldChar w:fldCharType="separate"/>
    </w:r>
    <w:r w:rsidR="00017E25" w:rsidRPr="00017E25">
      <w:rPr>
        <w:noProof/>
        <w:lang w:val="zh-CN"/>
      </w:rPr>
      <w:t>1</w:t>
    </w:r>
    <w:r w:rsidR="0034196F">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Default="0034196F">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017E25">
      <w:rPr>
        <w:rStyle w:val="a7"/>
        <w:noProof/>
      </w:rPr>
      <w:t>2</w:t>
    </w:r>
    <w:r>
      <w:rPr>
        <w:rStyle w:val="a7"/>
      </w:rPr>
      <w:fldChar w:fldCharType="end"/>
    </w:r>
  </w:p>
  <w:p w:rsidR="00171EF0" w:rsidRDefault="00171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38" w:rsidRDefault="000E4E38" w:rsidP="00876D65">
      <w:r>
        <w:separator/>
      </w:r>
    </w:p>
  </w:footnote>
  <w:footnote w:type="continuationSeparator" w:id="1">
    <w:p w:rsidR="000E4E38" w:rsidRDefault="000E4E3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7120CC" w:rsidRDefault="00171EF0" w:rsidP="00090A26">
    <w:pPr>
      <w:pStyle w:val="a9"/>
      <w:pBdr>
        <w:bottom w:val="single" w:sz="6" w:space="0" w:color="auto"/>
      </w:pBdr>
      <w:jc w:val="right"/>
    </w:pPr>
    <w:r w:rsidRPr="007120CC">
      <w:rPr>
        <w:rFonts w:hint="eastAsia"/>
      </w:rPr>
      <w:t>广发服务业精选灵活配置混合型证券投资基金</w:t>
    </w:r>
    <w:r w:rsidRPr="007120CC">
      <w:rPr>
        <w:rFonts w:hint="eastAsia"/>
      </w:rPr>
      <w:t>2018</w:t>
    </w:r>
    <w:r w:rsidRPr="007120CC">
      <w:rPr>
        <w:rFonts w:hint="eastAsia"/>
      </w:rPr>
      <w:t>年第</w:t>
    </w:r>
    <w:r w:rsidRPr="007120CC">
      <w:rPr>
        <w:rFonts w:hint="eastAsia"/>
      </w:rPr>
      <w:t>2</w:t>
    </w:r>
    <w:r w:rsidRPr="007120C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1775D"/>
    <w:rsid w:val="00017E25"/>
    <w:rsid w:val="000210E7"/>
    <w:rsid w:val="00031EBB"/>
    <w:rsid w:val="00033B8D"/>
    <w:rsid w:val="00043852"/>
    <w:rsid w:val="000450DD"/>
    <w:rsid w:val="000463DE"/>
    <w:rsid w:val="0008313A"/>
    <w:rsid w:val="000907D2"/>
    <w:rsid w:val="00090A26"/>
    <w:rsid w:val="00091D41"/>
    <w:rsid w:val="000A2B53"/>
    <w:rsid w:val="000B624F"/>
    <w:rsid w:val="000B73C6"/>
    <w:rsid w:val="000C190B"/>
    <w:rsid w:val="000C1E17"/>
    <w:rsid w:val="000C5216"/>
    <w:rsid w:val="000D0E6C"/>
    <w:rsid w:val="000D3ED4"/>
    <w:rsid w:val="000E4E38"/>
    <w:rsid w:val="000F6CC8"/>
    <w:rsid w:val="001043C1"/>
    <w:rsid w:val="00111261"/>
    <w:rsid w:val="0013155E"/>
    <w:rsid w:val="00137452"/>
    <w:rsid w:val="00144F93"/>
    <w:rsid w:val="00147376"/>
    <w:rsid w:val="00150E7E"/>
    <w:rsid w:val="00154BE1"/>
    <w:rsid w:val="00160EDC"/>
    <w:rsid w:val="001611C5"/>
    <w:rsid w:val="001675CD"/>
    <w:rsid w:val="00171EF0"/>
    <w:rsid w:val="00175D4F"/>
    <w:rsid w:val="001761D2"/>
    <w:rsid w:val="001830D7"/>
    <w:rsid w:val="00185A34"/>
    <w:rsid w:val="00196E6C"/>
    <w:rsid w:val="001A73E8"/>
    <w:rsid w:val="001B0A62"/>
    <w:rsid w:val="001B2F35"/>
    <w:rsid w:val="001C0993"/>
    <w:rsid w:val="001C79F2"/>
    <w:rsid w:val="001D63BB"/>
    <w:rsid w:val="001D6A4B"/>
    <w:rsid w:val="001E4630"/>
    <w:rsid w:val="001F0964"/>
    <w:rsid w:val="001F30DA"/>
    <w:rsid w:val="001F5DC5"/>
    <w:rsid w:val="00200C59"/>
    <w:rsid w:val="00200FAB"/>
    <w:rsid w:val="00213821"/>
    <w:rsid w:val="00217B9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11662"/>
    <w:rsid w:val="00312A9F"/>
    <w:rsid w:val="00315D5D"/>
    <w:rsid w:val="00316484"/>
    <w:rsid w:val="00316E01"/>
    <w:rsid w:val="00320300"/>
    <w:rsid w:val="00324508"/>
    <w:rsid w:val="003259C8"/>
    <w:rsid w:val="003307FE"/>
    <w:rsid w:val="0034196F"/>
    <w:rsid w:val="003470E2"/>
    <w:rsid w:val="00352719"/>
    <w:rsid w:val="0035422F"/>
    <w:rsid w:val="00355364"/>
    <w:rsid w:val="00364CCB"/>
    <w:rsid w:val="00374488"/>
    <w:rsid w:val="0039085F"/>
    <w:rsid w:val="00394069"/>
    <w:rsid w:val="003A6061"/>
    <w:rsid w:val="003B6FBC"/>
    <w:rsid w:val="003E2240"/>
    <w:rsid w:val="003E62FB"/>
    <w:rsid w:val="003F39DF"/>
    <w:rsid w:val="003F63BE"/>
    <w:rsid w:val="004061AC"/>
    <w:rsid w:val="004149AC"/>
    <w:rsid w:val="0042009D"/>
    <w:rsid w:val="00425A74"/>
    <w:rsid w:val="00427F58"/>
    <w:rsid w:val="00433805"/>
    <w:rsid w:val="00471408"/>
    <w:rsid w:val="004858E0"/>
    <w:rsid w:val="004934E9"/>
    <w:rsid w:val="004943C2"/>
    <w:rsid w:val="004A11A7"/>
    <w:rsid w:val="004B0661"/>
    <w:rsid w:val="004C702F"/>
    <w:rsid w:val="004D495A"/>
    <w:rsid w:val="004D59A3"/>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DB7"/>
    <w:rsid w:val="0063783A"/>
    <w:rsid w:val="006423B9"/>
    <w:rsid w:val="00654270"/>
    <w:rsid w:val="00654B0D"/>
    <w:rsid w:val="00655CD8"/>
    <w:rsid w:val="006571DC"/>
    <w:rsid w:val="00660D4B"/>
    <w:rsid w:val="00664ECC"/>
    <w:rsid w:val="00670989"/>
    <w:rsid w:val="006757DC"/>
    <w:rsid w:val="00676095"/>
    <w:rsid w:val="00676FB8"/>
    <w:rsid w:val="00693843"/>
    <w:rsid w:val="0069426C"/>
    <w:rsid w:val="00694DFB"/>
    <w:rsid w:val="006A1C62"/>
    <w:rsid w:val="006A48FD"/>
    <w:rsid w:val="006A67F8"/>
    <w:rsid w:val="006A7AF1"/>
    <w:rsid w:val="006B11BB"/>
    <w:rsid w:val="006B72F7"/>
    <w:rsid w:val="006C12B8"/>
    <w:rsid w:val="006C37FC"/>
    <w:rsid w:val="006C7EA3"/>
    <w:rsid w:val="006D39E9"/>
    <w:rsid w:val="006D3BE3"/>
    <w:rsid w:val="006D7004"/>
    <w:rsid w:val="006D789D"/>
    <w:rsid w:val="006D7FF8"/>
    <w:rsid w:val="006E042A"/>
    <w:rsid w:val="006E48F5"/>
    <w:rsid w:val="006F5E68"/>
    <w:rsid w:val="0070412A"/>
    <w:rsid w:val="00706D60"/>
    <w:rsid w:val="007075E3"/>
    <w:rsid w:val="00707F66"/>
    <w:rsid w:val="007120CC"/>
    <w:rsid w:val="007142B8"/>
    <w:rsid w:val="00720D28"/>
    <w:rsid w:val="00722509"/>
    <w:rsid w:val="00727FCD"/>
    <w:rsid w:val="00733DDD"/>
    <w:rsid w:val="00750CDF"/>
    <w:rsid w:val="00752BA5"/>
    <w:rsid w:val="00753A7D"/>
    <w:rsid w:val="00755D86"/>
    <w:rsid w:val="007650D9"/>
    <w:rsid w:val="00767C98"/>
    <w:rsid w:val="00770971"/>
    <w:rsid w:val="00791180"/>
    <w:rsid w:val="0079131B"/>
    <w:rsid w:val="00796CA8"/>
    <w:rsid w:val="00797305"/>
    <w:rsid w:val="007B035B"/>
    <w:rsid w:val="007B4C04"/>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1D9E"/>
    <w:rsid w:val="00866CF2"/>
    <w:rsid w:val="008700EC"/>
    <w:rsid w:val="00876D65"/>
    <w:rsid w:val="0089068C"/>
    <w:rsid w:val="00891261"/>
    <w:rsid w:val="008A21B2"/>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4E99"/>
    <w:rsid w:val="009C5186"/>
    <w:rsid w:val="009C60F7"/>
    <w:rsid w:val="009D0952"/>
    <w:rsid w:val="009E31DA"/>
    <w:rsid w:val="009E402C"/>
    <w:rsid w:val="009E7C6A"/>
    <w:rsid w:val="009F7ED4"/>
    <w:rsid w:val="00A03AAC"/>
    <w:rsid w:val="00A047D1"/>
    <w:rsid w:val="00A161C8"/>
    <w:rsid w:val="00A22AD0"/>
    <w:rsid w:val="00A22DA8"/>
    <w:rsid w:val="00A31671"/>
    <w:rsid w:val="00A33989"/>
    <w:rsid w:val="00A45320"/>
    <w:rsid w:val="00A52F8F"/>
    <w:rsid w:val="00A5612C"/>
    <w:rsid w:val="00A5689C"/>
    <w:rsid w:val="00A57AE4"/>
    <w:rsid w:val="00A63F19"/>
    <w:rsid w:val="00A66F42"/>
    <w:rsid w:val="00A71882"/>
    <w:rsid w:val="00A76625"/>
    <w:rsid w:val="00A83500"/>
    <w:rsid w:val="00A90049"/>
    <w:rsid w:val="00A917BF"/>
    <w:rsid w:val="00A96A94"/>
    <w:rsid w:val="00AA3A38"/>
    <w:rsid w:val="00AA4F94"/>
    <w:rsid w:val="00AB047E"/>
    <w:rsid w:val="00AC592E"/>
    <w:rsid w:val="00AC6C10"/>
    <w:rsid w:val="00AC7BC6"/>
    <w:rsid w:val="00AD24AA"/>
    <w:rsid w:val="00AE7962"/>
    <w:rsid w:val="00B12B7D"/>
    <w:rsid w:val="00B16985"/>
    <w:rsid w:val="00B221B8"/>
    <w:rsid w:val="00B27206"/>
    <w:rsid w:val="00B32AA7"/>
    <w:rsid w:val="00B4012D"/>
    <w:rsid w:val="00B40F64"/>
    <w:rsid w:val="00B42A76"/>
    <w:rsid w:val="00B7378D"/>
    <w:rsid w:val="00B82413"/>
    <w:rsid w:val="00B85352"/>
    <w:rsid w:val="00B87214"/>
    <w:rsid w:val="00B92FF5"/>
    <w:rsid w:val="00B959E6"/>
    <w:rsid w:val="00BA604D"/>
    <w:rsid w:val="00BC4585"/>
    <w:rsid w:val="00BC50F1"/>
    <w:rsid w:val="00BC73E5"/>
    <w:rsid w:val="00BD7473"/>
    <w:rsid w:val="00BD7703"/>
    <w:rsid w:val="00BE420D"/>
    <w:rsid w:val="00BF48B1"/>
    <w:rsid w:val="00BF6314"/>
    <w:rsid w:val="00C073E9"/>
    <w:rsid w:val="00C21520"/>
    <w:rsid w:val="00C222B2"/>
    <w:rsid w:val="00C225FB"/>
    <w:rsid w:val="00C37530"/>
    <w:rsid w:val="00C46B88"/>
    <w:rsid w:val="00C5218C"/>
    <w:rsid w:val="00C52191"/>
    <w:rsid w:val="00C5642F"/>
    <w:rsid w:val="00C63554"/>
    <w:rsid w:val="00C71497"/>
    <w:rsid w:val="00C72F5B"/>
    <w:rsid w:val="00C73BCD"/>
    <w:rsid w:val="00C77AEF"/>
    <w:rsid w:val="00C849CF"/>
    <w:rsid w:val="00C87129"/>
    <w:rsid w:val="00C91E1B"/>
    <w:rsid w:val="00CA5FD5"/>
    <w:rsid w:val="00CA7703"/>
    <w:rsid w:val="00CB0F92"/>
    <w:rsid w:val="00CD2DB1"/>
    <w:rsid w:val="00CD4E6D"/>
    <w:rsid w:val="00CD5707"/>
    <w:rsid w:val="00CD7702"/>
    <w:rsid w:val="00CE29EA"/>
    <w:rsid w:val="00CF6572"/>
    <w:rsid w:val="00D01F6A"/>
    <w:rsid w:val="00D02347"/>
    <w:rsid w:val="00D04755"/>
    <w:rsid w:val="00D13737"/>
    <w:rsid w:val="00D1638E"/>
    <w:rsid w:val="00D21FFF"/>
    <w:rsid w:val="00D272A5"/>
    <w:rsid w:val="00D43AFB"/>
    <w:rsid w:val="00D57B7C"/>
    <w:rsid w:val="00D65B44"/>
    <w:rsid w:val="00D8099B"/>
    <w:rsid w:val="00D866A8"/>
    <w:rsid w:val="00D92F47"/>
    <w:rsid w:val="00D94B8D"/>
    <w:rsid w:val="00D96C8D"/>
    <w:rsid w:val="00DA2876"/>
    <w:rsid w:val="00DC0B51"/>
    <w:rsid w:val="00DE27F7"/>
    <w:rsid w:val="00E44E18"/>
    <w:rsid w:val="00E54301"/>
    <w:rsid w:val="00E55ABD"/>
    <w:rsid w:val="00E60817"/>
    <w:rsid w:val="00E90C35"/>
    <w:rsid w:val="00EA70F1"/>
    <w:rsid w:val="00EB2516"/>
    <w:rsid w:val="00EB2C07"/>
    <w:rsid w:val="00EB374A"/>
    <w:rsid w:val="00ED62BE"/>
    <w:rsid w:val="00EF17AB"/>
    <w:rsid w:val="00EF6FA5"/>
    <w:rsid w:val="00F04C00"/>
    <w:rsid w:val="00F11104"/>
    <w:rsid w:val="00F13122"/>
    <w:rsid w:val="00F14CC6"/>
    <w:rsid w:val="00F16E3F"/>
    <w:rsid w:val="00F21783"/>
    <w:rsid w:val="00F22499"/>
    <w:rsid w:val="00F22B0F"/>
    <w:rsid w:val="00F246CB"/>
    <w:rsid w:val="00F24B42"/>
    <w:rsid w:val="00F24F73"/>
    <w:rsid w:val="00F27299"/>
    <w:rsid w:val="00F31F6E"/>
    <w:rsid w:val="00F3389C"/>
    <w:rsid w:val="00F375F2"/>
    <w:rsid w:val="00F54EAE"/>
    <w:rsid w:val="00F65334"/>
    <w:rsid w:val="00F66A51"/>
    <w:rsid w:val="00F71057"/>
    <w:rsid w:val="00F71A4B"/>
    <w:rsid w:val="00F728CF"/>
    <w:rsid w:val="00F743D4"/>
    <w:rsid w:val="00F83B17"/>
    <w:rsid w:val="00F87EDA"/>
    <w:rsid w:val="00F94113"/>
    <w:rsid w:val="00F970EE"/>
    <w:rsid w:val="00FB0BC9"/>
    <w:rsid w:val="00FB41D3"/>
    <w:rsid w:val="00FB4F70"/>
    <w:rsid w:val="00FB5EFC"/>
    <w:rsid w:val="00FB77BB"/>
    <w:rsid w:val="00FC15AA"/>
    <w:rsid w:val="00FC6C07"/>
    <w:rsid w:val="00FD1375"/>
    <w:rsid w:val="00FD359E"/>
    <w:rsid w:val="00FD5F37"/>
    <w:rsid w:val="00FE0A17"/>
    <w:rsid w:val="00FE179F"/>
    <w:rsid w:val="00FE5D8B"/>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633707909">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3596-360D-4540-97E9-3DBB971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4</DocSecurity>
  <Lines>48</Lines>
  <Paragraphs>13</Paragraphs>
  <ScaleCrop>false</ScaleCrop>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2018-07-19T17:50:00Z</dcterms:created>
  <dcterms:modified xsi:type="dcterms:W3CDTF">2018-07-19T17:50:00Z</dcterms:modified>
</cp:coreProperties>
</file>