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F82017"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F82017"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F82017"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F82017"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322941" w:rsidRDefault="009A2283" w:rsidP="009A2283">
      <w:pPr>
        <w:autoSpaceDE w:val="0"/>
        <w:autoSpaceDN w:val="0"/>
        <w:adjustRightInd w:val="0"/>
        <w:spacing w:line="360" w:lineRule="auto"/>
        <w:jc w:val="left"/>
        <w:rPr>
          <w:rFonts w:eastAsiaTheme="minorEastAsia"/>
          <w:color w:val="000000" w:themeColor="text1"/>
          <w:kern w:val="0"/>
          <w:sz w:val="24"/>
        </w:rPr>
      </w:pPr>
    </w:p>
    <w:p w:rsidR="009A2283" w:rsidRPr="00322941" w:rsidRDefault="002D2A00" w:rsidP="00FC13C8">
      <w:pPr>
        <w:spacing w:line="360" w:lineRule="auto"/>
        <w:jc w:val="center"/>
        <w:rPr>
          <w:rFonts w:eastAsiaTheme="minorEastAsia"/>
          <w:b/>
          <w:color w:val="000000" w:themeColor="text1"/>
          <w:sz w:val="24"/>
        </w:rPr>
      </w:pPr>
      <w:r w:rsidRPr="00322941">
        <w:rPr>
          <w:rFonts w:eastAsiaTheme="minorEastAsia"/>
          <w:b/>
          <w:color w:val="000000" w:themeColor="text1"/>
          <w:sz w:val="24"/>
        </w:rPr>
        <w:t>国投瑞银和安债券型证券投资基金</w:t>
      </w:r>
    </w:p>
    <w:p w:rsidR="002D2A00" w:rsidRPr="00322941" w:rsidRDefault="002D2A00" w:rsidP="00FC13C8">
      <w:pPr>
        <w:spacing w:line="360" w:lineRule="auto"/>
        <w:jc w:val="center"/>
        <w:rPr>
          <w:rFonts w:eastAsiaTheme="minorEastAsia"/>
          <w:b/>
          <w:color w:val="000000" w:themeColor="text1"/>
          <w:sz w:val="24"/>
        </w:rPr>
      </w:pPr>
      <w:r w:rsidRPr="00322941">
        <w:rPr>
          <w:rFonts w:eastAsiaTheme="minorEastAsia"/>
          <w:b/>
          <w:color w:val="000000" w:themeColor="text1"/>
          <w:sz w:val="24"/>
        </w:rPr>
        <w:t>2018</w:t>
      </w:r>
      <w:r w:rsidRPr="00322941">
        <w:rPr>
          <w:rFonts w:eastAsiaTheme="minorEastAsia"/>
          <w:b/>
          <w:color w:val="000000" w:themeColor="text1"/>
          <w:sz w:val="24"/>
        </w:rPr>
        <w:t>年第</w:t>
      </w:r>
      <w:r w:rsidRPr="00322941">
        <w:rPr>
          <w:rFonts w:eastAsiaTheme="minorEastAsia"/>
          <w:b/>
          <w:color w:val="000000" w:themeColor="text1"/>
          <w:sz w:val="24"/>
        </w:rPr>
        <w:t>2</w:t>
      </w:r>
      <w:r w:rsidRPr="00322941">
        <w:rPr>
          <w:rFonts w:eastAsiaTheme="minorEastAsia"/>
          <w:b/>
          <w:color w:val="000000" w:themeColor="text1"/>
          <w:sz w:val="24"/>
        </w:rPr>
        <w:t>季度报告</w:t>
      </w:r>
    </w:p>
    <w:p w:rsidR="009A2283" w:rsidRPr="00322941" w:rsidRDefault="00121533" w:rsidP="00FC13C8">
      <w:pPr>
        <w:spacing w:line="360" w:lineRule="auto"/>
        <w:jc w:val="center"/>
        <w:rPr>
          <w:rFonts w:eastAsiaTheme="minorEastAsia"/>
          <w:b/>
          <w:color w:val="000000" w:themeColor="text1"/>
          <w:sz w:val="24"/>
        </w:rPr>
      </w:pPr>
      <w:r w:rsidRPr="00322941">
        <w:rPr>
          <w:rFonts w:eastAsiaTheme="minorEastAsia"/>
          <w:b/>
          <w:color w:val="000000" w:themeColor="text1"/>
          <w:sz w:val="24"/>
        </w:rPr>
        <w:t>2018</w:t>
      </w:r>
      <w:r w:rsidRPr="00322941">
        <w:rPr>
          <w:rFonts w:eastAsiaTheme="minorEastAsia"/>
          <w:b/>
          <w:color w:val="000000" w:themeColor="text1"/>
          <w:sz w:val="24"/>
        </w:rPr>
        <w:t>年</w:t>
      </w:r>
      <w:r w:rsidRPr="00322941">
        <w:rPr>
          <w:rFonts w:eastAsiaTheme="minorEastAsia"/>
          <w:b/>
          <w:color w:val="000000" w:themeColor="text1"/>
          <w:sz w:val="24"/>
        </w:rPr>
        <w:t>6</w:t>
      </w:r>
      <w:r w:rsidRPr="00322941">
        <w:rPr>
          <w:rFonts w:eastAsiaTheme="minorEastAsia"/>
          <w:b/>
          <w:color w:val="000000" w:themeColor="text1"/>
          <w:sz w:val="24"/>
        </w:rPr>
        <w:t>月</w:t>
      </w:r>
      <w:r w:rsidRPr="00322941">
        <w:rPr>
          <w:rFonts w:eastAsiaTheme="minorEastAsia"/>
          <w:b/>
          <w:color w:val="000000" w:themeColor="text1"/>
          <w:sz w:val="24"/>
        </w:rPr>
        <w:t>30</w:t>
      </w:r>
      <w:r w:rsidRPr="00322941">
        <w:rPr>
          <w:rFonts w:eastAsiaTheme="minorEastAsia"/>
          <w:b/>
          <w:color w:val="000000" w:themeColor="text1"/>
          <w:sz w:val="24"/>
        </w:rPr>
        <w:t>日</w:t>
      </w: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E27360">
      <w:pPr>
        <w:spacing w:line="360" w:lineRule="auto"/>
        <w:jc w:val="center"/>
        <w:rPr>
          <w:rFonts w:eastAsiaTheme="minorEastAsia"/>
          <w:b/>
          <w:color w:val="000000" w:themeColor="text1"/>
          <w:szCs w:val="21"/>
        </w:rPr>
      </w:pPr>
    </w:p>
    <w:p w:rsidR="00E27360" w:rsidRPr="00F82017" w:rsidRDefault="00E27360" w:rsidP="00E27360">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jc w:val="center"/>
        <w:rPr>
          <w:rFonts w:eastAsiaTheme="minorEastAsia"/>
          <w:b/>
          <w:color w:val="000000" w:themeColor="text1"/>
          <w:szCs w:val="21"/>
        </w:rPr>
      </w:pPr>
    </w:p>
    <w:p w:rsidR="009A2283" w:rsidRPr="00F82017" w:rsidRDefault="009A2283" w:rsidP="009A2283">
      <w:pPr>
        <w:spacing w:line="360" w:lineRule="auto"/>
        <w:rPr>
          <w:rFonts w:eastAsiaTheme="minorEastAsia"/>
          <w:b/>
          <w:color w:val="000000" w:themeColor="text1"/>
          <w:szCs w:val="21"/>
        </w:rPr>
      </w:pPr>
    </w:p>
    <w:p w:rsidR="009A2283" w:rsidRPr="00F82017" w:rsidRDefault="009A2283" w:rsidP="00634B21">
      <w:pPr>
        <w:spacing w:line="360" w:lineRule="auto"/>
        <w:ind w:firstLineChars="900" w:firstLine="2168"/>
        <w:rPr>
          <w:rFonts w:eastAsiaTheme="minorEastAsia"/>
          <w:b/>
          <w:color w:val="000000" w:themeColor="text1"/>
          <w:sz w:val="24"/>
        </w:rPr>
      </w:pPr>
      <w:r w:rsidRPr="00F82017">
        <w:rPr>
          <w:rFonts w:eastAsiaTheme="minorEastAsia"/>
          <w:b/>
          <w:color w:val="000000" w:themeColor="text1"/>
          <w:sz w:val="24"/>
        </w:rPr>
        <w:t>基金管理人：</w:t>
      </w:r>
      <w:r w:rsidR="00BF377F" w:rsidRPr="00F82017">
        <w:rPr>
          <w:rFonts w:eastAsiaTheme="minorEastAsia"/>
          <w:b/>
          <w:color w:val="000000" w:themeColor="text1"/>
          <w:sz w:val="24"/>
        </w:rPr>
        <w:t>国投瑞银基金管理有限公司</w:t>
      </w:r>
    </w:p>
    <w:p w:rsidR="009A2283" w:rsidRPr="00F82017" w:rsidRDefault="009A2283" w:rsidP="00634B21">
      <w:pPr>
        <w:spacing w:line="360" w:lineRule="auto"/>
        <w:ind w:firstLineChars="900" w:firstLine="2168"/>
        <w:rPr>
          <w:rFonts w:eastAsiaTheme="minorEastAsia"/>
          <w:b/>
          <w:color w:val="000000" w:themeColor="text1"/>
          <w:sz w:val="24"/>
        </w:rPr>
      </w:pPr>
      <w:r w:rsidRPr="00F82017">
        <w:rPr>
          <w:rFonts w:eastAsiaTheme="minorEastAsia"/>
          <w:b/>
          <w:color w:val="000000" w:themeColor="text1"/>
          <w:sz w:val="24"/>
        </w:rPr>
        <w:t>基金托管人：</w:t>
      </w:r>
      <w:r w:rsidR="00BF377F" w:rsidRPr="00F82017">
        <w:rPr>
          <w:rFonts w:eastAsiaTheme="minorEastAsia"/>
          <w:b/>
          <w:color w:val="000000" w:themeColor="text1"/>
          <w:sz w:val="24"/>
        </w:rPr>
        <w:t>中国银行股份有限公司</w:t>
      </w:r>
    </w:p>
    <w:p w:rsidR="009A2283" w:rsidRPr="00F82017" w:rsidRDefault="009A2283" w:rsidP="00634B21">
      <w:pPr>
        <w:spacing w:line="360" w:lineRule="auto"/>
        <w:ind w:firstLineChars="900" w:firstLine="2168"/>
        <w:rPr>
          <w:rFonts w:eastAsiaTheme="minorEastAsia"/>
          <w:color w:val="000000" w:themeColor="text1"/>
          <w:szCs w:val="21"/>
        </w:rPr>
        <w:sectPr w:rsidR="009A2283" w:rsidRPr="00F82017" w:rsidSect="00F7094A">
          <w:headerReference w:type="default" r:id="rId8"/>
          <w:footerReference w:type="default" r:id="rId9"/>
          <w:pgSz w:w="11926" w:h="15840"/>
          <w:pgMar w:top="1418" w:right="1418" w:bottom="851" w:left="1418" w:header="851" w:footer="992" w:gutter="0"/>
          <w:cols w:space="720"/>
          <w:noEndnote/>
        </w:sectPr>
      </w:pPr>
      <w:r w:rsidRPr="00F82017">
        <w:rPr>
          <w:rFonts w:eastAsiaTheme="minorEastAsia"/>
          <w:b/>
          <w:color w:val="000000" w:themeColor="text1"/>
          <w:sz w:val="24"/>
        </w:rPr>
        <w:t>报告送出日期：</w:t>
      </w:r>
      <w:r w:rsidR="00D04410" w:rsidRPr="00F82017">
        <w:rPr>
          <w:rFonts w:eastAsiaTheme="minorEastAsia"/>
          <w:b/>
          <w:color w:val="000000" w:themeColor="text1"/>
          <w:sz w:val="24"/>
        </w:rPr>
        <w:t>二〇一八年七月二十日</w:t>
      </w:r>
    </w:p>
    <w:p w:rsidR="009238DB" w:rsidRPr="00F82017" w:rsidRDefault="009238DB" w:rsidP="001E018F">
      <w:pPr>
        <w:pStyle w:val="1"/>
        <w:spacing w:beforeLines="100" w:afterLines="100" w:line="360" w:lineRule="auto"/>
        <w:jc w:val="center"/>
        <w:rPr>
          <w:rFonts w:eastAsiaTheme="minorEastAsia"/>
          <w:b w:val="0"/>
          <w:color w:val="000000" w:themeColor="text1"/>
          <w:kern w:val="0"/>
          <w:sz w:val="24"/>
          <w:szCs w:val="24"/>
        </w:rPr>
      </w:pPr>
      <w:r w:rsidRPr="00F82017">
        <w:rPr>
          <w:rFonts w:eastAsiaTheme="minorEastAsia"/>
          <w:color w:val="000000" w:themeColor="text1"/>
          <w:kern w:val="0"/>
          <w:sz w:val="24"/>
          <w:szCs w:val="24"/>
        </w:rPr>
        <w:lastRenderedPageBreak/>
        <w:t xml:space="preserve">§1  </w:t>
      </w:r>
      <w:r w:rsidRPr="00F82017">
        <w:rPr>
          <w:rFonts w:eastAsiaTheme="minorEastAsia"/>
          <w:color w:val="000000" w:themeColor="text1"/>
          <w:kern w:val="0"/>
          <w:sz w:val="24"/>
          <w:szCs w:val="24"/>
        </w:rPr>
        <w:t>重要提示</w:t>
      </w:r>
    </w:p>
    <w:tbl>
      <w:tblPr>
        <w:tblStyle w:val="af2"/>
        <w:tblW w:w="0" w:type="auto"/>
        <w:tblLook w:val="04A0"/>
      </w:tblPr>
      <w:tblGrid>
        <w:gridCol w:w="8472"/>
      </w:tblGrid>
      <w:tr w:rsidR="003F4852" w:rsidRPr="00F82017" w:rsidTr="003F4852">
        <w:tc>
          <w:tcPr>
            <w:tcW w:w="8472" w:type="dxa"/>
          </w:tcPr>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3F4852" w:rsidRPr="00F82017" w:rsidRDefault="003F4852"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本报告期自</w:t>
            </w:r>
            <w:r w:rsidRPr="00F82017">
              <w:rPr>
                <w:rFonts w:eastAsiaTheme="minorEastAsia"/>
                <w:color w:val="000000" w:themeColor="text1"/>
                <w:sz w:val="24"/>
              </w:rPr>
              <w:t>2018</w:t>
            </w:r>
            <w:r w:rsidRPr="00F82017">
              <w:rPr>
                <w:rFonts w:eastAsiaTheme="minorEastAsia"/>
                <w:color w:val="000000" w:themeColor="text1"/>
                <w:sz w:val="24"/>
              </w:rPr>
              <w:t>年</w:t>
            </w:r>
            <w:r w:rsidRPr="00F82017">
              <w:rPr>
                <w:rFonts w:eastAsiaTheme="minorEastAsia"/>
                <w:color w:val="000000" w:themeColor="text1"/>
                <w:sz w:val="24"/>
              </w:rPr>
              <w:t>4</w:t>
            </w:r>
            <w:r w:rsidRPr="00F82017">
              <w:rPr>
                <w:rFonts w:eastAsiaTheme="minorEastAsia"/>
                <w:color w:val="000000" w:themeColor="text1"/>
                <w:sz w:val="24"/>
              </w:rPr>
              <w:t>月</w:t>
            </w:r>
            <w:r w:rsidRPr="00F82017">
              <w:rPr>
                <w:rFonts w:eastAsiaTheme="minorEastAsia"/>
                <w:color w:val="000000" w:themeColor="text1"/>
                <w:sz w:val="24"/>
              </w:rPr>
              <w:t>1</w:t>
            </w:r>
            <w:r w:rsidRPr="00F82017">
              <w:rPr>
                <w:rFonts w:eastAsiaTheme="minorEastAsia"/>
                <w:color w:val="000000" w:themeColor="text1"/>
                <w:sz w:val="24"/>
              </w:rPr>
              <w:t>日起至</w:t>
            </w:r>
            <w:r w:rsidRPr="00F82017">
              <w:rPr>
                <w:rFonts w:eastAsiaTheme="minorEastAsia"/>
                <w:color w:val="000000" w:themeColor="text1"/>
                <w:sz w:val="24"/>
              </w:rPr>
              <w:t>6</w:t>
            </w:r>
            <w:r w:rsidRPr="00F82017">
              <w:rPr>
                <w:rFonts w:eastAsiaTheme="minorEastAsia"/>
                <w:color w:val="000000" w:themeColor="text1"/>
                <w:sz w:val="24"/>
              </w:rPr>
              <w:t>月</w:t>
            </w:r>
            <w:r w:rsidRPr="00F82017">
              <w:rPr>
                <w:rFonts w:eastAsiaTheme="minorEastAsia"/>
                <w:color w:val="000000" w:themeColor="text1"/>
                <w:sz w:val="24"/>
              </w:rPr>
              <w:t>30</w:t>
            </w:r>
            <w:r w:rsidRPr="00F82017">
              <w:rPr>
                <w:rFonts w:eastAsiaTheme="minorEastAsia"/>
                <w:color w:val="000000" w:themeColor="text1"/>
                <w:sz w:val="24"/>
              </w:rPr>
              <w:t>日止。</w:t>
            </w:r>
          </w:p>
        </w:tc>
      </w:tr>
    </w:tbl>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 xml:space="preserve">§2  </w:t>
      </w:r>
      <w:r w:rsidRPr="00F82017">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86758B" w:rsidRPr="00F82017" w:rsidTr="003F7026">
        <w:tc>
          <w:tcPr>
            <w:tcW w:w="2835" w:type="dxa"/>
            <w:vAlign w:val="center"/>
          </w:tcPr>
          <w:p w:rsidR="00A6200E" w:rsidRPr="00F82017" w:rsidRDefault="00A6200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基金简称</w:t>
            </w:r>
          </w:p>
        </w:tc>
        <w:tc>
          <w:tcPr>
            <w:tcW w:w="5479" w:type="dxa"/>
            <w:gridSpan w:val="2"/>
            <w:vAlign w:val="center"/>
          </w:tcPr>
          <w:p w:rsidR="00A6200E" w:rsidRPr="00F82017" w:rsidRDefault="00A6200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国投瑞银和安债券</w:t>
            </w:r>
          </w:p>
        </w:tc>
      </w:tr>
      <w:tr w:rsidR="0086758B" w:rsidRPr="00F82017" w:rsidTr="003F7026">
        <w:tc>
          <w:tcPr>
            <w:tcW w:w="2835" w:type="dxa"/>
            <w:vAlign w:val="center"/>
          </w:tcPr>
          <w:p w:rsidR="00B95753" w:rsidRPr="00F82017" w:rsidRDefault="00B95753"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基金主代码</w:t>
            </w:r>
          </w:p>
        </w:tc>
        <w:tc>
          <w:tcPr>
            <w:tcW w:w="5479" w:type="dxa"/>
            <w:gridSpan w:val="2"/>
            <w:tcBorders>
              <w:bottom w:val="single" w:sz="4" w:space="0" w:color="auto"/>
            </w:tcBorders>
            <w:vAlign w:val="center"/>
          </w:tcPr>
          <w:p w:rsidR="00B95753" w:rsidRPr="00F82017" w:rsidRDefault="00B95753"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002677</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基金运作方式</w:t>
            </w:r>
          </w:p>
        </w:tc>
        <w:tc>
          <w:tcPr>
            <w:tcW w:w="5479" w:type="dxa"/>
            <w:gridSpan w:val="2"/>
            <w:tcBorders>
              <w:top w:val="single" w:sz="4" w:space="0" w:color="auto"/>
            </w:tcBorders>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契约型开放式</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基金合同生效日</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2016</w:t>
            </w:r>
            <w:r w:rsidRPr="00F82017">
              <w:rPr>
                <w:rFonts w:eastAsiaTheme="minorEastAsia"/>
                <w:color w:val="000000" w:themeColor="text1"/>
                <w:kern w:val="0"/>
                <w:sz w:val="24"/>
              </w:rPr>
              <w:t>年</w:t>
            </w:r>
            <w:r w:rsidRPr="00F82017">
              <w:rPr>
                <w:rFonts w:eastAsiaTheme="minorEastAsia"/>
                <w:color w:val="000000" w:themeColor="text1"/>
                <w:kern w:val="0"/>
                <w:sz w:val="24"/>
              </w:rPr>
              <w:t>4</w:t>
            </w:r>
            <w:r w:rsidRPr="00F82017">
              <w:rPr>
                <w:rFonts w:eastAsiaTheme="minorEastAsia"/>
                <w:color w:val="000000" w:themeColor="text1"/>
                <w:kern w:val="0"/>
                <w:sz w:val="24"/>
              </w:rPr>
              <w:t>月</w:t>
            </w:r>
            <w:r w:rsidRPr="00F82017">
              <w:rPr>
                <w:rFonts w:eastAsiaTheme="minorEastAsia"/>
                <w:color w:val="000000" w:themeColor="text1"/>
                <w:kern w:val="0"/>
                <w:sz w:val="24"/>
              </w:rPr>
              <w:t>22</w:t>
            </w:r>
            <w:r w:rsidRPr="00F82017">
              <w:rPr>
                <w:rFonts w:eastAsiaTheme="minorEastAsia"/>
                <w:color w:val="000000" w:themeColor="text1"/>
                <w:kern w:val="0"/>
                <w:sz w:val="24"/>
              </w:rPr>
              <w:t>日</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报告期末基金份额总额</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10,251,360.10</w:t>
            </w:r>
            <w:r w:rsidRPr="00F82017">
              <w:rPr>
                <w:rFonts w:eastAsiaTheme="minorEastAsia"/>
                <w:color w:val="000000" w:themeColor="text1"/>
                <w:kern w:val="0"/>
                <w:sz w:val="24"/>
              </w:rPr>
              <w:t>份</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投资目标</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在有效控制风险的基础上，通过积极主动的投资管理，力争为投资人实现超越业绩比较基准的投资业绩。</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投资策略</w:t>
            </w:r>
          </w:p>
        </w:tc>
        <w:tc>
          <w:tcPr>
            <w:tcW w:w="5479" w:type="dxa"/>
            <w:gridSpan w:val="2"/>
            <w:vAlign w:val="center"/>
          </w:tcPr>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1</w:t>
            </w:r>
            <w:r w:rsidRPr="008519A9">
              <w:rPr>
                <w:rFonts w:eastAsiaTheme="minorEastAsia" w:hint="eastAsia"/>
                <w:color w:val="000000" w:themeColor="text1"/>
                <w:kern w:val="0"/>
                <w:sz w:val="24"/>
              </w:rPr>
              <w:t>、资产配置</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本基金采取稳健灵活的投资策略，通过固定收益类金融工具的主动管理，力求降低基金净值波动风险，并根据对股票市场的趋势研判，适度参与股票投资，力求提高基金总体收益率。</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lastRenderedPageBreak/>
              <w:t>2</w:t>
            </w:r>
            <w:r w:rsidRPr="008519A9">
              <w:rPr>
                <w:rFonts w:eastAsiaTheme="minorEastAsia" w:hint="eastAsia"/>
                <w:color w:val="000000" w:themeColor="text1"/>
                <w:kern w:val="0"/>
                <w:sz w:val="24"/>
              </w:rPr>
              <w:t>、债券投资管理</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本基金采取“自上而下”的债券分析方法，确定债券投资组合，并管理组合风险。</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债券投资策略主要包括：久期策略、收益率曲线策略、类别选择策略和个券选择策略。在不同的时期，采用以上策略对组合收益和风险的贡献不尽相同，具体采用何种策略取决于债券组合允许的风险程度。</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3</w:t>
            </w:r>
            <w:r w:rsidRPr="008519A9">
              <w:rPr>
                <w:rFonts w:eastAsiaTheme="minorEastAsia" w:hint="eastAsia"/>
                <w:color w:val="000000" w:themeColor="text1"/>
                <w:kern w:val="0"/>
                <w:sz w:val="24"/>
              </w:rPr>
              <w:t>、资产支持证券投资策略</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资产支持证券的定价受市场利率、发行条款、标的资产的构成及质量、提前偿还率等多种因素影响。本基金将在基本面分析和债券市场宏观分析的基础上，以数量化模型确定其内在价值。</w:t>
            </w:r>
          </w:p>
          <w:p w:rsidR="008519A9" w:rsidRPr="008519A9" w:rsidRDefault="008519A9" w:rsidP="008519A9">
            <w:pPr>
              <w:adjustRightInd w:val="0"/>
              <w:spacing w:before="29" w:line="360" w:lineRule="auto"/>
              <w:ind w:left="17"/>
              <w:rPr>
                <w:rFonts w:eastAsiaTheme="minorEastAsia"/>
                <w:color w:val="000000" w:themeColor="text1"/>
                <w:kern w:val="0"/>
                <w:sz w:val="24"/>
              </w:rPr>
            </w:pPr>
            <w:r w:rsidRPr="008519A9">
              <w:rPr>
                <w:rFonts w:eastAsiaTheme="minorEastAsia" w:hint="eastAsia"/>
                <w:color w:val="000000" w:themeColor="text1"/>
                <w:kern w:val="0"/>
                <w:sz w:val="24"/>
              </w:rPr>
              <w:t>4</w:t>
            </w:r>
            <w:r w:rsidRPr="008519A9">
              <w:rPr>
                <w:rFonts w:eastAsiaTheme="minorEastAsia" w:hint="eastAsia"/>
                <w:color w:val="000000" w:themeColor="text1"/>
                <w:kern w:val="0"/>
                <w:sz w:val="24"/>
              </w:rPr>
              <w:t>、股票投资策略</w:t>
            </w:r>
          </w:p>
          <w:p w:rsidR="008532F3" w:rsidRPr="00F82017" w:rsidRDefault="008519A9" w:rsidP="003F7026">
            <w:pPr>
              <w:adjustRightInd w:val="0"/>
              <w:spacing w:before="29" w:line="360" w:lineRule="auto"/>
              <w:ind w:left="17"/>
              <w:rPr>
                <w:rFonts w:eastAsiaTheme="minorEastAsia"/>
                <w:color w:val="000000" w:themeColor="text1"/>
                <w:sz w:val="24"/>
              </w:rPr>
            </w:pPr>
            <w:r w:rsidRPr="008519A9">
              <w:rPr>
                <w:rFonts w:eastAsiaTheme="minorEastAsia" w:hint="eastAsia"/>
                <w:color w:val="000000" w:themeColor="text1"/>
                <w:kern w:val="0"/>
                <w:sz w:val="24"/>
              </w:rPr>
              <w:t>基金管理人将把握股票市场出现的趋势性或结构性投资机会，在本基金合同约定范围内直接投资股票市场，努力获取超额收益。在股票投资方面，基金管理人将遵循稳健和灵活兼顾的投资思路。</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lastRenderedPageBreak/>
              <w:t>业绩比较基准</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中债综合指数收益率</w:t>
            </w:r>
            <w:r w:rsidRPr="00F82017">
              <w:rPr>
                <w:rFonts w:eastAsiaTheme="minorEastAsia"/>
                <w:color w:val="000000" w:themeColor="text1"/>
                <w:kern w:val="0"/>
                <w:sz w:val="24"/>
              </w:rPr>
              <w:t>×90%</w:t>
            </w:r>
            <w:r w:rsidRPr="00F82017">
              <w:rPr>
                <w:rFonts w:eastAsiaTheme="minorEastAsia"/>
                <w:color w:val="000000" w:themeColor="text1"/>
                <w:kern w:val="0"/>
                <w:sz w:val="24"/>
              </w:rPr>
              <w:t>＋沪深</w:t>
            </w:r>
            <w:r w:rsidRPr="00F82017">
              <w:rPr>
                <w:rFonts w:eastAsiaTheme="minorEastAsia"/>
                <w:color w:val="000000" w:themeColor="text1"/>
                <w:kern w:val="0"/>
                <w:sz w:val="24"/>
              </w:rPr>
              <w:t>300</w:t>
            </w:r>
            <w:r w:rsidRPr="00F82017">
              <w:rPr>
                <w:rFonts w:eastAsiaTheme="minorEastAsia"/>
                <w:color w:val="000000" w:themeColor="text1"/>
                <w:kern w:val="0"/>
                <w:sz w:val="24"/>
              </w:rPr>
              <w:t>指数收益率</w:t>
            </w:r>
            <w:r w:rsidRPr="00F82017">
              <w:rPr>
                <w:rFonts w:eastAsiaTheme="minorEastAsia"/>
                <w:color w:val="000000" w:themeColor="text1"/>
                <w:kern w:val="0"/>
                <w:sz w:val="24"/>
              </w:rPr>
              <w:t>×10%</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风险收益特征</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本基金为债券型基金，属证券投资基金中的较低风险品种，风险与预期收益高于货币市场基金，低于混合型基金和股票型基金。</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基金管理人</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国投瑞银基金管理有限公司</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基金托管人</w:t>
            </w:r>
          </w:p>
        </w:tc>
        <w:tc>
          <w:tcPr>
            <w:tcW w:w="5479" w:type="dxa"/>
            <w:gridSpan w:val="2"/>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kern w:val="0"/>
                <w:sz w:val="24"/>
              </w:rPr>
              <w:t>中国银行股份有限公司</w:t>
            </w:r>
          </w:p>
        </w:tc>
      </w:tr>
      <w:tr w:rsidR="0086758B" w:rsidRPr="00F82017" w:rsidTr="003F7026">
        <w:tc>
          <w:tcPr>
            <w:tcW w:w="2835" w:type="dxa"/>
            <w:vAlign w:val="center"/>
          </w:tcPr>
          <w:p w:rsidR="008532F3" w:rsidRPr="00F82017" w:rsidRDefault="00D72993"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sz w:val="24"/>
              </w:rPr>
              <w:t>下属分级</w:t>
            </w:r>
            <w:r w:rsidR="008532F3" w:rsidRPr="00F82017">
              <w:rPr>
                <w:rFonts w:eastAsiaTheme="minorEastAsia"/>
                <w:color w:val="000000" w:themeColor="text1"/>
                <w:sz w:val="24"/>
              </w:rPr>
              <w:t>基金的基金简称</w:t>
            </w:r>
          </w:p>
        </w:tc>
        <w:tc>
          <w:tcPr>
            <w:tcW w:w="2739" w:type="dxa"/>
            <w:vAlign w:val="center"/>
          </w:tcPr>
          <w:p w:rsidR="008532F3" w:rsidRPr="00F82017" w:rsidRDefault="008532F3" w:rsidP="003F7026">
            <w:pPr>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A</w:t>
            </w:r>
          </w:p>
        </w:tc>
        <w:tc>
          <w:tcPr>
            <w:tcW w:w="2740" w:type="dxa"/>
            <w:vAlign w:val="center"/>
          </w:tcPr>
          <w:p w:rsidR="008532F3" w:rsidRPr="00F82017" w:rsidRDefault="008532F3" w:rsidP="003F7026">
            <w:pPr>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C</w:t>
            </w:r>
          </w:p>
        </w:tc>
      </w:tr>
      <w:tr w:rsidR="0086758B" w:rsidRPr="00F82017" w:rsidTr="003F7026">
        <w:tc>
          <w:tcPr>
            <w:tcW w:w="2835" w:type="dxa"/>
            <w:vAlign w:val="center"/>
          </w:tcPr>
          <w:p w:rsidR="008532F3" w:rsidRPr="00F82017" w:rsidRDefault="008532F3"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sz w:val="24"/>
              </w:rPr>
              <w:t>下属</w:t>
            </w:r>
            <w:r w:rsidR="00D72993" w:rsidRPr="00F82017">
              <w:rPr>
                <w:rFonts w:eastAsiaTheme="minorEastAsia"/>
                <w:color w:val="000000" w:themeColor="text1"/>
                <w:sz w:val="24"/>
              </w:rPr>
              <w:t>分</w:t>
            </w:r>
            <w:r w:rsidRPr="00F82017">
              <w:rPr>
                <w:rFonts w:eastAsiaTheme="minorEastAsia"/>
                <w:color w:val="000000" w:themeColor="text1"/>
                <w:sz w:val="24"/>
              </w:rPr>
              <w:t>级基金的交易代码</w:t>
            </w:r>
          </w:p>
        </w:tc>
        <w:tc>
          <w:tcPr>
            <w:tcW w:w="2739" w:type="dxa"/>
            <w:vAlign w:val="center"/>
          </w:tcPr>
          <w:p w:rsidR="008532F3" w:rsidRPr="00F82017" w:rsidRDefault="008532F3" w:rsidP="003F7026">
            <w:pPr>
              <w:rPr>
                <w:rFonts w:eastAsiaTheme="minorEastAsia"/>
                <w:color w:val="000000" w:themeColor="text1"/>
                <w:sz w:val="24"/>
              </w:rPr>
            </w:pPr>
            <w:r w:rsidRPr="00F82017">
              <w:rPr>
                <w:rFonts w:eastAsiaTheme="minorEastAsia"/>
                <w:color w:val="000000" w:themeColor="text1"/>
                <w:sz w:val="24"/>
              </w:rPr>
              <w:t>002677</w:t>
            </w:r>
          </w:p>
        </w:tc>
        <w:tc>
          <w:tcPr>
            <w:tcW w:w="2740" w:type="dxa"/>
            <w:vAlign w:val="center"/>
          </w:tcPr>
          <w:p w:rsidR="008532F3" w:rsidRPr="00F82017" w:rsidRDefault="008532F3" w:rsidP="003F7026">
            <w:pPr>
              <w:rPr>
                <w:rFonts w:eastAsiaTheme="minorEastAsia"/>
                <w:color w:val="000000" w:themeColor="text1"/>
                <w:sz w:val="24"/>
              </w:rPr>
            </w:pPr>
            <w:r w:rsidRPr="00F82017">
              <w:rPr>
                <w:rFonts w:eastAsiaTheme="minorEastAsia"/>
                <w:color w:val="000000" w:themeColor="text1"/>
                <w:sz w:val="24"/>
              </w:rPr>
              <w:t>002678</w:t>
            </w:r>
          </w:p>
        </w:tc>
      </w:tr>
      <w:tr w:rsidR="0086758B" w:rsidRPr="00F82017" w:rsidTr="003F7026">
        <w:tc>
          <w:tcPr>
            <w:tcW w:w="2835" w:type="dxa"/>
            <w:vAlign w:val="center"/>
          </w:tcPr>
          <w:p w:rsidR="00F22F9F" w:rsidRPr="00F82017" w:rsidRDefault="00F22F9F" w:rsidP="003F7026">
            <w:pPr>
              <w:adjustRightInd w:val="0"/>
              <w:spacing w:before="29" w:line="360" w:lineRule="auto"/>
              <w:ind w:left="17"/>
              <w:rPr>
                <w:rFonts w:eastAsiaTheme="minorEastAsia"/>
                <w:color w:val="000000" w:themeColor="text1"/>
                <w:sz w:val="24"/>
              </w:rPr>
            </w:pPr>
            <w:r w:rsidRPr="00F82017">
              <w:rPr>
                <w:rFonts w:eastAsiaTheme="minorEastAsia"/>
                <w:color w:val="000000" w:themeColor="text1"/>
                <w:sz w:val="24"/>
              </w:rPr>
              <w:t>报告期末下属</w:t>
            </w:r>
            <w:r w:rsidR="00D72993" w:rsidRPr="00F82017">
              <w:rPr>
                <w:rFonts w:eastAsiaTheme="minorEastAsia"/>
                <w:color w:val="000000" w:themeColor="text1"/>
                <w:sz w:val="24"/>
              </w:rPr>
              <w:t>分</w:t>
            </w:r>
            <w:r w:rsidRPr="00F82017">
              <w:rPr>
                <w:rFonts w:eastAsiaTheme="minorEastAsia"/>
                <w:color w:val="000000" w:themeColor="text1"/>
                <w:sz w:val="24"/>
              </w:rPr>
              <w:t>级基金的份额总额</w:t>
            </w:r>
          </w:p>
        </w:tc>
        <w:tc>
          <w:tcPr>
            <w:tcW w:w="2739" w:type="dxa"/>
            <w:vAlign w:val="center"/>
          </w:tcPr>
          <w:p w:rsidR="00F22F9F" w:rsidRPr="00F82017" w:rsidRDefault="00F22F9F" w:rsidP="003F7026">
            <w:pPr>
              <w:rPr>
                <w:rFonts w:eastAsiaTheme="minorEastAsia"/>
                <w:color w:val="000000" w:themeColor="text1"/>
                <w:sz w:val="24"/>
              </w:rPr>
            </w:pPr>
            <w:r w:rsidRPr="00F82017">
              <w:rPr>
                <w:rFonts w:eastAsiaTheme="minorEastAsia"/>
                <w:color w:val="000000" w:themeColor="text1"/>
                <w:sz w:val="24"/>
              </w:rPr>
              <w:t>10,093,860.38</w:t>
            </w:r>
            <w:r w:rsidRPr="00F82017">
              <w:rPr>
                <w:rFonts w:eastAsiaTheme="minorEastAsia"/>
                <w:color w:val="000000" w:themeColor="text1"/>
                <w:kern w:val="0"/>
                <w:sz w:val="24"/>
              </w:rPr>
              <w:t>份</w:t>
            </w:r>
          </w:p>
        </w:tc>
        <w:tc>
          <w:tcPr>
            <w:tcW w:w="2740" w:type="dxa"/>
            <w:vAlign w:val="center"/>
          </w:tcPr>
          <w:p w:rsidR="00F22F9F" w:rsidRPr="00F82017" w:rsidRDefault="00F22F9F" w:rsidP="003F7026">
            <w:pPr>
              <w:rPr>
                <w:rFonts w:eastAsiaTheme="minorEastAsia"/>
                <w:color w:val="000000" w:themeColor="text1"/>
                <w:sz w:val="24"/>
              </w:rPr>
            </w:pPr>
            <w:r w:rsidRPr="00F82017">
              <w:rPr>
                <w:rFonts w:eastAsiaTheme="minorEastAsia"/>
                <w:color w:val="000000" w:themeColor="text1"/>
                <w:sz w:val="24"/>
              </w:rPr>
              <w:t>157,499.72</w:t>
            </w:r>
            <w:r w:rsidRPr="00F82017">
              <w:rPr>
                <w:rFonts w:eastAsiaTheme="minorEastAsia"/>
                <w:color w:val="000000" w:themeColor="text1"/>
                <w:kern w:val="0"/>
                <w:sz w:val="24"/>
              </w:rPr>
              <w:t>份</w:t>
            </w:r>
          </w:p>
        </w:tc>
      </w:tr>
    </w:tbl>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 xml:space="preserve">§3  </w:t>
      </w:r>
      <w:r w:rsidRPr="00F82017">
        <w:rPr>
          <w:rFonts w:eastAsiaTheme="minorEastAsia"/>
          <w:color w:val="000000" w:themeColor="text1"/>
          <w:kern w:val="0"/>
          <w:sz w:val="24"/>
          <w:szCs w:val="24"/>
        </w:rPr>
        <w:t>主要财务指标和基金净值表现</w:t>
      </w:r>
    </w:p>
    <w:p w:rsidR="009238DB" w:rsidRPr="00F82017" w:rsidRDefault="009238DB" w:rsidP="00FC13C8">
      <w:pPr>
        <w:autoSpaceDE w:val="0"/>
        <w:autoSpaceDN w:val="0"/>
        <w:adjustRightInd w:val="0"/>
        <w:spacing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3.1 </w:t>
      </w:r>
      <w:r w:rsidRPr="00F82017">
        <w:rPr>
          <w:rFonts w:eastAsiaTheme="minorEastAsia"/>
          <w:b/>
          <w:color w:val="000000" w:themeColor="text1"/>
          <w:kern w:val="0"/>
          <w:sz w:val="24"/>
        </w:rPr>
        <w:t>主要财务指标</w:t>
      </w:r>
    </w:p>
    <w:p w:rsidR="009238DB" w:rsidRPr="00F82017"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F82017">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81"/>
        <w:gridCol w:w="2481"/>
      </w:tblGrid>
      <w:tr w:rsidR="0086758B" w:rsidRPr="00F82017" w:rsidTr="003F7026">
        <w:tc>
          <w:tcPr>
            <w:tcW w:w="3402" w:type="dxa"/>
            <w:vMerge w:val="restart"/>
            <w:vAlign w:val="center"/>
          </w:tcPr>
          <w:p w:rsidR="009E549D" w:rsidRPr="00F82017" w:rsidRDefault="009E549D"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主要财务指标</w:t>
            </w:r>
          </w:p>
        </w:tc>
        <w:tc>
          <w:tcPr>
            <w:tcW w:w="4962" w:type="dxa"/>
            <w:gridSpan w:val="2"/>
            <w:vAlign w:val="center"/>
          </w:tcPr>
          <w:p w:rsidR="002976E5" w:rsidRPr="00F82017" w:rsidRDefault="009E549D" w:rsidP="00E205AA">
            <w:pPr>
              <w:adjustRightInd w:val="0"/>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报告期</w:t>
            </w:r>
          </w:p>
          <w:p w:rsidR="009E549D" w:rsidRPr="00F82017" w:rsidRDefault="009E549D" w:rsidP="00E205AA">
            <w:pPr>
              <w:adjustRightInd w:val="0"/>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(2018</w:t>
            </w:r>
            <w:r w:rsidRPr="00F82017">
              <w:rPr>
                <w:rFonts w:eastAsiaTheme="minorEastAsia"/>
                <w:color w:val="000000" w:themeColor="text1"/>
                <w:sz w:val="24"/>
              </w:rPr>
              <w:t>年</w:t>
            </w:r>
            <w:r w:rsidRPr="00F82017">
              <w:rPr>
                <w:rFonts w:eastAsiaTheme="minorEastAsia"/>
                <w:color w:val="000000" w:themeColor="text1"/>
                <w:sz w:val="24"/>
              </w:rPr>
              <w:t>4</w:t>
            </w:r>
            <w:r w:rsidRPr="00F82017">
              <w:rPr>
                <w:rFonts w:eastAsiaTheme="minorEastAsia"/>
                <w:color w:val="000000" w:themeColor="text1"/>
                <w:sz w:val="24"/>
              </w:rPr>
              <w:t>月</w:t>
            </w:r>
            <w:r w:rsidRPr="00F82017">
              <w:rPr>
                <w:rFonts w:eastAsiaTheme="minorEastAsia"/>
                <w:color w:val="000000" w:themeColor="text1"/>
                <w:sz w:val="24"/>
              </w:rPr>
              <w:t>1</w:t>
            </w:r>
            <w:r w:rsidRPr="00F82017">
              <w:rPr>
                <w:rFonts w:eastAsiaTheme="minorEastAsia"/>
                <w:color w:val="000000" w:themeColor="text1"/>
                <w:sz w:val="24"/>
              </w:rPr>
              <w:t>日</w:t>
            </w:r>
            <w:r w:rsidRPr="00F82017">
              <w:rPr>
                <w:rFonts w:eastAsiaTheme="minorEastAsia"/>
                <w:color w:val="000000" w:themeColor="text1"/>
                <w:sz w:val="24"/>
              </w:rPr>
              <w:t>-2018</w:t>
            </w:r>
            <w:r w:rsidRPr="00F82017">
              <w:rPr>
                <w:rFonts w:eastAsiaTheme="minorEastAsia"/>
                <w:color w:val="000000" w:themeColor="text1"/>
                <w:sz w:val="24"/>
              </w:rPr>
              <w:t>年</w:t>
            </w:r>
            <w:r w:rsidRPr="00F82017">
              <w:rPr>
                <w:rFonts w:eastAsiaTheme="minorEastAsia"/>
                <w:color w:val="000000" w:themeColor="text1"/>
                <w:sz w:val="24"/>
              </w:rPr>
              <w:t>6</w:t>
            </w:r>
            <w:r w:rsidRPr="00F82017">
              <w:rPr>
                <w:rFonts w:eastAsiaTheme="minorEastAsia"/>
                <w:color w:val="000000" w:themeColor="text1"/>
                <w:sz w:val="24"/>
              </w:rPr>
              <w:t>月</w:t>
            </w:r>
            <w:r w:rsidRPr="00F82017">
              <w:rPr>
                <w:rFonts w:eastAsiaTheme="minorEastAsia"/>
                <w:color w:val="000000" w:themeColor="text1"/>
                <w:sz w:val="24"/>
              </w:rPr>
              <w:t>30</w:t>
            </w:r>
            <w:r w:rsidRPr="00F82017">
              <w:rPr>
                <w:rFonts w:eastAsiaTheme="minorEastAsia"/>
                <w:color w:val="000000" w:themeColor="text1"/>
                <w:sz w:val="24"/>
              </w:rPr>
              <w:t>日</w:t>
            </w:r>
            <w:r w:rsidRPr="00F82017">
              <w:rPr>
                <w:rFonts w:eastAsiaTheme="minorEastAsia"/>
                <w:color w:val="000000" w:themeColor="text1"/>
                <w:sz w:val="24"/>
              </w:rPr>
              <w:t>)</w:t>
            </w:r>
          </w:p>
        </w:tc>
      </w:tr>
      <w:tr w:rsidR="0086758B" w:rsidRPr="00F82017" w:rsidTr="003F7026">
        <w:tc>
          <w:tcPr>
            <w:tcW w:w="3402" w:type="dxa"/>
            <w:vMerge/>
            <w:vAlign w:val="center"/>
          </w:tcPr>
          <w:p w:rsidR="009E549D" w:rsidRPr="00F82017" w:rsidRDefault="009E549D" w:rsidP="003F7026">
            <w:pPr>
              <w:adjustRightInd w:val="0"/>
              <w:spacing w:before="29" w:line="360" w:lineRule="auto"/>
              <w:ind w:left="17"/>
              <w:rPr>
                <w:rFonts w:eastAsiaTheme="minorEastAsia"/>
                <w:color w:val="000000" w:themeColor="text1"/>
                <w:kern w:val="0"/>
                <w:sz w:val="24"/>
              </w:rPr>
            </w:pPr>
          </w:p>
        </w:tc>
        <w:tc>
          <w:tcPr>
            <w:tcW w:w="2481" w:type="dxa"/>
            <w:vAlign w:val="center"/>
          </w:tcPr>
          <w:p w:rsidR="009E549D" w:rsidRPr="00F82017" w:rsidRDefault="009E549D" w:rsidP="00E205AA">
            <w:pPr>
              <w:adjustRightInd w:val="0"/>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A</w:t>
            </w:r>
          </w:p>
        </w:tc>
        <w:tc>
          <w:tcPr>
            <w:tcW w:w="2481" w:type="dxa"/>
            <w:vAlign w:val="center"/>
          </w:tcPr>
          <w:p w:rsidR="009E549D" w:rsidRPr="00F82017" w:rsidRDefault="00FE7FBD" w:rsidP="00E205AA">
            <w:pPr>
              <w:adjustRightInd w:val="0"/>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C</w:t>
            </w:r>
          </w:p>
        </w:tc>
      </w:tr>
      <w:tr w:rsidR="0086758B" w:rsidRPr="00F82017" w:rsidTr="003F7026">
        <w:tc>
          <w:tcPr>
            <w:tcW w:w="3402" w:type="dxa"/>
            <w:vAlign w:val="center"/>
          </w:tcPr>
          <w:p w:rsidR="005F293E" w:rsidRPr="00F82017" w:rsidRDefault="005F293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1.</w:t>
            </w:r>
            <w:r w:rsidRPr="00F82017">
              <w:rPr>
                <w:rFonts w:eastAsiaTheme="minorEastAsia"/>
                <w:color w:val="000000" w:themeColor="text1"/>
                <w:kern w:val="0"/>
                <w:sz w:val="24"/>
              </w:rPr>
              <w:t>本期已实现收益</w:t>
            </w:r>
          </w:p>
        </w:tc>
        <w:tc>
          <w:tcPr>
            <w:tcW w:w="2481" w:type="dxa"/>
            <w:vAlign w:val="center"/>
          </w:tcPr>
          <w:p w:rsidR="005F293E" w:rsidRPr="00F82017" w:rsidRDefault="005F293E"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22,524.27</w:t>
            </w:r>
          </w:p>
        </w:tc>
        <w:tc>
          <w:tcPr>
            <w:tcW w:w="2481" w:type="dxa"/>
            <w:vAlign w:val="center"/>
          </w:tcPr>
          <w:p w:rsidR="005F293E" w:rsidRPr="00F82017" w:rsidRDefault="00FE7FBD"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357.44</w:t>
            </w:r>
          </w:p>
        </w:tc>
      </w:tr>
      <w:tr w:rsidR="0086758B" w:rsidRPr="00F82017" w:rsidTr="003F7026">
        <w:tc>
          <w:tcPr>
            <w:tcW w:w="3402" w:type="dxa"/>
            <w:vAlign w:val="center"/>
          </w:tcPr>
          <w:p w:rsidR="005F293E" w:rsidRPr="00F82017" w:rsidRDefault="005F293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2.</w:t>
            </w:r>
            <w:r w:rsidRPr="00F82017">
              <w:rPr>
                <w:rFonts w:eastAsiaTheme="minorEastAsia"/>
                <w:color w:val="000000" w:themeColor="text1"/>
                <w:kern w:val="0"/>
                <w:sz w:val="24"/>
              </w:rPr>
              <w:t>本期利润</w:t>
            </w:r>
          </w:p>
        </w:tc>
        <w:tc>
          <w:tcPr>
            <w:tcW w:w="2481" w:type="dxa"/>
            <w:vAlign w:val="center"/>
          </w:tcPr>
          <w:p w:rsidR="005F293E" w:rsidRPr="00F82017" w:rsidRDefault="005F293E"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-43,621.62</w:t>
            </w:r>
          </w:p>
        </w:tc>
        <w:tc>
          <w:tcPr>
            <w:tcW w:w="2481" w:type="dxa"/>
            <w:vAlign w:val="center"/>
          </w:tcPr>
          <w:p w:rsidR="005F293E" w:rsidRPr="00F82017" w:rsidRDefault="00FE7FBD"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-647.95</w:t>
            </w:r>
          </w:p>
        </w:tc>
      </w:tr>
      <w:tr w:rsidR="0086758B" w:rsidRPr="00F82017" w:rsidTr="003F7026">
        <w:tc>
          <w:tcPr>
            <w:tcW w:w="3402" w:type="dxa"/>
            <w:vAlign w:val="center"/>
          </w:tcPr>
          <w:p w:rsidR="005F293E" w:rsidRPr="00F82017" w:rsidRDefault="005F293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3.</w:t>
            </w:r>
            <w:r w:rsidRPr="00F82017">
              <w:rPr>
                <w:rFonts w:eastAsiaTheme="minorEastAsia"/>
                <w:color w:val="000000" w:themeColor="text1"/>
                <w:kern w:val="0"/>
                <w:sz w:val="24"/>
              </w:rPr>
              <w:t>加权平均基金份额本期利润</w:t>
            </w:r>
          </w:p>
        </w:tc>
        <w:tc>
          <w:tcPr>
            <w:tcW w:w="2481" w:type="dxa"/>
            <w:vAlign w:val="center"/>
          </w:tcPr>
          <w:p w:rsidR="005F293E" w:rsidRPr="00F82017" w:rsidRDefault="005F293E"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-0.0043</w:t>
            </w:r>
          </w:p>
        </w:tc>
        <w:tc>
          <w:tcPr>
            <w:tcW w:w="2481" w:type="dxa"/>
            <w:vAlign w:val="center"/>
          </w:tcPr>
          <w:p w:rsidR="005F293E" w:rsidRPr="00F82017" w:rsidRDefault="00FE7FBD"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-0.0032</w:t>
            </w:r>
          </w:p>
        </w:tc>
      </w:tr>
      <w:tr w:rsidR="0086758B" w:rsidRPr="00F82017" w:rsidTr="003F7026">
        <w:tc>
          <w:tcPr>
            <w:tcW w:w="3402" w:type="dxa"/>
            <w:vAlign w:val="center"/>
          </w:tcPr>
          <w:p w:rsidR="005F293E" w:rsidRPr="00F82017" w:rsidRDefault="005F293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4.</w:t>
            </w:r>
            <w:r w:rsidRPr="00F82017">
              <w:rPr>
                <w:rFonts w:eastAsiaTheme="minorEastAsia"/>
                <w:color w:val="000000" w:themeColor="text1"/>
                <w:kern w:val="0"/>
                <w:sz w:val="24"/>
              </w:rPr>
              <w:t>期末基金资产净值</w:t>
            </w:r>
          </w:p>
        </w:tc>
        <w:tc>
          <w:tcPr>
            <w:tcW w:w="2481" w:type="dxa"/>
            <w:vAlign w:val="center"/>
          </w:tcPr>
          <w:p w:rsidR="005F293E" w:rsidRPr="00F82017" w:rsidRDefault="005F293E"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10,870,817.58</w:t>
            </w:r>
          </w:p>
        </w:tc>
        <w:tc>
          <w:tcPr>
            <w:tcW w:w="2481" w:type="dxa"/>
            <w:vAlign w:val="center"/>
          </w:tcPr>
          <w:p w:rsidR="005F293E" w:rsidRPr="00F82017" w:rsidRDefault="00FE7FBD"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168,476.52</w:t>
            </w:r>
          </w:p>
        </w:tc>
      </w:tr>
      <w:tr w:rsidR="0086758B" w:rsidRPr="00F82017" w:rsidTr="003F7026">
        <w:trPr>
          <w:trHeight w:val="158"/>
        </w:trPr>
        <w:tc>
          <w:tcPr>
            <w:tcW w:w="3402" w:type="dxa"/>
            <w:vAlign w:val="center"/>
          </w:tcPr>
          <w:p w:rsidR="005F293E" w:rsidRPr="00F82017" w:rsidRDefault="005F293E" w:rsidP="003F7026">
            <w:pPr>
              <w:adjustRightInd w:val="0"/>
              <w:spacing w:before="29" w:line="360" w:lineRule="auto"/>
              <w:ind w:left="17"/>
              <w:rPr>
                <w:rFonts w:eastAsiaTheme="minorEastAsia"/>
                <w:color w:val="000000" w:themeColor="text1"/>
                <w:kern w:val="0"/>
                <w:sz w:val="24"/>
              </w:rPr>
            </w:pPr>
            <w:r w:rsidRPr="00F82017">
              <w:rPr>
                <w:rFonts w:eastAsiaTheme="minorEastAsia"/>
                <w:color w:val="000000" w:themeColor="text1"/>
                <w:kern w:val="0"/>
                <w:sz w:val="24"/>
              </w:rPr>
              <w:t>5.</w:t>
            </w:r>
            <w:r w:rsidRPr="00F82017">
              <w:rPr>
                <w:rFonts w:eastAsiaTheme="minorEastAsia"/>
                <w:color w:val="000000" w:themeColor="text1"/>
                <w:kern w:val="0"/>
                <w:sz w:val="24"/>
              </w:rPr>
              <w:t>期末基金份额净值</w:t>
            </w:r>
          </w:p>
        </w:tc>
        <w:tc>
          <w:tcPr>
            <w:tcW w:w="2481" w:type="dxa"/>
            <w:vAlign w:val="center"/>
          </w:tcPr>
          <w:p w:rsidR="005F293E" w:rsidRPr="00F82017" w:rsidRDefault="005F293E"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1.0770</w:t>
            </w:r>
          </w:p>
        </w:tc>
        <w:tc>
          <w:tcPr>
            <w:tcW w:w="2481" w:type="dxa"/>
            <w:vAlign w:val="center"/>
          </w:tcPr>
          <w:p w:rsidR="005F293E" w:rsidRPr="00F82017" w:rsidRDefault="00FE7FBD" w:rsidP="003F7026">
            <w:pPr>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1.0697</w:t>
            </w:r>
          </w:p>
        </w:tc>
      </w:tr>
    </w:tbl>
    <w:p w:rsidR="00385B0A" w:rsidRDefault="00EF18B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853C4C" w:rsidRDefault="005E01A3"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2</w:t>
      </w:r>
      <w:r w:rsidRPr="00853C4C">
        <w:rPr>
          <w:rFonts w:eastAsiaTheme="minorEastAsia"/>
          <w:color w:val="000000" w:themeColor="text1"/>
          <w:sz w:val="24"/>
        </w:rPr>
        <w:t>、以上所述基金业绩指标不包括持有人认购或交易基金的各项费用（例如基金申购赎回费、基金转换费等），计入费用后实际利润水平要低于所列数字。</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3.2 </w:t>
      </w:r>
      <w:r w:rsidRPr="00F82017">
        <w:rPr>
          <w:rFonts w:eastAsiaTheme="minorEastAsia"/>
          <w:b/>
          <w:color w:val="000000" w:themeColor="text1"/>
          <w:kern w:val="0"/>
          <w:sz w:val="24"/>
        </w:rPr>
        <w:t>基金净值表现</w:t>
      </w:r>
    </w:p>
    <w:p w:rsidR="009238DB" w:rsidRPr="00F82017" w:rsidRDefault="009238DB" w:rsidP="00FC13C8">
      <w:pPr>
        <w:autoSpaceDE w:val="0"/>
        <w:autoSpaceDN w:val="0"/>
        <w:adjustRightInd w:val="0"/>
        <w:spacing w:line="360" w:lineRule="auto"/>
        <w:jc w:val="left"/>
        <w:rPr>
          <w:rFonts w:eastAsiaTheme="minorEastAsia"/>
          <w:b/>
          <w:color w:val="000000" w:themeColor="text1"/>
          <w:kern w:val="0"/>
          <w:sz w:val="24"/>
        </w:rPr>
      </w:pPr>
      <w:r w:rsidRPr="00F82017">
        <w:rPr>
          <w:rFonts w:eastAsiaTheme="minorEastAsia"/>
          <w:b/>
          <w:color w:val="000000" w:themeColor="text1"/>
          <w:kern w:val="0"/>
          <w:sz w:val="24"/>
        </w:rPr>
        <w:t>3.2.1</w:t>
      </w:r>
      <w:r w:rsidRPr="00F82017">
        <w:rPr>
          <w:rFonts w:eastAsiaTheme="minorEastAsia"/>
          <w:b/>
          <w:color w:val="000000" w:themeColor="text1"/>
          <w:kern w:val="0"/>
          <w:sz w:val="24"/>
        </w:rPr>
        <w:t>本报告期基金份额净值增长率及其与同期业绩比较基准收益率的比较</w:t>
      </w:r>
    </w:p>
    <w:p w:rsidR="009238DB" w:rsidRPr="00F82017" w:rsidRDefault="009238DB" w:rsidP="00FC13C8">
      <w:pPr>
        <w:spacing w:line="360" w:lineRule="auto"/>
        <w:rPr>
          <w:rFonts w:eastAsiaTheme="minorEastAsia"/>
          <w:b/>
          <w:color w:val="000000" w:themeColor="text1"/>
          <w:sz w:val="24"/>
        </w:rPr>
      </w:pPr>
      <w:r w:rsidRPr="00F82017">
        <w:rPr>
          <w:rFonts w:eastAsiaTheme="minorEastAsia"/>
          <w:b/>
          <w:color w:val="000000" w:themeColor="text1"/>
          <w:sz w:val="24"/>
        </w:rPr>
        <w:t>1</w:t>
      </w:r>
      <w:r w:rsidRPr="00F82017">
        <w:rPr>
          <w:rFonts w:eastAsiaTheme="minorEastAsia"/>
          <w:b/>
          <w:color w:val="000000" w:themeColor="text1"/>
          <w:sz w:val="24"/>
        </w:rPr>
        <w:t>、</w:t>
      </w:r>
      <w:r w:rsidR="00A5643A" w:rsidRPr="00F82017">
        <w:rPr>
          <w:rFonts w:eastAsiaTheme="minorEastAsia"/>
          <w:b/>
          <w:color w:val="000000" w:themeColor="text1"/>
          <w:kern w:val="0"/>
          <w:sz w:val="24"/>
        </w:rPr>
        <w:t>国投瑞银和安债券</w:t>
      </w:r>
      <w:r w:rsidR="00A5643A" w:rsidRPr="00F82017">
        <w:rPr>
          <w:rFonts w:eastAsiaTheme="minorEastAsia"/>
          <w:b/>
          <w:color w:val="000000" w:themeColor="text1"/>
          <w:kern w:val="0"/>
          <w:sz w:val="24"/>
        </w:rPr>
        <w:t>A</w:t>
      </w:r>
      <w:r w:rsidRPr="00F82017">
        <w:rPr>
          <w:rFonts w:eastAsiaTheme="minorEastAsia"/>
          <w:b/>
          <w:color w:val="000000" w:themeColor="text1"/>
          <w:sz w:val="24"/>
        </w:rPr>
        <w:t>：</w:t>
      </w:r>
    </w:p>
    <w:tbl>
      <w:tblPr>
        <w:tblStyle w:val="af2"/>
        <w:tblW w:w="0" w:type="auto"/>
        <w:tblInd w:w="108" w:type="dxa"/>
        <w:tblLayout w:type="fixed"/>
        <w:tblLook w:val="04A0"/>
      </w:tblPr>
      <w:tblGrid>
        <w:gridCol w:w="1290"/>
        <w:gridCol w:w="1291"/>
        <w:gridCol w:w="1291"/>
        <w:gridCol w:w="1291"/>
        <w:gridCol w:w="1291"/>
        <w:gridCol w:w="1291"/>
        <w:gridCol w:w="1291"/>
      </w:tblGrid>
      <w:tr w:rsidR="0086758B" w:rsidRPr="00F82017" w:rsidTr="00B54782">
        <w:tc>
          <w:tcPr>
            <w:tcW w:w="1290"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阶段</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净值增长率</w:t>
            </w:r>
            <w:r w:rsidRPr="00F82017">
              <w:rPr>
                <w:rFonts w:ascii="宋体" w:hAnsi="宋体" w:cs="宋体" w:hint="eastAsia"/>
                <w:color w:val="000000" w:themeColor="text1"/>
                <w:sz w:val="24"/>
              </w:rPr>
              <w:t>①</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净值增长率标准差</w:t>
            </w:r>
            <w:r w:rsidRPr="00F82017">
              <w:rPr>
                <w:rFonts w:ascii="宋体" w:hAnsi="宋体" w:cs="宋体" w:hint="eastAsia"/>
                <w:color w:val="000000" w:themeColor="text1"/>
                <w:sz w:val="24"/>
              </w:rPr>
              <w:t>②</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业绩比较基准收益率</w:t>
            </w:r>
            <w:r w:rsidRPr="00F82017">
              <w:rPr>
                <w:rFonts w:ascii="宋体" w:hAnsi="宋体" w:cs="宋体" w:hint="eastAsia"/>
                <w:color w:val="000000" w:themeColor="text1"/>
                <w:sz w:val="24"/>
              </w:rPr>
              <w:t>③</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业绩比较基准收益率标准差</w:t>
            </w:r>
            <w:r w:rsidRPr="00F82017">
              <w:rPr>
                <w:rFonts w:ascii="宋体" w:hAnsi="宋体" w:cs="宋体" w:hint="eastAsia"/>
                <w:color w:val="000000" w:themeColor="text1"/>
                <w:sz w:val="24"/>
              </w:rPr>
              <w:t>④</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ascii="宋体" w:hAnsi="宋体" w:cs="宋体" w:hint="eastAsia"/>
                <w:color w:val="000000" w:themeColor="text1"/>
                <w:sz w:val="24"/>
              </w:rPr>
              <w:t>①</w:t>
            </w:r>
            <w:r w:rsidRPr="00F82017">
              <w:rPr>
                <w:rFonts w:eastAsiaTheme="minorEastAsia"/>
                <w:color w:val="000000" w:themeColor="text1"/>
                <w:sz w:val="24"/>
              </w:rPr>
              <w:t>－</w:t>
            </w:r>
            <w:r w:rsidRPr="00F82017">
              <w:rPr>
                <w:rFonts w:ascii="宋体" w:hAnsi="宋体" w:cs="宋体" w:hint="eastAsia"/>
                <w:color w:val="000000" w:themeColor="text1"/>
                <w:sz w:val="24"/>
              </w:rPr>
              <w:t>③</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ascii="宋体" w:hAnsi="宋体" w:cs="宋体" w:hint="eastAsia"/>
                <w:color w:val="000000" w:themeColor="text1"/>
                <w:sz w:val="24"/>
              </w:rPr>
              <w:t>②</w:t>
            </w:r>
            <w:r w:rsidRPr="00F82017">
              <w:rPr>
                <w:rFonts w:eastAsiaTheme="minorEastAsia"/>
                <w:color w:val="000000" w:themeColor="text1"/>
                <w:sz w:val="24"/>
              </w:rPr>
              <w:t>－</w:t>
            </w:r>
            <w:r w:rsidRPr="00F82017">
              <w:rPr>
                <w:rFonts w:ascii="宋体" w:hAnsi="宋体" w:cs="宋体" w:hint="eastAsia"/>
                <w:color w:val="000000" w:themeColor="text1"/>
                <w:sz w:val="24"/>
              </w:rPr>
              <w:t>④</w:t>
            </w:r>
          </w:p>
        </w:tc>
      </w:tr>
      <w:tr w:rsidR="00385B0A">
        <w:tc>
          <w:tcPr>
            <w:tcW w:w="1290" w:type="dxa"/>
            <w:vAlign w:val="center"/>
          </w:tcPr>
          <w:p w:rsidR="00385B0A" w:rsidRDefault="00EF18B5">
            <w:pPr>
              <w:jc w:val="left"/>
            </w:pPr>
            <w:r>
              <w:rPr>
                <w:rFonts w:eastAsiaTheme="minorEastAsia"/>
                <w:color w:val="000000" w:themeColor="text1"/>
                <w:sz w:val="24"/>
              </w:rPr>
              <w:t>过去三个月</w:t>
            </w:r>
          </w:p>
        </w:tc>
        <w:tc>
          <w:tcPr>
            <w:tcW w:w="1291" w:type="dxa"/>
            <w:vAlign w:val="center"/>
          </w:tcPr>
          <w:p w:rsidR="00385B0A" w:rsidRDefault="00EF18B5">
            <w:pPr>
              <w:jc w:val="right"/>
            </w:pPr>
            <w:r>
              <w:rPr>
                <w:rFonts w:eastAsiaTheme="minorEastAsia"/>
                <w:color w:val="000000" w:themeColor="text1"/>
                <w:sz w:val="24"/>
              </w:rPr>
              <w:t>-0.37%</w:t>
            </w:r>
          </w:p>
        </w:tc>
        <w:tc>
          <w:tcPr>
            <w:tcW w:w="1291" w:type="dxa"/>
            <w:vAlign w:val="center"/>
          </w:tcPr>
          <w:p w:rsidR="00385B0A" w:rsidRDefault="00EF18B5">
            <w:pPr>
              <w:jc w:val="right"/>
            </w:pPr>
            <w:r>
              <w:rPr>
                <w:rFonts w:eastAsiaTheme="minorEastAsia"/>
                <w:color w:val="000000" w:themeColor="text1"/>
                <w:sz w:val="24"/>
              </w:rPr>
              <w:t>0.27%</w:t>
            </w:r>
          </w:p>
        </w:tc>
        <w:tc>
          <w:tcPr>
            <w:tcW w:w="1291" w:type="dxa"/>
            <w:vAlign w:val="center"/>
          </w:tcPr>
          <w:p w:rsidR="00385B0A" w:rsidRDefault="00EF18B5">
            <w:pPr>
              <w:jc w:val="right"/>
            </w:pPr>
            <w:r>
              <w:rPr>
                <w:rFonts w:eastAsiaTheme="minorEastAsia"/>
                <w:color w:val="000000" w:themeColor="text1"/>
                <w:sz w:val="24"/>
              </w:rPr>
              <w:t>-0.11%</w:t>
            </w:r>
          </w:p>
        </w:tc>
        <w:tc>
          <w:tcPr>
            <w:tcW w:w="1291" w:type="dxa"/>
            <w:vAlign w:val="center"/>
          </w:tcPr>
          <w:p w:rsidR="00385B0A" w:rsidRDefault="00EF18B5">
            <w:pPr>
              <w:jc w:val="right"/>
            </w:pPr>
            <w:r>
              <w:rPr>
                <w:rFonts w:eastAsiaTheme="minorEastAsia"/>
                <w:color w:val="000000" w:themeColor="text1"/>
                <w:sz w:val="24"/>
              </w:rPr>
              <w:t>0.14%</w:t>
            </w:r>
          </w:p>
        </w:tc>
        <w:tc>
          <w:tcPr>
            <w:tcW w:w="1291" w:type="dxa"/>
            <w:vAlign w:val="center"/>
          </w:tcPr>
          <w:p w:rsidR="00385B0A" w:rsidRDefault="00EF18B5">
            <w:pPr>
              <w:jc w:val="right"/>
            </w:pPr>
            <w:r>
              <w:rPr>
                <w:rFonts w:eastAsiaTheme="minorEastAsia"/>
                <w:color w:val="000000" w:themeColor="text1"/>
                <w:sz w:val="24"/>
              </w:rPr>
              <w:t>-0.26%</w:t>
            </w:r>
          </w:p>
        </w:tc>
        <w:tc>
          <w:tcPr>
            <w:tcW w:w="1291" w:type="dxa"/>
            <w:vAlign w:val="center"/>
          </w:tcPr>
          <w:p w:rsidR="00385B0A" w:rsidRDefault="00EF18B5">
            <w:pPr>
              <w:jc w:val="right"/>
            </w:pPr>
            <w:r>
              <w:rPr>
                <w:rFonts w:eastAsiaTheme="minorEastAsia"/>
                <w:color w:val="000000" w:themeColor="text1"/>
                <w:sz w:val="24"/>
              </w:rPr>
              <w:t>0.13%</w:t>
            </w:r>
          </w:p>
        </w:tc>
      </w:tr>
    </w:tbl>
    <w:p w:rsidR="00EF18B5" w:rsidRDefault="00EF18B5" w:rsidP="001E018F">
      <w:pPr>
        <w:adjustRightInd w:val="0"/>
        <w:spacing w:beforeLines="100" w:line="360" w:lineRule="auto"/>
        <w:rPr>
          <w:rFonts w:eastAsiaTheme="minorEastAsia"/>
          <w:b/>
          <w:color w:val="000000" w:themeColor="text1"/>
          <w:sz w:val="24"/>
        </w:rPr>
      </w:pPr>
    </w:p>
    <w:p w:rsidR="009238DB" w:rsidRPr="00F82017" w:rsidRDefault="009238DB" w:rsidP="001E018F">
      <w:pPr>
        <w:adjustRightInd w:val="0"/>
        <w:spacing w:beforeLines="100" w:line="360" w:lineRule="auto"/>
        <w:rPr>
          <w:rFonts w:eastAsiaTheme="minorEastAsia"/>
          <w:b/>
          <w:color w:val="000000" w:themeColor="text1"/>
          <w:kern w:val="0"/>
          <w:sz w:val="24"/>
        </w:rPr>
      </w:pPr>
      <w:r w:rsidRPr="00F82017">
        <w:rPr>
          <w:rFonts w:eastAsiaTheme="minorEastAsia"/>
          <w:b/>
          <w:color w:val="000000" w:themeColor="text1"/>
          <w:sz w:val="24"/>
        </w:rPr>
        <w:t>2</w:t>
      </w:r>
      <w:r w:rsidRPr="00F82017">
        <w:rPr>
          <w:rFonts w:eastAsiaTheme="minorEastAsia"/>
          <w:b/>
          <w:color w:val="000000" w:themeColor="text1"/>
          <w:sz w:val="24"/>
        </w:rPr>
        <w:t>、</w:t>
      </w:r>
      <w:r w:rsidR="00FE7FBD" w:rsidRPr="00F82017">
        <w:rPr>
          <w:rFonts w:eastAsiaTheme="minorEastAsia"/>
          <w:b/>
          <w:color w:val="000000" w:themeColor="text1"/>
          <w:kern w:val="0"/>
          <w:sz w:val="24"/>
        </w:rPr>
        <w:t>国投瑞银和安债券</w:t>
      </w:r>
      <w:r w:rsidR="00FE7FBD" w:rsidRPr="00F82017">
        <w:rPr>
          <w:rFonts w:eastAsiaTheme="minorEastAsia"/>
          <w:b/>
          <w:color w:val="000000" w:themeColor="text1"/>
          <w:kern w:val="0"/>
          <w:sz w:val="24"/>
        </w:rPr>
        <w:t>C</w:t>
      </w:r>
      <w:r w:rsidRPr="00F82017">
        <w:rPr>
          <w:rFonts w:eastAsiaTheme="minorEastAsia"/>
          <w:b/>
          <w:color w:val="000000" w:themeColor="text1"/>
          <w:kern w:val="0"/>
          <w:sz w:val="24"/>
        </w:rPr>
        <w:t>：</w:t>
      </w:r>
    </w:p>
    <w:tbl>
      <w:tblPr>
        <w:tblStyle w:val="af2"/>
        <w:tblW w:w="0" w:type="auto"/>
        <w:tblInd w:w="108" w:type="dxa"/>
        <w:tblLayout w:type="fixed"/>
        <w:tblLook w:val="04A0"/>
      </w:tblPr>
      <w:tblGrid>
        <w:gridCol w:w="1290"/>
        <w:gridCol w:w="1291"/>
        <w:gridCol w:w="1291"/>
        <w:gridCol w:w="1291"/>
        <w:gridCol w:w="1291"/>
        <w:gridCol w:w="1291"/>
        <w:gridCol w:w="1291"/>
      </w:tblGrid>
      <w:tr w:rsidR="0086758B" w:rsidRPr="00F82017" w:rsidTr="00B54782">
        <w:tc>
          <w:tcPr>
            <w:tcW w:w="1290"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阶段</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highlight w:val="green"/>
              </w:rPr>
            </w:pPr>
            <w:r w:rsidRPr="00F82017">
              <w:rPr>
                <w:rFonts w:eastAsiaTheme="minorEastAsia"/>
                <w:color w:val="000000" w:themeColor="text1"/>
                <w:sz w:val="24"/>
              </w:rPr>
              <w:t>净值增长率</w:t>
            </w:r>
            <w:r w:rsidRPr="00F82017">
              <w:rPr>
                <w:rFonts w:ascii="宋体" w:hAnsi="宋体" w:cs="宋体" w:hint="eastAsia"/>
                <w:color w:val="000000" w:themeColor="text1"/>
                <w:sz w:val="24"/>
              </w:rPr>
              <w:t>①</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highlight w:val="green"/>
              </w:rPr>
            </w:pPr>
            <w:r w:rsidRPr="00F82017">
              <w:rPr>
                <w:rFonts w:eastAsiaTheme="minorEastAsia"/>
                <w:color w:val="000000" w:themeColor="text1"/>
                <w:sz w:val="24"/>
              </w:rPr>
              <w:t>净值增长率标准差</w:t>
            </w:r>
            <w:r w:rsidRPr="00F82017">
              <w:rPr>
                <w:rFonts w:ascii="宋体" w:hAnsi="宋体" w:cs="宋体" w:hint="eastAsia"/>
                <w:color w:val="000000" w:themeColor="text1"/>
                <w:sz w:val="24"/>
              </w:rPr>
              <w:t>②</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业绩比较基准收益率</w:t>
            </w:r>
            <w:r w:rsidRPr="00F82017">
              <w:rPr>
                <w:rFonts w:ascii="宋体" w:hAnsi="宋体" w:cs="宋体" w:hint="eastAsia"/>
                <w:color w:val="000000" w:themeColor="text1"/>
                <w:sz w:val="24"/>
              </w:rPr>
              <w:t>③</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eastAsiaTheme="minorEastAsia"/>
                <w:color w:val="000000" w:themeColor="text1"/>
                <w:sz w:val="24"/>
              </w:rPr>
              <w:t>业绩比较基准收益率标准差</w:t>
            </w:r>
            <w:r w:rsidRPr="00F82017">
              <w:rPr>
                <w:rFonts w:ascii="宋体" w:hAnsi="宋体" w:cs="宋体" w:hint="eastAsia"/>
                <w:color w:val="000000" w:themeColor="text1"/>
                <w:sz w:val="24"/>
              </w:rPr>
              <w:t>④</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ascii="宋体" w:hAnsi="宋体" w:cs="宋体" w:hint="eastAsia"/>
                <w:color w:val="000000" w:themeColor="text1"/>
                <w:sz w:val="24"/>
              </w:rPr>
              <w:t>①</w:t>
            </w:r>
            <w:r w:rsidRPr="00F82017">
              <w:rPr>
                <w:rFonts w:eastAsiaTheme="minorEastAsia"/>
                <w:color w:val="000000" w:themeColor="text1"/>
                <w:sz w:val="24"/>
              </w:rPr>
              <w:t>－</w:t>
            </w:r>
            <w:r w:rsidRPr="00F82017">
              <w:rPr>
                <w:rFonts w:ascii="宋体" w:hAnsi="宋体" w:cs="宋体" w:hint="eastAsia"/>
                <w:color w:val="000000" w:themeColor="text1"/>
                <w:sz w:val="24"/>
              </w:rPr>
              <w:t>③</w:t>
            </w:r>
          </w:p>
        </w:tc>
        <w:tc>
          <w:tcPr>
            <w:tcW w:w="1291" w:type="dxa"/>
            <w:vAlign w:val="center"/>
          </w:tcPr>
          <w:p w:rsidR="00685FFC" w:rsidRPr="00F82017" w:rsidRDefault="00685FFC" w:rsidP="003F7026">
            <w:pPr>
              <w:snapToGrid w:val="0"/>
              <w:spacing w:line="288" w:lineRule="auto"/>
              <w:jc w:val="center"/>
              <w:rPr>
                <w:rFonts w:eastAsiaTheme="minorEastAsia"/>
                <w:color w:val="000000" w:themeColor="text1"/>
                <w:sz w:val="24"/>
              </w:rPr>
            </w:pPr>
            <w:r w:rsidRPr="00F82017">
              <w:rPr>
                <w:rFonts w:ascii="宋体" w:hAnsi="宋体" w:cs="宋体" w:hint="eastAsia"/>
                <w:color w:val="000000" w:themeColor="text1"/>
                <w:sz w:val="24"/>
              </w:rPr>
              <w:t>②</w:t>
            </w:r>
            <w:r w:rsidRPr="00F82017">
              <w:rPr>
                <w:rFonts w:eastAsiaTheme="minorEastAsia"/>
                <w:color w:val="000000" w:themeColor="text1"/>
                <w:sz w:val="24"/>
              </w:rPr>
              <w:t>－</w:t>
            </w:r>
            <w:r w:rsidRPr="00F82017">
              <w:rPr>
                <w:rFonts w:ascii="宋体" w:hAnsi="宋体" w:cs="宋体" w:hint="eastAsia"/>
                <w:color w:val="000000" w:themeColor="text1"/>
                <w:sz w:val="24"/>
              </w:rPr>
              <w:t>④</w:t>
            </w:r>
          </w:p>
        </w:tc>
      </w:tr>
      <w:tr w:rsidR="00385B0A">
        <w:tc>
          <w:tcPr>
            <w:tcW w:w="1290" w:type="dxa"/>
            <w:vAlign w:val="center"/>
          </w:tcPr>
          <w:p w:rsidR="00385B0A" w:rsidRDefault="00EF18B5">
            <w:pPr>
              <w:jc w:val="left"/>
            </w:pPr>
            <w:r>
              <w:rPr>
                <w:rFonts w:eastAsiaTheme="minorEastAsia"/>
                <w:color w:val="000000" w:themeColor="text1"/>
                <w:sz w:val="24"/>
              </w:rPr>
              <w:t>过去三个月</w:t>
            </w:r>
          </w:p>
        </w:tc>
        <w:tc>
          <w:tcPr>
            <w:tcW w:w="1291" w:type="dxa"/>
            <w:vAlign w:val="center"/>
          </w:tcPr>
          <w:p w:rsidR="00385B0A" w:rsidRDefault="00EF18B5">
            <w:pPr>
              <w:jc w:val="right"/>
            </w:pPr>
            <w:r>
              <w:rPr>
                <w:rFonts w:eastAsiaTheme="minorEastAsia"/>
                <w:color w:val="000000" w:themeColor="text1"/>
                <w:sz w:val="24"/>
              </w:rPr>
              <w:t>-0.49%</w:t>
            </w:r>
          </w:p>
        </w:tc>
        <w:tc>
          <w:tcPr>
            <w:tcW w:w="1291" w:type="dxa"/>
            <w:vAlign w:val="center"/>
          </w:tcPr>
          <w:p w:rsidR="00385B0A" w:rsidRDefault="00EF18B5">
            <w:pPr>
              <w:jc w:val="right"/>
            </w:pPr>
            <w:r>
              <w:rPr>
                <w:rFonts w:eastAsiaTheme="minorEastAsia"/>
                <w:color w:val="000000" w:themeColor="text1"/>
                <w:sz w:val="24"/>
              </w:rPr>
              <w:t>0.27%</w:t>
            </w:r>
          </w:p>
        </w:tc>
        <w:tc>
          <w:tcPr>
            <w:tcW w:w="1291" w:type="dxa"/>
            <w:vAlign w:val="center"/>
          </w:tcPr>
          <w:p w:rsidR="00385B0A" w:rsidRDefault="00EF18B5">
            <w:pPr>
              <w:jc w:val="right"/>
            </w:pPr>
            <w:r>
              <w:rPr>
                <w:rFonts w:eastAsiaTheme="minorEastAsia"/>
                <w:color w:val="000000" w:themeColor="text1"/>
                <w:sz w:val="24"/>
              </w:rPr>
              <w:t>-0.11%</w:t>
            </w:r>
          </w:p>
        </w:tc>
        <w:tc>
          <w:tcPr>
            <w:tcW w:w="1291" w:type="dxa"/>
            <w:vAlign w:val="center"/>
          </w:tcPr>
          <w:p w:rsidR="00385B0A" w:rsidRDefault="00EF18B5">
            <w:pPr>
              <w:jc w:val="right"/>
            </w:pPr>
            <w:r>
              <w:rPr>
                <w:rFonts w:eastAsiaTheme="minorEastAsia"/>
                <w:color w:val="000000" w:themeColor="text1"/>
                <w:sz w:val="24"/>
              </w:rPr>
              <w:t>0.14%</w:t>
            </w:r>
          </w:p>
        </w:tc>
        <w:tc>
          <w:tcPr>
            <w:tcW w:w="1291" w:type="dxa"/>
            <w:vAlign w:val="center"/>
          </w:tcPr>
          <w:p w:rsidR="00385B0A" w:rsidRDefault="00EF18B5">
            <w:pPr>
              <w:jc w:val="right"/>
            </w:pPr>
            <w:r>
              <w:rPr>
                <w:rFonts w:eastAsiaTheme="minorEastAsia"/>
                <w:color w:val="000000" w:themeColor="text1"/>
                <w:sz w:val="24"/>
              </w:rPr>
              <w:t>-0.38%</w:t>
            </w:r>
          </w:p>
        </w:tc>
        <w:tc>
          <w:tcPr>
            <w:tcW w:w="1291" w:type="dxa"/>
            <w:vAlign w:val="center"/>
          </w:tcPr>
          <w:p w:rsidR="00385B0A" w:rsidRDefault="00EF18B5">
            <w:pPr>
              <w:jc w:val="right"/>
            </w:pPr>
            <w:r>
              <w:rPr>
                <w:rFonts w:eastAsiaTheme="minorEastAsia"/>
                <w:color w:val="000000" w:themeColor="text1"/>
                <w:sz w:val="24"/>
              </w:rPr>
              <w:t>0.13%</w:t>
            </w:r>
          </w:p>
        </w:tc>
      </w:tr>
    </w:tbl>
    <w:p w:rsidR="00385B0A" w:rsidRDefault="00EF18B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中债综合指数由中央国债登记结算有限责任公司编制，样本债券涵盖的范围全面，具有广泛的市场代表性，涵盖主要交易市场、不同发行主体和期限，能够很好地反映中国债券市场总体价格水平和变动趋势。沪深</w:t>
      </w:r>
      <w:r>
        <w:rPr>
          <w:rFonts w:eastAsiaTheme="minorEastAsia"/>
          <w:color w:val="000000" w:themeColor="text1"/>
          <w:sz w:val="24"/>
        </w:rPr>
        <w:t xml:space="preserve">300 </w:t>
      </w:r>
      <w:r>
        <w:rPr>
          <w:rFonts w:eastAsiaTheme="minorEastAsia"/>
          <w:color w:val="000000" w:themeColor="text1"/>
          <w:sz w:val="24"/>
        </w:rPr>
        <w:t>指数是上海证券交易所和深圳证券交易所共同推出的沪深两个市场第一个统一指数，该指数编制合理、透明，有一定市场覆盖率，抗操纵性强，并且有较高的知名度和市场影响力。综合考虑基金资产配置与市场指数代表性等因素，本基金选用中债综合指数和沪深</w:t>
      </w:r>
      <w:r>
        <w:rPr>
          <w:rFonts w:eastAsiaTheme="minorEastAsia"/>
          <w:color w:val="000000" w:themeColor="text1"/>
          <w:sz w:val="24"/>
        </w:rPr>
        <w:t>300</w:t>
      </w:r>
      <w:r>
        <w:rPr>
          <w:rFonts w:eastAsiaTheme="minorEastAsia"/>
          <w:color w:val="000000" w:themeColor="text1"/>
          <w:sz w:val="24"/>
        </w:rPr>
        <w:t>指数加权作为本基金的投资业绩评价基准。</w:t>
      </w:r>
    </w:p>
    <w:p w:rsidR="009238DB" w:rsidRPr="00853C4C" w:rsidRDefault="00973B57"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2</w:t>
      </w:r>
      <w:r w:rsidRPr="00853C4C">
        <w:rPr>
          <w:rFonts w:eastAsiaTheme="minorEastAsia"/>
          <w:color w:val="000000" w:themeColor="text1"/>
          <w:sz w:val="24"/>
        </w:rPr>
        <w:t>、本基金对业绩比较基准采用每日再平衡的计算方法。</w:t>
      </w:r>
    </w:p>
    <w:p w:rsidR="009238DB" w:rsidRPr="00F82017" w:rsidRDefault="009238DB" w:rsidP="001E018F">
      <w:pPr>
        <w:spacing w:beforeLines="100" w:line="360" w:lineRule="auto"/>
        <w:rPr>
          <w:rFonts w:eastAsiaTheme="minorEastAsia"/>
          <w:b/>
          <w:color w:val="000000" w:themeColor="text1"/>
          <w:kern w:val="0"/>
          <w:sz w:val="24"/>
        </w:rPr>
      </w:pPr>
      <w:r w:rsidRPr="00F82017">
        <w:rPr>
          <w:rFonts w:eastAsiaTheme="minorEastAsia"/>
          <w:b/>
          <w:color w:val="000000" w:themeColor="text1"/>
          <w:kern w:val="0"/>
          <w:sz w:val="24"/>
        </w:rPr>
        <w:t>3.2.2</w:t>
      </w:r>
      <w:r w:rsidRPr="00F82017">
        <w:rPr>
          <w:rFonts w:eastAsiaTheme="minorEastAsia"/>
          <w:b/>
          <w:color w:val="000000" w:themeColor="text1"/>
          <w:kern w:val="0"/>
          <w:sz w:val="24"/>
        </w:rPr>
        <w:t xml:space="preserve">　</w:t>
      </w:r>
      <w:r w:rsidR="006016F2" w:rsidRPr="00F82017">
        <w:rPr>
          <w:rStyle w:val="af6"/>
          <w:rFonts w:eastAsiaTheme="minorEastAsia"/>
          <w:color w:val="000000" w:themeColor="text1"/>
          <w:sz w:val="24"/>
          <w:shd w:val="clear" w:color="auto" w:fill="FFFFFF"/>
        </w:rPr>
        <w:t>自基金合同生效以来</w:t>
      </w:r>
      <w:r w:rsidR="00BF57BE" w:rsidRPr="00F82017">
        <w:rPr>
          <w:rFonts w:eastAsiaTheme="minorEastAsia"/>
          <w:b/>
          <w:color w:val="000000" w:themeColor="text1"/>
          <w:sz w:val="24"/>
        </w:rPr>
        <w:t>基金累计净值增长率变动及其与同期业绩比较基准收益率变动的比较</w:t>
      </w:r>
    </w:p>
    <w:p w:rsidR="009A045B" w:rsidRPr="00F82017" w:rsidRDefault="009A045B" w:rsidP="00FC13C8">
      <w:pPr>
        <w:spacing w:line="360" w:lineRule="auto"/>
        <w:jc w:val="center"/>
        <w:rPr>
          <w:rFonts w:eastAsiaTheme="minorEastAsia"/>
          <w:color w:val="000000" w:themeColor="text1"/>
          <w:sz w:val="24"/>
        </w:rPr>
      </w:pPr>
      <w:r w:rsidRPr="00F82017">
        <w:rPr>
          <w:rFonts w:eastAsiaTheme="minorEastAsia"/>
          <w:color w:val="000000" w:themeColor="text1"/>
          <w:sz w:val="24"/>
        </w:rPr>
        <w:t>国投瑞银和安债券型证券投资基金</w:t>
      </w:r>
    </w:p>
    <w:p w:rsidR="00022396" w:rsidRPr="00F82017" w:rsidRDefault="00022396" w:rsidP="00FC13C8">
      <w:pPr>
        <w:pStyle w:val="a5"/>
        <w:snapToGrid w:val="0"/>
        <w:spacing w:line="360" w:lineRule="auto"/>
        <w:jc w:val="center"/>
        <w:rPr>
          <w:rFonts w:ascii="Times New Roman" w:eastAsiaTheme="minorEastAsia" w:hAnsi="Times New Roman"/>
          <w:color w:val="000000" w:themeColor="text1"/>
          <w:sz w:val="24"/>
          <w:szCs w:val="24"/>
        </w:rPr>
      </w:pPr>
      <w:r w:rsidRPr="00F82017">
        <w:rPr>
          <w:rFonts w:ascii="Times New Roman" w:eastAsiaTheme="minorEastAsia" w:hAnsi="Times New Roman"/>
          <w:color w:val="000000" w:themeColor="text1"/>
          <w:sz w:val="24"/>
          <w:szCs w:val="24"/>
        </w:rPr>
        <w:t>累计净值增长率与业绩比较基准收益率的历史走势对比图</w:t>
      </w:r>
    </w:p>
    <w:p w:rsidR="009A045B" w:rsidRPr="00F82017" w:rsidRDefault="009A045B" w:rsidP="00FC13C8">
      <w:pPr>
        <w:pStyle w:val="a5"/>
        <w:snapToGrid w:val="0"/>
        <w:spacing w:line="360" w:lineRule="auto"/>
        <w:ind w:firstLine="480"/>
        <w:jc w:val="center"/>
        <w:rPr>
          <w:rFonts w:ascii="Times New Roman" w:eastAsiaTheme="minorEastAsia" w:hAnsi="Times New Roman"/>
          <w:color w:val="000000" w:themeColor="text1"/>
          <w:sz w:val="24"/>
          <w:szCs w:val="24"/>
        </w:rPr>
      </w:pPr>
      <w:r w:rsidRPr="00F82017">
        <w:rPr>
          <w:rFonts w:ascii="Times New Roman" w:eastAsiaTheme="minorEastAsia" w:hAnsi="Times New Roman"/>
          <w:color w:val="000000" w:themeColor="text1"/>
          <w:sz w:val="24"/>
          <w:szCs w:val="24"/>
        </w:rPr>
        <w:t>(</w:t>
      </w:r>
      <w:r w:rsidR="00D04410" w:rsidRPr="00F82017">
        <w:rPr>
          <w:rFonts w:ascii="Times New Roman" w:eastAsiaTheme="minorEastAsia" w:hAnsi="Times New Roman"/>
          <w:color w:val="000000" w:themeColor="text1"/>
          <w:sz w:val="24"/>
          <w:szCs w:val="24"/>
        </w:rPr>
        <w:t>2016</w:t>
      </w:r>
      <w:r w:rsidR="00D04410" w:rsidRPr="00F82017">
        <w:rPr>
          <w:rFonts w:ascii="Times New Roman" w:eastAsiaTheme="minorEastAsia" w:hAnsi="Times New Roman"/>
          <w:color w:val="000000" w:themeColor="text1"/>
          <w:sz w:val="24"/>
          <w:szCs w:val="24"/>
        </w:rPr>
        <w:t>年</w:t>
      </w:r>
      <w:r w:rsidR="00D04410" w:rsidRPr="00F82017">
        <w:rPr>
          <w:rFonts w:ascii="Times New Roman" w:eastAsiaTheme="minorEastAsia" w:hAnsi="Times New Roman"/>
          <w:color w:val="000000" w:themeColor="text1"/>
          <w:sz w:val="24"/>
          <w:szCs w:val="24"/>
        </w:rPr>
        <w:t>4</w:t>
      </w:r>
      <w:r w:rsidR="00D04410" w:rsidRPr="00F82017">
        <w:rPr>
          <w:rFonts w:ascii="Times New Roman" w:eastAsiaTheme="minorEastAsia" w:hAnsi="Times New Roman"/>
          <w:color w:val="000000" w:themeColor="text1"/>
          <w:sz w:val="24"/>
          <w:szCs w:val="24"/>
        </w:rPr>
        <w:t>月</w:t>
      </w:r>
      <w:r w:rsidR="00D04410" w:rsidRPr="00F82017">
        <w:rPr>
          <w:rFonts w:ascii="Times New Roman" w:eastAsiaTheme="minorEastAsia" w:hAnsi="Times New Roman"/>
          <w:color w:val="000000" w:themeColor="text1"/>
          <w:sz w:val="24"/>
          <w:szCs w:val="24"/>
        </w:rPr>
        <w:t>22</w:t>
      </w:r>
      <w:r w:rsidR="00D04410" w:rsidRPr="00F82017">
        <w:rPr>
          <w:rFonts w:ascii="Times New Roman" w:eastAsiaTheme="minorEastAsia" w:hAnsi="Times New Roman"/>
          <w:color w:val="000000" w:themeColor="text1"/>
          <w:sz w:val="24"/>
          <w:szCs w:val="24"/>
        </w:rPr>
        <w:t>日</w:t>
      </w:r>
      <w:r w:rsidRPr="00F82017">
        <w:rPr>
          <w:rFonts w:ascii="Times New Roman" w:eastAsiaTheme="minorEastAsia" w:hAnsi="Times New Roman"/>
          <w:color w:val="000000" w:themeColor="text1"/>
          <w:sz w:val="24"/>
          <w:szCs w:val="24"/>
        </w:rPr>
        <w:t>至</w:t>
      </w:r>
      <w:r w:rsidRPr="00F82017">
        <w:rPr>
          <w:rFonts w:ascii="Times New Roman" w:eastAsiaTheme="minorEastAsia" w:hAnsi="Times New Roman"/>
          <w:color w:val="000000" w:themeColor="text1"/>
          <w:sz w:val="24"/>
          <w:szCs w:val="24"/>
        </w:rPr>
        <w:t>2018</w:t>
      </w:r>
      <w:r w:rsidRPr="00F82017">
        <w:rPr>
          <w:rFonts w:ascii="Times New Roman" w:eastAsiaTheme="minorEastAsia" w:hAnsi="Times New Roman"/>
          <w:color w:val="000000" w:themeColor="text1"/>
          <w:sz w:val="24"/>
          <w:szCs w:val="24"/>
        </w:rPr>
        <w:t>年</w:t>
      </w:r>
      <w:r w:rsidRPr="00F82017">
        <w:rPr>
          <w:rFonts w:ascii="Times New Roman" w:eastAsiaTheme="minorEastAsia" w:hAnsi="Times New Roman"/>
          <w:color w:val="000000" w:themeColor="text1"/>
          <w:sz w:val="24"/>
          <w:szCs w:val="24"/>
        </w:rPr>
        <w:t>6</w:t>
      </w:r>
      <w:r w:rsidRPr="00F82017">
        <w:rPr>
          <w:rFonts w:ascii="Times New Roman" w:eastAsiaTheme="minorEastAsia" w:hAnsi="Times New Roman"/>
          <w:color w:val="000000" w:themeColor="text1"/>
          <w:sz w:val="24"/>
          <w:szCs w:val="24"/>
        </w:rPr>
        <w:t>月</w:t>
      </w:r>
      <w:r w:rsidRPr="00F82017">
        <w:rPr>
          <w:rFonts w:ascii="Times New Roman" w:eastAsiaTheme="minorEastAsia" w:hAnsi="Times New Roman"/>
          <w:color w:val="000000" w:themeColor="text1"/>
          <w:sz w:val="24"/>
          <w:szCs w:val="24"/>
        </w:rPr>
        <w:t>30</w:t>
      </w:r>
      <w:r w:rsidRPr="00F82017">
        <w:rPr>
          <w:rFonts w:ascii="Times New Roman" w:eastAsiaTheme="minorEastAsia" w:hAnsi="Times New Roman"/>
          <w:color w:val="000000" w:themeColor="text1"/>
          <w:sz w:val="24"/>
          <w:szCs w:val="24"/>
        </w:rPr>
        <w:t>日</w:t>
      </w:r>
      <w:r w:rsidRPr="00F82017">
        <w:rPr>
          <w:rFonts w:ascii="Times New Roman" w:eastAsiaTheme="minorEastAsia" w:hAnsi="Times New Roman"/>
          <w:color w:val="000000" w:themeColor="text1"/>
          <w:sz w:val="24"/>
          <w:szCs w:val="24"/>
        </w:rPr>
        <w:t>)</w:t>
      </w:r>
    </w:p>
    <w:p w:rsidR="009238DB" w:rsidRPr="00F82017" w:rsidRDefault="009238DB" w:rsidP="00FC13C8">
      <w:pPr>
        <w:snapToGrid w:val="0"/>
        <w:spacing w:line="360" w:lineRule="auto"/>
        <w:rPr>
          <w:rFonts w:eastAsiaTheme="minorEastAsia"/>
          <w:color w:val="000000" w:themeColor="text1"/>
          <w:sz w:val="24"/>
        </w:rPr>
      </w:pPr>
      <w:r w:rsidRPr="00F82017">
        <w:rPr>
          <w:rFonts w:eastAsiaTheme="minorEastAsia"/>
          <w:color w:val="000000" w:themeColor="text1"/>
          <w:sz w:val="24"/>
        </w:rPr>
        <w:t>1</w:t>
      </w:r>
      <w:r w:rsidRPr="00F82017">
        <w:rPr>
          <w:rFonts w:eastAsiaTheme="minorEastAsia"/>
          <w:color w:val="000000" w:themeColor="text1"/>
          <w:sz w:val="24"/>
        </w:rPr>
        <w:t>．</w:t>
      </w:r>
      <w:r w:rsidR="0042785F" w:rsidRPr="00F82017">
        <w:rPr>
          <w:rFonts w:eastAsiaTheme="minorEastAsia"/>
          <w:color w:val="000000" w:themeColor="text1"/>
          <w:sz w:val="24"/>
        </w:rPr>
        <w:t>国投瑞银和安债券</w:t>
      </w:r>
      <w:r w:rsidR="0042785F" w:rsidRPr="00F82017">
        <w:rPr>
          <w:rFonts w:eastAsiaTheme="minorEastAsia"/>
          <w:color w:val="000000" w:themeColor="text1"/>
          <w:sz w:val="24"/>
        </w:rPr>
        <w:t>A</w:t>
      </w:r>
      <w:r w:rsidRPr="00F82017">
        <w:rPr>
          <w:rFonts w:eastAsiaTheme="minorEastAsia"/>
          <w:color w:val="000000" w:themeColor="text1"/>
          <w:sz w:val="24"/>
        </w:rPr>
        <w:t>：</w:t>
      </w:r>
    </w:p>
    <w:p w:rsidR="00FC7F43" w:rsidRPr="00F82017" w:rsidRDefault="009D5A40" w:rsidP="00FC7F43">
      <w:pPr>
        <w:pStyle w:val="20"/>
        <w:spacing w:line="288" w:lineRule="auto"/>
        <w:ind w:firstLineChars="0" w:firstLine="0"/>
        <w:jc w:val="center"/>
        <w:rPr>
          <w:rFonts w:ascii="Times New Roman" w:eastAsiaTheme="minorEastAsia" w:hAnsi="Times New Roman"/>
          <w:color w:val="000000" w:themeColor="text1"/>
        </w:rPr>
      </w:pPr>
      <w:r w:rsidRPr="00F82017">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238DB" w:rsidRPr="00F82017" w:rsidRDefault="009238DB" w:rsidP="001E018F">
      <w:pPr>
        <w:snapToGrid w:val="0"/>
        <w:spacing w:beforeLines="100" w:line="360" w:lineRule="auto"/>
        <w:rPr>
          <w:rFonts w:eastAsiaTheme="minorEastAsia"/>
          <w:color w:val="000000" w:themeColor="text1"/>
          <w:sz w:val="24"/>
        </w:rPr>
      </w:pPr>
      <w:r w:rsidRPr="00F82017">
        <w:rPr>
          <w:rFonts w:eastAsiaTheme="minorEastAsia"/>
          <w:color w:val="000000" w:themeColor="text1"/>
          <w:sz w:val="24"/>
        </w:rPr>
        <w:t>2</w:t>
      </w:r>
      <w:r w:rsidRPr="00F82017">
        <w:rPr>
          <w:rFonts w:eastAsiaTheme="minorEastAsia"/>
          <w:color w:val="000000" w:themeColor="text1"/>
          <w:sz w:val="24"/>
        </w:rPr>
        <w:t>．</w:t>
      </w:r>
      <w:r w:rsidR="00FE7FBD" w:rsidRPr="00F82017">
        <w:rPr>
          <w:rFonts w:eastAsiaTheme="minorEastAsia"/>
          <w:color w:val="000000" w:themeColor="text1"/>
          <w:sz w:val="24"/>
        </w:rPr>
        <w:t>国投瑞银和安债券</w:t>
      </w:r>
      <w:r w:rsidR="00FE7FBD" w:rsidRPr="00F82017">
        <w:rPr>
          <w:rFonts w:eastAsiaTheme="minorEastAsia"/>
          <w:color w:val="000000" w:themeColor="text1"/>
          <w:sz w:val="24"/>
        </w:rPr>
        <w:t>C</w:t>
      </w:r>
      <w:r w:rsidR="0042785F" w:rsidRPr="00F82017">
        <w:rPr>
          <w:rFonts w:eastAsiaTheme="minorEastAsia"/>
          <w:color w:val="000000" w:themeColor="text1"/>
          <w:sz w:val="24"/>
        </w:rPr>
        <w:t>：</w:t>
      </w:r>
    </w:p>
    <w:p w:rsidR="00FC7F43" w:rsidRPr="00F82017" w:rsidRDefault="00BD72C1" w:rsidP="00FC7F43">
      <w:pPr>
        <w:pStyle w:val="20"/>
        <w:spacing w:line="288" w:lineRule="auto"/>
        <w:ind w:firstLineChars="0" w:firstLine="0"/>
        <w:jc w:val="center"/>
        <w:rPr>
          <w:rFonts w:ascii="Times New Roman" w:eastAsiaTheme="minorEastAsia" w:hAnsi="Times New Roman"/>
          <w:color w:val="000000" w:themeColor="text1"/>
        </w:rPr>
      </w:pPr>
      <w:r w:rsidRPr="00F82017">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73B57" w:rsidRDefault="00757FD7"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注：本基金建仓期为自基金合同生效日起的</w:t>
      </w:r>
      <w:r w:rsidRPr="00853C4C">
        <w:rPr>
          <w:rFonts w:eastAsiaTheme="minorEastAsia"/>
          <w:color w:val="000000" w:themeColor="text1"/>
          <w:sz w:val="24"/>
        </w:rPr>
        <w:t>6</w:t>
      </w:r>
      <w:r w:rsidRPr="00853C4C">
        <w:rPr>
          <w:rFonts w:eastAsiaTheme="minorEastAsia"/>
          <w:color w:val="000000" w:themeColor="text1"/>
          <w:sz w:val="24"/>
        </w:rPr>
        <w:t>个月。截至建仓期结束，本基金各项资产配置比例符合基金合同及招募说明书有关投资比例的约定。</w:t>
      </w:r>
    </w:p>
    <w:p w:rsidR="00EF18B5" w:rsidRPr="00853C4C" w:rsidRDefault="00EF18B5" w:rsidP="00853C4C">
      <w:pPr>
        <w:autoSpaceDE w:val="0"/>
        <w:autoSpaceDN w:val="0"/>
        <w:adjustRightInd w:val="0"/>
        <w:spacing w:line="360" w:lineRule="auto"/>
        <w:ind w:firstLineChars="200" w:firstLine="480"/>
        <w:jc w:val="left"/>
        <w:rPr>
          <w:rFonts w:eastAsiaTheme="minorEastAsia"/>
          <w:color w:val="000000" w:themeColor="text1"/>
          <w:sz w:val="24"/>
        </w:rPr>
      </w:pPr>
    </w:p>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 xml:space="preserve">§4  </w:t>
      </w:r>
      <w:r w:rsidRPr="00F82017">
        <w:rPr>
          <w:rFonts w:eastAsiaTheme="minorEastAsia"/>
          <w:color w:val="000000" w:themeColor="text1"/>
          <w:kern w:val="0"/>
          <w:sz w:val="24"/>
          <w:szCs w:val="24"/>
        </w:rPr>
        <w:t>管理人报告</w:t>
      </w:r>
    </w:p>
    <w:p w:rsidR="009238DB" w:rsidRPr="00F82017" w:rsidRDefault="009238DB" w:rsidP="00FC13C8">
      <w:pPr>
        <w:autoSpaceDE w:val="0"/>
        <w:autoSpaceDN w:val="0"/>
        <w:adjustRightInd w:val="0"/>
        <w:spacing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4.1 </w:t>
      </w:r>
      <w:r w:rsidRPr="00F82017">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4264FD" w:rsidRPr="00F82017" w:rsidTr="00B54782">
        <w:tc>
          <w:tcPr>
            <w:tcW w:w="952" w:type="dxa"/>
            <w:vMerge w:val="restart"/>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姓名</w:t>
            </w:r>
          </w:p>
        </w:tc>
        <w:tc>
          <w:tcPr>
            <w:tcW w:w="930" w:type="dxa"/>
            <w:vMerge w:val="restart"/>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职务</w:t>
            </w:r>
          </w:p>
        </w:tc>
        <w:tc>
          <w:tcPr>
            <w:tcW w:w="2519" w:type="dxa"/>
            <w:gridSpan w:val="2"/>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任本基金的基金经理期限</w:t>
            </w:r>
          </w:p>
        </w:tc>
        <w:tc>
          <w:tcPr>
            <w:tcW w:w="1254" w:type="dxa"/>
            <w:vMerge w:val="restart"/>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证券从业年限</w:t>
            </w:r>
          </w:p>
        </w:tc>
        <w:tc>
          <w:tcPr>
            <w:tcW w:w="3276" w:type="dxa"/>
            <w:vMerge w:val="restart"/>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说明</w:t>
            </w:r>
          </w:p>
        </w:tc>
      </w:tr>
      <w:tr w:rsidR="004264FD" w:rsidRPr="00F82017" w:rsidTr="00B54782">
        <w:tc>
          <w:tcPr>
            <w:tcW w:w="952" w:type="dxa"/>
            <w:vMerge/>
            <w:vAlign w:val="center"/>
          </w:tcPr>
          <w:p w:rsidR="00C41617" w:rsidRPr="00F82017" w:rsidRDefault="00C41617" w:rsidP="0058694E">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C41617" w:rsidRPr="00F82017" w:rsidRDefault="00C41617" w:rsidP="0058694E">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任职日期</w:t>
            </w:r>
          </w:p>
        </w:tc>
        <w:tc>
          <w:tcPr>
            <w:tcW w:w="1309" w:type="dxa"/>
            <w:vAlign w:val="center"/>
          </w:tcPr>
          <w:p w:rsidR="00C41617" w:rsidRPr="00F82017" w:rsidRDefault="00C41617"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离任日期</w:t>
            </w:r>
          </w:p>
        </w:tc>
        <w:tc>
          <w:tcPr>
            <w:tcW w:w="1254" w:type="dxa"/>
            <w:vMerge/>
            <w:vAlign w:val="center"/>
          </w:tcPr>
          <w:p w:rsidR="00C41617" w:rsidRPr="00F82017" w:rsidRDefault="00C41617" w:rsidP="0058694E">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C41617" w:rsidRPr="00F82017" w:rsidRDefault="00C41617" w:rsidP="0058694E">
            <w:pPr>
              <w:autoSpaceDE w:val="0"/>
              <w:autoSpaceDN w:val="0"/>
              <w:adjustRightInd w:val="0"/>
              <w:spacing w:before="29" w:line="288" w:lineRule="auto"/>
              <w:ind w:left="15"/>
              <w:jc w:val="center"/>
              <w:rPr>
                <w:rFonts w:eastAsiaTheme="minorEastAsia"/>
                <w:color w:val="000000" w:themeColor="text1"/>
                <w:kern w:val="0"/>
                <w:sz w:val="24"/>
              </w:rPr>
            </w:pPr>
          </w:p>
        </w:tc>
      </w:tr>
      <w:tr w:rsidR="00385B0A">
        <w:tc>
          <w:tcPr>
            <w:tcW w:w="952" w:type="dxa"/>
            <w:vAlign w:val="center"/>
          </w:tcPr>
          <w:p w:rsidR="00385B0A" w:rsidRDefault="00EF18B5">
            <w:pPr>
              <w:jc w:val="center"/>
            </w:pPr>
            <w:r>
              <w:rPr>
                <w:rFonts w:eastAsiaTheme="minorEastAsia"/>
                <w:color w:val="000000" w:themeColor="text1"/>
                <w:sz w:val="24"/>
              </w:rPr>
              <w:t>李怡文</w:t>
            </w:r>
          </w:p>
        </w:tc>
        <w:tc>
          <w:tcPr>
            <w:tcW w:w="930" w:type="dxa"/>
            <w:vAlign w:val="center"/>
          </w:tcPr>
          <w:p w:rsidR="00385B0A" w:rsidRDefault="00EF18B5">
            <w:pPr>
              <w:jc w:val="center"/>
            </w:pPr>
            <w:r>
              <w:rPr>
                <w:rFonts w:eastAsiaTheme="minorEastAsia"/>
                <w:color w:val="000000" w:themeColor="text1"/>
                <w:sz w:val="24"/>
              </w:rPr>
              <w:t>本基金基金经理、固定收益部副总监</w:t>
            </w:r>
          </w:p>
        </w:tc>
        <w:tc>
          <w:tcPr>
            <w:tcW w:w="1210" w:type="dxa"/>
            <w:vAlign w:val="center"/>
          </w:tcPr>
          <w:p w:rsidR="00385B0A" w:rsidRDefault="00EF18B5">
            <w:pPr>
              <w:jc w:val="center"/>
            </w:pPr>
            <w:r>
              <w:rPr>
                <w:rFonts w:eastAsiaTheme="minorEastAsia"/>
                <w:color w:val="000000" w:themeColor="text1"/>
                <w:sz w:val="24"/>
              </w:rPr>
              <w:t>2016-04-30</w:t>
            </w:r>
          </w:p>
        </w:tc>
        <w:tc>
          <w:tcPr>
            <w:tcW w:w="1309" w:type="dxa"/>
            <w:vAlign w:val="center"/>
          </w:tcPr>
          <w:p w:rsidR="00385B0A" w:rsidRDefault="00EF18B5">
            <w:pPr>
              <w:jc w:val="center"/>
            </w:pPr>
            <w:r>
              <w:rPr>
                <w:rFonts w:eastAsiaTheme="minorEastAsia"/>
                <w:color w:val="000000" w:themeColor="text1"/>
                <w:sz w:val="24"/>
              </w:rPr>
              <w:t>-</w:t>
            </w:r>
          </w:p>
        </w:tc>
        <w:tc>
          <w:tcPr>
            <w:tcW w:w="1254" w:type="dxa"/>
            <w:vAlign w:val="center"/>
          </w:tcPr>
          <w:p w:rsidR="00385B0A" w:rsidRDefault="00EF18B5">
            <w:pPr>
              <w:jc w:val="center"/>
            </w:pPr>
            <w:r>
              <w:rPr>
                <w:rFonts w:eastAsiaTheme="minorEastAsia"/>
                <w:color w:val="000000" w:themeColor="text1"/>
                <w:sz w:val="24"/>
              </w:rPr>
              <w:t>17</w:t>
            </w:r>
          </w:p>
        </w:tc>
        <w:tc>
          <w:tcPr>
            <w:tcW w:w="3276" w:type="dxa"/>
            <w:vAlign w:val="center"/>
          </w:tcPr>
          <w:p w:rsidR="00385B0A" w:rsidRDefault="00EF18B5">
            <w:r>
              <w:rPr>
                <w:rFonts w:eastAsiaTheme="minorEastAsia"/>
                <w:color w:val="000000" w:themeColor="text1"/>
                <w:sz w:val="24"/>
              </w:rPr>
              <w:t>中国籍，硕士，具有基金从业资格。曾任</w:t>
            </w:r>
            <w:r>
              <w:rPr>
                <w:rFonts w:eastAsiaTheme="minorEastAsia"/>
                <w:color w:val="000000" w:themeColor="text1"/>
                <w:sz w:val="24"/>
              </w:rPr>
              <w:t>Froley Revy Investment Company</w:t>
            </w:r>
            <w:r>
              <w:rPr>
                <w:rFonts w:eastAsiaTheme="minorEastAsia"/>
                <w:color w:val="000000" w:themeColor="text1"/>
                <w:sz w:val="24"/>
              </w:rPr>
              <w:t>分析师、中国建设银行（香港）资产组合经理。</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加入国投瑞银，曾任国投瑞银纯债债券型证券投资基金、国投瑞银新机遇灵活配置混合型证券投资基金、国投瑞银岁增利一年期定期开放债券型证券投资基金和国投瑞银招财保本混合型证券投资基金基金经理。现任国投瑞银优化增强债券型证券投资基金、国投瑞银瑞源灵活配置混合型证券投资基金（原国投瑞银瑞源保本混合型证券投资基金）、国投瑞银境煊灵活配置混合型证券投资基金（原国投瑞银境煊保本混合型证券投资基金）和国投瑞银和安债券型证券投资基金基金经理。</w:t>
            </w:r>
          </w:p>
        </w:tc>
      </w:tr>
      <w:tr w:rsidR="00385B0A">
        <w:tc>
          <w:tcPr>
            <w:tcW w:w="952" w:type="dxa"/>
            <w:vAlign w:val="center"/>
          </w:tcPr>
          <w:p w:rsidR="00385B0A" w:rsidRDefault="00EF18B5">
            <w:pPr>
              <w:jc w:val="center"/>
            </w:pPr>
            <w:r>
              <w:rPr>
                <w:rFonts w:eastAsiaTheme="minorEastAsia"/>
                <w:color w:val="000000" w:themeColor="text1"/>
                <w:sz w:val="24"/>
              </w:rPr>
              <w:t>董晗</w:t>
            </w:r>
          </w:p>
        </w:tc>
        <w:tc>
          <w:tcPr>
            <w:tcW w:w="930" w:type="dxa"/>
            <w:vAlign w:val="center"/>
          </w:tcPr>
          <w:p w:rsidR="00385B0A" w:rsidRDefault="00EF18B5">
            <w:pPr>
              <w:jc w:val="center"/>
            </w:pPr>
            <w:r>
              <w:rPr>
                <w:rFonts w:eastAsiaTheme="minorEastAsia"/>
                <w:color w:val="000000" w:themeColor="text1"/>
                <w:sz w:val="24"/>
              </w:rPr>
              <w:t>本基金基金经理</w:t>
            </w:r>
          </w:p>
        </w:tc>
        <w:tc>
          <w:tcPr>
            <w:tcW w:w="1210" w:type="dxa"/>
            <w:vAlign w:val="center"/>
          </w:tcPr>
          <w:p w:rsidR="00385B0A" w:rsidRDefault="00EF18B5">
            <w:pPr>
              <w:jc w:val="center"/>
            </w:pPr>
            <w:r>
              <w:rPr>
                <w:rFonts w:eastAsiaTheme="minorEastAsia"/>
                <w:color w:val="000000" w:themeColor="text1"/>
                <w:sz w:val="24"/>
              </w:rPr>
              <w:t>2017-05-20</w:t>
            </w:r>
          </w:p>
        </w:tc>
        <w:tc>
          <w:tcPr>
            <w:tcW w:w="1309" w:type="dxa"/>
            <w:vAlign w:val="center"/>
          </w:tcPr>
          <w:p w:rsidR="00385B0A" w:rsidRDefault="00EF18B5">
            <w:pPr>
              <w:jc w:val="center"/>
            </w:pPr>
            <w:r>
              <w:rPr>
                <w:rFonts w:eastAsiaTheme="minorEastAsia"/>
                <w:color w:val="000000" w:themeColor="text1"/>
                <w:sz w:val="24"/>
              </w:rPr>
              <w:t>-</w:t>
            </w:r>
          </w:p>
        </w:tc>
        <w:tc>
          <w:tcPr>
            <w:tcW w:w="1254" w:type="dxa"/>
            <w:vAlign w:val="center"/>
          </w:tcPr>
          <w:p w:rsidR="00385B0A" w:rsidRDefault="00EF18B5">
            <w:pPr>
              <w:jc w:val="center"/>
            </w:pPr>
            <w:r>
              <w:rPr>
                <w:rFonts w:eastAsiaTheme="minorEastAsia"/>
                <w:color w:val="000000" w:themeColor="text1"/>
                <w:sz w:val="24"/>
              </w:rPr>
              <w:t>12</w:t>
            </w:r>
          </w:p>
        </w:tc>
        <w:tc>
          <w:tcPr>
            <w:tcW w:w="3276" w:type="dxa"/>
            <w:vAlign w:val="center"/>
          </w:tcPr>
          <w:p w:rsidR="00385B0A" w:rsidRDefault="00EF18B5">
            <w:r>
              <w:rPr>
                <w:rFonts w:eastAsiaTheme="minorEastAsia"/>
                <w:color w:val="000000" w:themeColor="text1"/>
                <w:sz w:val="24"/>
              </w:rPr>
              <w:t>中国籍，硕士，具有基金从业资格。曾任易方达基金管理有限公司金属、非金属行业研究员，</w:t>
            </w:r>
            <w:r>
              <w:rPr>
                <w:rFonts w:eastAsiaTheme="minorEastAsia"/>
                <w:color w:val="000000" w:themeColor="text1"/>
                <w:sz w:val="24"/>
              </w:rPr>
              <w:t>2007</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月加入国投瑞银。曾任国投瑞银中证上游资源产业指数证券投资基金</w:t>
            </w:r>
            <w:r>
              <w:rPr>
                <w:rFonts w:eastAsiaTheme="minorEastAsia"/>
                <w:color w:val="000000" w:themeColor="text1"/>
                <w:sz w:val="24"/>
              </w:rPr>
              <w:t xml:space="preserve">(LOF) </w:t>
            </w:r>
            <w:r>
              <w:rPr>
                <w:rFonts w:eastAsiaTheme="minorEastAsia"/>
                <w:color w:val="000000" w:themeColor="text1"/>
                <w:sz w:val="24"/>
              </w:rPr>
              <w:t>、国投瑞银景气行业证券投资基金、国投瑞银创新动力混合型证券投资基金和国投瑞银成长优选混合型证券投资基金基金经理。现任国投瑞银美丽中国灵活配置混合型证券投资基金、国投瑞银瑞源灵活配置混合型证券投资基金（原国投瑞银瑞源保本混合型证券投资基金）、国投瑞银境煊灵活配置混合型证券投资基金（原国投瑞银境煊保本混合型证券投资基金）、国投瑞银优化增强债券型证券投资基金及国投瑞银和安债券型证券投资基金基金经理。</w:t>
            </w:r>
          </w:p>
        </w:tc>
      </w:tr>
    </w:tbl>
    <w:p w:rsidR="005C7D00" w:rsidRPr="00853C4C" w:rsidRDefault="00062E1F"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注：任职日期和离任日期均指公司作出决定后正式对外公告之日。证券从业的含义遵从行业协会《证券业从业人员资格管理办法》的相关规定。</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4.2</w:t>
      </w:r>
      <w:r w:rsidR="00B22511" w:rsidRPr="00F82017">
        <w:rPr>
          <w:rFonts w:eastAsiaTheme="minorEastAsia"/>
          <w:b/>
          <w:color w:val="000000" w:themeColor="text1"/>
          <w:kern w:val="0"/>
          <w:sz w:val="24"/>
        </w:rPr>
        <w:t>管理人对报告期内本基金运作遵规守信情况的说明</w:t>
      </w:r>
    </w:p>
    <w:p w:rsidR="009238DB" w:rsidRPr="00F82017" w:rsidRDefault="00323F25"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在报告期内，本基金管理人遵守《证券法》、《证券投资基金法》及其系列法规和《国投瑞银和安债券型证券投资基金基金合同》等有关规定，本着恪守诚信、审慎勤勉，忠实尽职的原则，为基金份额持有人的利益管理和运用基金资产。在报告期内，基金的投资决策规范，基金运作合法合规，没有损害基金份额持有人利益的行为。</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4.3 </w:t>
      </w:r>
      <w:r w:rsidRPr="00F82017">
        <w:rPr>
          <w:rFonts w:eastAsiaTheme="minorEastAsia"/>
          <w:b/>
          <w:color w:val="000000" w:themeColor="text1"/>
          <w:kern w:val="0"/>
          <w:sz w:val="24"/>
        </w:rPr>
        <w:t>公平交易专项说明</w:t>
      </w:r>
    </w:p>
    <w:p w:rsidR="00D15733" w:rsidRPr="00F82017" w:rsidRDefault="00D15733" w:rsidP="00FC13C8">
      <w:pPr>
        <w:spacing w:line="360" w:lineRule="auto"/>
        <w:rPr>
          <w:rFonts w:eastAsiaTheme="minorEastAsia"/>
          <w:color w:val="000000" w:themeColor="text1"/>
          <w:sz w:val="24"/>
        </w:rPr>
      </w:pPr>
      <w:r w:rsidRPr="00F82017">
        <w:rPr>
          <w:rFonts w:eastAsiaTheme="minorEastAsia"/>
          <w:color w:val="000000" w:themeColor="text1"/>
          <w:sz w:val="24"/>
        </w:rPr>
        <w:t xml:space="preserve">4.3.1 </w:t>
      </w:r>
      <w:r w:rsidRPr="00F82017">
        <w:rPr>
          <w:rFonts w:eastAsiaTheme="minorEastAsia"/>
          <w:color w:val="000000" w:themeColor="text1"/>
          <w:sz w:val="24"/>
        </w:rPr>
        <w:t>公平交易制度的执行情况</w:t>
      </w:r>
    </w:p>
    <w:p w:rsidR="00D15733" w:rsidRPr="00F82017" w:rsidRDefault="00323F25"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本报告期内，本基金管理人严格执行了公平交易相关的系列制度，通过工作制度、流程和技术手段保证公平交易原则的实现，以确保本基金管理人旗下各投资组合在研究、决策、交易执行等各方面均得到公平对待，通过对投资交易行为的监控、分析评估和信息披露来加强对公平交易过程和结果的监督，形成了有效的公平交易体系。本报告期，本基金管理人各项公平交易制度流程均得到良好地贯彻执行，未发现存在违反公平交易原则的现象。</w:t>
      </w:r>
    </w:p>
    <w:p w:rsidR="00D15733" w:rsidRPr="00F82017" w:rsidRDefault="00D15733" w:rsidP="00FC13C8">
      <w:pPr>
        <w:spacing w:line="360" w:lineRule="auto"/>
        <w:rPr>
          <w:rFonts w:eastAsiaTheme="minorEastAsia"/>
          <w:color w:val="000000" w:themeColor="text1"/>
          <w:sz w:val="24"/>
        </w:rPr>
      </w:pPr>
      <w:r w:rsidRPr="00F82017">
        <w:rPr>
          <w:rFonts w:eastAsiaTheme="minorEastAsia"/>
          <w:color w:val="000000" w:themeColor="text1"/>
          <w:sz w:val="24"/>
        </w:rPr>
        <w:t>4.3.</w:t>
      </w:r>
      <w:r w:rsidR="005B6047" w:rsidRPr="00F82017">
        <w:rPr>
          <w:rFonts w:eastAsiaTheme="minorEastAsia"/>
          <w:color w:val="000000" w:themeColor="text1"/>
          <w:sz w:val="24"/>
        </w:rPr>
        <w:t>2</w:t>
      </w:r>
      <w:r w:rsidRPr="00F82017">
        <w:rPr>
          <w:rFonts w:eastAsiaTheme="minorEastAsia"/>
          <w:color w:val="000000" w:themeColor="text1"/>
          <w:sz w:val="24"/>
        </w:rPr>
        <w:t>异常交易行为的专项说明</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本基金于本报告期内不存在异常交易行为。</w:t>
      </w:r>
    </w:p>
    <w:p w:rsidR="009238DB" w:rsidRPr="00F82017" w:rsidRDefault="00323F25"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基金管理人管理的所有投资组合在本报告期内未出现参与交易所公开竞价同日反向交易成交较少的单边交易量超过该证券当日总成交量</w:t>
      </w:r>
      <w:r w:rsidRPr="00F82017">
        <w:rPr>
          <w:rFonts w:eastAsiaTheme="minorEastAsia"/>
          <w:color w:val="000000" w:themeColor="text1"/>
          <w:sz w:val="24"/>
        </w:rPr>
        <w:t>5%</w:t>
      </w:r>
      <w:r w:rsidRPr="00F82017">
        <w:rPr>
          <w:rFonts w:eastAsiaTheme="minorEastAsia"/>
          <w:color w:val="000000" w:themeColor="text1"/>
          <w:sz w:val="24"/>
        </w:rPr>
        <w:t>的情况。</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4.4 </w:t>
      </w:r>
      <w:r w:rsidRPr="00F82017">
        <w:rPr>
          <w:rFonts w:eastAsiaTheme="minorEastAsia"/>
          <w:b/>
          <w:color w:val="000000" w:themeColor="text1"/>
          <w:kern w:val="0"/>
          <w:sz w:val="24"/>
        </w:rPr>
        <w:t>报告期内基金的投资策略和业绩表现说明</w:t>
      </w:r>
    </w:p>
    <w:p w:rsidR="00952A72" w:rsidRPr="00F82017" w:rsidRDefault="00952A72" w:rsidP="00FC13C8">
      <w:pPr>
        <w:spacing w:line="360" w:lineRule="auto"/>
        <w:rPr>
          <w:rFonts w:eastAsiaTheme="minorEastAsia"/>
          <w:color w:val="000000" w:themeColor="text1"/>
          <w:sz w:val="24"/>
        </w:rPr>
      </w:pPr>
      <w:r w:rsidRPr="00F82017">
        <w:rPr>
          <w:rFonts w:eastAsiaTheme="minorEastAsia"/>
          <w:color w:val="000000" w:themeColor="text1"/>
          <w:sz w:val="24"/>
        </w:rPr>
        <w:t>4.4.1</w:t>
      </w:r>
      <w:r w:rsidRPr="00F82017">
        <w:rPr>
          <w:rFonts w:eastAsiaTheme="minorEastAsia"/>
          <w:color w:val="000000" w:themeColor="text1"/>
          <w:sz w:val="24"/>
        </w:rPr>
        <w:t>报告期内基金投资策略和运作分析</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进入</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季度，主要受监管影响国内信用条件收紧叠加中美贸易争端，经济增长预期下滑，市场风险偏好下降。受此影响，</w:t>
      </w:r>
      <w:r>
        <w:rPr>
          <w:rFonts w:eastAsiaTheme="minorEastAsia"/>
          <w:color w:val="000000" w:themeColor="text1"/>
          <w:sz w:val="24"/>
        </w:rPr>
        <w:t>2</w:t>
      </w:r>
      <w:r>
        <w:rPr>
          <w:rFonts w:eastAsiaTheme="minorEastAsia"/>
          <w:color w:val="000000" w:themeColor="text1"/>
          <w:sz w:val="24"/>
        </w:rPr>
        <w:t>季度债券市场利率债和高等级信用债表现较好，而中低等级信用债表现较差，信用利差进一步拉大。股票市场也大幅调整，偏防御的消费医药类股票表现相对较好，而周期性股票表现较差。</w:t>
      </w:r>
    </w:p>
    <w:p w:rsidR="00952A72" w:rsidRPr="00F82017" w:rsidRDefault="00323F25"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2018</w:t>
      </w:r>
      <w:r w:rsidRPr="00F82017">
        <w:rPr>
          <w:rFonts w:eastAsiaTheme="minorEastAsia"/>
          <w:color w:val="000000" w:themeColor="text1"/>
          <w:sz w:val="24"/>
        </w:rPr>
        <w:t>年</w:t>
      </w:r>
      <w:r w:rsidRPr="00F82017">
        <w:rPr>
          <w:rFonts w:eastAsiaTheme="minorEastAsia"/>
          <w:color w:val="000000" w:themeColor="text1"/>
          <w:sz w:val="24"/>
        </w:rPr>
        <w:t>2</w:t>
      </w:r>
      <w:r w:rsidRPr="00F82017">
        <w:rPr>
          <w:rFonts w:eastAsiaTheme="minorEastAsia"/>
          <w:color w:val="000000" w:themeColor="text1"/>
          <w:sz w:val="24"/>
        </w:rPr>
        <w:t>季度，本基金维持了债券组合的相对较长久期的配置，股票则较少操作。</w:t>
      </w:r>
    </w:p>
    <w:p w:rsidR="00952A72" w:rsidRPr="00F82017" w:rsidRDefault="00952A72" w:rsidP="00FC13C8">
      <w:pPr>
        <w:spacing w:line="360" w:lineRule="auto"/>
        <w:rPr>
          <w:rFonts w:eastAsiaTheme="minorEastAsia"/>
          <w:color w:val="000000" w:themeColor="text1"/>
          <w:sz w:val="24"/>
        </w:rPr>
      </w:pPr>
      <w:r w:rsidRPr="00F82017">
        <w:rPr>
          <w:rFonts w:eastAsiaTheme="minorEastAsia"/>
          <w:color w:val="000000" w:themeColor="text1"/>
          <w:sz w:val="24"/>
        </w:rPr>
        <w:t>4.4.2</w:t>
      </w:r>
      <w:r w:rsidRPr="00F82017">
        <w:rPr>
          <w:rFonts w:eastAsiaTheme="minorEastAsia"/>
          <w:color w:val="000000" w:themeColor="text1"/>
          <w:sz w:val="24"/>
        </w:rPr>
        <w:t>报告期内基金的业绩表现</w:t>
      </w:r>
    </w:p>
    <w:p w:rsidR="000739C3" w:rsidRPr="00F82017" w:rsidRDefault="00323F25" w:rsidP="00EF18B5">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截至本报告期末，本基金</w:t>
      </w:r>
      <w:r w:rsidRPr="00F82017">
        <w:rPr>
          <w:rFonts w:eastAsiaTheme="minorEastAsia"/>
          <w:color w:val="000000" w:themeColor="text1"/>
          <w:sz w:val="24"/>
        </w:rPr>
        <w:t>A</w:t>
      </w:r>
      <w:r w:rsidRPr="00F82017">
        <w:rPr>
          <w:rFonts w:eastAsiaTheme="minorEastAsia"/>
          <w:color w:val="000000" w:themeColor="text1"/>
          <w:sz w:val="24"/>
        </w:rPr>
        <w:t>级份额净值为</w:t>
      </w:r>
      <w:r w:rsidRPr="00F82017">
        <w:rPr>
          <w:rFonts w:eastAsiaTheme="minorEastAsia"/>
          <w:color w:val="000000" w:themeColor="text1"/>
          <w:sz w:val="24"/>
        </w:rPr>
        <w:t>1.0770</w:t>
      </w:r>
      <w:r w:rsidRPr="00F82017">
        <w:rPr>
          <w:rFonts w:eastAsiaTheme="minorEastAsia"/>
          <w:color w:val="000000" w:themeColor="text1"/>
          <w:sz w:val="24"/>
        </w:rPr>
        <w:t>元，</w:t>
      </w:r>
      <w:r w:rsidRPr="00F82017">
        <w:rPr>
          <w:rFonts w:eastAsiaTheme="minorEastAsia"/>
          <w:color w:val="000000" w:themeColor="text1"/>
          <w:sz w:val="24"/>
        </w:rPr>
        <w:t>C</w:t>
      </w:r>
      <w:r w:rsidRPr="00F82017">
        <w:rPr>
          <w:rFonts w:eastAsiaTheme="minorEastAsia"/>
          <w:color w:val="000000" w:themeColor="text1"/>
          <w:sz w:val="24"/>
        </w:rPr>
        <w:t>级份额净值为</w:t>
      </w:r>
      <w:r w:rsidRPr="00F82017">
        <w:rPr>
          <w:rFonts w:eastAsiaTheme="minorEastAsia"/>
          <w:color w:val="000000" w:themeColor="text1"/>
          <w:sz w:val="24"/>
        </w:rPr>
        <w:t>1.0697</w:t>
      </w:r>
      <w:r w:rsidRPr="00F82017">
        <w:rPr>
          <w:rFonts w:eastAsiaTheme="minorEastAsia"/>
          <w:color w:val="000000" w:themeColor="text1"/>
          <w:sz w:val="24"/>
        </w:rPr>
        <w:t>元，本报告期</w:t>
      </w:r>
      <w:r w:rsidRPr="00F82017">
        <w:rPr>
          <w:rFonts w:eastAsiaTheme="minorEastAsia"/>
          <w:color w:val="000000" w:themeColor="text1"/>
          <w:sz w:val="24"/>
        </w:rPr>
        <w:t>A</w:t>
      </w:r>
      <w:r w:rsidRPr="00F82017">
        <w:rPr>
          <w:rFonts w:eastAsiaTheme="minorEastAsia"/>
          <w:color w:val="000000" w:themeColor="text1"/>
          <w:sz w:val="24"/>
        </w:rPr>
        <w:t>级份额净值增长率为</w:t>
      </w:r>
      <w:r w:rsidRPr="00F82017">
        <w:rPr>
          <w:rFonts w:eastAsiaTheme="minorEastAsia"/>
          <w:color w:val="000000" w:themeColor="text1"/>
          <w:sz w:val="24"/>
        </w:rPr>
        <w:t>-0.37%</w:t>
      </w:r>
      <w:r w:rsidRPr="00F82017">
        <w:rPr>
          <w:rFonts w:eastAsiaTheme="minorEastAsia"/>
          <w:color w:val="000000" w:themeColor="text1"/>
          <w:sz w:val="24"/>
        </w:rPr>
        <w:t>，</w:t>
      </w:r>
      <w:r w:rsidRPr="00F82017">
        <w:rPr>
          <w:rFonts w:eastAsiaTheme="minorEastAsia"/>
          <w:color w:val="000000" w:themeColor="text1"/>
          <w:sz w:val="24"/>
        </w:rPr>
        <w:t>C</w:t>
      </w:r>
      <w:r w:rsidRPr="00F82017">
        <w:rPr>
          <w:rFonts w:eastAsiaTheme="minorEastAsia"/>
          <w:color w:val="000000" w:themeColor="text1"/>
          <w:sz w:val="24"/>
        </w:rPr>
        <w:t>级份额净值增长率为</w:t>
      </w:r>
      <w:r w:rsidRPr="00F82017">
        <w:rPr>
          <w:rFonts w:eastAsiaTheme="minorEastAsia"/>
          <w:color w:val="000000" w:themeColor="text1"/>
          <w:sz w:val="24"/>
        </w:rPr>
        <w:t>-0.49%</w:t>
      </w:r>
      <w:r w:rsidRPr="00F82017">
        <w:rPr>
          <w:rFonts w:eastAsiaTheme="minorEastAsia"/>
          <w:color w:val="000000" w:themeColor="text1"/>
          <w:sz w:val="24"/>
        </w:rPr>
        <w:t>，同期业绩比较基准收益率为</w:t>
      </w:r>
      <w:r w:rsidRPr="00F82017">
        <w:rPr>
          <w:rFonts w:eastAsiaTheme="minorEastAsia"/>
          <w:color w:val="000000" w:themeColor="text1"/>
          <w:sz w:val="24"/>
        </w:rPr>
        <w:t>-0.11%</w:t>
      </w:r>
      <w:r w:rsidRPr="00F82017">
        <w:rPr>
          <w:rFonts w:eastAsiaTheme="minorEastAsia"/>
          <w:color w:val="000000" w:themeColor="text1"/>
          <w:sz w:val="24"/>
        </w:rPr>
        <w:t>。</w:t>
      </w:r>
    </w:p>
    <w:p w:rsidR="00022662" w:rsidRPr="00F82017" w:rsidRDefault="00D971CB" w:rsidP="00D971CB">
      <w:pPr>
        <w:spacing w:line="360" w:lineRule="auto"/>
        <w:rPr>
          <w:rFonts w:eastAsiaTheme="minorEastAsia"/>
          <w:color w:val="000000" w:themeColor="text1"/>
          <w:sz w:val="24"/>
        </w:rPr>
      </w:pPr>
      <w:r w:rsidRPr="00F82017">
        <w:rPr>
          <w:rFonts w:eastAsiaTheme="minorEastAsia"/>
          <w:b/>
          <w:color w:val="000000" w:themeColor="text1"/>
          <w:kern w:val="0"/>
          <w:sz w:val="24"/>
        </w:rPr>
        <w:t>4</w:t>
      </w:r>
      <w:r w:rsidR="004734F0" w:rsidRPr="00F82017">
        <w:rPr>
          <w:rFonts w:eastAsiaTheme="minorEastAsia"/>
          <w:b/>
          <w:color w:val="000000" w:themeColor="text1"/>
          <w:kern w:val="0"/>
          <w:sz w:val="24"/>
        </w:rPr>
        <w:t>.</w:t>
      </w:r>
      <w:r w:rsidR="00B63B6A" w:rsidRPr="00F82017">
        <w:rPr>
          <w:rFonts w:eastAsiaTheme="minorEastAsia"/>
          <w:b/>
          <w:color w:val="000000" w:themeColor="text1"/>
          <w:kern w:val="0"/>
          <w:sz w:val="24"/>
        </w:rPr>
        <w:t>5</w:t>
      </w:r>
      <w:r w:rsidRPr="00F82017">
        <w:rPr>
          <w:rFonts w:eastAsiaTheme="minorEastAsia"/>
          <w:b/>
          <w:color w:val="000000" w:themeColor="text1"/>
          <w:kern w:val="0"/>
          <w:sz w:val="24"/>
        </w:rPr>
        <w:t>报告期内基金持有人数或基金资产净值预警说明</w:t>
      </w:r>
    </w:p>
    <w:p w:rsidR="00D971CB" w:rsidRPr="00F82017" w:rsidRDefault="00D971CB" w:rsidP="003F4852">
      <w:pPr>
        <w:spacing w:line="360" w:lineRule="auto"/>
        <w:ind w:firstLineChars="200" w:firstLine="480"/>
        <w:rPr>
          <w:rFonts w:eastAsiaTheme="minorEastAsia"/>
          <w:color w:val="000000" w:themeColor="text1"/>
          <w:kern w:val="0"/>
          <w:sz w:val="24"/>
        </w:rPr>
      </w:pPr>
      <w:r w:rsidRPr="00F82017">
        <w:rPr>
          <w:rFonts w:eastAsiaTheme="minorEastAsia"/>
          <w:color w:val="000000" w:themeColor="text1"/>
          <w:kern w:val="0"/>
          <w:sz w:val="24"/>
        </w:rPr>
        <w:t>报告期内本基金曾出现过连续二十个工作日基金资产净值低于</w:t>
      </w:r>
      <w:r w:rsidRPr="00F82017">
        <w:rPr>
          <w:rFonts w:eastAsiaTheme="minorEastAsia"/>
          <w:color w:val="000000" w:themeColor="text1"/>
          <w:kern w:val="0"/>
          <w:sz w:val="24"/>
        </w:rPr>
        <w:t>5000</w:t>
      </w:r>
      <w:r w:rsidRPr="00F82017">
        <w:rPr>
          <w:rFonts w:eastAsiaTheme="minorEastAsia"/>
          <w:color w:val="000000" w:themeColor="text1"/>
          <w:kern w:val="0"/>
          <w:sz w:val="24"/>
        </w:rPr>
        <w:t>万元的情形，至本报告期末（</w:t>
      </w:r>
      <w:r w:rsidRPr="00F82017">
        <w:rPr>
          <w:rFonts w:eastAsiaTheme="minorEastAsia"/>
          <w:color w:val="000000" w:themeColor="text1"/>
          <w:kern w:val="0"/>
          <w:sz w:val="24"/>
        </w:rPr>
        <w:t>6</w:t>
      </w:r>
      <w:r w:rsidRPr="00F82017">
        <w:rPr>
          <w:rFonts w:eastAsiaTheme="minorEastAsia"/>
          <w:color w:val="000000" w:themeColor="text1"/>
          <w:kern w:val="0"/>
          <w:sz w:val="24"/>
        </w:rPr>
        <w:t>月</w:t>
      </w:r>
      <w:r w:rsidRPr="00F82017">
        <w:rPr>
          <w:rFonts w:eastAsiaTheme="minorEastAsia"/>
          <w:color w:val="000000" w:themeColor="text1"/>
          <w:kern w:val="0"/>
          <w:sz w:val="24"/>
        </w:rPr>
        <w:t>30</w:t>
      </w:r>
      <w:r w:rsidRPr="00F82017">
        <w:rPr>
          <w:rFonts w:eastAsiaTheme="minorEastAsia"/>
          <w:color w:val="000000" w:themeColor="text1"/>
          <w:kern w:val="0"/>
          <w:sz w:val="24"/>
        </w:rPr>
        <w:t>日）仍低于</w:t>
      </w:r>
      <w:r w:rsidRPr="00F82017">
        <w:rPr>
          <w:rFonts w:eastAsiaTheme="minorEastAsia"/>
          <w:color w:val="000000" w:themeColor="text1"/>
          <w:kern w:val="0"/>
          <w:sz w:val="24"/>
        </w:rPr>
        <w:t>5000</w:t>
      </w:r>
      <w:r w:rsidRPr="00F82017">
        <w:rPr>
          <w:rFonts w:eastAsiaTheme="minorEastAsia"/>
          <w:color w:val="000000" w:themeColor="text1"/>
          <w:kern w:val="0"/>
          <w:sz w:val="24"/>
        </w:rPr>
        <w:t>万元，基金管理人依据相关规定在本报告中进行披露，提醒基金份额持有人关注。</w:t>
      </w:r>
    </w:p>
    <w:p w:rsidR="00D971CB" w:rsidRPr="00F82017" w:rsidRDefault="00D971CB" w:rsidP="003F4852">
      <w:pPr>
        <w:spacing w:line="360" w:lineRule="auto"/>
        <w:ind w:firstLineChars="200" w:firstLine="480"/>
        <w:rPr>
          <w:rFonts w:eastAsiaTheme="minorEastAsia"/>
          <w:color w:val="000000" w:themeColor="text1"/>
          <w:sz w:val="24"/>
        </w:rPr>
      </w:pPr>
    </w:p>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 xml:space="preserve">§5  </w:t>
      </w:r>
      <w:r w:rsidRPr="00F82017">
        <w:rPr>
          <w:rFonts w:eastAsiaTheme="minorEastAsia"/>
          <w:color w:val="000000" w:themeColor="text1"/>
          <w:kern w:val="0"/>
          <w:sz w:val="24"/>
          <w:szCs w:val="24"/>
        </w:rPr>
        <w:t>投资组合报告</w:t>
      </w:r>
    </w:p>
    <w:p w:rsidR="009238DB" w:rsidRPr="00F82017" w:rsidRDefault="009238DB" w:rsidP="00FC13C8">
      <w:pPr>
        <w:autoSpaceDE w:val="0"/>
        <w:autoSpaceDN w:val="0"/>
        <w:adjustRightInd w:val="0"/>
        <w:spacing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5.1 </w:t>
      </w:r>
      <w:r w:rsidRPr="00F82017">
        <w:rPr>
          <w:rFonts w:eastAsiaTheme="minorEastAsia"/>
          <w:b/>
          <w:color w:val="000000" w:themeColor="text1"/>
          <w:kern w:val="0"/>
          <w:sz w:val="24"/>
        </w:rPr>
        <w:t>报告期末基金资产组合情况</w:t>
      </w:r>
    </w:p>
    <w:tbl>
      <w:tblPr>
        <w:tblStyle w:val="af2"/>
        <w:tblW w:w="8897" w:type="dxa"/>
        <w:tblInd w:w="108" w:type="dxa"/>
        <w:tblLayout w:type="fixed"/>
        <w:tblLook w:val="04A0"/>
      </w:tblPr>
      <w:tblGrid>
        <w:gridCol w:w="720"/>
        <w:gridCol w:w="3357"/>
        <w:gridCol w:w="2977"/>
        <w:gridCol w:w="1843"/>
      </w:tblGrid>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序号</w:t>
            </w:r>
          </w:p>
        </w:tc>
        <w:tc>
          <w:tcPr>
            <w:tcW w:w="3357"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项目</w:t>
            </w:r>
          </w:p>
        </w:tc>
        <w:tc>
          <w:tcPr>
            <w:tcW w:w="2977"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金额</w:t>
            </w:r>
            <w:r w:rsidRPr="00F82017">
              <w:rPr>
                <w:rFonts w:eastAsiaTheme="minorEastAsia"/>
                <w:color w:val="000000" w:themeColor="text1"/>
                <w:sz w:val="24"/>
              </w:rPr>
              <w:t>(</w:t>
            </w:r>
            <w:r w:rsidRPr="00F82017">
              <w:rPr>
                <w:rFonts w:eastAsiaTheme="minorEastAsia"/>
                <w:color w:val="000000" w:themeColor="text1"/>
                <w:sz w:val="24"/>
              </w:rPr>
              <w:t>元</w:t>
            </w:r>
            <w:r w:rsidRPr="00F82017">
              <w:rPr>
                <w:rFonts w:eastAsiaTheme="minorEastAsia"/>
                <w:color w:val="000000" w:themeColor="text1"/>
                <w:sz w:val="24"/>
              </w:rPr>
              <w:t>)</w:t>
            </w:r>
          </w:p>
        </w:tc>
        <w:tc>
          <w:tcPr>
            <w:tcW w:w="1843"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占基金总资产的比例</w:t>
            </w:r>
            <w:r w:rsidRPr="00F82017">
              <w:rPr>
                <w:rFonts w:eastAsiaTheme="minorEastAsia"/>
                <w:color w:val="000000" w:themeColor="text1"/>
                <w:sz w:val="24"/>
              </w:rPr>
              <w:t>(%)</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1</w:t>
            </w: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权益投资</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1,110,887.60</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9.95</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其中：股票</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1,110,887.60</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9.95</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2</w:t>
            </w: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固定收益投资</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9,845,535.30</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88.19</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其中：债券</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9,845,535.30</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88.19</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p>
        </w:tc>
        <w:tc>
          <w:tcPr>
            <w:tcW w:w="3357" w:type="dxa"/>
            <w:vAlign w:val="center"/>
          </w:tcPr>
          <w:p w:rsidR="009A6018" w:rsidRPr="00F82017" w:rsidRDefault="009A6018" w:rsidP="003F4852">
            <w:pPr>
              <w:autoSpaceDE w:val="0"/>
              <w:autoSpaceDN w:val="0"/>
              <w:adjustRightInd w:val="0"/>
              <w:spacing w:before="29" w:line="360" w:lineRule="auto"/>
              <w:ind w:left="17" w:firstLineChars="300" w:firstLine="720"/>
              <w:jc w:val="left"/>
              <w:rPr>
                <w:rFonts w:eastAsiaTheme="minorEastAsia"/>
                <w:color w:val="000000" w:themeColor="text1"/>
                <w:sz w:val="24"/>
              </w:rPr>
            </w:pPr>
            <w:r w:rsidRPr="00F82017">
              <w:rPr>
                <w:rFonts w:eastAsiaTheme="minorEastAsia"/>
                <w:color w:val="000000" w:themeColor="text1"/>
                <w:sz w:val="24"/>
              </w:rPr>
              <w:t>资产支持证券</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720" w:type="dxa"/>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3</w:t>
            </w:r>
          </w:p>
        </w:tc>
        <w:tc>
          <w:tcPr>
            <w:tcW w:w="3357" w:type="dxa"/>
          </w:tcPr>
          <w:p w:rsidR="009A6018" w:rsidRPr="00F82017" w:rsidRDefault="009A6018" w:rsidP="00022662">
            <w:pPr>
              <w:spacing w:before="29" w:line="360" w:lineRule="auto"/>
              <w:ind w:leftChars="50" w:left="105"/>
              <w:rPr>
                <w:rFonts w:eastAsiaTheme="minorEastAsia"/>
                <w:color w:val="000000" w:themeColor="text1"/>
                <w:sz w:val="24"/>
              </w:rPr>
            </w:pPr>
            <w:r w:rsidRPr="00F82017">
              <w:rPr>
                <w:rFonts w:eastAsiaTheme="minorEastAsia"/>
                <w:color w:val="000000" w:themeColor="text1"/>
                <w:sz w:val="24"/>
              </w:rPr>
              <w:t>贵金属投资</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4</w:t>
            </w: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金融衍生品投资</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5</w:t>
            </w: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买入返售金融资产</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其中：买断式回购的买入返售金融资产</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6</w:t>
            </w:r>
          </w:p>
        </w:tc>
        <w:tc>
          <w:tcPr>
            <w:tcW w:w="3357" w:type="dxa"/>
            <w:vAlign w:val="center"/>
          </w:tcPr>
          <w:p w:rsidR="009A6018" w:rsidRPr="00F82017" w:rsidRDefault="009A6018" w:rsidP="00022662">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银行存款和结算备付金合计</w:t>
            </w:r>
          </w:p>
        </w:tc>
        <w:tc>
          <w:tcPr>
            <w:tcW w:w="2977"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73,905.98</w:t>
            </w:r>
          </w:p>
        </w:tc>
        <w:tc>
          <w:tcPr>
            <w:tcW w:w="1843" w:type="dxa"/>
            <w:vAlign w:val="center"/>
          </w:tcPr>
          <w:p w:rsidR="009A6018" w:rsidRPr="00F82017" w:rsidRDefault="009A6018" w:rsidP="003F7026">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0.66</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7</w:t>
            </w:r>
          </w:p>
        </w:tc>
        <w:tc>
          <w:tcPr>
            <w:tcW w:w="3357" w:type="dxa"/>
            <w:vAlign w:val="center"/>
          </w:tcPr>
          <w:p w:rsidR="009A6018" w:rsidRPr="00F82017" w:rsidRDefault="009A6018" w:rsidP="003F7026">
            <w:pPr>
              <w:rPr>
                <w:rFonts w:eastAsiaTheme="minorEastAsia"/>
                <w:color w:val="000000" w:themeColor="text1"/>
                <w:sz w:val="24"/>
              </w:rPr>
            </w:pPr>
            <w:r w:rsidRPr="00F82017">
              <w:rPr>
                <w:rFonts w:eastAsiaTheme="minorEastAsia"/>
                <w:color w:val="000000" w:themeColor="text1"/>
                <w:sz w:val="24"/>
              </w:rPr>
              <w:t>其他各项资产</w:t>
            </w:r>
          </w:p>
        </w:tc>
        <w:tc>
          <w:tcPr>
            <w:tcW w:w="2977" w:type="dxa"/>
            <w:vAlign w:val="center"/>
          </w:tcPr>
          <w:p w:rsidR="009A6018" w:rsidRPr="00F82017" w:rsidRDefault="009A6018" w:rsidP="003F7026">
            <w:pPr>
              <w:jc w:val="right"/>
              <w:rPr>
                <w:rFonts w:eastAsiaTheme="minorEastAsia"/>
                <w:color w:val="000000" w:themeColor="text1"/>
                <w:sz w:val="24"/>
              </w:rPr>
            </w:pPr>
            <w:r w:rsidRPr="00F82017">
              <w:rPr>
                <w:rFonts w:eastAsiaTheme="minorEastAsia"/>
                <w:color w:val="000000" w:themeColor="text1"/>
                <w:sz w:val="24"/>
              </w:rPr>
              <w:t>133,857.54</w:t>
            </w:r>
          </w:p>
        </w:tc>
        <w:tc>
          <w:tcPr>
            <w:tcW w:w="1843" w:type="dxa"/>
            <w:vAlign w:val="center"/>
          </w:tcPr>
          <w:p w:rsidR="009A6018" w:rsidRPr="00F82017" w:rsidRDefault="009A6018" w:rsidP="003F7026">
            <w:pPr>
              <w:jc w:val="right"/>
              <w:rPr>
                <w:rFonts w:eastAsiaTheme="minorEastAsia"/>
                <w:color w:val="000000" w:themeColor="text1"/>
                <w:sz w:val="24"/>
              </w:rPr>
            </w:pPr>
            <w:r w:rsidRPr="00F82017">
              <w:rPr>
                <w:rFonts w:eastAsiaTheme="minorEastAsia"/>
                <w:color w:val="000000" w:themeColor="text1"/>
                <w:sz w:val="24"/>
              </w:rPr>
              <w:t>1.20</w:t>
            </w:r>
          </w:p>
        </w:tc>
      </w:tr>
      <w:tr w:rsidR="004264FD" w:rsidRPr="00F82017" w:rsidTr="00B54782">
        <w:tc>
          <w:tcPr>
            <w:tcW w:w="720" w:type="dxa"/>
            <w:vAlign w:val="center"/>
          </w:tcPr>
          <w:p w:rsidR="009A6018" w:rsidRPr="00F82017" w:rsidRDefault="009A6018" w:rsidP="00022662">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8</w:t>
            </w:r>
          </w:p>
        </w:tc>
        <w:tc>
          <w:tcPr>
            <w:tcW w:w="3357" w:type="dxa"/>
            <w:vAlign w:val="center"/>
          </w:tcPr>
          <w:p w:rsidR="009A6018" w:rsidRPr="00F82017" w:rsidRDefault="009A6018" w:rsidP="003F7026">
            <w:pPr>
              <w:rPr>
                <w:rFonts w:eastAsiaTheme="minorEastAsia"/>
                <w:color w:val="000000" w:themeColor="text1"/>
                <w:sz w:val="24"/>
              </w:rPr>
            </w:pPr>
            <w:r w:rsidRPr="00F82017">
              <w:rPr>
                <w:rFonts w:eastAsiaTheme="minorEastAsia"/>
                <w:color w:val="000000" w:themeColor="text1"/>
                <w:sz w:val="24"/>
              </w:rPr>
              <w:t>合计</w:t>
            </w:r>
          </w:p>
        </w:tc>
        <w:tc>
          <w:tcPr>
            <w:tcW w:w="2977" w:type="dxa"/>
            <w:vAlign w:val="center"/>
          </w:tcPr>
          <w:p w:rsidR="009A6018" w:rsidRPr="00F82017" w:rsidRDefault="009A6018" w:rsidP="003F7026">
            <w:pPr>
              <w:jc w:val="right"/>
              <w:rPr>
                <w:rFonts w:eastAsiaTheme="minorEastAsia"/>
                <w:color w:val="000000" w:themeColor="text1"/>
                <w:sz w:val="24"/>
              </w:rPr>
            </w:pPr>
            <w:r w:rsidRPr="00F82017">
              <w:rPr>
                <w:rFonts w:eastAsiaTheme="minorEastAsia"/>
                <w:color w:val="000000" w:themeColor="text1"/>
                <w:sz w:val="24"/>
              </w:rPr>
              <w:t>11,164,186.42</w:t>
            </w:r>
          </w:p>
        </w:tc>
        <w:tc>
          <w:tcPr>
            <w:tcW w:w="1843" w:type="dxa"/>
            <w:vAlign w:val="center"/>
          </w:tcPr>
          <w:p w:rsidR="009A6018" w:rsidRPr="00F82017" w:rsidRDefault="009A6018" w:rsidP="003F7026">
            <w:pPr>
              <w:jc w:val="right"/>
              <w:rPr>
                <w:rFonts w:eastAsiaTheme="minorEastAsia"/>
                <w:color w:val="000000" w:themeColor="text1"/>
                <w:sz w:val="24"/>
              </w:rPr>
            </w:pPr>
            <w:r w:rsidRPr="00F82017">
              <w:rPr>
                <w:rFonts w:eastAsiaTheme="minorEastAsia"/>
                <w:color w:val="000000" w:themeColor="text1"/>
                <w:sz w:val="24"/>
              </w:rPr>
              <w:t>100.00</w:t>
            </w:r>
          </w:p>
        </w:tc>
      </w:tr>
    </w:tbl>
    <w:p w:rsidR="009238DB" w:rsidRPr="00853C4C" w:rsidRDefault="00323F25"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注：本基金本报告期末未持有通过港股通交易机制投资的港股。</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5.2 </w:t>
      </w:r>
      <w:r w:rsidRPr="00F82017">
        <w:rPr>
          <w:rFonts w:eastAsiaTheme="minorEastAsia"/>
          <w:b/>
          <w:color w:val="000000" w:themeColor="text1"/>
          <w:kern w:val="0"/>
          <w:sz w:val="24"/>
        </w:rPr>
        <w:t>报告期末按行业分类的股票投资组合</w:t>
      </w:r>
    </w:p>
    <w:p w:rsidR="00B459CD" w:rsidRPr="00F82017" w:rsidRDefault="00B459CD" w:rsidP="00B459CD">
      <w:pPr>
        <w:rPr>
          <w:rFonts w:eastAsiaTheme="minorEastAsia"/>
          <w:b/>
          <w:sz w:val="24"/>
        </w:rPr>
      </w:pPr>
      <w:r w:rsidRPr="00F82017">
        <w:rPr>
          <w:rFonts w:eastAsiaTheme="minorEastAsia"/>
          <w:b/>
          <w:color w:val="000000" w:themeColor="text1"/>
          <w:kern w:val="0"/>
          <w:sz w:val="24"/>
        </w:rPr>
        <w:t>5.2.1</w:t>
      </w:r>
      <w:r w:rsidRPr="00F82017">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852"/>
        <w:gridCol w:w="1648"/>
      </w:tblGrid>
      <w:tr w:rsidR="004264FD" w:rsidRPr="00F82017" w:rsidTr="00B5478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F82017" w:rsidRDefault="005F458B" w:rsidP="00724F6D">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724F6D">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724F6D">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724F6D">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占基金资产净值比例（％）</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autoSpaceDE w:val="0"/>
              <w:autoSpaceDN w:val="0"/>
              <w:adjustRightInd w:val="0"/>
              <w:spacing w:before="29" w:line="360" w:lineRule="auto"/>
              <w:ind w:left="15"/>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utoSpaceDE w:val="0"/>
              <w:autoSpaceDN w:val="0"/>
              <w:adjustRightInd w:val="0"/>
              <w:spacing w:before="29" w:line="360" w:lineRule="auto"/>
              <w:ind w:left="15"/>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p w:rsidR="005F458B" w:rsidRPr="00F82017" w:rsidRDefault="005F458B" w:rsidP="003F7026">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p w:rsidR="005F458B" w:rsidRPr="00F82017" w:rsidRDefault="005F458B" w:rsidP="003F7026">
            <w:pPr>
              <w:jc w:val="right"/>
              <w:rPr>
                <w:rFonts w:eastAsiaTheme="minorEastAsia"/>
                <w:color w:val="000000" w:themeColor="text1"/>
                <w:sz w:val="24"/>
              </w:rPr>
            </w:pP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1,110,887.60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10.06</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r w:rsidRPr="00F8201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F82017" w:rsidRDefault="005F458B" w:rsidP="003F7026">
            <w:pPr>
              <w:adjustRightInd w:val="0"/>
              <w:snapToGrid w:val="0"/>
              <w:spacing w:line="400" w:lineRule="exact"/>
              <w:rPr>
                <w:rFonts w:eastAsiaTheme="minorEastAsia"/>
                <w:color w:val="000000" w:themeColor="text1"/>
                <w:sz w:val="24"/>
              </w:rPr>
            </w:pPr>
            <w:r w:rsidRPr="00F8201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1,110,887.60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F82017" w:rsidRDefault="005F458B" w:rsidP="003F7026">
            <w:pPr>
              <w:jc w:val="right"/>
              <w:rPr>
                <w:rFonts w:eastAsiaTheme="minorEastAsia"/>
                <w:color w:val="000000" w:themeColor="text1"/>
                <w:sz w:val="24"/>
              </w:rPr>
            </w:pPr>
            <w:r w:rsidRPr="00F82017">
              <w:rPr>
                <w:rFonts w:eastAsiaTheme="minorEastAsia"/>
                <w:color w:val="000000" w:themeColor="text1"/>
                <w:sz w:val="24"/>
              </w:rPr>
              <w:t>10.06</w:t>
            </w:r>
          </w:p>
        </w:tc>
      </w:tr>
    </w:tbl>
    <w:p w:rsidR="00B459CD" w:rsidRPr="00F82017" w:rsidRDefault="00B459CD" w:rsidP="00B459CD">
      <w:pPr>
        <w:jc w:val="left"/>
        <w:rPr>
          <w:rFonts w:eastAsiaTheme="minorEastAsia"/>
          <w:b/>
          <w:sz w:val="24"/>
        </w:rPr>
      </w:pPr>
      <w:r w:rsidRPr="00F82017">
        <w:rPr>
          <w:rFonts w:eastAsiaTheme="minorEastAsia"/>
          <w:b/>
          <w:kern w:val="0"/>
          <w:sz w:val="24"/>
        </w:rPr>
        <w:t>5.2.2</w:t>
      </w:r>
      <w:r w:rsidRPr="00F82017">
        <w:rPr>
          <w:rFonts w:eastAsiaTheme="minorEastAsia"/>
          <w:b/>
          <w:sz w:val="24"/>
        </w:rPr>
        <w:t>报告期末按行业分类的</w:t>
      </w:r>
      <w:r w:rsidR="00651A01">
        <w:rPr>
          <w:rFonts w:eastAsiaTheme="minorEastAsia"/>
          <w:b/>
          <w:sz w:val="24"/>
        </w:rPr>
        <w:t>港股通</w:t>
      </w:r>
      <w:r w:rsidRPr="00F82017">
        <w:rPr>
          <w:rFonts w:eastAsiaTheme="minorEastAsia"/>
          <w:b/>
          <w:sz w:val="24"/>
        </w:rPr>
        <w:t>投资股票投资组合</w:t>
      </w:r>
    </w:p>
    <w:p w:rsidR="00B459CD" w:rsidRPr="00853C4C" w:rsidRDefault="00B459CD"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本基金本报告期末未持有通过港股通交易机制投资的港股。</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5.3 </w:t>
      </w:r>
      <w:r w:rsidRPr="00F82017">
        <w:rPr>
          <w:rFonts w:eastAsia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276"/>
        <w:gridCol w:w="1842"/>
        <w:gridCol w:w="1616"/>
      </w:tblGrid>
      <w:tr w:rsidR="004264FD" w:rsidRPr="00F82017" w:rsidTr="00B54782">
        <w:tc>
          <w:tcPr>
            <w:tcW w:w="817" w:type="dxa"/>
            <w:vAlign w:val="center"/>
          </w:tcPr>
          <w:p w:rsidR="000871DB" w:rsidRPr="00F82017" w:rsidRDefault="000871DB" w:rsidP="000871DB">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序号</w:t>
            </w:r>
          </w:p>
        </w:tc>
        <w:tc>
          <w:tcPr>
            <w:tcW w:w="1276" w:type="dxa"/>
            <w:vAlign w:val="center"/>
          </w:tcPr>
          <w:p w:rsidR="000871DB" w:rsidRPr="00F82017" w:rsidRDefault="000871DB" w:rsidP="000871DB">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股票代码</w:t>
            </w:r>
          </w:p>
        </w:tc>
        <w:tc>
          <w:tcPr>
            <w:tcW w:w="1701" w:type="dxa"/>
            <w:vAlign w:val="center"/>
          </w:tcPr>
          <w:p w:rsidR="000871DB" w:rsidRPr="00F82017" w:rsidRDefault="000871DB" w:rsidP="000871DB">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股票名称</w:t>
            </w:r>
          </w:p>
        </w:tc>
        <w:tc>
          <w:tcPr>
            <w:tcW w:w="1276" w:type="dxa"/>
            <w:vAlign w:val="center"/>
          </w:tcPr>
          <w:p w:rsidR="000871DB" w:rsidRPr="00F82017" w:rsidRDefault="000871DB" w:rsidP="000871DB">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数量</w:t>
            </w:r>
            <w:r w:rsidRPr="00F82017">
              <w:rPr>
                <w:rFonts w:eastAsiaTheme="minorEastAsia"/>
                <w:color w:val="000000" w:themeColor="text1"/>
                <w:sz w:val="24"/>
              </w:rPr>
              <w:t>(</w:t>
            </w:r>
            <w:r w:rsidRPr="00F82017">
              <w:rPr>
                <w:rFonts w:eastAsiaTheme="minorEastAsia"/>
                <w:color w:val="000000" w:themeColor="text1"/>
                <w:sz w:val="24"/>
              </w:rPr>
              <w:t>股</w:t>
            </w:r>
            <w:r w:rsidRPr="00F82017">
              <w:rPr>
                <w:rFonts w:eastAsiaTheme="minorEastAsia"/>
                <w:color w:val="000000" w:themeColor="text1"/>
                <w:sz w:val="24"/>
              </w:rPr>
              <w:t>)</w:t>
            </w:r>
          </w:p>
        </w:tc>
        <w:tc>
          <w:tcPr>
            <w:tcW w:w="1842" w:type="dxa"/>
            <w:vAlign w:val="center"/>
          </w:tcPr>
          <w:p w:rsidR="000871DB" w:rsidRPr="00F82017"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公允价值</w:t>
            </w:r>
            <w:r w:rsidRPr="00F82017">
              <w:rPr>
                <w:rFonts w:eastAsiaTheme="minorEastAsia"/>
                <w:color w:val="000000" w:themeColor="text1"/>
                <w:sz w:val="24"/>
              </w:rPr>
              <w:t>(</w:t>
            </w:r>
            <w:r w:rsidRPr="00F82017">
              <w:rPr>
                <w:rFonts w:eastAsiaTheme="minorEastAsia"/>
                <w:color w:val="000000" w:themeColor="text1"/>
                <w:sz w:val="24"/>
              </w:rPr>
              <w:t>元</w:t>
            </w:r>
            <w:r w:rsidRPr="00F82017">
              <w:rPr>
                <w:rFonts w:eastAsiaTheme="minorEastAsia"/>
                <w:color w:val="000000" w:themeColor="text1"/>
                <w:sz w:val="24"/>
              </w:rPr>
              <w:t>)</w:t>
            </w:r>
          </w:p>
        </w:tc>
        <w:tc>
          <w:tcPr>
            <w:tcW w:w="1616" w:type="dxa"/>
            <w:vAlign w:val="center"/>
          </w:tcPr>
          <w:p w:rsidR="000871DB" w:rsidRPr="00F82017" w:rsidRDefault="000871DB" w:rsidP="000871DB">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占基金资产净值比例</w:t>
            </w:r>
            <w:r w:rsidRPr="00F82017">
              <w:rPr>
                <w:rFonts w:eastAsiaTheme="minorEastAsia"/>
                <w:color w:val="000000" w:themeColor="text1"/>
                <w:sz w:val="24"/>
              </w:rPr>
              <w:t>(</w:t>
            </w:r>
            <w:r w:rsidRPr="00F82017">
              <w:rPr>
                <w:rFonts w:eastAsiaTheme="minorEastAsia"/>
                <w:color w:val="000000" w:themeColor="text1"/>
                <w:sz w:val="24"/>
              </w:rPr>
              <w:t>％</w:t>
            </w:r>
            <w:r w:rsidRPr="00F82017">
              <w:rPr>
                <w:rFonts w:eastAsiaTheme="minorEastAsia"/>
                <w:color w:val="000000" w:themeColor="text1"/>
                <w:sz w:val="24"/>
              </w:rPr>
              <w:t>)</w:t>
            </w:r>
          </w:p>
        </w:tc>
      </w:tr>
      <w:tr w:rsidR="00385B0A">
        <w:tc>
          <w:tcPr>
            <w:tcW w:w="817" w:type="dxa"/>
            <w:vAlign w:val="center"/>
          </w:tcPr>
          <w:p w:rsidR="00385B0A" w:rsidRDefault="00EF18B5">
            <w:pPr>
              <w:jc w:val="center"/>
            </w:pPr>
            <w:r>
              <w:rPr>
                <w:rFonts w:eastAsiaTheme="minorEastAsia"/>
                <w:color w:val="000000" w:themeColor="text1"/>
                <w:sz w:val="24"/>
              </w:rPr>
              <w:t>1</w:t>
            </w:r>
          </w:p>
        </w:tc>
        <w:tc>
          <w:tcPr>
            <w:tcW w:w="1276" w:type="dxa"/>
            <w:vAlign w:val="center"/>
          </w:tcPr>
          <w:p w:rsidR="00385B0A" w:rsidRDefault="00EF18B5">
            <w:pPr>
              <w:jc w:val="center"/>
            </w:pPr>
            <w:r>
              <w:rPr>
                <w:rFonts w:eastAsiaTheme="minorEastAsia"/>
                <w:color w:val="000000" w:themeColor="text1"/>
                <w:sz w:val="24"/>
              </w:rPr>
              <w:t>600485</w:t>
            </w:r>
          </w:p>
        </w:tc>
        <w:tc>
          <w:tcPr>
            <w:tcW w:w="1701" w:type="dxa"/>
            <w:vAlign w:val="center"/>
          </w:tcPr>
          <w:p w:rsidR="00385B0A" w:rsidRDefault="00EF18B5">
            <w:pPr>
              <w:jc w:val="center"/>
            </w:pPr>
            <w:r>
              <w:rPr>
                <w:rFonts w:eastAsiaTheme="minorEastAsia"/>
                <w:color w:val="000000" w:themeColor="text1"/>
                <w:sz w:val="24"/>
              </w:rPr>
              <w:t>信威集团</w:t>
            </w:r>
          </w:p>
        </w:tc>
        <w:tc>
          <w:tcPr>
            <w:tcW w:w="1276" w:type="dxa"/>
            <w:vAlign w:val="center"/>
          </w:tcPr>
          <w:p w:rsidR="00385B0A" w:rsidRDefault="00EF18B5">
            <w:pPr>
              <w:jc w:val="right"/>
            </w:pPr>
            <w:r>
              <w:rPr>
                <w:rFonts w:eastAsiaTheme="minorEastAsia"/>
                <w:color w:val="000000" w:themeColor="text1"/>
                <w:sz w:val="24"/>
              </w:rPr>
              <w:t>85,300.00</w:t>
            </w:r>
          </w:p>
        </w:tc>
        <w:tc>
          <w:tcPr>
            <w:tcW w:w="1842" w:type="dxa"/>
            <w:vAlign w:val="center"/>
          </w:tcPr>
          <w:p w:rsidR="00385B0A" w:rsidRDefault="00EF18B5">
            <w:pPr>
              <w:jc w:val="right"/>
            </w:pPr>
            <w:r>
              <w:rPr>
                <w:rFonts w:eastAsiaTheme="minorEastAsia"/>
                <w:color w:val="000000" w:themeColor="text1"/>
                <w:sz w:val="24"/>
              </w:rPr>
              <w:t>1,102,076.00</w:t>
            </w:r>
          </w:p>
        </w:tc>
        <w:tc>
          <w:tcPr>
            <w:tcW w:w="1616" w:type="dxa"/>
            <w:vAlign w:val="center"/>
          </w:tcPr>
          <w:p w:rsidR="00385B0A" w:rsidRDefault="00EF18B5">
            <w:pPr>
              <w:jc w:val="right"/>
            </w:pPr>
            <w:r>
              <w:rPr>
                <w:rFonts w:eastAsiaTheme="minorEastAsia"/>
                <w:color w:val="000000" w:themeColor="text1"/>
                <w:sz w:val="24"/>
              </w:rPr>
              <w:t>9.98</w:t>
            </w:r>
          </w:p>
        </w:tc>
      </w:tr>
      <w:tr w:rsidR="00385B0A">
        <w:tc>
          <w:tcPr>
            <w:tcW w:w="817" w:type="dxa"/>
            <w:vAlign w:val="center"/>
          </w:tcPr>
          <w:p w:rsidR="00385B0A" w:rsidRDefault="00EF18B5">
            <w:pPr>
              <w:jc w:val="center"/>
            </w:pPr>
            <w:r>
              <w:rPr>
                <w:rFonts w:eastAsiaTheme="minorEastAsia"/>
                <w:color w:val="000000" w:themeColor="text1"/>
                <w:sz w:val="24"/>
              </w:rPr>
              <w:t>2</w:t>
            </w:r>
          </w:p>
        </w:tc>
        <w:tc>
          <w:tcPr>
            <w:tcW w:w="1276" w:type="dxa"/>
            <w:vAlign w:val="center"/>
          </w:tcPr>
          <w:p w:rsidR="00385B0A" w:rsidRDefault="00EF18B5">
            <w:pPr>
              <w:jc w:val="center"/>
            </w:pPr>
            <w:r>
              <w:rPr>
                <w:rFonts w:eastAsiaTheme="minorEastAsia"/>
                <w:color w:val="000000" w:themeColor="text1"/>
                <w:sz w:val="24"/>
              </w:rPr>
              <w:t>600479</w:t>
            </w:r>
          </w:p>
        </w:tc>
        <w:tc>
          <w:tcPr>
            <w:tcW w:w="1701" w:type="dxa"/>
            <w:vAlign w:val="center"/>
          </w:tcPr>
          <w:p w:rsidR="00385B0A" w:rsidRDefault="00EF18B5">
            <w:pPr>
              <w:jc w:val="center"/>
            </w:pPr>
            <w:r>
              <w:rPr>
                <w:rFonts w:eastAsiaTheme="minorEastAsia"/>
                <w:color w:val="000000" w:themeColor="text1"/>
                <w:sz w:val="24"/>
              </w:rPr>
              <w:t>千金药业</w:t>
            </w:r>
          </w:p>
        </w:tc>
        <w:tc>
          <w:tcPr>
            <w:tcW w:w="1276" w:type="dxa"/>
            <w:vAlign w:val="center"/>
          </w:tcPr>
          <w:p w:rsidR="00385B0A" w:rsidRDefault="00EF18B5">
            <w:pPr>
              <w:jc w:val="right"/>
            </w:pPr>
            <w:r>
              <w:rPr>
                <w:rFonts w:eastAsiaTheme="minorEastAsia"/>
                <w:color w:val="000000" w:themeColor="text1"/>
                <w:sz w:val="24"/>
              </w:rPr>
              <w:t>840.00</w:t>
            </w:r>
          </w:p>
        </w:tc>
        <w:tc>
          <w:tcPr>
            <w:tcW w:w="1842" w:type="dxa"/>
            <w:vAlign w:val="center"/>
          </w:tcPr>
          <w:p w:rsidR="00385B0A" w:rsidRDefault="00EF18B5">
            <w:pPr>
              <w:jc w:val="right"/>
            </w:pPr>
            <w:r>
              <w:rPr>
                <w:rFonts w:eastAsiaTheme="minorEastAsia"/>
                <w:color w:val="000000" w:themeColor="text1"/>
                <w:sz w:val="24"/>
              </w:rPr>
              <w:t>8,811.60</w:t>
            </w:r>
          </w:p>
        </w:tc>
        <w:tc>
          <w:tcPr>
            <w:tcW w:w="1616" w:type="dxa"/>
            <w:vAlign w:val="center"/>
          </w:tcPr>
          <w:p w:rsidR="00385B0A" w:rsidRDefault="00EF18B5">
            <w:pPr>
              <w:jc w:val="right"/>
            </w:pPr>
            <w:r>
              <w:rPr>
                <w:rFonts w:eastAsiaTheme="minorEastAsia"/>
                <w:color w:val="000000" w:themeColor="text1"/>
                <w:sz w:val="24"/>
              </w:rPr>
              <w:t>0.08</w:t>
            </w:r>
          </w:p>
        </w:tc>
      </w:tr>
    </w:tbl>
    <w:p w:rsidR="009238DB" w:rsidRPr="00853C4C" w:rsidRDefault="000871DB"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注：本基金本报告期末仅持有以上股票。</w:t>
      </w:r>
    </w:p>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5.4 </w:t>
      </w:r>
      <w:r w:rsidRPr="00F82017">
        <w:rPr>
          <w:rFonts w:eastAsiaTheme="minorEastAsia"/>
          <w:b/>
          <w:color w:val="000000" w:themeColor="text1"/>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序号</w:t>
            </w:r>
          </w:p>
        </w:tc>
        <w:tc>
          <w:tcPr>
            <w:tcW w:w="3260"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债券品种</w:t>
            </w:r>
          </w:p>
        </w:tc>
        <w:tc>
          <w:tcPr>
            <w:tcW w:w="2835"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公允价值</w:t>
            </w:r>
            <w:r w:rsidRPr="00F82017">
              <w:rPr>
                <w:rFonts w:eastAsiaTheme="minorEastAsia"/>
                <w:color w:val="000000" w:themeColor="text1"/>
                <w:sz w:val="24"/>
              </w:rPr>
              <w:t>(</w:t>
            </w:r>
            <w:r w:rsidRPr="00F82017">
              <w:rPr>
                <w:rFonts w:eastAsiaTheme="minorEastAsia"/>
                <w:color w:val="000000" w:themeColor="text1"/>
                <w:sz w:val="24"/>
              </w:rPr>
              <w:t>元</w:t>
            </w:r>
            <w:r w:rsidRPr="00F82017">
              <w:rPr>
                <w:rFonts w:eastAsiaTheme="minorEastAsia"/>
                <w:color w:val="000000" w:themeColor="text1"/>
                <w:sz w:val="24"/>
              </w:rPr>
              <w:t>)</w:t>
            </w:r>
          </w:p>
        </w:tc>
        <w:tc>
          <w:tcPr>
            <w:tcW w:w="1616"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占基金资产净值比例</w:t>
            </w:r>
            <w:r w:rsidRPr="00F82017">
              <w:rPr>
                <w:rFonts w:eastAsiaTheme="minorEastAsia"/>
                <w:color w:val="000000" w:themeColor="text1"/>
                <w:sz w:val="24"/>
              </w:rPr>
              <w:t>(</w:t>
            </w:r>
            <w:r w:rsidRPr="00F82017">
              <w:rPr>
                <w:rFonts w:eastAsiaTheme="minorEastAsia"/>
                <w:color w:val="000000" w:themeColor="text1"/>
                <w:sz w:val="24"/>
              </w:rPr>
              <w:t>％</w:t>
            </w:r>
            <w:r w:rsidRPr="00F82017">
              <w:rPr>
                <w:rFonts w:eastAsiaTheme="minorEastAsia"/>
                <w:color w:val="000000" w:themeColor="text1"/>
                <w:sz w:val="24"/>
              </w:rPr>
              <w:t>)</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1</w:t>
            </w: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国家债券</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7,318,434.10</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66.29</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2</w:t>
            </w: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央行票据</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3</w:t>
            </w: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金融债券</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702,660.00</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6.37</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其中：政策性金融债</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702,660.00</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6.37</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4</w:t>
            </w: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企业债券</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917,881.20</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8.31</w:t>
            </w:r>
          </w:p>
        </w:tc>
      </w:tr>
      <w:tr w:rsidR="004264FD" w:rsidRPr="00F82017" w:rsidTr="00B54782">
        <w:tc>
          <w:tcPr>
            <w:tcW w:w="817" w:type="dxa"/>
            <w:vAlign w:val="center"/>
          </w:tcPr>
          <w:p w:rsidR="00296E4A" w:rsidRPr="00F82017" w:rsidRDefault="00296E4A"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5</w:t>
            </w:r>
          </w:p>
        </w:tc>
        <w:tc>
          <w:tcPr>
            <w:tcW w:w="3260" w:type="dxa"/>
            <w:vAlign w:val="center"/>
          </w:tcPr>
          <w:p w:rsidR="00296E4A" w:rsidRPr="00F82017" w:rsidRDefault="00296E4A"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企业短期融资</w:t>
            </w:r>
            <w:r w:rsidR="00FA786F" w:rsidRPr="00F82017">
              <w:rPr>
                <w:rFonts w:eastAsiaTheme="minorEastAsia"/>
                <w:color w:val="000000" w:themeColor="text1"/>
                <w:sz w:val="24"/>
              </w:rPr>
              <w:t>券</w:t>
            </w:r>
          </w:p>
        </w:tc>
        <w:tc>
          <w:tcPr>
            <w:tcW w:w="2835"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616" w:type="dxa"/>
            <w:vAlign w:val="center"/>
          </w:tcPr>
          <w:p w:rsidR="00296E4A" w:rsidRPr="00F82017" w:rsidRDefault="00296E4A"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817" w:type="dxa"/>
            <w:vAlign w:val="center"/>
          </w:tcPr>
          <w:p w:rsidR="00686943" w:rsidRPr="00F82017" w:rsidRDefault="00686943" w:rsidP="00BE4FD1">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6</w:t>
            </w:r>
          </w:p>
        </w:tc>
        <w:tc>
          <w:tcPr>
            <w:tcW w:w="3260" w:type="dxa"/>
            <w:vAlign w:val="center"/>
          </w:tcPr>
          <w:p w:rsidR="00686943" w:rsidRPr="00F82017" w:rsidRDefault="00686943" w:rsidP="00BE4FD1">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中期票据</w:t>
            </w:r>
          </w:p>
        </w:tc>
        <w:tc>
          <w:tcPr>
            <w:tcW w:w="2835" w:type="dxa"/>
            <w:vAlign w:val="center"/>
          </w:tcPr>
          <w:p w:rsidR="00686943" w:rsidRPr="00F82017" w:rsidRDefault="00686943" w:rsidP="00BE4FD1">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616" w:type="dxa"/>
            <w:vAlign w:val="center"/>
          </w:tcPr>
          <w:p w:rsidR="00686943" w:rsidRPr="00F82017" w:rsidRDefault="00686943" w:rsidP="00BE4FD1">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817" w:type="dxa"/>
            <w:vAlign w:val="center"/>
          </w:tcPr>
          <w:p w:rsidR="00686943" w:rsidRPr="00F82017" w:rsidRDefault="00686943"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7</w:t>
            </w:r>
          </w:p>
        </w:tc>
        <w:tc>
          <w:tcPr>
            <w:tcW w:w="3260" w:type="dxa"/>
            <w:vAlign w:val="center"/>
          </w:tcPr>
          <w:p w:rsidR="00686943" w:rsidRPr="00F82017" w:rsidRDefault="00686943"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可转债</w:t>
            </w:r>
            <w:r w:rsidR="00D50E1A" w:rsidRPr="00F82017">
              <w:rPr>
                <w:rFonts w:eastAsiaTheme="minorEastAsia"/>
                <w:color w:val="000000" w:themeColor="text1"/>
                <w:sz w:val="24"/>
              </w:rPr>
              <w:t>（可交换债）</w:t>
            </w:r>
          </w:p>
        </w:tc>
        <w:tc>
          <w:tcPr>
            <w:tcW w:w="2835"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906,560.00</w:t>
            </w:r>
          </w:p>
        </w:tc>
        <w:tc>
          <w:tcPr>
            <w:tcW w:w="1616"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8.21</w:t>
            </w:r>
          </w:p>
        </w:tc>
      </w:tr>
      <w:tr w:rsidR="008926E3" w:rsidRPr="00F82017" w:rsidTr="00B54782">
        <w:tc>
          <w:tcPr>
            <w:tcW w:w="817" w:type="dxa"/>
            <w:vAlign w:val="center"/>
          </w:tcPr>
          <w:p w:rsidR="008926E3" w:rsidRPr="00F82017" w:rsidRDefault="008926E3" w:rsidP="00296E4A">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8</w:t>
            </w:r>
          </w:p>
        </w:tc>
        <w:tc>
          <w:tcPr>
            <w:tcW w:w="3260" w:type="dxa"/>
            <w:vAlign w:val="center"/>
          </w:tcPr>
          <w:p w:rsidR="008926E3" w:rsidRPr="00F82017" w:rsidRDefault="008926E3"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同业存单</w:t>
            </w:r>
          </w:p>
        </w:tc>
        <w:tc>
          <w:tcPr>
            <w:tcW w:w="2835" w:type="dxa"/>
            <w:vAlign w:val="center"/>
          </w:tcPr>
          <w:p w:rsidR="008926E3" w:rsidRPr="00F82017" w:rsidRDefault="008926E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616" w:type="dxa"/>
            <w:vAlign w:val="center"/>
          </w:tcPr>
          <w:p w:rsidR="008926E3" w:rsidRPr="00F82017" w:rsidRDefault="008926E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817" w:type="dxa"/>
            <w:vAlign w:val="center"/>
          </w:tcPr>
          <w:p w:rsidR="00686943" w:rsidRPr="00F82017" w:rsidRDefault="00686943" w:rsidP="00686943">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9</w:t>
            </w:r>
          </w:p>
        </w:tc>
        <w:tc>
          <w:tcPr>
            <w:tcW w:w="3260" w:type="dxa"/>
            <w:vAlign w:val="center"/>
          </w:tcPr>
          <w:p w:rsidR="00686943" w:rsidRPr="00F82017" w:rsidRDefault="00686943"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其他</w:t>
            </w:r>
          </w:p>
        </w:tc>
        <w:tc>
          <w:tcPr>
            <w:tcW w:w="2835"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1616"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817" w:type="dxa"/>
            <w:vAlign w:val="center"/>
          </w:tcPr>
          <w:p w:rsidR="00686943" w:rsidRPr="00F82017" w:rsidRDefault="00686943" w:rsidP="00686943">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10</w:t>
            </w:r>
          </w:p>
        </w:tc>
        <w:tc>
          <w:tcPr>
            <w:tcW w:w="3260" w:type="dxa"/>
            <w:vAlign w:val="center"/>
          </w:tcPr>
          <w:p w:rsidR="00686943" w:rsidRPr="00F82017" w:rsidRDefault="00686943" w:rsidP="00296E4A">
            <w:pPr>
              <w:spacing w:before="29" w:line="360" w:lineRule="auto"/>
              <w:ind w:left="17"/>
              <w:jc w:val="left"/>
              <w:rPr>
                <w:rFonts w:eastAsiaTheme="minorEastAsia"/>
                <w:color w:val="000000" w:themeColor="text1"/>
                <w:sz w:val="24"/>
              </w:rPr>
            </w:pPr>
            <w:r w:rsidRPr="00F82017">
              <w:rPr>
                <w:rFonts w:eastAsiaTheme="minorEastAsia"/>
                <w:color w:val="000000" w:themeColor="text1"/>
                <w:sz w:val="24"/>
              </w:rPr>
              <w:t>合计</w:t>
            </w:r>
          </w:p>
        </w:tc>
        <w:tc>
          <w:tcPr>
            <w:tcW w:w="2835"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9,845,535.30</w:t>
            </w:r>
          </w:p>
        </w:tc>
        <w:tc>
          <w:tcPr>
            <w:tcW w:w="1616" w:type="dxa"/>
            <w:vAlign w:val="center"/>
          </w:tcPr>
          <w:p w:rsidR="00686943" w:rsidRPr="00F82017" w:rsidRDefault="00686943" w:rsidP="00296E4A">
            <w:pPr>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89.19</w:t>
            </w:r>
          </w:p>
        </w:tc>
      </w:tr>
    </w:tbl>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 xml:space="preserve">5.5 </w:t>
      </w:r>
      <w:r w:rsidRPr="00F82017">
        <w:rPr>
          <w:rFonts w:eastAsiaTheme="minorEastAsia"/>
          <w:b/>
          <w:color w:val="000000" w:themeColor="text1"/>
          <w:kern w:val="0"/>
          <w:sz w:val="24"/>
        </w:rPr>
        <w:t>报告期末按公允价值占基金资产净值比例大小排</w:t>
      </w:r>
      <w:r w:rsidR="006D462B" w:rsidRPr="00F82017">
        <w:rPr>
          <w:rFonts w:eastAsiaTheme="minorEastAsia"/>
          <w:b/>
          <w:color w:val="000000" w:themeColor="text1"/>
          <w:kern w:val="0"/>
          <w:sz w:val="24"/>
        </w:rPr>
        <w:t>序</w:t>
      </w:r>
      <w:r w:rsidRPr="00F82017">
        <w:rPr>
          <w:rFonts w:eastAsiaTheme="minorEastAsia"/>
          <w:b/>
          <w:color w:val="000000" w:themeColor="text1"/>
          <w:kern w:val="0"/>
          <w:sz w:val="24"/>
        </w:rPr>
        <w:t>的前五名债券投资明细</w:t>
      </w:r>
    </w:p>
    <w:tbl>
      <w:tblPr>
        <w:tblStyle w:val="af2"/>
        <w:tblW w:w="0" w:type="auto"/>
        <w:tblInd w:w="108" w:type="dxa"/>
        <w:tblLayout w:type="fixed"/>
        <w:tblLook w:val="04A0"/>
      </w:tblPr>
      <w:tblGrid>
        <w:gridCol w:w="1504"/>
        <w:gridCol w:w="1504"/>
        <w:gridCol w:w="1504"/>
        <w:gridCol w:w="1503"/>
        <w:gridCol w:w="1503"/>
        <w:gridCol w:w="1503"/>
      </w:tblGrid>
      <w:tr w:rsidR="004264FD" w:rsidRPr="00F82017" w:rsidTr="00B54782">
        <w:tc>
          <w:tcPr>
            <w:tcW w:w="1504"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序号</w:t>
            </w:r>
          </w:p>
        </w:tc>
        <w:tc>
          <w:tcPr>
            <w:tcW w:w="1504"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债券代码</w:t>
            </w:r>
          </w:p>
        </w:tc>
        <w:tc>
          <w:tcPr>
            <w:tcW w:w="1504"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债券名称</w:t>
            </w:r>
          </w:p>
        </w:tc>
        <w:tc>
          <w:tcPr>
            <w:tcW w:w="1503"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数量（张）</w:t>
            </w:r>
          </w:p>
        </w:tc>
        <w:tc>
          <w:tcPr>
            <w:tcW w:w="1503"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公允价值</w:t>
            </w:r>
            <w:r w:rsidRPr="00F82017">
              <w:rPr>
                <w:rFonts w:eastAsiaTheme="minorEastAsia"/>
                <w:color w:val="000000" w:themeColor="text1"/>
                <w:kern w:val="0"/>
                <w:sz w:val="24"/>
              </w:rPr>
              <w:t>(</w:t>
            </w:r>
            <w:r w:rsidRPr="00F82017">
              <w:rPr>
                <w:rFonts w:eastAsiaTheme="minorEastAsia"/>
                <w:color w:val="000000" w:themeColor="text1"/>
                <w:kern w:val="0"/>
                <w:sz w:val="24"/>
              </w:rPr>
              <w:t>元</w:t>
            </w:r>
            <w:r w:rsidRPr="00F82017">
              <w:rPr>
                <w:rFonts w:eastAsiaTheme="minorEastAsia"/>
                <w:color w:val="000000" w:themeColor="text1"/>
                <w:kern w:val="0"/>
                <w:sz w:val="24"/>
              </w:rPr>
              <w:t>)</w:t>
            </w:r>
          </w:p>
        </w:tc>
        <w:tc>
          <w:tcPr>
            <w:tcW w:w="1503" w:type="dxa"/>
            <w:vAlign w:val="center"/>
          </w:tcPr>
          <w:p w:rsidR="00685FFC" w:rsidRPr="00F82017" w:rsidRDefault="00685FFC" w:rsidP="003F7026">
            <w:pPr>
              <w:autoSpaceDE w:val="0"/>
              <w:autoSpaceDN w:val="0"/>
              <w:adjustRightInd w:val="0"/>
              <w:spacing w:before="29" w:line="288" w:lineRule="auto"/>
              <w:ind w:left="15"/>
              <w:jc w:val="center"/>
              <w:rPr>
                <w:rFonts w:eastAsiaTheme="minorEastAsia"/>
                <w:color w:val="000000" w:themeColor="text1"/>
                <w:kern w:val="0"/>
                <w:sz w:val="24"/>
              </w:rPr>
            </w:pPr>
            <w:r w:rsidRPr="00F82017">
              <w:rPr>
                <w:rFonts w:eastAsiaTheme="minorEastAsia"/>
                <w:color w:val="000000" w:themeColor="text1"/>
                <w:kern w:val="0"/>
                <w:sz w:val="24"/>
              </w:rPr>
              <w:t>占基金资产净值比</w:t>
            </w:r>
            <w:r w:rsidR="00334656" w:rsidRPr="00F82017">
              <w:rPr>
                <w:rFonts w:eastAsiaTheme="minorEastAsia"/>
                <w:color w:val="000000" w:themeColor="text1"/>
                <w:kern w:val="0"/>
                <w:sz w:val="24"/>
              </w:rPr>
              <w:t>例</w:t>
            </w:r>
            <w:r w:rsidRPr="00F82017">
              <w:rPr>
                <w:rFonts w:eastAsiaTheme="minorEastAsia"/>
                <w:color w:val="000000" w:themeColor="text1"/>
                <w:kern w:val="0"/>
                <w:sz w:val="24"/>
              </w:rPr>
              <w:t>（％）</w:t>
            </w:r>
          </w:p>
        </w:tc>
      </w:tr>
      <w:tr w:rsidR="00385B0A">
        <w:tc>
          <w:tcPr>
            <w:tcW w:w="1504" w:type="dxa"/>
            <w:vAlign w:val="center"/>
          </w:tcPr>
          <w:p w:rsidR="00385B0A" w:rsidRDefault="00EF18B5">
            <w:pPr>
              <w:jc w:val="center"/>
            </w:pPr>
            <w:r>
              <w:rPr>
                <w:rFonts w:eastAsiaTheme="minorEastAsia"/>
                <w:color w:val="000000" w:themeColor="text1"/>
                <w:sz w:val="24"/>
              </w:rPr>
              <w:t>1</w:t>
            </w:r>
          </w:p>
        </w:tc>
        <w:tc>
          <w:tcPr>
            <w:tcW w:w="1504" w:type="dxa"/>
            <w:vAlign w:val="center"/>
          </w:tcPr>
          <w:p w:rsidR="00385B0A" w:rsidRDefault="00EF18B5">
            <w:pPr>
              <w:jc w:val="center"/>
            </w:pPr>
            <w:r>
              <w:rPr>
                <w:rFonts w:eastAsiaTheme="minorEastAsia"/>
                <w:color w:val="000000" w:themeColor="text1"/>
                <w:sz w:val="24"/>
              </w:rPr>
              <w:t>010107</w:t>
            </w:r>
          </w:p>
        </w:tc>
        <w:tc>
          <w:tcPr>
            <w:tcW w:w="1504" w:type="dxa"/>
            <w:vAlign w:val="center"/>
          </w:tcPr>
          <w:p w:rsidR="00385B0A" w:rsidRDefault="00EF18B5">
            <w:pPr>
              <w:jc w:val="center"/>
            </w:pPr>
            <w:r>
              <w:rPr>
                <w:rFonts w:eastAsiaTheme="minorEastAsia"/>
                <w:color w:val="000000" w:themeColor="text1"/>
                <w:sz w:val="24"/>
              </w:rPr>
              <w:t>21</w:t>
            </w:r>
            <w:r>
              <w:rPr>
                <w:rFonts w:eastAsiaTheme="minorEastAsia"/>
                <w:color w:val="000000" w:themeColor="text1"/>
                <w:sz w:val="24"/>
              </w:rPr>
              <w:t>国债</w:t>
            </w:r>
            <w:r>
              <w:rPr>
                <w:rFonts w:eastAsiaTheme="minorEastAsia"/>
                <w:color w:val="000000" w:themeColor="text1"/>
                <w:sz w:val="24"/>
              </w:rPr>
              <w:t>(7)</w:t>
            </w:r>
          </w:p>
        </w:tc>
        <w:tc>
          <w:tcPr>
            <w:tcW w:w="1503" w:type="dxa"/>
            <w:vAlign w:val="center"/>
          </w:tcPr>
          <w:p w:rsidR="00385B0A" w:rsidRDefault="00EF18B5">
            <w:pPr>
              <w:jc w:val="right"/>
            </w:pPr>
            <w:r>
              <w:rPr>
                <w:rFonts w:eastAsiaTheme="minorEastAsia"/>
                <w:color w:val="000000" w:themeColor="text1"/>
                <w:sz w:val="24"/>
              </w:rPr>
              <w:t>30,000</w:t>
            </w:r>
          </w:p>
        </w:tc>
        <w:tc>
          <w:tcPr>
            <w:tcW w:w="1503" w:type="dxa"/>
            <w:vAlign w:val="center"/>
          </w:tcPr>
          <w:p w:rsidR="00385B0A" w:rsidRDefault="00EF18B5">
            <w:pPr>
              <w:jc w:val="right"/>
            </w:pPr>
            <w:r>
              <w:rPr>
                <w:rFonts w:eastAsiaTheme="minorEastAsia"/>
                <w:color w:val="000000" w:themeColor="text1"/>
                <w:sz w:val="24"/>
              </w:rPr>
              <w:t>3,066,000.00</w:t>
            </w:r>
          </w:p>
        </w:tc>
        <w:tc>
          <w:tcPr>
            <w:tcW w:w="1503" w:type="dxa"/>
            <w:vAlign w:val="center"/>
          </w:tcPr>
          <w:p w:rsidR="00385B0A" w:rsidRDefault="00EF18B5">
            <w:pPr>
              <w:jc w:val="right"/>
            </w:pPr>
            <w:r>
              <w:rPr>
                <w:rFonts w:eastAsiaTheme="minorEastAsia"/>
                <w:color w:val="000000" w:themeColor="text1"/>
                <w:sz w:val="24"/>
              </w:rPr>
              <w:t>27.77</w:t>
            </w:r>
          </w:p>
        </w:tc>
      </w:tr>
      <w:tr w:rsidR="00385B0A">
        <w:tc>
          <w:tcPr>
            <w:tcW w:w="1504" w:type="dxa"/>
            <w:vAlign w:val="center"/>
          </w:tcPr>
          <w:p w:rsidR="00385B0A" w:rsidRDefault="00EF18B5">
            <w:pPr>
              <w:jc w:val="center"/>
            </w:pPr>
            <w:r>
              <w:rPr>
                <w:rFonts w:eastAsiaTheme="minorEastAsia"/>
                <w:color w:val="000000" w:themeColor="text1"/>
                <w:sz w:val="24"/>
              </w:rPr>
              <w:t>2</w:t>
            </w:r>
          </w:p>
        </w:tc>
        <w:tc>
          <w:tcPr>
            <w:tcW w:w="1504" w:type="dxa"/>
            <w:vAlign w:val="center"/>
          </w:tcPr>
          <w:p w:rsidR="00385B0A" w:rsidRDefault="00EF18B5">
            <w:pPr>
              <w:jc w:val="center"/>
            </w:pPr>
            <w:r>
              <w:rPr>
                <w:rFonts w:eastAsiaTheme="minorEastAsia"/>
                <w:color w:val="000000" w:themeColor="text1"/>
                <w:sz w:val="24"/>
              </w:rPr>
              <w:t>019547</w:t>
            </w:r>
          </w:p>
        </w:tc>
        <w:tc>
          <w:tcPr>
            <w:tcW w:w="1504" w:type="dxa"/>
            <w:vAlign w:val="center"/>
          </w:tcPr>
          <w:p w:rsidR="00385B0A" w:rsidRDefault="00EF18B5">
            <w:pPr>
              <w:jc w:val="center"/>
            </w:pPr>
            <w:r>
              <w:rPr>
                <w:rFonts w:eastAsiaTheme="minorEastAsia"/>
                <w:color w:val="000000" w:themeColor="text1"/>
                <w:sz w:val="24"/>
              </w:rPr>
              <w:t>16</w:t>
            </w:r>
            <w:r>
              <w:rPr>
                <w:rFonts w:eastAsiaTheme="minorEastAsia"/>
                <w:color w:val="000000" w:themeColor="text1"/>
                <w:sz w:val="24"/>
              </w:rPr>
              <w:t>国债</w:t>
            </w:r>
            <w:r>
              <w:rPr>
                <w:rFonts w:eastAsiaTheme="minorEastAsia"/>
                <w:color w:val="000000" w:themeColor="text1"/>
                <w:sz w:val="24"/>
              </w:rPr>
              <w:t>19</w:t>
            </w:r>
          </w:p>
        </w:tc>
        <w:tc>
          <w:tcPr>
            <w:tcW w:w="1503" w:type="dxa"/>
            <w:vAlign w:val="center"/>
          </w:tcPr>
          <w:p w:rsidR="00385B0A" w:rsidRDefault="00EF18B5">
            <w:pPr>
              <w:jc w:val="right"/>
            </w:pPr>
            <w:r>
              <w:rPr>
                <w:rFonts w:eastAsiaTheme="minorEastAsia"/>
                <w:color w:val="000000" w:themeColor="text1"/>
                <w:sz w:val="24"/>
              </w:rPr>
              <w:t>21,670</w:t>
            </w:r>
          </w:p>
        </w:tc>
        <w:tc>
          <w:tcPr>
            <w:tcW w:w="1503" w:type="dxa"/>
            <w:vAlign w:val="center"/>
          </w:tcPr>
          <w:p w:rsidR="00385B0A" w:rsidRDefault="00EF18B5">
            <w:pPr>
              <w:jc w:val="right"/>
            </w:pPr>
            <w:r>
              <w:rPr>
                <w:rFonts w:eastAsiaTheme="minorEastAsia"/>
                <w:color w:val="000000" w:themeColor="text1"/>
                <w:sz w:val="24"/>
              </w:rPr>
              <w:t>1,894,608.10</w:t>
            </w:r>
          </w:p>
        </w:tc>
        <w:tc>
          <w:tcPr>
            <w:tcW w:w="1503" w:type="dxa"/>
            <w:vAlign w:val="center"/>
          </w:tcPr>
          <w:p w:rsidR="00385B0A" w:rsidRDefault="00EF18B5">
            <w:pPr>
              <w:jc w:val="right"/>
            </w:pPr>
            <w:r>
              <w:rPr>
                <w:rFonts w:eastAsiaTheme="minorEastAsia"/>
                <w:color w:val="000000" w:themeColor="text1"/>
                <w:sz w:val="24"/>
              </w:rPr>
              <w:t>17.16</w:t>
            </w:r>
          </w:p>
        </w:tc>
      </w:tr>
      <w:tr w:rsidR="00385B0A">
        <w:tc>
          <w:tcPr>
            <w:tcW w:w="1504" w:type="dxa"/>
            <w:vAlign w:val="center"/>
          </w:tcPr>
          <w:p w:rsidR="00385B0A" w:rsidRDefault="00EF18B5">
            <w:pPr>
              <w:jc w:val="center"/>
            </w:pPr>
            <w:r>
              <w:rPr>
                <w:rFonts w:eastAsiaTheme="minorEastAsia"/>
                <w:color w:val="000000" w:themeColor="text1"/>
                <w:sz w:val="24"/>
              </w:rPr>
              <w:t>3</w:t>
            </w:r>
          </w:p>
        </w:tc>
        <w:tc>
          <w:tcPr>
            <w:tcW w:w="1504" w:type="dxa"/>
            <w:vAlign w:val="center"/>
          </w:tcPr>
          <w:p w:rsidR="00385B0A" w:rsidRDefault="00EF18B5">
            <w:pPr>
              <w:jc w:val="center"/>
            </w:pPr>
            <w:r>
              <w:rPr>
                <w:rFonts w:eastAsiaTheme="minorEastAsia"/>
                <w:color w:val="000000" w:themeColor="text1"/>
                <w:sz w:val="24"/>
              </w:rPr>
              <w:t>010303</w:t>
            </w:r>
          </w:p>
        </w:tc>
        <w:tc>
          <w:tcPr>
            <w:tcW w:w="1504" w:type="dxa"/>
            <w:vAlign w:val="center"/>
          </w:tcPr>
          <w:p w:rsidR="00385B0A" w:rsidRDefault="00EF18B5">
            <w:pPr>
              <w:jc w:val="center"/>
            </w:pPr>
            <w:r>
              <w:rPr>
                <w:rFonts w:eastAsiaTheme="minorEastAsia"/>
                <w:color w:val="000000" w:themeColor="text1"/>
                <w:sz w:val="24"/>
              </w:rPr>
              <w:t>03</w:t>
            </w:r>
            <w:r>
              <w:rPr>
                <w:rFonts w:eastAsiaTheme="minorEastAsia"/>
                <w:color w:val="000000" w:themeColor="text1"/>
                <w:sz w:val="24"/>
              </w:rPr>
              <w:t>国债</w:t>
            </w:r>
            <w:r>
              <w:rPr>
                <w:rFonts w:eastAsiaTheme="minorEastAsia"/>
                <w:color w:val="000000" w:themeColor="text1"/>
                <w:sz w:val="24"/>
              </w:rPr>
              <w:t>(3)</w:t>
            </w:r>
          </w:p>
        </w:tc>
        <w:tc>
          <w:tcPr>
            <w:tcW w:w="1503" w:type="dxa"/>
            <w:vAlign w:val="center"/>
          </w:tcPr>
          <w:p w:rsidR="00385B0A" w:rsidRDefault="00EF18B5">
            <w:pPr>
              <w:jc w:val="right"/>
            </w:pPr>
            <w:r>
              <w:rPr>
                <w:rFonts w:eastAsiaTheme="minorEastAsia"/>
                <w:color w:val="000000" w:themeColor="text1"/>
                <w:sz w:val="24"/>
              </w:rPr>
              <w:t>13,600</w:t>
            </w:r>
          </w:p>
        </w:tc>
        <w:tc>
          <w:tcPr>
            <w:tcW w:w="1503" w:type="dxa"/>
            <w:vAlign w:val="center"/>
          </w:tcPr>
          <w:p w:rsidR="00385B0A" w:rsidRDefault="00EF18B5">
            <w:pPr>
              <w:jc w:val="right"/>
            </w:pPr>
            <w:r>
              <w:rPr>
                <w:rFonts w:eastAsiaTheme="minorEastAsia"/>
                <w:color w:val="000000" w:themeColor="text1"/>
                <w:sz w:val="24"/>
              </w:rPr>
              <w:t>1,348,576.00</w:t>
            </w:r>
          </w:p>
        </w:tc>
        <w:tc>
          <w:tcPr>
            <w:tcW w:w="1503" w:type="dxa"/>
            <w:vAlign w:val="center"/>
          </w:tcPr>
          <w:p w:rsidR="00385B0A" w:rsidRDefault="00EF18B5">
            <w:pPr>
              <w:jc w:val="right"/>
            </w:pPr>
            <w:r>
              <w:rPr>
                <w:rFonts w:eastAsiaTheme="minorEastAsia"/>
                <w:color w:val="000000" w:themeColor="text1"/>
                <w:sz w:val="24"/>
              </w:rPr>
              <w:t>12.22</w:t>
            </w:r>
          </w:p>
        </w:tc>
      </w:tr>
      <w:tr w:rsidR="00385B0A">
        <w:tc>
          <w:tcPr>
            <w:tcW w:w="1504" w:type="dxa"/>
            <w:vAlign w:val="center"/>
          </w:tcPr>
          <w:p w:rsidR="00385B0A" w:rsidRDefault="00EF18B5">
            <w:pPr>
              <w:jc w:val="center"/>
            </w:pPr>
            <w:r>
              <w:rPr>
                <w:rFonts w:eastAsiaTheme="minorEastAsia"/>
                <w:color w:val="000000" w:themeColor="text1"/>
                <w:sz w:val="24"/>
              </w:rPr>
              <w:t>4</w:t>
            </w:r>
          </w:p>
        </w:tc>
        <w:tc>
          <w:tcPr>
            <w:tcW w:w="1504" w:type="dxa"/>
            <w:vAlign w:val="center"/>
          </w:tcPr>
          <w:p w:rsidR="00385B0A" w:rsidRDefault="00EF18B5">
            <w:pPr>
              <w:jc w:val="center"/>
            </w:pPr>
            <w:r>
              <w:rPr>
                <w:rFonts w:eastAsiaTheme="minorEastAsia"/>
                <w:color w:val="000000" w:themeColor="text1"/>
                <w:sz w:val="24"/>
              </w:rPr>
              <w:t>019536</w:t>
            </w:r>
          </w:p>
        </w:tc>
        <w:tc>
          <w:tcPr>
            <w:tcW w:w="1504" w:type="dxa"/>
            <w:vAlign w:val="center"/>
          </w:tcPr>
          <w:p w:rsidR="00385B0A" w:rsidRDefault="00EF18B5">
            <w:pPr>
              <w:jc w:val="center"/>
            </w:pPr>
            <w:r>
              <w:rPr>
                <w:rFonts w:eastAsiaTheme="minorEastAsia"/>
                <w:color w:val="000000" w:themeColor="text1"/>
                <w:sz w:val="24"/>
              </w:rPr>
              <w:t>16</w:t>
            </w:r>
            <w:r>
              <w:rPr>
                <w:rFonts w:eastAsiaTheme="minorEastAsia"/>
                <w:color w:val="000000" w:themeColor="text1"/>
                <w:sz w:val="24"/>
              </w:rPr>
              <w:t>国债</w:t>
            </w:r>
            <w:r>
              <w:rPr>
                <w:rFonts w:eastAsiaTheme="minorEastAsia"/>
                <w:color w:val="000000" w:themeColor="text1"/>
                <w:sz w:val="24"/>
              </w:rPr>
              <w:t>08</w:t>
            </w:r>
          </w:p>
        </w:tc>
        <w:tc>
          <w:tcPr>
            <w:tcW w:w="1503" w:type="dxa"/>
            <w:vAlign w:val="center"/>
          </w:tcPr>
          <w:p w:rsidR="00385B0A" w:rsidRDefault="00EF18B5">
            <w:pPr>
              <w:jc w:val="right"/>
            </w:pPr>
            <w:r>
              <w:rPr>
                <w:rFonts w:eastAsiaTheme="minorEastAsia"/>
                <w:color w:val="000000" w:themeColor="text1"/>
                <w:sz w:val="24"/>
              </w:rPr>
              <w:t>11,000</w:t>
            </w:r>
          </w:p>
        </w:tc>
        <w:tc>
          <w:tcPr>
            <w:tcW w:w="1503" w:type="dxa"/>
            <w:vAlign w:val="center"/>
          </w:tcPr>
          <w:p w:rsidR="00385B0A" w:rsidRDefault="00EF18B5">
            <w:pPr>
              <w:jc w:val="right"/>
            </w:pPr>
            <w:r>
              <w:rPr>
                <w:rFonts w:eastAsiaTheme="minorEastAsia"/>
                <w:color w:val="000000" w:themeColor="text1"/>
                <w:sz w:val="24"/>
              </w:rPr>
              <w:t>1,009,250.00</w:t>
            </w:r>
          </w:p>
        </w:tc>
        <w:tc>
          <w:tcPr>
            <w:tcW w:w="1503" w:type="dxa"/>
            <w:vAlign w:val="center"/>
          </w:tcPr>
          <w:p w:rsidR="00385B0A" w:rsidRDefault="00EF18B5">
            <w:pPr>
              <w:jc w:val="right"/>
            </w:pPr>
            <w:r>
              <w:rPr>
                <w:rFonts w:eastAsiaTheme="minorEastAsia"/>
                <w:color w:val="000000" w:themeColor="text1"/>
                <w:sz w:val="24"/>
              </w:rPr>
              <w:t>9.14</w:t>
            </w:r>
          </w:p>
        </w:tc>
      </w:tr>
      <w:tr w:rsidR="00385B0A">
        <w:tc>
          <w:tcPr>
            <w:tcW w:w="1504" w:type="dxa"/>
            <w:vAlign w:val="center"/>
          </w:tcPr>
          <w:p w:rsidR="00385B0A" w:rsidRDefault="00EF18B5">
            <w:pPr>
              <w:jc w:val="center"/>
            </w:pPr>
            <w:r>
              <w:rPr>
                <w:rFonts w:eastAsiaTheme="minorEastAsia"/>
                <w:color w:val="000000" w:themeColor="text1"/>
                <w:sz w:val="24"/>
              </w:rPr>
              <w:t>5</w:t>
            </w:r>
          </w:p>
        </w:tc>
        <w:tc>
          <w:tcPr>
            <w:tcW w:w="1504" w:type="dxa"/>
            <w:vAlign w:val="center"/>
          </w:tcPr>
          <w:p w:rsidR="00385B0A" w:rsidRDefault="00EF18B5">
            <w:pPr>
              <w:jc w:val="center"/>
            </w:pPr>
            <w:r>
              <w:rPr>
                <w:rFonts w:eastAsiaTheme="minorEastAsia"/>
                <w:color w:val="000000" w:themeColor="text1"/>
                <w:sz w:val="24"/>
              </w:rPr>
              <w:t>136165</w:t>
            </w:r>
          </w:p>
        </w:tc>
        <w:tc>
          <w:tcPr>
            <w:tcW w:w="1504" w:type="dxa"/>
            <w:vAlign w:val="center"/>
          </w:tcPr>
          <w:p w:rsidR="00385B0A" w:rsidRDefault="00EF18B5">
            <w:pPr>
              <w:jc w:val="center"/>
            </w:pPr>
            <w:r>
              <w:rPr>
                <w:rFonts w:eastAsiaTheme="minorEastAsia"/>
                <w:color w:val="000000" w:themeColor="text1"/>
                <w:sz w:val="24"/>
              </w:rPr>
              <w:t>16</w:t>
            </w:r>
            <w:r>
              <w:rPr>
                <w:rFonts w:eastAsiaTheme="minorEastAsia"/>
                <w:color w:val="000000" w:themeColor="text1"/>
                <w:sz w:val="24"/>
              </w:rPr>
              <w:t>中油</w:t>
            </w:r>
            <w:r>
              <w:rPr>
                <w:rFonts w:eastAsiaTheme="minorEastAsia"/>
                <w:color w:val="000000" w:themeColor="text1"/>
                <w:sz w:val="24"/>
              </w:rPr>
              <w:t>02</w:t>
            </w:r>
          </w:p>
        </w:tc>
        <w:tc>
          <w:tcPr>
            <w:tcW w:w="1503" w:type="dxa"/>
            <w:vAlign w:val="center"/>
          </w:tcPr>
          <w:p w:rsidR="00385B0A" w:rsidRDefault="00EF18B5">
            <w:pPr>
              <w:jc w:val="right"/>
            </w:pPr>
            <w:r>
              <w:rPr>
                <w:rFonts w:eastAsiaTheme="minorEastAsia"/>
                <w:color w:val="000000" w:themeColor="text1"/>
                <w:sz w:val="24"/>
              </w:rPr>
              <w:t>9,990</w:t>
            </w:r>
          </w:p>
        </w:tc>
        <w:tc>
          <w:tcPr>
            <w:tcW w:w="1503" w:type="dxa"/>
            <w:vAlign w:val="center"/>
          </w:tcPr>
          <w:p w:rsidR="00385B0A" w:rsidRDefault="00EF18B5">
            <w:pPr>
              <w:jc w:val="right"/>
            </w:pPr>
            <w:r>
              <w:rPr>
                <w:rFonts w:eastAsiaTheme="minorEastAsia"/>
                <w:color w:val="000000" w:themeColor="text1"/>
                <w:sz w:val="24"/>
              </w:rPr>
              <w:t>917,881.20</w:t>
            </w:r>
          </w:p>
        </w:tc>
        <w:tc>
          <w:tcPr>
            <w:tcW w:w="1503" w:type="dxa"/>
            <w:vAlign w:val="center"/>
          </w:tcPr>
          <w:p w:rsidR="00385B0A" w:rsidRDefault="00EF18B5">
            <w:pPr>
              <w:jc w:val="right"/>
            </w:pPr>
            <w:r>
              <w:rPr>
                <w:rFonts w:eastAsiaTheme="minorEastAsia"/>
                <w:color w:val="000000" w:themeColor="text1"/>
                <w:sz w:val="24"/>
              </w:rPr>
              <w:t>8.31</w:t>
            </w:r>
          </w:p>
        </w:tc>
      </w:tr>
    </w:tbl>
    <w:p w:rsidR="009238DB" w:rsidRPr="00F82017" w:rsidRDefault="009238DB"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5.6</w:t>
      </w:r>
      <w:r w:rsidRPr="00F82017">
        <w:rPr>
          <w:rFonts w:eastAsiaTheme="minorEastAsia"/>
          <w:b/>
          <w:color w:val="000000" w:themeColor="text1"/>
          <w:kern w:val="0"/>
          <w:sz w:val="24"/>
        </w:rPr>
        <w:t xml:space="preserve">　报告期末按公允价值占基金资产净值比例大小排</w:t>
      </w:r>
      <w:r w:rsidR="006D462B" w:rsidRPr="00F82017">
        <w:rPr>
          <w:rFonts w:eastAsiaTheme="minorEastAsia"/>
          <w:b/>
          <w:color w:val="000000" w:themeColor="text1"/>
          <w:kern w:val="0"/>
          <w:sz w:val="24"/>
        </w:rPr>
        <w:t>序</w:t>
      </w:r>
      <w:r w:rsidRPr="00F82017">
        <w:rPr>
          <w:rFonts w:eastAsiaTheme="minorEastAsia"/>
          <w:b/>
          <w:color w:val="000000" w:themeColor="text1"/>
          <w:kern w:val="0"/>
          <w:sz w:val="24"/>
        </w:rPr>
        <w:t>的前十名资产支持证券投资明细</w:t>
      </w:r>
    </w:p>
    <w:p w:rsidR="009238DB" w:rsidRPr="00F82017" w:rsidRDefault="00C260A2" w:rsidP="00853C4C">
      <w:pPr>
        <w:autoSpaceDE w:val="0"/>
        <w:autoSpaceDN w:val="0"/>
        <w:adjustRightInd w:val="0"/>
        <w:spacing w:line="360" w:lineRule="auto"/>
        <w:ind w:firstLineChars="200" w:firstLine="480"/>
        <w:jc w:val="left"/>
        <w:rPr>
          <w:rFonts w:eastAsiaTheme="minorEastAsia"/>
          <w:color w:val="000000" w:themeColor="text1"/>
          <w:sz w:val="24"/>
        </w:rPr>
      </w:pPr>
      <w:r w:rsidRPr="00F82017">
        <w:rPr>
          <w:rFonts w:eastAsiaTheme="minorEastAsia"/>
          <w:color w:val="000000" w:themeColor="text1"/>
          <w:sz w:val="24"/>
        </w:rPr>
        <w:t>本基金本报告期末未持有资产支持证券。</w:t>
      </w:r>
    </w:p>
    <w:p w:rsidR="006D462B" w:rsidRPr="00F82017" w:rsidRDefault="006D462B" w:rsidP="001E018F">
      <w:pPr>
        <w:autoSpaceDE w:val="0"/>
        <w:autoSpaceDN w:val="0"/>
        <w:adjustRightInd w:val="0"/>
        <w:spacing w:beforeLines="100" w:line="360" w:lineRule="auto"/>
        <w:jc w:val="left"/>
        <w:rPr>
          <w:rFonts w:eastAsiaTheme="minorEastAsia"/>
          <w:b/>
          <w:bCs/>
          <w:color w:val="000000" w:themeColor="text1"/>
          <w:kern w:val="0"/>
          <w:sz w:val="24"/>
        </w:rPr>
      </w:pPr>
      <w:r w:rsidRPr="00F82017">
        <w:rPr>
          <w:rFonts w:eastAsiaTheme="minorEastAsia"/>
          <w:b/>
          <w:bCs/>
          <w:color w:val="000000" w:themeColor="text1"/>
          <w:kern w:val="0"/>
          <w:sz w:val="24"/>
        </w:rPr>
        <w:t xml:space="preserve">5.7 </w:t>
      </w:r>
      <w:r w:rsidRPr="00F82017">
        <w:rPr>
          <w:rFonts w:eastAsiaTheme="minorEastAsia"/>
          <w:b/>
          <w:bCs/>
          <w:color w:val="000000" w:themeColor="text1"/>
          <w:kern w:val="0"/>
          <w:sz w:val="24"/>
        </w:rPr>
        <w:t>报告期末按公允价值占基金资产净值比例大小排序的前五名贵金属投资明细</w:t>
      </w:r>
    </w:p>
    <w:p w:rsidR="006D462B" w:rsidRPr="00853C4C" w:rsidRDefault="006D462B"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本基金本报告期末未持有贵金属。</w:t>
      </w:r>
    </w:p>
    <w:p w:rsidR="009238DB" w:rsidRPr="00F82017" w:rsidRDefault="001D5CD0"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5</w:t>
      </w:r>
      <w:r w:rsidR="009238DB" w:rsidRPr="00F82017">
        <w:rPr>
          <w:rFonts w:eastAsiaTheme="minorEastAsia"/>
          <w:b/>
          <w:color w:val="000000" w:themeColor="text1"/>
          <w:kern w:val="0"/>
          <w:sz w:val="24"/>
        </w:rPr>
        <w:t>.</w:t>
      </w:r>
      <w:r w:rsidRPr="00F82017">
        <w:rPr>
          <w:rFonts w:eastAsiaTheme="minorEastAsia"/>
          <w:b/>
          <w:color w:val="000000" w:themeColor="text1"/>
          <w:kern w:val="0"/>
          <w:sz w:val="24"/>
        </w:rPr>
        <w:t>8</w:t>
      </w:r>
      <w:r w:rsidR="009238DB" w:rsidRPr="00F82017">
        <w:rPr>
          <w:rFonts w:eastAsiaTheme="minorEastAsia"/>
          <w:b/>
          <w:color w:val="000000" w:themeColor="text1"/>
          <w:kern w:val="0"/>
          <w:sz w:val="24"/>
        </w:rPr>
        <w:t>报告期末按公允价值占基金资产净值比例大小排</w:t>
      </w:r>
      <w:r w:rsidR="006D462B" w:rsidRPr="00F82017">
        <w:rPr>
          <w:rFonts w:eastAsiaTheme="minorEastAsia"/>
          <w:b/>
          <w:color w:val="000000" w:themeColor="text1"/>
          <w:kern w:val="0"/>
          <w:sz w:val="24"/>
        </w:rPr>
        <w:t>序</w:t>
      </w:r>
      <w:r w:rsidR="009238DB" w:rsidRPr="00F82017">
        <w:rPr>
          <w:rFonts w:eastAsiaTheme="minorEastAsia"/>
          <w:b/>
          <w:color w:val="000000" w:themeColor="text1"/>
          <w:kern w:val="0"/>
          <w:sz w:val="24"/>
        </w:rPr>
        <w:t>的前五名权证投资明细</w:t>
      </w:r>
    </w:p>
    <w:p w:rsidR="001D5CD0" w:rsidRPr="00853C4C" w:rsidRDefault="00C260A2"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本基金本报告期末未持有权证。</w:t>
      </w:r>
    </w:p>
    <w:p w:rsidR="001D5CD0" w:rsidRPr="00F82017" w:rsidRDefault="001D5CD0" w:rsidP="001E018F">
      <w:pPr>
        <w:adjustRightInd w:val="0"/>
        <w:snapToGrid w:val="0"/>
        <w:spacing w:beforeLines="100" w:line="360" w:lineRule="auto"/>
        <w:rPr>
          <w:rFonts w:eastAsiaTheme="minorEastAsia"/>
          <w:b/>
          <w:color w:val="000000" w:themeColor="text1"/>
          <w:sz w:val="24"/>
        </w:rPr>
      </w:pPr>
      <w:r w:rsidRPr="00F82017">
        <w:rPr>
          <w:rFonts w:eastAsiaTheme="minorEastAsia"/>
          <w:b/>
          <w:color w:val="000000" w:themeColor="text1"/>
          <w:sz w:val="24"/>
        </w:rPr>
        <w:t xml:space="preserve">5.9 </w:t>
      </w:r>
      <w:r w:rsidRPr="00F82017">
        <w:rPr>
          <w:rFonts w:eastAsiaTheme="minorEastAsia"/>
          <w:b/>
          <w:color w:val="000000" w:themeColor="text1"/>
          <w:sz w:val="24"/>
        </w:rPr>
        <w:t>报告期末本基金投资的股指期货交易情况说明</w:t>
      </w:r>
    </w:p>
    <w:p w:rsidR="001D5CD0" w:rsidRPr="00F82017" w:rsidRDefault="001D5CD0"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根据本基金合同规定，本基金不参与股指期货交易。</w:t>
      </w:r>
    </w:p>
    <w:p w:rsidR="001D5CD0" w:rsidRPr="00F82017" w:rsidRDefault="001D5CD0" w:rsidP="001E018F">
      <w:pPr>
        <w:adjustRightInd w:val="0"/>
        <w:snapToGrid w:val="0"/>
        <w:spacing w:beforeLines="100" w:line="360" w:lineRule="auto"/>
        <w:rPr>
          <w:rFonts w:eastAsiaTheme="minorEastAsia"/>
          <w:b/>
          <w:color w:val="000000" w:themeColor="text1"/>
          <w:sz w:val="24"/>
        </w:rPr>
      </w:pPr>
      <w:r w:rsidRPr="00F82017">
        <w:rPr>
          <w:rFonts w:eastAsiaTheme="minorEastAsia"/>
          <w:b/>
          <w:color w:val="000000" w:themeColor="text1"/>
          <w:sz w:val="24"/>
        </w:rPr>
        <w:t>5.10</w:t>
      </w:r>
      <w:r w:rsidRPr="00F82017">
        <w:rPr>
          <w:rFonts w:eastAsiaTheme="minorEastAsia"/>
          <w:b/>
          <w:color w:val="000000" w:themeColor="text1"/>
          <w:sz w:val="24"/>
        </w:rPr>
        <w:t>报告期末本基金投资的国债期货交易情况说明</w:t>
      </w:r>
    </w:p>
    <w:p w:rsidR="001D5CD0" w:rsidRPr="00F82017" w:rsidRDefault="001D5CD0" w:rsidP="001D5CD0">
      <w:pPr>
        <w:adjustRightInd w:val="0"/>
        <w:snapToGrid w:val="0"/>
        <w:spacing w:line="360" w:lineRule="auto"/>
        <w:rPr>
          <w:rFonts w:eastAsiaTheme="minorEastAsia"/>
          <w:b/>
          <w:color w:val="000000" w:themeColor="text1"/>
          <w:sz w:val="24"/>
        </w:rPr>
      </w:pPr>
      <w:r w:rsidRPr="00F82017">
        <w:rPr>
          <w:rFonts w:eastAsiaTheme="minorEastAsia"/>
          <w:b/>
          <w:color w:val="000000" w:themeColor="text1"/>
          <w:sz w:val="24"/>
        </w:rPr>
        <w:t xml:space="preserve">5.10.1 </w:t>
      </w:r>
      <w:r w:rsidRPr="00F82017">
        <w:rPr>
          <w:rFonts w:eastAsiaTheme="minorEastAsia"/>
          <w:b/>
          <w:color w:val="000000" w:themeColor="text1"/>
          <w:sz w:val="24"/>
        </w:rPr>
        <w:t>本期国债期货投资政策</w:t>
      </w:r>
    </w:p>
    <w:p w:rsidR="001D5CD0" w:rsidRPr="00F82017" w:rsidRDefault="001D5CD0"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为有效控制债券投资的系统性风险，本基金根据风险管理的原则，以套期保值为目的，适度运用国债期货，提高投资组合的运作效率。</w:t>
      </w:r>
    </w:p>
    <w:p w:rsidR="001D5CD0" w:rsidRPr="00F82017" w:rsidRDefault="001D5CD0" w:rsidP="001D5CD0">
      <w:pPr>
        <w:autoSpaceDE w:val="0"/>
        <w:autoSpaceDN w:val="0"/>
        <w:adjustRightInd w:val="0"/>
        <w:spacing w:line="360" w:lineRule="auto"/>
        <w:jc w:val="left"/>
        <w:rPr>
          <w:rFonts w:eastAsiaTheme="minorEastAsia"/>
          <w:b/>
          <w:color w:val="000000" w:themeColor="text1"/>
          <w:sz w:val="24"/>
        </w:rPr>
      </w:pPr>
      <w:r w:rsidRPr="00F82017">
        <w:rPr>
          <w:rFonts w:eastAsiaTheme="minorEastAsia"/>
          <w:b/>
          <w:color w:val="000000" w:themeColor="text1"/>
          <w:sz w:val="24"/>
        </w:rPr>
        <w:t xml:space="preserve">5.10.2 </w:t>
      </w:r>
      <w:r w:rsidRPr="00F82017">
        <w:rPr>
          <w:rFonts w:eastAsiaTheme="minorEastAsia"/>
          <w:b/>
          <w:color w:val="000000" w:themeColor="text1"/>
          <w:sz w:val="24"/>
        </w:rPr>
        <w:t>报告期末本基金投资的国债期货持仓和损益明细</w:t>
      </w:r>
    </w:p>
    <w:p w:rsidR="001D5CD0" w:rsidRPr="00853C4C" w:rsidRDefault="001D5CD0"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本基金本报告期末未投资国债期货。</w:t>
      </w:r>
    </w:p>
    <w:p w:rsidR="001D5CD0" w:rsidRPr="00F82017" w:rsidRDefault="001D5CD0"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5.11</w:t>
      </w:r>
      <w:r w:rsidRPr="00F82017">
        <w:rPr>
          <w:rFonts w:eastAsiaTheme="minorEastAsia"/>
          <w:b/>
          <w:color w:val="000000" w:themeColor="text1"/>
          <w:kern w:val="0"/>
          <w:sz w:val="24"/>
        </w:rPr>
        <w:t>投资组合报告附注</w:t>
      </w:r>
    </w:p>
    <w:p w:rsidR="006456D3" w:rsidRPr="00F82017" w:rsidRDefault="006456D3" w:rsidP="006456D3">
      <w:pPr>
        <w:widowControl/>
        <w:spacing w:line="360" w:lineRule="auto"/>
        <w:rPr>
          <w:rFonts w:eastAsiaTheme="minorEastAsia"/>
          <w:color w:val="000000" w:themeColor="text1"/>
          <w:sz w:val="24"/>
        </w:rPr>
      </w:pPr>
      <w:r w:rsidRPr="00F82017">
        <w:rPr>
          <w:rFonts w:eastAsiaTheme="minorEastAsia"/>
          <w:color w:val="000000" w:themeColor="text1"/>
          <w:sz w:val="24"/>
        </w:rPr>
        <w:t>5.11.1</w:t>
      </w:r>
      <w:r w:rsidRPr="00F82017">
        <w:rPr>
          <w:rFonts w:eastAsiaTheme="minorEastAsia"/>
          <w:color w:val="000000" w:themeColor="text1"/>
          <w:sz w:val="24"/>
        </w:rPr>
        <w:t>本基金投资的前十名证券中没有被监管部门立案调查的</w:t>
      </w:r>
      <w:r w:rsidRPr="00F82017">
        <w:rPr>
          <w:rFonts w:eastAsiaTheme="minorEastAsia"/>
          <w:color w:val="000000" w:themeColor="text1"/>
          <w:sz w:val="24"/>
        </w:rPr>
        <w:t>,</w:t>
      </w:r>
      <w:r w:rsidRPr="00F82017">
        <w:rPr>
          <w:rFonts w:eastAsiaTheme="minorEastAsia"/>
          <w:color w:val="000000" w:themeColor="text1"/>
          <w:sz w:val="24"/>
        </w:rPr>
        <w:t>在报告编制日前一年内未受到公开谴责、处罚。</w:t>
      </w:r>
    </w:p>
    <w:p w:rsidR="006456D3" w:rsidRPr="00F82017" w:rsidRDefault="006456D3" w:rsidP="006456D3">
      <w:pPr>
        <w:widowControl/>
        <w:spacing w:line="360" w:lineRule="auto"/>
        <w:rPr>
          <w:rFonts w:eastAsiaTheme="minorEastAsia"/>
          <w:color w:val="000000" w:themeColor="text1"/>
          <w:sz w:val="24"/>
        </w:rPr>
      </w:pPr>
      <w:r w:rsidRPr="00F82017">
        <w:rPr>
          <w:rFonts w:eastAsiaTheme="minorEastAsia"/>
          <w:color w:val="000000" w:themeColor="text1"/>
          <w:sz w:val="24"/>
        </w:rPr>
        <w:t>5.11.2</w:t>
      </w:r>
      <w:r w:rsidRPr="00F82017">
        <w:rPr>
          <w:rFonts w:eastAsiaTheme="minorEastAsia"/>
          <w:color w:val="000000" w:themeColor="text1"/>
          <w:sz w:val="24"/>
        </w:rPr>
        <w:t>本基金不存在投资的前十名股票超出基金合同规定的备选库的情况。</w:t>
      </w:r>
    </w:p>
    <w:p w:rsidR="001D5CD0" w:rsidRPr="00F82017" w:rsidRDefault="001D5CD0" w:rsidP="001D5CD0">
      <w:pPr>
        <w:autoSpaceDE w:val="0"/>
        <w:autoSpaceDN w:val="0"/>
        <w:adjustRightInd w:val="0"/>
        <w:spacing w:line="360" w:lineRule="auto"/>
        <w:rPr>
          <w:rFonts w:eastAsiaTheme="minorEastAsia"/>
          <w:b/>
          <w:color w:val="000000" w:themeColor="text1"/>
          <w:kern w:val="0"/>
          <w:sz w:val="24"/>
        </w:rPr>
      </w:pPr>
      <w:r w:rsidRPr="00F82017">
        <w:rPr>
          <w:rFonts w:eastAsiaTheme="minorEastAsia"/>
          <w:b/>
          <w:color w:val="000000" w:themeColor="text1"/>
          <w:kern w:val="0"/>
          <w:sz w:val="24"/>
        </w:rPr>
        <w:t>5.11.3</w:t>
      </w:r>
      <w:r w:rsidR="00B22511" w:rsidRPr="00F82017">
        <w:rPr>
          <w:rFonts w:eastAsiaTheme="minorEastAsia"/>
          <w:b/>
          <w:color w:val="000000" w:themeColor="text1"/>
          <w:kern w:val="0"/>
          <w:sz w:val="24"/>
        </w:rPr>
        <w:t>其他资产构成</w:t>
      </w:r>
    </w:p>
    <w:tbl>
      <w:tblPr>
        <w:tblStyle w:val="af2"/>
        <w:tblW w:w="0" w:type="auto"/>
        <w:tblInd w:w="108" w:type="dxa"/>
        <w:tblLook w:val="04A0"/>
      </w:tblPr>
      <w:tblGrid>
        <w:gridCol w:w="944"/>
        <w:gridCol w:w="2761"/>
        <w:gridCol w:w="4808"/>
      </w:tblGrid>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7"/>
              <w:jc w:val="center"/>
              <w:rPr>
                <w:rFonts w:eastAsiaTheme="minorEastAsia"/>
                <w:color w:val="000000" w:themeColor="text1"/>
                <w:kern w:val="0"/>
                <w:sz w:val="24"/>
              </w:rPr>
            </w:pPr>
            <w:r w:rsidRPr="00F82017">
              <w:rPr>
                <w:rFonts w:eastAsiaTheme="minorEastAsia"/>
                <w:color w:val="000000" w:themeColor="text1"/>
                <w:kern w:val="0"/>
                <w:sz w:val="24"/>
              </w:rPr>
              <w:t>序号</w:t>
            </w:r>
          </w:p>
        </w:tc>
        <w:tc>
          <w:tcPr>
            <w:tcW w:w="2761" w:type="dxa"/>
            <w:vAlign w:val="center"/>
          </w:tcPr>
          <w:p w:rsidR="001D5CD0" w:rsidRPr="00F82017" w:rsidRDefault="001D5CD0" w:rsidP="00F22F9F">
            <w:pPr>
              <w:autoSpaceDE w:val="0"/>
              <w:autoSpaceDN w:val="0"/>
              <w:adjustRightInd w:val="0"/>
              <w:spacing w:before="29" w:line="360" w:lineRule="auto"/>
              <w:ind w:left="17"/>
              <w:jc w:val="center"/>
              <w:rPr>
                <w:rFonts w:eastAsiaTheme="minorEastAsia"/>
                <w:color w:val="000000" w:themeColor="text1"/>
                <w:kern w:val="0"/>
                <w:sz w:val="24"/>
              </w:rPr>
            </w:pPr>
            <w:r w:rsidRPr="00F82017">
              <w:rPr>
                <w:rFonts w:eastAsiaTheme="minorEastAsia"/>
                <w:color w:val="000000" w:themeColor="text1"/>
                <w:kern w:val="0"/>
                <w:sz w:val="24"/>
              </w:rPr>
              <w:t>名称</w:t>
            </w:r>
          </w:p>
        </w:tc>
        <w:tc>
          <w:tcPr>
            <w:tcW w:w="4808" w:type="dxa"/>
            <w:vAlign w:val="center"/>
          </w:tcPr>
          <w:p w:rsidR="001D5CD0" w:rsidRPr="00F82017" w:rsidRDefault="001D5CD0" w:rsidP="00F22F9F">
            <w:pPr>
              <w:autoSpaceDE w:val="0"/>
              <w:autoSpaceDN w:val="0"/>
              <w:adjustRightInd w:val="0"/>
              <w:spacing w:before="29" w:line="360" w:lineRule="auto"/>
              <w:ind w:left="17"/>
              <w:jc w:val="center"/>
              <w:rPr>
                <w:rFonts w:eastAsiaTheme="minorEastAsia"/>
                <w:color w:val="000000" w:themeColor="text1"/>
                <w:kern w:val="0"/>
                <w:sz w:val="24"/>
              </w:rPr>
            </w:pPr>
            <w:r w:rsidRPr="00F82017">
              <w:rPr>
                <w:rFonts w:eastAsiaTheme="minorEastAsia"/>
                <w:color w:val="000000" w:themeColor="text1"/>
                <w:kern w:val="0"/>
                <w:sz w:val="24"/>
              </w:rPr>
              <w:t>金额</w:t>
            </w:r>
            <w:r w:rsidRPr="00F82017">
              <w:rPr>
                <w:rFonts w:eastAsiaTheme="minorEastAsia"/>
                <w:color w:val="000000" w:themeColor="text1"/>
                <w:kern w:val="0"/>
                <w:sz w:val="24"/>
              </w:rPr>
              <w:t>(</w:t>
            </w:r>
            <w:r w:rsidRPr="00F82017">
              <w:rPr>
                <w:rFonts w:eastAsiaTheme="minorEastAsia"/>
                <w:color w:val="000000" w:themeColor="text1"/>
                <w:kern w:val="0"/>
                <w:sz w:val="24"/>
              </w:rPr>
              <w:t>元</w:t>
            </w: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kern w:val="0"/>
                <w:sz w:val="24"/>
              </w:rPr>
            </w:pPr>
            <w:r w:rsidRPr="00F82017">
              <w:rPr>
                <w:rFonts w:eastAsiaTheme="minorEastAsia"/>
                <w:color w:val="000000" w:themeColor="text1"/>
                <w:sz w:val="24"/>
              </w:rPr>
              <w:t>1</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存出保证金</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14,588.34</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2</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应收证券清算款</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3</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应收股利</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4</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应收利息</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119,269.20</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5</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应收申购款</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6</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其他应收款</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7</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sz w:val="24"/>
              </w:rPr>
            </w:pPr>
            <w:r w:rsidRPr="00F82017">
              <w:rPr>
                <w:rFonts w:eastAsiaTheme="minorEastAsia"/>
                <w:color w:val="000000" w:themeColor="text1"/>
                <w:sz w:val="24"/>
              </w:rPr>
              <w:t>待摊费用</w:t>
            </w:r>
          </w:p>
        </w:tc>
        <w:tc>
          <w:tcPr>
            <w:tcW w:w="4808" w:type="dxa"/>
            <w:vAlign w:val="center"/>
          </w:tcPr>
          <w:p w:rsidR="001D5CD0" w:rsidRPr="00F82017" w:rsidRDefault="001D5CD0" w:rsidP="003F7026">
            <w:pPr>
              <w:autoSpaceDE w:val="0"/>
              <w:autoSpaceDN w:val="0"/>
              <w:adjustRightInd w:val="0"/>
              <w:spacing w:before="29" w:line="360" w:lineRule="auto"/>
              <w:ind w:left="15"/>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8</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其他</w:t>
            </w:r>
          </w:p>
        </w:tc>
        <w:tc>
          <w:tcPr>
            <w:tcW w:w="4808" w:type="dxa"/>
            <w:vAlign w:val="center"/>
          </w:tcPr>
          <w:p w:rsidR="001D5CD0" w:rsidRPr="00F82017" w:rsidRDefault="001D5CD0" w:rsidP="00F22F9F">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w:t>
            </w:r>
          </w:p>
        </w:tc>
      </w:tr>
      <w:tr w:rsidR="004264FD" w:rsidRPr="00F82017" w:rsidTr="00B54782">
        <w:tc>
          <w:tcPr>
            <w:tcW w:w="944" w:type="dxa"/>
            <w:vAlign w:val="center"/>
          </w:tcPr>
          <w:p w:rsidR="001D5CD0" w:rsidRPr="00F82017" w:rsidRDefault="001D5CD0" w:rsidP="00F22F9F">
            <w:pPr>
              <w:autoSpaceDE w:val="0"/>
              <w:autoSpaceDN w:val="0"/>
              <w:adjustRightInd w:val="0"/>
              <w:spacing w:before="29" w:line="360" w:lineRule="auto"/>
              <w:ind w:left="15"/>
              <w:jc w:val="center"/>
              <w:rPr>
                <w:rFonts w:eastAsiaTheme="minorEastAsia"/>
                <w:color w:val="000000" w:themeColor="text1"/>
                <w:sz w:val="24"/>
              </w:rPr>
            </w:pPr>
            <w:r w:rsidRPr="00F82017">
              <w:rPr>
                <w:rFonts w:eastAsiaTheme="minorEastAsia"/>
                <w:color w:val="000000" w:themeColor="text1"/>
                <w:sz w:val="24"/>
              </w:rPr>
              <w:t>9</w:t>
            </w:r>
          </w:p>
        </w:tc>
        <w:tc>
          <w:tcPr>
            <w:tcW w:w="2761" w:type="dxa"/>
            <w:vAlign w:val="center"/>
          </w:tcPr>
          <w:p w:rsidR="001D5CD0" w:rsidRPr="00F82017" w:rsidRDefault="001D5CD0" w:rsidP="00F22F9F">
            <w:pPr>
              <w:autoSpaceDE w:val="0"/>
              <w:autoSpaceDN w:val="0"/>
              <w:adjustRightInd w:val="0"/>
              <w:spacing w:before="29" w:line="360" w:lineRule="auto"/>
              <w:ind w:left="15"/>
              <w:jc w:val="left"/>
              <w:rPr>
                <w:rFonts w:eastAsiaTheme="minorEastAsia"/>
                <w:color w:val="000000" w:themeColor="text1"/>
                <w:kern w:val="0"/>
                <w:sz w:val="24"/>
              </w:rPr>
            </w:pPr>
            <w:r w:rsidRPr="00F82017">
              <w:rPr>
                <w:rFonts w:eastAsiaTheme="minorEastAsia"/>
                <w:color w:val="000000" w:themeColor="text1"/>
                <w:kern w:val="0"/>
                <w:sz w:val="24"/>
              </w:rPr>
              <w:t>合计</w:t>
            </w:r>
          </w:p>
        </w:tc>
        <w:tc>
          <w:tcPr>
            <w:tcW w:w="4808" w:type="dxa"/>
            <w:vAlign w:val="center"/>
          </w:tcPr>
          <w:p w:rsidR="001D5CD0" w:rsidRPr="00F82017" w:rsidRDefault="001D5CD0" w:rsidP="00F22F9F">
            <w:pPr>
              <w:autoSpaceDE w:val="0"/>
              <w:autoSpaceDN w:val="0"/>
              <w:adjustRightInd w:val="0"/>
              <w:spacing w:before="29" w:line="360" w:lineRule="auto"/>
              <w:ind w:left="15"/>
              <w:jc w:val="right"/>
              <w:rPr>
                <w:rFonts w:eastAsiaTheme="minorEastAsia"/>
                <w:color w:val="000000" w:themeColor="text1"/>
                <w:kern w:val="0"/>
                <w:sz w:val="24"/>
              </w:rPr>
            </w:pPr>
            <w:r w:rsidRPr="00F82017">
              <w:rPr>
                <w:rFonts w:eastAsiaTheme="minorEastAsia"/>
                <w:color w:val="000000" w:themeColor="text1"/>
                <w:kern w:val="0"/>
                <w:sz w:val="24"/>
              </w:rPr>
              <w:t>133,857.54</w:t>
            </w:r>
          </w:p>
        </w:tc>
      </w:tr>
    </w:tbl>
    <w:p w:rsidR="001D5CD0" w:rsidRPr="00F82017" w:rsidRDefault="001D5CD0" w:rsidP="001E018F">
      <w:pPr>
        <w:autoSpaceDE w:val="0"/>
        <w:autoSpaceDN w:val="0"/>
        <w:adjustRightInd w:val="0"/>
        <w:spacing w:beforeLines="100" w:line="360" w:lineRule="auto"/>
        <w:jc w:val="left"/>
        <w:rPr>
          <w:rFonts w:eastAsiaTheme="minorEastAsia"/>
          <w:b/>
          <w:color w:val="000000" w:themeColor="text1"/>
          <w:kern w:val="0"/>
          <w:sz w:val="24"/>
        </w:rPr>
      </w:pPr>
      <w:r w:rsidRPr="00F82017">
        <w:rPr>
          <w:rFonts w:eastAsiaTheme="minorEastAsia"/>
          <w:b/>
          <w:color w:val="000000" w:themeColor="text1"/>
          <w:kern w:val="0"/>
          <w:sz w:val="24"/>
        </w:rPr>
        <w:t>5.11.4</w:t>
      </w:r>
      <w:r w:rsidRPr="00F82017">
        <w:rPr>
          <w:rFonts w:eastAsiaTheme="minorEastAsia"/>
          <w:b/>
          <w:color w:val="000000" w:themeColor="text1"/>
          <w:kern w:val="0"/>
          <w:sz w:val="24"/>
        </w:rPr>
        <w:t>报告期末持有的处于转股期的可转换债券明细</w:t>
      </w:r>
    </w:p>
    <w:tbl>
      <w:tblPr>
        <w:tblStyle w:val="af2"/>
        <w:tblW w:w="0" w:type="auto"/>
        <w:tblInd w:w="108" w:type="dxa"/>
        <w:tblLook w:val="04A0"/>
      </w:tblPr>
      <w:tblGrid>
        <w:gridCol w:w="944"/>
        <w:gridCol w:w="1891"/>
        <w:gridCol w:w="1985"/>
        <w:gridCol w:w="2084"/>
        <w:gridCol w:w="1609"/>
      </w:tblGrid>
      <w:tr w:rsidR="004264FD" w:rsidRPr="00F82017" w:rsidTr="00EF18B5">
        <w:tc>
          <w:tcPr>
            <w:tcW w:w="944" w:type="dxa"/>
            <w:vAlign w:val="center"/>
          </w:tcPr>
          <w:p w:rsidR="001D5CD0" w:rsidRPr="00F82017" w:rsidRDefault="001D5CD0" w:rsidP="003F7026">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序号</w:t>
            </w:r>
          </w:p>
        </w:tc>
        <w:tc>
          <w:tcPr>
            <w:tcW w:w="1891" w:type="dxa"/>
            <w:vAlign w:val="center"/>
          </w:tcPr>
          <w:p w:rsidR="001D5CD0" w:rsidRPr="00F82017" w:rsidRDefault="001D5CD0" w:rsidP="003F7026">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债券代码</w:t>
            </w:r>
          </w:p>
        </w:tc>
        <w:tc>
          <w:tcPr>
            <w:tcW w:w="1985" w:type="dxa"/>
            <w:vAlign w:val="center"/>
          </w:tcPr>
          <w:p w:rsidR="001D5CD0" w:rsidRPr="00F82017" w:rsidRDefault="001D5CD0" w:rsidP="003F7026">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债券名称</w:t>
            </w:r>
          </w:p>
        </w:tc>
        <w:tc>
          <w:tcPr>
            <w:tcW w:w="2084" w:type="dxa"/>
            <w:vAlign w:val="center"/>
          </w:tcPr>
          <w:p w:rsidR="001D5CD0" w:rsidRPr="00F82017" w:rsidRDefault="001D5CD0" w:rsidP="003F7026">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公允价值</w:t>
            </w:r>
            <w:r w:rsidRPr="00F82017">
              <w:rPr>
                <w:rFonts w:eastAsiaTheme="minorEastAsia"/>
                <w:color w:val="000000" w:themeColor="text1"/>
                <w:sz w:val="24"/>
              </w:rPr>
              <w:t>(</w:t>
            </w:r>
            <w:r w:rsidRPr="00F82017">
              <w:rPr>
                <w:rFonts w:eastAsiaTheme="minorEastAsia"/>
                <w:color w:val="000000" w:themeColor="text1"/>
                <w:sz w:val="24"/>
              </w:rPr>
              <w:t>元</w:t>
            </w:r>
            <w:r w:rsidRPr="00F82017">
              <w:rPr>
                <w:rFonts w:eastAsiaTheme="minorEastAsia"/>
                <w:color w:val="000000" w:themeColor="text1"/>
                <w:sz w:val="24"/>
              </w:rPr>
              <w:t>)</w:t>
            </w:r>
          </w:p>
        </w:tc>
        <w:tc>
          <w:tcPr>
            <w:tcW w:w="1609" w:type="dxa"/>
            <w:vAlign w:val="center"/>
          </w:tcPr>
          <w:p w:rsidR="001D5CD0" w:rsidRPr="00F82017" w:rsidRDefault="001D5CD0" w:rsidP="003F7026">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占基金资产净值比例</w:t>
            </w:r>
            <w:r w:rsidRPr="00F82017">
              <w:rPr>
                <w:rFonts w:eastAsiaTheme="minorEastAsia"/>
                <w:color w:val="000000" w:themeColor="text1"/>
                <w:sz w:val="24"/>
              </w:rPr>
              <w:t>(%)</w:t>
            </w:r>
          </w:p>
        </w:tc>
      </w:tr>
      <w:tr w:rsidR="00385B0A" w:rsidTr="00EF18B5">
        <w:tc>
          <w:tcPr>
            <w:tcW w:w="0" w:type="auto"/>
            <w:vAlign w:val="center"/>
          </w:tcPr>
          <w:p w:rsidR="00385B0A" w:rsidRDefault="00EF18B5">
            <w:pPr>
              <w:jc w:val="center"/>
            </w:pPr>
            <w:r>
              <w:rPr>
                <w:rFonts w:eastAsiaTheme="minorEastAsia"/>
                <w:color w:val="000000" w:themeColor="text1"/>
                <w:sz w:val="24"/>
              </w:rPr>
              <w:t>1</w:t>
            </w:r>
          </w:p>
        </w:tc>
        <w:tc>
          <w:tcPr>
            <w:tcW w:w="1891" w:type="dxa"/>
            <w:vAlign w:val="center"/>
          </w:tcPr>
          <w:p w:rsidR="00385B0A" w:rsidRDefault="00EF18B5">
            <w:pPr>
              <w:jc w:val="center"/>
            </w:pPr>
            <w:r>
              <w:rPr>
                <w:rFonts w:eastAsiaTheme="minorEastAsia"/>
                <w:color w:val="000000" w:themeColor="text1"/>
                <w:sz w:val="24"/>
              </w:rPr>
              <w:t>132008</w:t>
            </w:r>
          </w:p>
        </w:tc>
        <w:tc>
          <w:tcPr>
            <w:tcW w:w="1985" w:type="dxa"/>
            <w:vAlign w:val="center"/>
          </w:tcPr>
          <w:p w:rsidR="00385B0A" w:rsidRDefault="00EF18B5">
            <w:pPr>
              <w:jc w:val="center"/>
            </w:pPr>
            <w:r>
              <w:rPr>
                <w:rFonts w:eastAsiaTheme="minorEastAsia"/>
                <w:color w:val="000000" w:themeColor="text1"/>
                <w:sz w:val="24"/>
              </w:rPr>
              <w:t>17</w:t>
            </w:r>
            <w:r>
              <w:rPr>
                <w:rFonts w:eastAsiaTheme="minorEastAsia"/>
                <w:color w:val="000000" w:themeColor="text1"/>
                <w:sz w:val="24"/>
              </w:rPr>
              <w:t>山高</w:t>
            </w:r>
            <w:r>
              <w:rPr>
                <w:rFonts w:eastAsiaTheme="minorEastAsia"/>
                <w:color w:val="000000" w:themeColor="text1"/>
                <w:sz w:val="24"/>
              </w:rPr>
              <w:t>EB</w:t>
            </w:r>
          </w:p>
        </w:tc>
        <w:tc>
          <w:tcPr>
            <w:tcW w:w="2084" w:type="dxa"/>
            <w:vAlign w:val="center"/>
          </w:tcPr>
          <w:p w:rsidR="00385B0A" w:rsidRDefault="00EF18B5">
            <w:pPr>
              <w:jc w:val="right"/>
            </w:pPr>
            <w:r>
              <w:rPr>
                <w:rFonts w:eastAsiaTheme="minorEastAsia"/>
                <w:color w:val="000000" w:themeColor="text1"/>
                <w:sz w:val="24"/>
              </w:rPr>
              <w:t>565,800.00</w:t>
            </w:r>
          </w:p>
        </w:tc>
        <w:tc>
          <w:tcPr>
            <w:tcW w:w="0" w:type="auto"/>
            <w:vAlign w:val="center"/>
          </w:tcPr>
          <w:p w:rsidR="00385B0A" w:rsidRDefault="00EF18B5">
            <w:pPr>
              <w:jc w:val="right"/>
            </w:pPr>
            <w:r>
              <w:rPr>
                <w:rFonts w:eastAsiaTheme="minorEastAsia"/>
                <w:color w:val="000000" w:themeColor="text1"/>
                <w:sz w:val="24"/>
              </w:rPr>
              <w:t>5.13</w:t>
            </w:r>
          </w:p>
        </w:tc>
      </w:tr>
    </w:tbl>
    <w:p w:rsidR="001D5CD0" w:rsidRPr="00F82017" w:rsidRDefault="001D5CD0" w:rsidP="001E018F">
      <w:pPr>
        <w:autoSpaceDE w:val="0"/>
        <w:autoSpaceDN w:val="0"/>
        <w:adjustRightInd w:val="0"/>
        <w:spacing w:beforeLines="100" w:line="360" w:lineRule="auto"/>
        <w:jc w:val="left"/>
        <w:rPr>
          <w:rFonts w:eastAsiaTheme="minorEastAsia"/>
          <w:b/>
          <w:bCs/>
          <w:color w:val="000000" w:themeColor="text1"/>
          <w:sz w:val="24"/>
        </w:rPr>
      </w:pPr>
      <w:r w:rsidRPr="00F82017">
        <w:rPr>
          <w:rFonts w:eastAsiaTheme="minorEastAsia"/>
          <w:b/>
          <w:color w:val="000000" w:themeColor="text1"/>
          <w:kern w:val="0"/>
          <w:sz w:val="24"/>
        </w:rPr>
        <w:t>5.11.5</w:t>
      </w:r>
      <w:r w:rsidRPr="00F82017">
        <w:rPr>
          <w:rFonts w:eastAsiaTheme="minorEastAsia"/>
          <w:b/>
          <w:bCs/>
          <w:color w:val="000000" w:themeColor="text1"/>
          <w:sz w:val="24"/>
        </w:rPr>
        <w:t>报告期末前十名股票中存在流通受限情况的说明</w:t>
      </w:r>
    </w:p>
    <w:tbl>
      <w:tblPr>
        <w:tblStyle w:val="af2"/>
        <w:tblW w:w="0" w:type="auto"/>
        <w:tblInd w:w="108" w:type="dxa"/>
        <w:tblLayout w:type="fixed"/>
        <w:tblLook w:val="04A0"/>
      </w:tblPr>
      <w:tblGrid>
        <w:gridCol w:w="1083"/>
        <w:gridCol w:w="1302"/>
        <w:gridCol w:w="1301"/>
        <w:gridCol w:w="1805"/>
        <w:gridCol w:w="1655"/>
        <w:gridCol w:w="1367"/>
      </w:tblGrid>
      <w:tr w:rsidR="004264FD" w:rsidRPr="00F82017" w:rsidTr="00B54782">
        <w:tc>
          <w:tcPr>
            <w:tcW w:w="1083"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序号</w:t>
            </w:r>
          </w:p>
        </w:tc>
        <w:tc>
          <w:tcPr>
            <w:tcW w:w="1302"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股票代码</w:t>
            </w:r>
          </w:p>
        </w:tc>
        <w:tc>
          <w:tcPr>
            <w:tcW w:w="1301"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股票名称</w:t>
            </w:r>
          </w:p>
        </w:tc>
        <w:tc>
          <w:tcPr>
            <w:tcW w:w="1805"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流通受限部分的公允价值</w:t>
            </w:r>
            <w:r w:rsidRPr="00F82017">
              <w:rPr>
                <w:rFonts w:eastAsiaTheme="minorEastAsia"/>
                <w:color w:val="000000" w:themeColor="text1"/>
                <w:sz w:val="24"/>
              </w:rPr>
              <w:t>(</w:t>
            </w:r>
            <w:r w:rsidRPr="00F82017">
              <w:rPr>
                <w:rFonts w:eastAsiaTheme="minorEastAsia"/>
                <w:color w:val="000000" w:themeColor="text1"/>
                <w:sz w:val="24"/>
              </w:rPr>
              <w:t>元</w:t>
            </w:r>
            <w:r w:rsidRPr="00F82017">
              <w:rPr>
                <w:rFonts w:eastAsiaTheme="minorEastAsia"/>
                <w:color w:val="000000" w:themeColor="text1"/>
                <w:sz w:val="24"/>
              </w:rPr>
              <w:t>)</w:t>
            </w:r>
          </w:p>
        </w:tc>
        <w:tc>
          <w:tcPr>
            <w:tcW w:w="1655"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占基金资产净值比例</w:t>
            </w:r>
            <w:r w:rsidRPr="00F82017">
              <w:rPr>
                <w:rFonts w:eastAsiaTheme="minorEastAsia"/>
                <w:color w:val="000000" w:themeColor="text1"/>
                <w:sz w:val="24"/>
              </w:rPr>
              <w:t>(%)</w:t>
            </w:r>
          </w:p>
        </w:tc>
        <w:tc>
          <w:tcPr>
            <w:tcW w:w="1367" w:type="dxa"/>
            <w:vAlign w:val="center"/>
          </w:tcPr>
          <w:p w:rsidR="001D5CD0" w:rsidRPr="00F82017" w:rsidRDefault="001D5CD0" w:rsidP="00F22F9F">
            <w:pPr>
              <w:spacing w:before="29" w:line="360" w:lineRule="auto"/>
              <w:ind w:left="17"/>
              <w:jc w:val="center"/>
              <w:rPr>
                <w:rFonts w:eastAsiaTheme="minorEastAsia"/>
                <w:color w:val="000000" w:themeColor="text1"/>
                <w:sz w:val="24"/>
              </w:rPr>
            </w:pPr>
            <w:r w:rsidRPr="00F82017">
              <w:rPr>
                <w:rFonts w:eastAsiaTheme="minorEastAsia"/>
                <w:color w:val="000000" w:themeColor="text1"/>
                <w:sz w:val="24"/>
              </w:rPr>
              <w:t>流通受限情况说明</w:t>
            </w:r>
          </w:p>
        </w:tc>
      </w:tr>
      <w:tr w:rsidR="00385B0A">
        <w:tc>
          <w:tcPr>
            <w:tcW w:w="1083" w:type="dxa"/>
            <w:vAlign w:val="center"/>
          </w:tcPr>
          <w:p w:rsidR="00385B0A" w:rsidRDefault="00EF18B5">
            <w:pPr>
              <w:jc w:val="center"/>
            </w:pPr>
            <w:r>
              <w:rPr>
                <w:rFonts w:eastAsiaTheme="minorEastAsia"/>
                <w:color w:val="000000" w:themeColor="text1"/>
                <w:sz w:val="24"/>
              </w:rPr>
              <w:t>1</w:t>
            </w:r>
          </w:p>
        </w:tc>
        <w:tc>
          <w:tcPr>
            <w:tcW w:w="1302" w:type="dxa"/>
            <w:vAlign w:val="center"/>
          </w:tcPr>
          <w:p w:rsidR="00385B0A" w:rsidRDefault="00EF18B5">
            <w:pPr>
              <w:jc w:val="center"/>
            </w:pPr>
            <w:r>
              <w:rPr>
                <w:rFonts w:eastAsiaTheme="minorEastAsia"/>
                <w:color w:val="000000" w:themeColor="text1"/>
                <w:sz w:val="24"/>
              </w:rPr>
              <w:t>600485</w:t>
            </w:r>
          </w:p>
        </w:tc>
        <w:tc>
          <w:tcPr>
            <w:tcW w:w="1301" w:type="dxa"/>
            <w:vAlign w:val="center"/>
          </w:tcPr>
          <w:p w:rsidR="00385B0A" w:rsidRDefault="00EF18B5">
            <w:pPr>
              <w:jc w:val="center"/>
            </w:pPr>
            <w:r>
              <w:rPr>
                <w:rFonts w:eastAsiaTheme="minorEastAsia"/>
                <w:color w:val="000000" w:themeColor="text1"/>
                <w:sz w:val="24"/>
              </w:rPr>
              <w:t>信威集团</w:t>
            </w:r>
          </w:p>
        </w:tc>
        <w:tc>
          <w:tcPr>
            <w:tcW w:w="1805" w:type="dxa"/>
            <w:vAlign w:val="center"/>
          </w:tcPr>
          <w:p w:rsidR="00385B0A" w:rsidRDefault="00EF18B5">
            <w:pPr>
              <w:jc w:val="right"/>
            </w:pPr>
            <w:r>
              <w:rPr>
                <w:rFonts w:eastAsiaTheme="minorEastAsia"/>
                <w:color w:val="000000" w:themeColor="text1"/>
                <w:sz w:val="24"/>
              </w:rPr>
              <w:t>1,102,076.00</w:t>
            </w:r>
          </w:p>
        </w:tc>
        <w:tc>
          <w:tcPr>
            <w:tcW w:w="1655" w:type="dxa"/>
            <w:vAlign w:val="center"/>
          </w:tcPr>
          <w:p w:rsidR="00385B0A" w:rsidRDefault="00EF18B5">
            <w:pPr>
              <w:jc w:val="right"/>
            </w:pPr>
            <w:r>
              <w:rPr>
                <w:rFonts w:eastAsiaTheme="minorEastAsia"/>
                <w:color w:val="000000" w:themeColor="text1"/>
                <w:sz w:val="24"/>
              </w:rPr>
              <w:t>9.98</w:t>
            </w:r>
          </w:p>
        </w:tc>
        <w:tc>
          <w:tcPr>
            <w:tcW w:w="1367" w:type="dxa"/>
            <w:vAlign w:val="center"/>
          </w:tcPr>
          <w:p w:rsidR="00385B0A" w:rsidRDefault="00EF18B5">
            <w:pPr>
              <w:jc w:val="right"/>
            </w:pPr>
            <w:r>
              <w:rPr>
                <w:rFonts w:eastAsiaTheme="minorEastAsia"/>
                <w:color w:val="000000" w:themeColor="text1"/>
                <w:sz w:val="24"/>
              </w:rPr>
              <w:t>重大事项停牌</w:t>
            </w:r>
          </w:p>
        </w:tc>
      </w:tr>
    </w:tbl>
    <w:p w:rsidR="001D5CD0" w:rsidRPr="00F82017" w:rsidRDefault="001D5CD0" w:rsidP="001E018F">
      <w:pPr>
        <w:spacing w:beforeLines="100" w:line="360" w:lineRule="auto"/>
        <w:rPr>
          <w:rFonts w:eastAsiaTheme="minorEastAsia"/>
          <w:b/>
          <w:color w:val="000000" w:themeColor="text1"/>
          <w:kern w:val="0"/>
          <w:sz w:val="24"/>
        </w:rPr>
      </w:pPr>
      <w:r w:rsidRPr="00F82017">
        <w:rPr>
          <w:rFonts w:eastAsiaTheme="minorEastAsia"/>
          <w:b/>
          <w:color w:val="000000" w:themeColor="text1"/>
          <w:kern w:val="0"/>
          <w:sz w:val="24"/>
        </w:rPr>
        <w:t>5.11.6</w:t>
      </w:r>
      <w:r w:rsidRPr="00F82017">
        <w:rPr>
          <w:rFonts w:eastAsiaTheme="minorEastAsia"/>
          <w:b/>
          <w:color w:val="000000" w:themeColor="text1"/>
          <w:kern w:val="0"/>
          <w:sz w:val="24"/>
        </w:rPr>
        <w:t>投资组合报告附注的其他文字描述部分</w:t>
      </w:r>
    </w:p>
    <w:p w:rsidR="001D5CD0" w:rsidRPr="00F82017" w:rsidRDefault="001D5CD0"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由于四舍五入的原因，分项之和与合计项之间可能存在尾差。</w:t>
      </w:r>
    </w:p>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 xml:space="preserve">§6  </w:t>
      </w:r>
      <w:r w:rsidRPr="00F82017">
        <w:rPr>
          <w:rFonts w:eastAsiaTheme="minorEastAsia"/>
          <w:color w:val="000000" w:themeColor="text1"/>
          <w:kern w:val="0"/>
          <w:sz w:val="24"/>
          <w:szCs w:val="24"/>
        </w:rPr>
        <w:t>开放式基金份额变动</w:t>
      </w:r>
    </w:p>
    <w:p w:rsidR="009238DB" w:rsidRPr="00F82017"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F82017">
        <w:rPr>
          <w:rFonts w:eastAsiaTheme="minorEastAsia"/>
          <w:color w:val="000000" w:themeColor="text1"/>
          <w:kern w:val="0"/>
          <w:sz w:val="24"/>
        </w:rPr>
        <w:t>单位：份</w:t>
      </w:r>
    </w:p>
    <w:tbl>
      <w:tblPr>
        <w:tblW w:w="0" w:type="auto"/>
        <w:tblInd w:w="108" w:type="dxa"/>
        <w:tblLayout w:type="fixed"/>
        <w:tblLook w:val="0000"/>
      </w:tblPr>
      <w:tblGrid>
        <w:gridCol w:w="3900"/>
        <w:gridCol w:w="2367"/>
        <w:gridCol w:w="2367"/>
      </w:tblGrid>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F82017">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国投瑞银和安债券</w:t>
            </w:r>
            <w:r w:rsidRPr="00F82017">
              <w:rPr>
                <w:rFonts w:eastAsiaTheme="minorEastAsia"/>
                <w:color w:val="000000" w:themeColor="text1"/>
                <w:sz w:val="24"/>
              </w:rPr>
              <w:t>C</w:t>
            </w:r>
          </w:p>
        </w:tc>
      </w:tr>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F82017">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10,147,616.77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224,535.41</w:t>
            </w:r>
          </w:p>
        </w:tc>
      </w:tr>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F82017">
              <w:rPr>
                <w:rFonts w:eastAsiaTheme="minorEastAsia"/>
                <w:color w:val="000000" w:themeColor="text1"/>
                <w:kern w:val="0"/>
                <w:sz w:val="24"/>
              </w:rPr>
              <w:t>报告期</w:t>
            </w:r>
            <w:r w:rsidR="00936D40" w:rsidRPr="00F82017">
              <w:rPr>
                <w:rFonts w:eastAsia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32,582.07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69,299.89</w:t>
            </w:r>
          </w:p>
        </w:tc>
      </w:tr>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F82017">
              <w:rPr>
                <w:rFonts w:eastAsiaTheme="minorEastAsia"/>
                <w:color w:val="000000" w:themeColor="text1"/>
                <w:kern w:val="0"/>
                <w:sz w:val="24"/>
              </w:rPr>
              <w:t>减：</w:t>
            </w:r>
            <w:r w:rsidR="00F72579" w:rsidRPr="00F82017">
              <w:rPr>
                <w:rFonts w:eastAsiaTheme="minorEastAsia"/>
                <w:color w:val="000000" w:themeColor="text1"/>
                <w:kern w:val="0"/>
                <w:sz w:val="24"/>
              </w:rPr>
              <w:t>报告期</w:t>
            </w:r>
            <w:r w:rsidRPr="00F82017">
              <w:rPr>
                <w:rFonts w:eastAsia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86,338.46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136,335.58</w:t>
            </w:r>
          </w:p>
        </w:tc>
      </w:tr>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F82017">
              <w:rPr>
                <w:rFonts w:eastAsiaTheme="minorEastAsia"/>
                <w:color w:val="000000" w:themeColor="text1"/>
                <w:kern w:val="0"/>
                <w:sz w:val="24"/>
              </w:rPr>
              <w:t>报告期</w:t>
            </w:r>
            <w:r w:rsidR="00936D40" w:rsidRPr="00F82017">
              <w:rPr>
                <w:rFonts w:eastAsiaTheme="minorEastAsia"/>
                <w:color w:val="000000" w:themeColor="text1"/>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w:t>
            </w:r>
          </w:p>
        </w:tc>
      </w:tr>
      <w:tr w:rsidR="004264FD" w:rsidRPr="00F82017"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F82017">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10,093,860.38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82017" w:rsidRDefault="0042785F" w:rsidP="003F7026">
            <w:pPr>
              <w:autoSpaceDE w:val="0"/>
              <w:autoSpaceDN w:val="0"/>
              <w:adjustRightInd w:val="0"/>
              <w:spacing w:before="29" w:line="360" w:lineRule="auto"/>
              <w:ind w:left="17"/>
              <w:jc w:val="right"/>
              <w:rPr>
                <w:rFonts w:eastAsiaTheme="minorEastAsia"/>
                <w:color w:val="000000" w:themeColor="text1"/>
                <w:sz w:val="24"/>
              </w:rPr>
            </w:pPr>
            <w:r w:rsidRPr="00F82017">
              <w:rPr>
                <w:rFonts w:eastAsiaTheme="minorEastAsia"/>
                <w:color w:val="000000" w:themeColor="text1"/>
                <w:sz w:val="24"/>
              </w:rPr>
              <w:t>157,499.72</w:t>
            </w:r>
          </w:p>
        </w:tc>
      </w:tr>
    </w:tbl>
    <w:p w:rsidR="00935FB1" w:rsidRPr="00F82017" w:rsidRDefault="00935FB1" w:rsidP="001E018F">
      <w:pPr>
        <w:pStyle w:val="1"/>
        <w:tabs>
          <w:tab w:val="center" w:pos="4156"/>
          <w:tab w:val="right" w:pos="8312"/>
        </w:tabs>
        <w:spacing w:beforeLines="100" w:afterLines="100" w:line="360" w:lineRule="auto"/>
        <w:jc w:val="center"/>
        <w:rPr>
          <w:rFonts w:eastAsiaTheme="minorEastAsia"/>
          <w:color w:val="000000" w:themeColor="text1"/>
          <w:sz w:val="24"/>
          <w:szCs w:val="24"/>
        </w:rPr>
      </w:pPr>
      <w:r w:rsidRPr="00F82017">
        <w:rPr>
          <w:rFonts w:eastAsiaTheme="minorEastAsia"/>
          <w:color w:val="000000" w:themeColor="text1"/>
          <w:kern w:val="0"/>
          <w:sz w:val="24"/>
          <w:szCs w:val="24"/>
        </w:rPr>
        <w:t>§7</w:t>
      </w:r>
      <w:r w:rsidR="00B22511" w:rsidRPr="00F82017">
        <w:rPr>
          <w:rFonts w:eastAsiaTheme="minorEastAsia"/>
          <w:color w:val="000000"/>
          <w:sz w:val="24"/>
          <w:szCs w:val="24"/>
          <w:shd w:val="clear" w:color="auto" w:fill="FFFFFF"/>
        </w:rPr>
        <w:t>基金管理人运用固有资金投资本基金情况</w:t>
      </w:r>
    </w:p>
    <w:p w:rsidR="00935FB1" w:rsidRPr="00F82017" w:rsidRDefault="00935FB1" w:rsidP="00935FB1">
      <w:pPr>
        <w:spacing w:line="360" w:lineRule="auto"/>
        <w:jc w:val="left"/>
        <w:rPr>
          <w:rFonts w:eastAsiaTheme="minorEastAsia"/>
          <w:color w:val="000000" w:themeColor="text1"/>
          <w:sz w:val="24"/>
        </w:rPr>
      </w:pPr>
      <w:r w:rsidRPr="00F82017">
        <w:rPr>
          <w:rFonts w:eastAsiaTheme="minorEastAsia"/>
          <w:b/>
          <w:color w:val="000000" w:themeColor="text1"/>
          <w:sz w:val="24"/>
        </w:rPr>
        <w:t>7.1</w:t>
      </w:r>
      <w:r w:rsidR="00090834" w:rsidRPr="00F82017">
        <w:rPr>
          <w:rFonts w:eastAsiaTheme="minorEastAsia"/>
          <w:b/>
          <w:bCs/>
          <w:color w:val="000000" w:themeColor="text1"/>
          <w:kern w:val="44"/>
          <w:sz w:val="24"/>
        </w:rPr>
        <w:t>基金管理人持有本基金份额变动情况</w:t>
      </w:r>
    </w:p>
    <w:p w:rsidR="00935FB1" w:rsidRPr="00853C4C" w:rsidRDefault="00916E71"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本报告期内本基金管理人无运用固有资金投资本基金的情况。</w:t>
      </w:r>
    </w:p>
    <w:p w:rsidR="00935FB1" w:rsidRPr="00F82017" w:rsidRDefault="00935FB1" w:rsidP="001E018F">
      <w:pPr>
        <w:spacing w:beforeLines="100" w:line="360" w:lineRule="auto"/>
        <w:jc w:val="left"/>
        <w:rPr>
          <w:rFonts w:eastAsiaTheme="minorEastAsia"/>
          <w:color w:val="000000" w:themeColor="text1"/>
          <w:sz w:val="24"/>
        </w:rPr>
      </w:pPr>
      <w:r w:rsidRPr="00F82017">
        <w:rPr>
          <w:rFonts w:eastAsiaTheme="minorEastAsia"/>
          <w:b/>
          <w:color w:val="000000" w:themeColor="text1"/>
          <w:sz w:val="24"/>
        </w:rPr>
        <w:t>7.2</w:t>
      </w:r>
      <w:r w:rsidR="00090834" w:rsidRPr="00F82017">
        <w:rPr>
          <w:rFonts w:eastAsiaTheme="minorEastAsia"/>
          <w:b/>
          <w:color w:val="000000"/>
          <w:sz w:val="24"/>
          <w:shd w:val="clear" w:color="auto" w:fill="FFFFFF"/>
        </w:rPr>
        <w:t>基金管理人运用固有资金投资本基金交易明细</w:t>
      </w:r>
    </w:p>
    <w:p w:rsidR="00935FB1" w:rsidRPr="00853C4C" w:rsidRDefault="00935FB1" w:rsidP="00853C4C">
      <w:pPr>
        <w:autoSpaceDE w:val="0"/>
        <w:autoSpaceDN w:val="0"/>
        <w:adjustRightInd w:val="0"/>
        <w:spacing w:line="360" w:lineRule="auto"/>
        <w:ind w:firstLineChars="200" w:firstLine="480"/>
        <w:jc w:val="left"/>
        <w:rPr>
          <w:rFonts w:eastAsiaTheme="minorEastAsia"/>
          <w:color w:val="000000" w:themeColor="text1"/>
          <w:sz w:val="24"/>
        </w:rPr>
      </w:pPr>
      <w:r w:rsidRPr="00853C4C">
        <w:rPr>
          <w:rFonts w:eastAsiaTheme="minorEastAsia"/>
          <w:color w:val="000000" w:themeColor="text1"/>
          <w:sz w:val="24"/>
        </w:rPr>
        <w:t>本基金管理人本报告期无运用固有资金投资本基金的交易明细。</w:t>
      </w:r>
    </w:p>
    <w:p w:rsidR="00B73C85" w:rsidRPr="00C9481C" w:rsidRDefault="00B73C85" w:rsidP="001E018F">
      <w:pPr>
        <w:pStyle w:val="1"/>
        <w:spacing w:beforeLines="100" w:afterLines="100" w:line="360" w:lineRule="auto"/>
        <w:jc w:val="center"/>
        <w:rPr>
          <w:rFonts w:eastAsiaTheme="minorEastAsia"/>
          <w:color w:val="000000" w:themeColor="text1"/>
          <w:kern w:val="0"/>
          <w:sz w:val="24"/>
          <w:szCs w:val="24"/>
        </w:rPr>
      </w:pPr>
      <w:r w:rsidRPr="00C9481C">
        <w:rPr>
          <w:rFonts w:eastAsiaTheme="minorEastAsia"/>
          <w:color w:val="000000" w:themeColor="text1"/>
          <w:kern w:val="0"/>
          <w:sz w:val="24"/>
          <w:szCs w:val="24"/>
        </w:rPr>
        <w:t>§8</w:t>
      </w:r>
      <w:r w:rsidRPr="00C9481C">
        <w:rPr>
          <w:rFonts w:eastAsiaTheme="minorEastAsia"/>
          <w:color w:val="000000" w:themeColor="text1"/>
          <w:kern w:val="0"/>
          <w:sz w:val="24"/>
          <w:szCs w:val="24"/>
        </w:rPr>
        <w:t>影响投资者决策的其他重要信息</w:t>
      </w:r>
    </w:p>
    <w:p w:rsidR="00FD28B9" w:rsidRPr="002F6268" w:rsidRDefault="00FD28B9" w:rsidP="00FD28B9">
      <w:pPr>
        <w:autoSpaceDE w:val="0"/>
        <w:autoSpaceDN w:val="0"/>
        <w:adjustRightInd w:val="0"/>
        <w:spacing w:line="360" w:lineRule="auto"/>
        <w:jc w:val="left"/>
        <w:rPr>
          <w:rFonts w:eastAsiaTheme="minorEastAsia"/>
          <w:b/>
          <w:bCs/>
          <w:color w:val="000000" w:themeColor="text1"/>
          <w:kern w:val="0"/>
          <w:sz w:val="24"/>
        </w:rPr>
      </w:pPr>
      <w:r w:rsidRPr="002F6268">
        <w:rPr>
          <w:rFonts w:eastAsiaTheme="minorEastAsia"/>
          <w:b/>
          <w:bCs/>
          <w:color w:val="000000" w:themeColor="text1"/>
          <w:kern w:val="0"/>
          <w:sz w:val="24"/>
        </w:rPr>
        <w:t xml:space="preserve">8.1 </w:t>
      </w:r>
      <w:r w:rsidRPr="002F6268">
        <w:rPr>
          <w:rFonts w:eastAsiaTheme="minorEastAsia"/>
          <w:b/>
          <w:bCs/>
          <w:color w:val="000000" w:themeColor="text1"/>
          <w:kern w:val="0"/>
          <w:sz w:val="24"/>
        </w:rPr>
        <w:t>报告期内单一投资者持有基金份额比例达到或超过</w:t>
      </w:r>
      <w:r w:rsidRPr="002F6268">
        <w:rPr>
          <w:rFonts w:eastAsiaTheme="minorEastAsia"/>
          <w:b/>
          <w:bCs/>
          <w:color w:val="000000" w:themeColor="text1"/>
          <w:kern w:val="0"/>
          <w:sz w:val="24"/>
        </w:rPr>
        <w:t>20%</w:t>
      </w:r>
      <w:r w:rsidRPr="002F6268">
        <w:rPr>
          <w:rFonts w:eastAsiaTheme="minorEastAsia"/>
          <w:b/>
          <w:bCs/>
          <w:color w:val="000000" w:themeColor="text1"/>
          <w:kern w:val="0"/>
          <w:sz w:val="24"/>
        </w:rPr>
        <w:t>的情况</w:t>
      </w:r>
    </w:p>
    <w:tbl>
      <w:tblPr>
        <w:tblStyle w:val="af2"/>
        <w:tblW w:w="9640" w:type="dxa"/>
        <w:jc w:val="center"/>
        <w:tblLayout w:type="fixed"/>
        <w:tblLook w:val="04A0"/>
      </w:tblPr>
      <w:tblGrid>
        <w:gridCol w:w="709"/>
        <w:gridCol w:w="709"/>
        <w:gridCol w:w="2126"/>
        <w:gridCol w:w="1276"/>
        <w:gridCol w:w="1276"/>
        <w:gridCol w:w="1276"/>
        <w:gridCol w:w="1417"/>
        <w:gridCol w:w="851"/>
      </w:tblGrid>
      <w:tr w:rsidR="00FD28B9" w:rsidRPr="00FC0759" w:rsidTr="00350318">
        <w:trPr>
          <w:jc w:val="center"/>
        </w:trPr>
        <w:tc>
          <w:tcPr>
            <w:tcW w:w="709" w:type="dxa"/>
            <w:vMerge w:val="restart"/>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投资者类别</w:t>
            </w:r>
          </w:p>
        </w:tc>
        <w:tc>
          <w:tcPr>
            <w:tcW w:w="6663" w:type="dxa"/>
            <w:gridSpan w:val="5"/>
            <w:vAlign w:val="center"/>
          </w:tcPr>
          <w:p w:rsidR="00FD28B9" w:rsidRPr="00FC0759" w:rsidRDefault="00FD28B9" w:rsidP="00350318">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2"/>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FD28B9" w:rsidRPr="00FC0759" w:rsidTr="00350318">
        <w:trPr>
          <w:jc w:val="center"/>
        </w:trPr>
        <w:tc>
          <w:tcPr>
            <w:tcW w:w="709" w:type="dxa"/>
            <w:vMerge/>
            <w:vAlign w:val="center"/>
          </w:tcPr>
          <w:p w:rsidR="00FD28B9" w:rsidRPr="00FC0759" w:rsidRDefault="00FD28B9" w:rsidP="00350318">
            <w:pPr>
              <w:autoSpaceDE w:val="0"/>
              <w:autoSpaceDN w:val="0"/>
              <w:adjustRightInd w:val="0"/>
              <w:ind w:firstLine="1234"/>
              <w:jc w:val="center"/>
              <w:rPr>
                <w:rFonts w:eastAsiaTheme="minorEastAsia"/>
                <w:b/>
                <w:bCs/>
                <w:color w:val="000000" w:themeColor="text1"/>
                <w:sz w:val="24"/>
              </w:rPr>
            </w:pPr>
          </w:p>
        </w:tc>
        <w:tc>
          <w:tcPr>
            <w:tcW w:w="709" w:type="dxa"/>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FD28B9" w:rsidRPr="00FC0759" w:rsidRDefault="00FD28B9" w:rsidP="00350318">
            <w:pPr>
              <w:widowControl/>
              <w:rPr>
                <w:rFonts w:eastAsiaTheme="minorEastAsia"/>
                <w:b/>
                <w:bCs/>
                <w:color w:val="000000" w:themeColor="text1"/>
                <w:sz w:val="24"/>
              </w:rPr>
            </w:pPr>
            <w:r w:rsidRPr="00FC0759">
              <w:rPr>
                <w:color w:val="000000"/>
                <w:sz w:val="24"/>
              </w:rPr>
              <w:t>期初份额</w:t>
            </w:r>
          </w:p>
        </w:tc>
        <w:tc>
          <w:tcPr>
            <w:tcW w:w="1276" w:type="dxa"/>
            <w:vAlign w:val="center"/>
          </w:tcPr>
          <w:p w:rsidR="00FD28B9" w:rsidRPr="00FC0759" w:rsidRDefault="00FD28B9" w:rsidP="00350318">
            <w:pPr>
              <w:widowControl/>
              <w:rPr>
                <w:rFonts w:eastAsiaTheme="minorEastAsia"/>
                <w:b/>
                <w:bCs/>
                <w:color w:val="000000" w:themeColor="text1"/>
                <w:sz w:val="24"/>
              </w:rPr>
            </w:pPr>
            <w:r w:rsidRPr="00FC0759">
              <w:rPr>
                <w:color w:val="000000"/>
                <w:sz w:val="24"/>
              </w:rPr>
              <w:t>申购份额</w:t>
            </w:r>
          </w:p>
        </w:tc>
        <w:tc>
          <w:tcPr>
            <w:tcW w:w="1276" w:type="dxa"/>
            <w:vAlign w:val="center"/>
          </w:tcPr>
          <w:p w:rsidR="00FD28B9" w:rsidRPr="00FC0759" w:rsidRDefault="00FD28B9" w:rsidP="00350318">
            <w:pPr>
              <w:widowControl/>
              <w:rPr>
                <w:rFonts w:eastAsiaTheme="minorEastAsia"/>
                <w:b/>
                <w:bCs/>
                <w:color w:val="000000" w:themeColor="text1"/>
                <w:sz w:val="24"/>
              </w:rPr>
            </w:pPr>
            <w:r w:rsidRPr="00FC0759">
              <w:rPr>
                <w:color w:val="000000"/>
                <w:sz w:val="24"/>
              </w:rPr>
              <w:t>赎回份额</w:t>
            </w:r>
          </w:p>
        </w:tc>
        <w:tc>
          <w:tcPr>
            <w:tcW w:w="1417" w:type="dxa"/>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vAlign w:val="center"/>
          </w:tcPr>
          <w:p w:rsidR="00FD28B9" w:rsidRPr="00FC0759" w:rsidRDefault="00FD28B9" w:rsidP="00350318">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385B0A">
        <w:trPr>
          <w:jc w:val="center"/>
        </w:trPr>
        <w:tc>
          <w:tcPr>
            <w:tcW w:w="709" w:type="dxa"/>
          </w:tcPr>
          <w:p w:rsidR="00385B0A" w:rsidRDefault="00385B0A"/>
          <w:p w:rsidR="00385B0A" w:rsidRDefault="00EF18B5">
            <w:r>
              <w:rPr>
                <w:rFonts w:eastAsiaTheme="minorEastAsia"/>
                <w:bCs/>
                <w:color w:val="000000" w:themeColor="text1"/>
                <w:sz w:val="24"/>
              </w:rPr>
              <w:t>机构</w:t>
            </w:r>
          </w:p>
        </w:tc>
        <w:tc>
          <w:tcPr>
            <w:tcW w:w="709" w:type="dxa"/>
            <w:vAlign w:val="center"/>
          </w:tcPr>
          <w:p w:rsidR="00385B0A" w:rsidRDefault="00EF18B5">
            <w:pPr>
              <w:jc w:val="center"/>
            </w:pPr>
            <w:r>
              <w:rPr>
                <w:sz w:val="24"/>
              </w:rPr>
              <w:t>1</w:t>
            </w:r>
          </w:p>
        </w:tc>
        <w:tc>
          <w:tcPr>
            <w:tcW w:w="2126" w:type="dxa"/>
            <w:vAlign w:val="center"/>
          </w:tcPr>
          <w:p w:rsidR="00385B0A" w:rsidRDefault="00EF18B5">
            <w:pPr>
              <w:jc w:val="center"/>
            </w:pPr>
            <w:r>
              <w:rPr>
                <w:sz w:val="24"/>
              </w:rPr>
              <w:t>20180401-20180630</w:t>
            </w:r>
          </w:p>
        </w:tc>
        <w:tc>
          <w:tcPr>
            <w:tcW w:w="1276" w:type="dxa"/>
            <w:vAlign w:val="center"/>
          </w:tcPr>
          <w:p w:rsidR="00385B0A" w:rsidRDefault="00EF18B5">
            <w:pPr>
              <w:jc w:val="center"/>
            </w:pPr>
            <w:r>
              <w:rPr>
                <w:sz w:val="24"/>
              </w:rPr>
              <w:t>10,000,000.00</w:t>
            </w:r>
          </w:p>
        </w:tc>
        <w:tc>
          <w:tcPr>
            <w:tcW w:w="1276" w:type="dxa"/>
            <w:vAlign w:val="center"/>
          </w:tcPr>
          <w:p w:rsidR="00385B0A" w:rsidRDefault="00EF18B5">
            <w:pPr>
              <w:jc w:val="center"/>
            </w:pPr>
            <w:r>
              <w:rPr>
                <w:sz w:val="24"/>
              </w:rPr>
              <w:t>-</w:t>
            </w:r>
          </w:p>
        </w:tc>
        <w:tc>
          <w:tcPr>
            <w:tcW w:w="1276" w:type="dxa"/>
            <w:vAlign w:val="center"/>
          </w:tcPr>
          <w:p w:rsidR="00385B0A" w:rsidRDefault="00EF18B5">
            <w:pPr>
              <w:jc w:val="center"/>
            </w:pPr>
            <w:r>
              <w:rPr>
                <w:sz w:val="24"/>
              </w:rPr>
              <w:t>-</w:t>
            </w:r>
          </w:p>
        </w:tc>
        <w:tc>
          <w:tcPr>
            <w:tcW w:w="1417" w:type="dxa"/>
            <w:vAlign w:val="center"/>
          </w:tcPr>
          <w:p w:rsidR="00385B0A" w:rsidRDefault="00EF18B5">
            <w:pPr>
              <w:jc w:val="center"/>
            </w:pPr>
            <w:r>
              <w:rPr>
                <w:sz w:val="24"/>
              </w:rPr>
              <w:t>10,000,000.00</w:t>
            </w:r>
          </w:p>
        </w:tc>
        <w:tc>
          <w:tcPr>
            <w:tcW w:w="851" w:type="dxa"/>
            <w:vAlign w:val="center"/>
          </w:tcPr>
          <w:p w:rsidR="00385B0A" w:rsidRDefault="00EF18B5">
            <w:pPr>
              <w:jc w:val="center"/>
            </w:pPr>
            <w:r>
              <w:rPr>
                <w:sz w:val="24"/>
              </w:rPr>
              <w:t>97.55%</w:t>
            </w:r>
          </w:p>
        </w:tc>
      </w:tr>
      <w:tr w:rsidR="00FD28B9" w:rsidRPr="00FC0759" w:rsidTr="00350318">
        <w:trPr>
          <w:jc w:val="center"/>
        </w:trPr>
        <w:tc>
          <w:tcPr>
            <w:tcW w:w="9637" w:type="dxa"/>
            <w:gridSpan w:val="8"/>
            <w:vAlign w:val="center"/>
          </w:tcPr>
          <w:p w:rsidR="00FD28B9" w:rsidRPr="00FC0759" w:rsidRDefault="00FD28B9" w:rsidP="00350318">
            <w:pPr>
              <w:autoSpaceDE w:val="0"/>
              <w:autoSpaceDN w:val="0"/>
              <w:adjustRightInd w:val="0"/>
              <w:ind w:firstLine="1126"/>
              <w:jc w:val="center"/>
              <w:rPr>
                <w:sz w:val="24"/>
              </w:rPr>
            </w:pPr>
            <w:r w:rsidRPr="00FC0759">
              <w:rPr>
                <w:color w:val="000000"/>
                <w:sz w:val="24"/>
              </w:rPr>
              <w:t>产品特有风险</w:t>
            </w:r>
          </w:p>
        </w:tc>
      </w:tr>
      <w:tr w:rsidR="00FD28B9" w:rsidRPr="00FC0759" w:rsidTr="00350318">
        <w:trPr>
          <w:jc w:val="center"/>
        </w:trPr>
        <w:tc>
          <w:tcPr>
            <w:tcW w:w="9637" w:type="dxa"/>
            <w:gridSpan w:val="8"/>
            <w:vAlign w:val="center"/>
          </w:tcPr>
          <w:p w:rsidR="00385B0A" w:rsidRDefault="00EF18B5">
            <w:pPr>
              <w:autoSpaceDE w:val="0"/>
              <w:autoSpaceDN w:val="0"/>
              <w:adjustRightInd w:val="0"/>
              <w:jc w:val="left"/>
              <w:rPr>
                <w:sz w:val="24"/>
              </w:rPr>
            </w:pPr>
            <w:r>
              <w:rPr>
                <w:sz w:val="24"/>
              </w:rPr>
              <w:t>投资者应关注本基金单一投资者持有份额比例过高时，可能出现以下风险：</w:t>
            </w:r>
          </w:p>
          <w:p w:rsidR="00385B0A" w:rsidRDefault="00EF18B5">
            <w:pPr>
              <w:autoSpaceDE w:val="0"/>
              <w:autoSpaceDN w:val="0"/>
              <w:adjustRightInd w:val="0"/>
              <w:jc w:val="left"/>
              <w:rPr>
                <w:sz w:val="24"/>
              </w:rPr>
            </w:pPr>
            <w:r>
              <w:rPr>
                <w:sz w:val="24"/>
              </w:rPr>
              <w:t>1</w:t>
            </w:r>
            <w:r>
              <w:rPr>
                <w:sz w:val="24"/>
              </w:rPr>
              <w:t>、赎回申请延期办理的风险</w:t>
            </w:r>
          </w:p>
          <w:p w:rsidR="00385B0A" w:rsidRDefault="00EF18B5">
            <w:pPr>
              <w:autoSpaceDE w:val="0"/>
              <w:autoSpaceDN w:val="0"/>
              <w:adjustRightInd w:val="0"/>
              <w:jc w:val="left"/>
              <w:rPr>
                <w:sz w:val="24"/>
              </w:rPr>
            </w:pPr>
            <w:r>
              <w:rPr>
                <w:sz w:val="24"/>
              </w:rPr>
              <w:t>单一投资者大额赎回时易触发本基金巨额赎回的条件，中小投资者可能面临小额赎回申请也需要部分延期办理的风险。</w:t>
            </w:r>
          </w:p>
          <w:p w:rsidR="00385B0A" w:rsidRDefault="00EF18B5">
            <w:pPr>
              <w:autoSpaceDE w:val="0"/>
              <w:autoSpaceDN w:val="0"/>
              <w:adjustRightInd w:val="0"/>
              <w:jc w:val="left"/>
              <w:rPr>
                <w:sz w:val="24"/>
              </w:rPr>
            </w:pPr>
            <w:r>
              <w:rPr>
                <w:sz w:val="24"/>
              </w:rPr>
              <w:t>2</w:t>
            </w:r>
            <w:r>
              <w:rPr>
                <w:sz w:val="24"/>
              </w:rPr>
              <w:t>、基金净值大幅波动的风险</w:t>
            </w:r>
          </w:p>
          <w:p w:rsidR="00385B0A" w:rsidRDefault="00EF18B5">
            <w:pPr>
              <w:autoSpaceDE w:val="0"/>
              <w:autoSpaceDN w:val="0"/>
              <w:adjustRightInd w:val="0"/>
              <w:jc w:val="left"/>
              <w:rPr>
                <w:sz w:val="24"/>
              </w:rPr>
            </w:pPr>
            <w:r>
              <w:rPr>
                <w:sz w:val="24"/>
              </w:rPr>
              <w:t>单一投资者大额赎回时，基金管理人进行基金财产变现可能会对基金资产净值造成较大波动；单一投资者大额赎回时，相应的赎回费归入基金资产以及赎回时的份额净值的精度问题均可能引起基金份额净值出现较大波动。</w:t>
            </w:r>
          </w:p>
          <w:p w:rsidR="00385B0A" w:rsidRDefault="00EF18B5">
            <w:pPr>
              <w:autoSpaceDE w:val="0"/>
              <w:autoSpaceDN w:val="0"/>
              <w:adjustRightInd w:val="0"/>
              <w:jc w:val="left"/>
              <w:rPr>
                <w:sz w:val="24"/>
              </w:rPr>
            </w:pPr>
            <w:r>
              <w:rPr>
                <w:sz w:val="24"/>
              </w:rPr>
              <w:t>3</w:t>
            </w:r>
            <w:r>
              <w:rPr>
                <w:sz w:val="24"/>
              </w:rPr>
              <w:t>、基金投资策略难以实现的风险</w:t>
            </w:r>
          </w:p>
          <w:p w:rsidR="00385B0A" w:rsidRDefault="00EF18B5">
            <w:pPr>
              <w:autoSpaceDE w:val="0"/>
              <w:autoSpaceDN w:val="0"/>
              <w:adjustRightInd w:val="0"/>
              <w:jc w:val="left"/>
              <w:rPr>
                <w:sz w:val="24"/>
              </w:rPr>
            </w:pPr>
            <w:r>
              <w:rPr>
                <w:sz w:val="24"/>
              </w:rPr>
              <w:t>单一投资者大额赎回后，可能使基金资产净值显著降低，从而使基金在拟参与银行间市场交易等投资时受到限制，导致基金投资策略难以实现。</w:t>
            </w:r>
          </w:p>
          <w:p w:rsidR="00385B0A" w:rsidRDefault="00EF18B5">
            <w:pPr>
              <w:autoSpaceDE w:val="0"/>
              <w:autoSpaceDN w:val="0"/>
              <w:adjustRightInd w:val="0"/>
              <w:jc w:val="left"/>
              <w:rPr>
                <w:sz w:val="24"/>
              </w:rPr>
            </w:pPr>
            <w:r>
              <w:rPr>
                <w:sz w:val="24"/>
              </w:rPr>
              <w:t>4</w:t>
            </w:r>
            <w:r>
              <w:rPr>
                <w:sz w:val="24"/>
              </w:rPr>
              <w:t>、基金财产清算（或转型）的风险</w:t>
            </w:r>
          </w:p>
          <w:p w:rsidR="00385B0A" w:rsidRDefault="00EF18B5">
            <w:pPr>
              <w:autoSpaceDE w:val="0"/>
              <w:autoSpaceDN w:val="0"/>
              <w:adjustRightInd w:val="0"/>
              <w:jc w:val="left"/>
              <w:rPr>
                <w:sz w:val="24"/>
              </w:rPr>
            </w:pPr>
            <w:r>
              <w:rPr>
                <w:sz w:val="24"/>
              </w:rPr>
              <w:t>根据本基金基金合同的约定，基金合同生效后的存续期内，若连续</w:t>
            </w:r>
            <w:r>
              <w:rPr>
                <w:sz w:val="24"/>
              </w:rPr>
              <w:t>60</w:t>
            </w:r>
            <w:r>
              <w:rPr>
                <w:sz w:val="24"/>
              </w:rPr>
              <w:t>个工作日出现基金份额持有人数量不满</w:t>
            </w:r>
            <w:r>
              <w:rPr>
                <w:sz w:val="24"/>
              </w:rPr>
              <w:t>200</w:t>
            </w:r>
            <w:r>
              <w:rPr>
                <w:sz w:val="24"/>
              </w:rPr>
              <w:t>人或者基金资产净值低于</w:t>
            </w:r>
            <w:r>
              <w:rPr>
                <w:sz w:val="24"/>
              </w:rPr>
              <w:t>5000</w:t>
            </w:r>
            <w:r>
              <w:rPr>
                <w:sz w:val="24"/>
              </w:rPr>
              <w:t>万元情形的，基金合同将终止，并根据基金合同的约定进行基金财产清算。单一投资者大额赎回后，可能造成基金资产净值大幅缩减而直接导致触发本基金合同约定的终止及清算条款，对本基金的继续存续产生较大影响。</w:t>
            </w:r>
          </w:p>
          <w:p w:rsidR="00385B0A" w:rsidRDefault="00EF18B5">
            <w:pPr>
              <w:autoSpaceDE w:val="0"/>
              <w:autoSpaceDN w:val="0"/>
              <w:adjustRightInd w:val="0"/>
              <w:jc w:val="left"/>
              <w:rPr>
                <w:sz w:val="24"/>
              </w:rPr>
            </w:pPr>
            <w:r>
              <w:rPr>
                <w:sz w:val="24"/>
              </w:rPr>
              <w:t>5</w:t>
            </w:r>
            <w:r>
              <w:rPr>
                <w:sz w:val="24"/>
              </w:rPr>
              <w:t>、召开基金份额持有人大会及表决时可能存在的风险</w:t>
            </w:r>
          </w:p>
          <w:p w:rsidR="00FD28B9" w:rsidRPr="00FC0759" w:rsidRDefault="00FD28B9" w:rsidP="00DF0C94">
            <w:pPr>
              <w:autoSpaceDE w:val="0"/>
              <w:autoSpaceDN w:val="0"/>
              <w:adjustRightInd w:val="0"/>
              <w:jc w:val="left"/>
              <w:rPr>
                <w:sz w:val="24"/>
              </w:rPr>
            </w:pPr>
            <w:r w:rsidRPr="00FC0759">
              <w:rPr>
                <w:sz w:val="24"/>
              </w:rPr>
              <w:t>由于单一机构投资者所持有的基金份额占比较高，在召开持有人大会并对重大事项进行投票表决时，单一机构投资者将拥有高的投票权重。</w:t>
            </w:r>
          </w:p>
        </w:tc>
      </w:tr>
    </w:tbl>
    <w:p w:rsidR="00EF18B5" w:rsidRDefault="00EF18B5" w:rsidP="00FD28B9">
      <w:pPr>
        <w:autoSpaceDE w:val="0"/>
        <w:autoSpaceDN w:val="0"/>
        <w:adjustRightInd w:val="0"/>
        <w:spacing w:line="360" w:lineRule="auto"/>
        <w:jc w:val="left"/>
        <w:rPr>
          <w:rFonts w:eastAsiaTheme="minorEastAsia"/>
          <w:b/>
          <w:bCs/>
          <w:color w:val="000000" w:themeColor="text1"/>
          <w:kern w:val="0"/>
          <w:sz w:val="24"/>
        </w:rPr>
      </w:pPr>
    </w:p>
    <w:p w:rsidR="00FD28B9" w:rsidRPr="002F6268" w:rsidRDefault="00FD28B9" w:rsidP="00FD28B9">
      <w:pPr>
        <w:autoSpaceDE w:val="0"/>
        <w:autoSpaceDN w:val="0"/>
        <w:adjustRightInd w:val="0"/>
        <w:spacing w:line="360" w:lineRule="auto"/>
        <w:jc w:val="left"/>
        <w:rPr>
          <w:rFonts w:eastAsiaTheme="minorEastAsia"/>
          <w:b/>
          <w:bCs/>
          <w:color w:val="000000" w:themeColor="text1"/>
          <w:kern w:val="0"/>
          <w:sz w:val="24"/>
        </w:rPr>
      </w:pPr>
      <w:r w:rsidRPr="002F6268">
        <w:rPr>
          <w:rFonts w:eastAsiaTheme="minorEastAsia"/>
          <w:b/>
          <w:bCs/>
          <w:color w:val="000000" w:themeColor="text1"/>
          <w:kern w:val="0"/>
          <w:sz w:val="24"/>
        </w:rPr>
        <w:t xml:space="preserve">8.2 </w:t>
      </w:r>
      <w:r w:rsidRPr="002F6268">
        <w:rPr>
          <w:rFonts w:eastAsiaTheme="minorEastAsia"/>
          <w:b/>
          <w:bCs/>
          <w:color w:val="000000" w:themeColor="text1"/>
          <w:kern w:val="0"/>
          <w:sz w:val="24"/>
        </w:rPr>
        <w:t>影响投资者决策的其他重要信息</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、报告期内基金管理人对本基金召开基金份额持有人大会进行第三次提示性公告，指定媒体公告时间为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w:t>
      </w:r>
    </w:p>
    <w:p w:rsidR="00FB3C94" w:rsidRPr="00F82017" w:rsidRDefault="00FD28B9" w:rsidP="00FD28B9">
      <w:pPr>
        <w:spacing w:line="360" w:lineRule="auto"/>
        <w:ind w:firstLineChars="200" w:firstLine="480"/>
        <w:rPr>
          <w:rFonts w:eastAsiaTheme="minorEastAsia"/>
          <w:color w:val="000000" w:themeColor="text1"/>
          <w:sz w:val="24"/>
        </w:rPr>
      </w:pPr>
      <w:r w:rsidRPr="00FC0759">
        <w:rPr>
          <w:rFonts w:eastAsiaTheme="minorEastAsia"/>
          <w:color w:val="000000" w:themeColor="text1"/>
          <w:sz w:val="24"/>
        </w:rPr>
        <w:t>2</w:t>
      </w:r>
      <w:r w:rsidRPr="00FC0759">
        <w:rPr>
          <w:rFonts w:eastAsiaTheme="minorEastAsia"/>
          <w:color w:val="000000" w:themeColor="text1"/>
          <w:sz w:val="24"/>
        </w:rPr>
        <w:t>、报告期内基金管理人对本基金基金份额持有人大会表决结果暨决议生效进行公告，指定媒体公告时间为</w:t>
      </w:r>
      <w:r w:rsidRPr="00FC0759">
        <w:rPr>
          <w:rFonts w:eastAsiaTheme="minorEastAsia"/>
          <w:color w:val="000000" w:themeColor="text1"/>
          <w:sz w:val="24"/>
        </w:rPr>
        <w:t>2018</w:t>
      </w:r>
      <w:r w:rsidRPr="00FC0759">
        <w:rPr>
          <w:rFonts w:eastAsiaTheme="minorEastAsia"/>
          <w:color w:val="000000" w:themeColor="text1"/>
          <w:sz w:val="24"/>
        </w:rPr>
        <w:t>年</w:t>
      </w:r>
      <w:r w:rsidRPr="00FC0759">
        <w:rPr>
          <w:rFonts w:eastAsiaTheme="minorEastAsia"/>
          <w:color w:val="000000" w:themeColor="text1"/>
          <w:sz w:val="24"/>
        </w:rPr>
        <w:t>4</w:t>
      </w:r>
      <w:r w:rsidRPr="00FC0759">
        <w:rPr>
          <w:rFonts w:eastAsiaTheme="minorEastAsia"/>
          <w:color w:val="000000" w:themeColor="text1"/>
          <w:sz w:val="24"/>
        </w:rPr>
        <w:t>月</w:t>
      </w:r>
      <w:r w:rsidRPr="00FC0759">
        <w:rPr>
          <w:rFonts w:eastAsiaTheme="minorEastAsia"/>
          <w:color w:val="000000" w:themeColor="text1"/>
          <w:sz w:val="24"/>
        </w:rPr>
        <w:t>27</w:t>
      </w:r>
      <w:r w:rsidRPr="00FC0759">
        <w:rPr>
          <w:rFonts w:eastAsiaTheme="minorEastAsia"/>
          <w:color w:val="000000" w:themeColor="text1"/>
          <w:sz w:val="24"/>
        </w:rPr>
        <w:t>日。</w:t>
      </w:r>
    </w:p>
    <w:p w:rsidR="009238DB" w:rsidRPr="00F82017" w:rsidRDefault="009238DB" w:rsidP="001E018F">
      <w:pPr>
        <w:pStyle w:val="1"/>
        <w:spacing w:beforeLines="100" w:afterLines="100" w:line="360" w:lineRule="auto"/>
        <w:jc w:val="center"/>
        <w:rPr>
          <w:rFonts w:eastAsiaTheme="minorEastAsia"/>
          <w:color w:val="000000" w:themeColor="text1"/>
          <w:kern w:val="0"/>
          <w:sz w:val="24"/>
          <w:szCs w:val="24"/>
        </w:rPr>
      </w:pPr>
      <w:r w:rsidRPr="00F82017">
        <w:rPr>
          <w:rFonts w:eastAsiaTheme="minorEastAsia"/>
          <w:color w:val="000000" w:themeColor="text1"/>
          <w:kern w:val="0"/>
          <w:sz w:val="24"/>
          <w:szCs w:val="24"/>
        </w:rPr>
        <w:t>§</w:t>
      </w:r>
      <w:r w:rsidR="00A14399" w:rsidRPr="00F82017">
        <w:rPr>
          <w:rFonts w:eastAsiaTheme="minorEastAsia"/>
          <w:color w:val="000000" w:themeColor="text1"/>
          <w:kern w:val="0"/>
          <w:sz w:val="24"/>
          <w:szCs w:val="24"/>
        </w:rPr>
        <w:t>9</w:t>
      </w:r>
      <w:r w:rsidRPr="00F82017">
        <w:rPr>
          <w:rFonts w:eastAsiaTheme="minorEastAsia"/>
          <w:color w:val="000000" w:themeColor="text1"/>
          <w:kern w:val="0"/>
          <w:sz w:val="24"/>
          <w:szCs w:val="24"/>
        </w:rPr>
        <w:t>备查文件目录</w:t>
      </w:r>
    </w:p>
    <w:p w:rsidR="00FB3C94" w:rsidRPr="00F82017" w:rsidRDefault="00A14399" w:rsidP="00FC13C8">
      <w:pPr>
        <w:autoSpaceDE w:val="0"/>
        <w:autoSpaceDN w:val="0"/>
        <w:adjustRightInd w:val="0"/>
        <w:spacing w:line="360" w:lineRule="auto"/>
        <w:jc w:val="left"/>
        <w:rPr>
          <w:rFonts w:eastAsiaTheme="minorEastAsia"/>
          <w:b/>
          <w:bCs/>
          <w:color w:val="000000" w:themeColor="text1"/>
          <w:kern w:val="0"/>
          <w:sz w:val="24"/>
        </w:rPr>
      </w:pPr>
      <w:r w:rsidRPr="00F82017">
        <w:rPr>
          <w:rFonts w:eastAsiaTheme="minorEastAsia"/>
          <w:b/>
          <w:bCs/>
          <w:color w:val="000000" w:themeColor="text1"/>
          <w:kern w:val="0"/>
          <w:sz w:val="24"/>
        </w:rPr>
        <w:t>9.</w:t>
      </w:r>
      <w:r w:rsidR="00D13A01" w:rsidRPr="00F82017">
        <w:rPr>
          <w:rFonts w:eastAsiaTheme="minorEastAsia"/>
          <w:b/>
          <w:bCs/>
          <w:color w:val="000000" w:themeColor="text1"/>
          <w:kern w:val="0"/>
          <w:sz w:val="24"/>
        </w:rPr>
        <w:t>1</w:t>
      </w:r>
      <w:r w:rsidR="00FB3C94" w:rsidRPr="00F82017">
        <w:rPr>
          <w:rFonts w:eastAsiaTheme="minorEastAsia"/>
          <w:b/>
          <w:bCs/>
          <w:color w:val="000000" w:themeColor="text1"/>
          <w:kern w:val="0"/>
          <w:sz w:val="24"/>
        </w:rPr>
        <w:t>备查文件目录</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《关于准予国投瑞银和安债券型证券投资基金注册的批复》（证监许可</w:t>
      </w:r>
      <w:r>
        <w:rPr>
          <w:rFonts w:eastAsiaTheme="minorEastAsia"/>
          <w:color w:val="000000" w:themeColor="text1"/>
          <w:sz w:val="24"/>
        </w:rPr>
        <w:t>[2016]750</w:t>
      </w:r>
      <w:r>
        <w:rPr>
          <w:rFonts w:eastAsiaTheme="minorEastAsia"/>
          <w:color w:val="000000" w:themeColor="text1"/>
          <w:sz w:val="24"/>
        </w:rPr>
        <w:t>号）</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《关于国投瑞银和安债券型证券投资基金备案确认的函》（机构部函</w:t>
      </w:r>
      <w:r>
        <w:rPr>
          <w:rFonts w:eastAsiaTheme="minorEastAsia"/>
          <w:color w:val="000000" w:themeColor="text1"/>
          <w:sz w:val="24"/>
        </w:rPr>
        <w:t>[2016]861</w:t>
      </w:r>
      <w:r>
        <w:rPr>
          <w:rFonts w:eastAsiaTheme="minorEastAsia"/>
          <w:color w:val="000000" w:themeColor="text1"/>
          <w:sz w:val="24"/>
        </w:rPr>
        <w:t>号）</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《国投瑞银和安债券型证券投资基金基金合同》</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《国投瑞银和安债券型证券投资基金托管协议》</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国投瑞银基金管理有限公司营业执照、公司章程及基金管理人业务资格批件</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本报告期内在中国证监会指定信息披露报刊上披露的信息公告原文</w:t>
      </w:r>
    </w:p>
    <w:p w:rsidR="00F11783" w:rsidRPr="00F82017" w:rsidRDefault="00FB3C94"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国投瑞银和安债券型证券投资基金</w:t>
      </w:r>
      <w:r w:rsidRPr="00F82017">
        <w:rPr>
          <w:rFonts w:eastAsiaTheme="minorEastAsia"/>
          <w:color w:val="000000" w:themeColor="text1"/>
          <w:sz w:val="24"/>
        </w:rPr>
        <w:t>2018</w:t>
      </w:r>
      <w:r w:rsidRPr="00F82017">
        <w:rPr>
          <w:rFonts w:eastAsiaTheme="minorEastAsia"/>
          <w:color w:val="000000" w:themeColor="text1"/>
          <w:sz w:val="24"/>
        </w:rPr>
        <w:t>年第</w:t>
      </w:r>
      <w:r w:rsidRPr="00F82017">
        <w:rPr>
          <w:rFonts w:eastAsiaTheme="minorEastAsia"/>
          <w:color w:val="000000" w:themeColor="text1"/>
          <w:sz w:val="24"/>
        </w:rPr>
        <w:t>2</w:t>
      </w:r>
      <w:r w:rsidRPr="00F82017">
        <w:rPr>
          <w:rFonts w:eastAsiaTheme="minorEastAsia"/>
          <w:color w:val="000000" w:themeColor="text1"/>
          <w:sz w:val="24"/>
        </w:rPr>
        <w:t>季度报告原文</w:t>
      </w:r>
    </w:p>
    <w:p w:rsidR="00FB3C94" w:rsidRPr="00F82017" w:rsidRDefault="00D13A01" w:rsidP="001E018F">
      <w:pPr>
        <w:autoSpaceDE w:val="0"/>
        <w:autoSpaceDN w:val="0"/>
        <w:adjustRightInd w:val="0"/>
        <w:spacing w:beforeLines="100" w:line="360" w:lineRule="auto"/>
        <w:jc w:val="left"/>
        <w:rPr>
          <w:rFonts w:eastAsiaTheme="minorEastAsia"/>
          <w:b/>
          <w:bCs/>
          <w:color w:val="000000" w:themeColor="text1"/>
          <w:kern w:val="0"/>
          <w:sz w:val="24"/>
        </w:rPr>
      </w:pPr>
      <w:r w:rsidRPr="00F82017">
        <w:rPr>
          <w:rFonts w:eastAsiaTheme="minorEastAsia"/>
          <w:b/>
          <w:bCs/>
          <w:color w:val="000000" w:themeColor="text1"/>
          <w:kern w:val="0"/>
          <w:sz w:val="24"/>
        </w:rPr>
        <w:t>9.2</w:t>
      </w:r>
      <w:r w:rsidR="00FB3C94" w:rsidRPr="00F82017">
        <w:rPr>
          <w:rFonts w:eastAsiaTheme="minorEastAsia"/>
          <w:b/>
          <w:bCs/>
          <w:color w:val="000000" w:themeColor="text1"/>
          <w:kern w:val="0"/>
          <w:sz w:val="24"/>
        </w:rPr>
        <w:t>存放地点</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中国广东省深圳市福田区金田路</w:t>
      </w:r>
      <w:r>
        <w:rPr>
          <w:rFonts w:eastAsiaTheme="minorEastAsia"/>
          <w:color w:val="000000" w:themeColor="text1"/>
          <w:sz w:val="24"/>
        </w:rPr>
        <w:t>4028</w:t>
      </w:r>
      <w:r>
        <w:rPr>
          <w:rFonts w:eastAsiaTheme="minorEastAsia"/>
          <w:color w:val="000000" w:themeColor="text1"/>
          <w:sz w:val="24"/>
        </w:rPr>
        <w:t>号荣超经贸中心</w:t>
      </w:r>
      <w:r>
        <w:rPr>
          <w:rFonts w:eastAsiaTheme="minorEastAsia"/>
          <w:color w:val="000000" w:themeColor="text1"/>
          <w:sz w:val="24"/>
        </w:rPr>
        <w:t>46</w:t>
      </w:r>
      <w:r>
        <w:rPr>
          <w:rFonts w:eastAsiaTheme="minorEastAsia"/>
          <w:color w:val="000000" w:themeColor="text1"/>
          <w:sz w:val="24"/>
        </w:rPr>
        <w:t>层</w:t>
      </w:r>
    </w:p>
    <w:p w:rsidR="00F11783" w:rsidRPr="00F82017" w:rsidRDefault="00FB3C94"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存放网址：</w:t>
      </w:r>
      <w:r w:rsidRPr="00F82017">
        <w:rPr>
          <w:rFonts w:eastAsiaTheme="minorEastAsia"/>
          <w:color w:val="000000" w:themeColor="text1"/>
          <w:sz w:val="24"/>
        </w:rPr>
        <w:t>http://www.ubssdic.com</w:t>
      </w:r>
    </w:p>
    <w:p w:rsidR="00FB3C94" w:rsidRPr="00F82017" w:rsidRDefault="00D13A01" w:rsidP="001E018F">
      <w:pPr>
        <w:autoSpaceDE w:val="0"/>
        <w:autoSpaceDN w:val="0"/>
        <w:adjustRightInd w:val="0"/>
        <w:spacing w:beforeLines="100" w:line="360" w:lineRule="auto"/>
        <w:jc w:val="left"/>
        <w:rPr>
          <w:rFonts w:eastAsiaTheme="minorEastAsia"/>
          <w:b/>
          <w:bCs/>
          <w:color w:val="000000" w:themeColor="text1"/>
          <w:kern w:val="0"/>
          <w:sz w:val="24"/>
        </w:rPr>
      </w:pPr>
      <w:r w:rsidRPr="00F82017">
        <w:rPr>
          <w:rFonts w:eastAsiaTheme="minorEastAsia"/>
          <w:b/>
          <w:bCs/>
          <w:color w:val="000000" w:themeColor="text1"/>
          <w:kern w:val="0"/>
          <w:sz w:val="24"/>
        </w:rPr>
        <w:t>9.3</w:t>
      </w:r>
      <w:r w:rsidR="00FB3C94" w:rsidRPr="00F82017">
        <w:rPr>
          <w:rFonts w:eastAsiaTheme="minorEastAsia"/>
          <w:b/>
          <w:bCs/>
          <w:color w:val="000000" w:themeColor="text1"/>
          <w:kern w:val="0"/>
          <w:sz w:val="24"/>
        </w:rPr>
        <w:t>查阅方式</w:t>
      </w:r>
    </w:p>
    <w:p w:rsidR="00385B0A" w:rsidRDefault="00EF18B5">
      <w:pPr>
        <w:spacing w:line="360" w:lineRule="auto"/>
        <w:ind w:firstLineChars="200" w:firstLine="480"/>
        <w:rPr>
          <w:rFonts w:eastAsiaTheme="minorEastAsia"/>
          <w:color w:val="000000" w:themeColor="text1"/>
          <w:sz w:val="24"/>
        </w:rPr>
      </w:pPr>
      <w:r>
        <w:rPr>
          <w:rFonts w:eastAsiaTheme="minorEastAsia"/>
          <w:color w:val="000000" w:themeColor="text1"/>
          <w:sz w:val="24"/>
        </w:rPr>
        <w:t>投资者可在营业时间免费查阅，也可按工本费购买复印件</w:t>
      </w:r>
    </w:p>
    <w:p w:rsidR="00FB3C94" w:rsidRPr="00F82017" w:rsidRDefault="00FB3C94" w:rsidP="003F4852">
      <w:pPr>
        <w:spacing w:line="360" w:lineRule="auto"/>
        <w:ind w:firstLineChars="200" w:firstLine="480"/>
        <w:rPr>
          <w:rFonts w:eastAsiaTheme="minorEastAsia"/>
          <w:color w:val="000000" w:themeColor="text1"/>
          <w:sz w:val="24"/>
        </w:rPr>
      </w:pPr>
      <w:r w:rsidRPr="00F82017">
        <w:rPr>
          <w:rFonts w:eastAsiaTheme="minorEastAsia"/>
          <w:color w:val="000000" w:themeColor="text1"/>
          <w:sz w:val="24"/>
        </w:rPr>
        <w:t>咨询电话：</w:t>
      </w:r>
      <w:r w:rsidRPr="00F82017">
        <w:rPr>
          <w:rFonts w:eastAsiaTheme="minorEastAsia"/>
          <w:color w:val="000000" w:themeColor="text1"/>
          <w:sz w:val="24"/>
        </w:rPr>
        <w:t>400-880-6868</w:t>
      </w:r>
    </w:p>
    <w:p w:rsidR="00FB3C94" w:rsidRPr="00F82017" w:rsidRDefault="00FB3C94" w:rsidP="00FB3C94">
      <w:pPr>
        <w:spacing w:line="360" w:lineRule="auto"/>
        <w:ind w:left="840"/>
        <w:jc w:val="right"/>
        <w:rPr>
          <w:rFonts w:eastAsiaTheme="minorEastAsia"/>
          <w:color w:val="000000" w:themeColor="text1"/>
          <w:sz w:val="24"/>
        </w:rPr>
      </w:pPr>
    </w:p>
    <w:p w:rsidR="00AF3AF9" w:rsidRPr="00F82017" w:rsidRDefault="00AF3AF9" w:rsidP="00053FFD">
      <w:pPr>
        <w:spacing w:line="360" w:lineRule="auto"/>
        <w:ind w:left="840"/>
        <w:jc w:val="center"/>
        <w:rPr>
          <w:rFonts w:eastAsiaTheme="minorEastAsia"/>
          <w:b/>
          <w:color w:val="000000" w:themeColor="text1"/>
          <w:sz w:val="24"/>
        </w:rPr>
      </w:pPr>
    </w:p>
    <w:p w:rsidR="00FB3C94" w:rsidRPr="00F82017" w:rsidRDefault="00FB3C94" w:rsidP="00B1493B">
      <w:pPr>
        <w:spacing w:line="360" w:lineRule="auto"/>
        <w:jc w:val="right"/>
        <w:rPr>
          <w:rFonts w:eastAsiaTheme="minorEastAsia"/>
          <w:b/>
          <w:bCs/>
          <w:color w:val="000000" w:themeColor="text1"/>
          <w:sz w:val="24"/>
        </w:rPr>
      </w:pPr>
      <w:r w:rsidRPr="00F82017">
        <w:rPr>
          <w:rFonts w:eastAsiaTheme="minorEastAsia"/>
          <w:b/>
          <w:bCs/>
          <w:color w:val="000000" w:themeColor="text1"/>
          <w:sz w:val="24"/>
        </w:rPr>
        <w:t>国投瑞银基金管理有限公司</w:t>
      </w:r>
    </w:p>
    <w:p w:rsidR="009238DB" w:rsidRPr="00F82017" w:rsidRDefault="00D04410" w:rsidP="00B1493B">
      <w:pPr>
        <w:spacing w:line="360" w:lineRule="auto"/>
        <w:jc w:val="right"/>
        <w:rPr>
          <w:rFonts w:eastAsiaTheme="minorEastAsia"/>
          <w:b/>
          <w:bCs/>
          <w:color w:val="000000" w:themeColor="text1"/>
          <w:sz w:val="24"/>
        </w:rPr>
      </w:pPr>
      <w:r w:rsidRPr="00F82017">
        <w:rPr>
          <w:rFonts w:eastAsiaTheme="minorEastAsia"/>
          <w:b/>
          <w:bCs/>
          <w:color w:val="000000" w:themeColor="text1"/>
          <w:sz w:val="24"/>
        </w:rPr>
        <w:t>二〇一八年七月二十日</w:t>
      </w:r>
    </w:p>
    <w:sectPr w:rsidR="009238DB" w:rsidRPr="00F82017" w:rsidSect="00A8324F">
      <w:footerReference w:type="even" r:id="rId12"/>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80" w:rsidRDefault="00135D80">
      <w:r>
        <w:separator/>
      </w:r>
    </w:p>
  </w:endnote>
  <w:endnote w:type="continuationSeparator" w:id="1">
    <w:p w:rsidR="00135D80" w:rsidRDefault="00135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13" w:rsidRPr="00F72813" w:rsidRDefault="00F72813" w:rsidP="00F7094A">
    <w:pPr>
      <w:pStyle w:val="a6"/>
      <w:jc w:val="center"/>
      <w:rPr>
        <w:sz w:val="21"/>
        <w:szCs w:val="21"/>
      </w:rPr>
    </w:pPr>
    <w:r w:rsidRPr="00F72813">
      <w:rPr>
        <w:rFonts w:hint="eastAsia"/>
        <w:kern w:val="0"/>
        <w:sz w:val="21"/>
        <w:szCs w:val="21"/>
      </w:rPr>
      <w:t>第</w:t>
    </w:r>
    <w:r w:rsidR="00B60DC4" w:rsidRPr="00F72813">
      <w:rPr>
        <w:kern w:val="0"/>
        <w:sz w:val="21"/>
        <w:szCs w:val="21"/>
      </w:rPr>
      <w:fldChar w:fldCharType="begin"/>
    </w:r>
    <w:r w:rsidRPr="00F72813">
      <w:rPr>
        <w:kern w:val="0"/>
        <w:sz w:val="21"/>
        <w:szCs w:val="21"/>
      </w:rPr>
      <w:instrText xml:space="preserve"> PAGE </w:instrText>
    </w:r>
    <w:r w:rsidR="00B60DC4" w:rsidRPr="00F72813">
      <w:rPr>
        <w:kern w:val="0"/>
        <w:sz w:val="21"/>
        <w:szCs w:val="21"/>
      </w:rPr>
      <w:fldChar w:fldCharType="separate"/>
    </w:r>
    <w:r w:rsidR="001E018F">
      <w:rPr>
        <w:noProof/>
        <w:kern w:val="0"/>
        <w:sz w:val="21"/>
        <w:szCs w:val="21"/>
      </w:rPr>
      <w:t>1</w:t>
    </w:r>
    <w:r w:rsidR="00B60DC4" w:rsidRPr="00F72813">
      <w:rPr>
        <w:kern w:val="0"/>
        <w:sz w:val="21"/>
        <w:szCs w:val="21"/>
      </w:rPr>
      <w:fldChar w:fldCharType="end"/>
    </w:r>
    <w:r w:rsidRPr="00F72813">
      <w:rPr>
        <w:rFonts w:hint="eastAsia"/>
        <w:kern w:val="0"/>
        <w:sz w:val="21"/>
        <w:szCs w:val="21"/>
      </w:rPr>
      <w:t>页，共</w:t>
    </w:r>
    <w:r w:rsidR="00B60DC4" w:rsidRPr="00F72813">
      <w:rPr>
        <w:kern w:val="0"/>
        <w:sz w:val="21"/>
        <w:szCs w:val="21"/>
      </w:rPr>
      <w:fldChar w:fldCharType="begin"/>
    </w:r>
    <w:r w:rsidRPr="00F72813">
      <w:rPr>
        <w:kern w:val="0"/>
        <w:sz w:val="21"/>
        <w:szCs w:val="21"/>
      </w:rPr>
      <w:instrText xml:space="preserve"> NUMPAGES </w:instrText>
    </w:r>
    <w:r w:rsidR="00B60DC4" w:rsidRPr="00F72813">
      <w:rPr>
        <w:kern w:val="0"/>
        <w:sz w:val="21"/>
        <w:szCs w:val="21"/>
      </w:rPr>
      <w:fldChar w:fldCharType="separate"/>
    </w:r>
    <w:r w:rsidR="001E018F">
      <w:rPr>
        <w:noProof/>
        <w:kern w:val="0"/>
        <w:sz w:val="21"/>
        <w:szCs w:val="21"/>
      </w:rPr>
      <w:t>3</w:t>
    </w:r>
    <w:r w:rsidR="00B60DC4" w:rsidRPr="00F72813">
      <w:rPr>
        <w:kern w:val="0"/>
        <w:sz w:val="21"/>
        <w:szCs w:val="21"/>
      </w:rPr>
      <w:fldChar w:fldCharType="end"/>
    </w:r>
    <w:r w:rsidRPr="00F72813">
      <w:rPr>
        <w:rFonts w:hint="eastAsia"/>
        <w:kern w:val="0"/>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13" w:rsidRDefault="00B60DC4">
    <w:pPr>
      <w:pStyle w:val="a6"/>
      <w:framePr w:wrap="around" w:vAnchor="text" w:hAnchor="margin" w:xAlign="center" w:y="1"/>
      <w:rPr>
        <w:rStyle w:val="a7"/>
      </w:rPr>
    </w:pPr>
    <w:r>
      <w:rPr>
        <w:rStyle w:val="a7"/>
      </w:rPr>
      <w:fldChar w:fldCharType="begin"/>
    </w:r>
    <w:r w:rsidR="00F72813">
      <w:rPr>
        <w:rStyle w:val="a7"/>
      </w:rPr>
      <w:instrText xml:space="preserve">PAGE  </w:instrText>
    </w:r>
    <w:r>
      <w:rPr>
        <w:rStyle w:val="a7"/>
      </w:rPr>
      <w:fldChar w:fldCharType="end"/>
    </w:r>
  </w:p>
  <w:p w:rsidR="00F72813" w:rsidRDefault="00F728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80" w:rsidRDefault="00135D80">
      <w:r>
        <w:separator/>
      </w:r>
    </w:p>
  </w:footnote>
  <w:footnote w:type="continuationSeparator" w:id="1">
    <w:p w:rsidR="00135D80" w:rsidRDefault="00135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13" w:rsidRPr="00C829A3" w:rsidRDefault="00F72813" w:rsidP="001207F2">
    <w:pPr>
      <w:pStyle w:val="a9"/>
      <w:pBdr>
        <w:bottom w:val="single" w:sz="6" w:space="0" w:color="auto"/>
      </w:pBdr>
      <w:jc w:val="right"/>
      <w:rPr>
        <w:sz w:val="21"/>
        <w:szCs w:val="21"/>
      </w:rPr>
    </w:pPr>
    <w:r w:rsidRPr="00C829A3">
      <w:rPr>
        <w:sz w:val="21"/>
        <w:szCs w:val="21"/>
      </w:rPr>
      <w:t>国投瑞银和安债券型证券投资基金</w:t>
    </w:r>
    <w:r w:rsidRPr="00C829A3">
      <w:rPr>
        <w:sz w:val="21"/>
        <w:szCs w:val="21"/>
      </w:rPr>
      <w:t>2018</w:t>
    </w:r>
    <w:r w:rsidRPr="00C829A3">
      <w:rPr>
        <w:sz w:val="21"/>
        <w:szCs w:val="21"/>
      </w:rPr>
      <w:t>年第</w:t>
    </w:r>
    <w:r w:rsidRPr="00C829A3">
      <w:rPr>
        <w:sz w:val="21"/>
        <w:szCs w:val="21"/>
      </w:rPr>
      <w:t>2</w:t>
    </w:r>
    <w:r w:rsidRPr="00C829A3">
      <w:rPr>
        <w:sz w:val="21"/>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35D80"/>
    <w:rsid w:val="001405D3"/>
    <w:rsid w:val="00140C30"/>
    <w:rsid w:val="00142C74"/>
    <w:rsid w:val="00145E5B"/>
    <w:rsid w:val="00147319"/>
    <w:rsid w:val="00147551"/>
    <w:rsid w:val="0015012F"/>
    <w:rsid w:val="00150C2E"/>
    <w:rsid w:val="0015170D"/>
    <w:rsid w:val="001517AE"/>
    <w:rsid w:val="00151D89"/>
    <w:rsid w:val="00154FA5"/>
    <w:rsid w:val="0015531A"/>
    <w:rsid w:val="00156F9D"/>
    <w:rsid w:val="001602E3"/>
    <w:rsid w:val="00160539"/>
    <w:rsid w:val="00161548"/>
    <w:rsid w:val="0017176A"/>
    <w:rsid w:val="0017201D"/>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2C1F"/>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18F"/>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2B7"/>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2941"/>
    <w:rsid w:val="003232AA"/>
    <w:rsid w:val="00323A10"/>
    <w:rsid w:val="00323E6A"/>
    <w:rsid w:val="00323F25"/>
    <w:rsid w:val="00324A71"/>
    <w:rsid w:val="003303E3"/>
    <w:rsid w:val="003311CA"/>
    <w:rsid w:val="00334656"/>
    <w:rsid w:val="00337A86"/>
    <w:rsid w:val="00337C2E"/>
    <w:rsid w:val="0034147B"/>
    <w:rsid w:val="00341889"/>
    <w:rsid w:val="003426CE"/>
    <w:rsid w:val="00343016"/>
    <w:rsid w:val="0034447B"/>
    <w:rsid w:val="0034759E"/>
    <w:rsid w:val="00351704"/>
    <w:rsid w:val="003570C8"/>
    <w:rsid w:val="00360D91"/>
    <w:rsid w:val="00367770"/>
    <w:rsid w:val="00370BEA"/>
    <w:rsid w:val="00371424"/>
    <w:rsid w:val="00371FF4"/>
    <w:rsid w:val="00372209"/>
    <w:rsid w:val="00374C4E"/>
    <w:rsid w:val="003771ED"/>
    <w:rsid w:val="0037768B"/>
    <w:rsid w:val="00381791"/>
    <w:rsid w:val="00382E6F"/>
    <w:rsid w:val="00385B0A"/>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852"/>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4CD5"/>
    <w:rsid w:val="00645293"/>
    <w:rsid w:val="006456D3"/>
    <w:rsid w:val="00651A01"/>
    <w:rsid w:val="00651B78"/>
    <w:rsid w:val="0065237A"/>
    <w:rsid w:val="00652FF5"/>
    <w:rsid w:val="0065303C"/>
    <w:rsid w:val="00653246"/>
    <w:rsid w:val="00654382"/>
    <w:rsid w:val="00656C5C"/>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3B9"/>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2DD5"/>
    <w:rsid w:val="00825570"/>
    <w:rsid w:val="00826403"/>
    <w:rsid w:val="00827990"/>
    <w:rsid w:val="00834CA6"/>
    <w:rsid w:val="0083623B"/>
    <w:rsid w:val="00836C5A"/>
    <w:rsid w:val="00837E59"/>
    <w:rsid w:val="00842100"/>
    <w:rsid w:val="008428A9"/>
    <w:rsid w:val="0084308F"/>
    <w:rsid w:val="00846C2B"/>
    <w:rsid w:val="008473F2"/>
    <w:rsid w:val="0085139A"/>
    <w:rsid w:val="008519A9"/>
    <w:rsid w:val="008524F6"/>
    <w:rsid w:val="008532F3"/>
    <w:rsid w:val="00853C4C"/>
    <w:rsid w:val="00854B3F"/>
    <w:rsid w:val="00861C2C"/>
    <w:rsid w:val="00863744"/>
    <w:rsid w:val="008668B8"/>
    <w:rsid w:val="0086748F"/>
    <w:rsid w:val="0086758B"/>
    <w:rsid w:val="00867B4D"/>
    <w:rsid w:val="00867CF3"/>
    <w:rsid w:val="00874AB5"/>
    <w:rsid w:val="00877671"/>
    <w:rsid w:val="00877A13"/>
    <w:rsid w:val="0088020A"/>
    <w:rsid w:val="008851F2"/>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731"/>
    <w:rsid w:val="008B1875"/>
    <w:rsid w:val="008B4146"/>
    <w:rsid w:val="008B5312"/>
    <w:rsid w:val="008B59CE"/>
    <w:rsid w:val="008B5F4D"/>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E7B31"/>
    <w:rsid w:val="008F0212"/>
    <w:rsid w:val="008F0559"/>
    <w:rsid w:val="008F23F4"/>
    <w:rsid w:val="008F415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5CB7"/>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454E"/>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87A"/>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34D9"/>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0DC4"/>
    <w:rsid w:val="00B63B6A"/>
    <w:rsid w:val="00B65D6F"/>
    <w:rsid w:val="00B66C17"/>
    <w:rsid w:val="00B673F3"/>
    <w:rsid w:val="00B67A25"/>
    <w:rsid w:val="00B723BE"/>
    <w:rsid w:val="00B7354A"/>
    <w:rsid w:val="00B73C85"/>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29A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5102"/>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3D14"/>
    <w:rsid w:val="00D15733"/>
    <w:rsid w:val="00D20364"/>
    <w:rsid w:val="00D2130C"/>
    <w:rsid w:val="00D26746"/>
    <w:rsid w:val="00D26DDD"/>
    <w:rsid w:val="00D27BDC"/>
    <w:rsid w:val="00D3194F"/>
    <w:rsid w:val="00D33751"/>
    <w:rsid w:val="00D37343"/>
    <w:rsid w:val="00D37495"/>
    <w:rsid w:val="00D41727"/>
    <w:rsid w:val="00D427E4"/>
    <w:rsid w:val="00D45F1B"/>
    <w:rsid w:val="00D50E1A"/>
    <w:rsid w:val="00D50F9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1A9"/>
    <w:rsid w:val="00DB2AC7"/>
    <w:rsid w:val="00DB704C"/>
    <w:rsid w:val="00DC2AB3"/>
    <w:rsid w:val="00DC693B"/>
    <w:rsid w:val="00DC7C77"/>
    <w:rsid w:val="00DD0F5D"/>
    <w:rsid w:val="00DD426D"/>
    <w:rsid w:val="00DD74FC"/>
    <w:rsid w:val="00DE0DB6"/>
    <w:rsid w:val="00DE117F"/>
    <w:rsid w:val="00DE1769"/>
    <w:rsid w:val="00DE1A17"/>
    <w:rsid w:val="00DE44C8"/>
    <w:rsid w:val="00DE64CC"/>
    <w:rsid w:val="00DE6AA9"/>
    <w:rsid w:val="00DE7B30"/>
    <w:rsid w:val="00DF0C94"/>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37B5"/>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18B5"/>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4661"/>
    <w:rsid w:val="00F56162"/>
    <w:rsid w:val="00F56B7E"/>
    <w:rsid w:val="00F6052F"/>
    <w:rsid w:val="00F62FDE"/>
    <w:rsid w:val="00F654E6"/>
    <w:rsid w:val="00F662CD"/>
    <w:rsid w:val="00F67E39"/>
    <w:rsid w:val="00F703A8"/>
    <w:rsid w:val="00F707F1"/>
    <w:rsid w:val="00F7094A"/>
    <w:rsid w:val="00F710BE"/>
    <w:rsid w:val="00F72579"/>
    <w:rsid w:val="00F72813"/>
    <w:rsid w:val="00F804B9"/>
    <w:rsid w:val="00F80AE2"/>
    <w:rsid w:val="00F82017"/>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28B9"/>
    <w:rsid w:val="00FD5E71"/>
    <w:rsid w:val="00FD7D41"/>
    <w:rsid w:val="00FE0072"/>
    <w:rsid w:val="00FE0C71"/>
    <w:rsid w:val="00FE1E47"/>
    <w:rsid w:val="00FE275D"/>
    <w:rsid w:val="00FE65AC"/>
    <w:rsid w:val="00FE7FBD"/>
    <w:rsid w:val="00FF10BC"/>
    <w:rsid w:val="00FF5DCF"/>
    <w:rsid w:val="00FF699B"/>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92734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link w:val="Char0"/>
    <w:uiPriority w:val="99"/>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0">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1"/>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2"/>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1">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2">
    <w:name w:val="日期 Char"/>
    <w:basedOn w:val="a1"/>
    <w:link w:val="ac"/>
    <w:rsid w:val="00D66685"/>
    <w:rPr>
      <w:kern w:val="2"/>
      <w:sz w:val="24"/>
    </w:rPr>
  </w:style>
  <w:style w:type="character" w:styleId="af6">
    <w:name w:val="Strong"/>
    <w:basedOn w:val="a1"/>
    <w:uiPriority w:val="22"/>
    <w:qFormat/>
    <w:rsid w:val="006016F2"/>
    <w:rPr>
      <w:b/>
      <w:bCs/>
    </w:rPr>
  </w:style>
  <w:style w:type="character" w:customStyle="1" w:styleId="3Char">
    <w:name w:val="标题 3 Char"/>
    <w:basedOn w:val="a1"/>
    <w:link w:val="3"/>
    <w:uiPriority w:val="9"/>
    <w:rsid w:val="00927348"/>
    <w:rPr>
      <w:rFonts w:asciiTheme="minorHAnsi" w:eastAsiaTheme="minorEastAsia" w:hAnsiTheme="minorHAnsi" w:cstheme="minorBidi"/>
      <w:b/>
      <w:bCs/>
      <w:kern w:val="2"/>
      <w:sz w:val="32"/>
      <w:szCs w:val="32"/>
    </w:rPr>
  </w:style>
  <w:style w:type="character" w:customStyle="1" w:styleId="Char0">
    <w:name w:val="页脚 Char"/>
    <w:basedOn w:val="a1"/>
    <w:link w:val="a6"/>
    <w:uiPriority w:val="99"/>
    <w:rsid w:val="008851F2"/>
    <w:rPr>
      <w:kern w:val="2"/>
      <w:sz w:val="18"/>
      <w:szCs w:val="18"/>
    </w:rPr>
  </w:style>
  <w:style w:type="paragraph" w:styleId="af7">
    <w:name w:val="Revision"/>
    <w:hidden/>
    <w:uiPriority w:val="99"/>
    <w:semiHidden/>
    <w:rsid w:val="008F41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92734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link w:val="Char0"/>
    <w:uiPriority w:val="99"/>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0">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1"/>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2"/>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1">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2">
    <w:name w:val="日期 Char"/>
    <w:basedOn w:val="a1"/>
    <w:link w:val="ac"/>
    <w:rsid w:val="00D66685"/>
    <w:rPr>
      <w:kern w:val="2"/>
      <w:sz w:val="24"/>
    </w:rPr>
  </w:style>
  <w:style w:type="character" w:styleId="af6">
    <w:name w:val="Strong"/>
    <w:basedOn w:val="a1"/>
    <w:uiPriority w:val="22"/>
    <w:qFormat/>
    <w:rsid w:val="006016F2"/>
    <w:rPr>
      <w:b/>
      <w:bCs/>
    </w:rPr>
  </w:style>
  <w:style w:type="character" w:customStyle="1" w:styleId="3Char">
    <w:name w:val="标题 3 Char"/>
    <w:basedOn w:val="a1"/>
    <w:link w:val="3"/>
    <w:uiPriority w:val="9"/>
    <w:rsid w:val="00927348"/>
    <w:rPr>
      <w:rFonts w:asciiTheme="minorHAnsi" w:eastAsiaTheme="minorEastAsia" w:hAnsiTheme="minorHAnsi" w:cstheme="minorBidi"/>
      <w:b/>
      <w:bCs/>
      <w:kern w:val="2"/>
      <w:sz w:val="32"/>
      <w:szCs w:val="32"/>
    </w:rPr>
  </w:style>
  <w:style w:type="character" w:customStyle="1" w:styleId="Char0">
    <w:name w:val="页脚 Char"/>
    <w:basedOn w:val="a1"/>
    <w:link w:val="a6"/>
    <w:uiPriority w:val="99"/>
    <w:rsid w:val="008851F2"/>
    <w:rPr>
      <w:kern w:val="2"/>
      <w:sz w:val="18"/>
      <w:szCs w:val="18"/>
    </w:rPr>
  </w:style>
  <w:style w:type="paragraph" w:styleId="af7">
    <w:name w:val="Revision"/>
    <w:hidden/>
    <w:uiPriority w:val="99"/>
    <w:semiHidden/>
    <w:rsid w:val="008F4154"/>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7279-36A2-4254-91CA-99982E7E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1218</Words>
  <Characters>6945</Characters>
  <Application>Microsoft Office Word</Application>
  <DocSecurity>4</DocSecurity>
  <Lines>57</Lines>
  <Paragraphs>16</Paragraphs>
  <ScaleCrop>false</ScaleCrop>
  <Company>TRT. Ltd. Co.</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2018-07-19T17:03:00Z</dcterms:created>
  <dcterms:modified xsi:type="dcterms:W3CDTF">2018-07-19T17:03:00Z</dcterms:modified>
</cp:coreProperties>
</file>