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93" w:rsidRPr="00BC0DBE" w:rsidRDefault="00034693" w:rsidP="00BC0DBE">
      <w:pPr>
        <w:widowControl/>
        <w:jc w:val="center"/>
        <w:rPr>
          <w:rFonts w:ascii="黑体" w:eastAsia="黑体" w:hAnsi="黑体" w:cs="Calibri"/>
          <w:b/>
          <w:bCs/>
          <w:kern w:val="0"/>
          <w:sz w:val="30"/>
          <w:szCs w:val="30"/>
        </w:rPr>
      </w:pPr>
      <w:bookmarkStart w:id="0" w:name="_Toc512586162"/>
      <w:bookmarkStart w:id="1" w:name="_Toc512585915"/>
      <w:r w:rsidRPr="00BC0DBE">
        <w:rPr>
          <w:rFonts w:ascii="黑体" w:eastAsia="黑体" w:hAnsi="黑体" w:cs="Calibri" w:hint="eastAsia"/>
          <w:b/>
          <w:bCs/>
          <w:kern w:val="0"/>
          <w:sz w:val="30"/>
          <w:szCs w:val="30"/>
        </w:rPr>
        <w:t>关于</w:t>
      </w:r>
      <w:r w:rsidR="0019554F" w:rsidRPr="0019554F">
        <w:rPr>
          <w:rFonts w:ascii="黑体" w:eastAsia="黑体" w:hAnsi="黑体" w:cs="Calibri" w:hint="eastAsia"/>
          <w:b/>
          <w:bCs/>
          <w:kern w:val="0"/>
          <w:sz w:val="30"/>
          <w:szCs w:val="30"/>
        </w:rPr>
        <w:t>天弘金利灵活配置混合型证券投资基金</w:t>
      </w:r>
      <w:r w:rsidRPr="00BC0DBE">
        <w:rPr>
          <w:rFonts w:ascii="黑体" w:eastAsia="黑体" w:hAnsi="黑体" w:cs="Calibri" w:hint="eastAsia"/>
          <w:b/>
          <w:bCs/>
          <w:kern w:val="0"/>
          <w:sz w:val="30"/>
          <w:szCs w:val="30"/>
        </w:rPr>
        <w:t>发生基金合同终止事由并进入基金财产清算程序的公告</w:t>
      </w:r>
      <w:bookmarkStart w:id="2" w:name="_GoBack"/>
      <w:bookmarkEnd w:id="0"/>
      <w:bookmarkEnd w:id="1"/>
      <w:bookmarkEnd w:id="2"/>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根据《中华人民共和国证券投资基金法》、《公开募集证券投资基金运作管理办法》、《</w:t>
      </w:r>
      <w:r w:rsidR="00C21A91" w:rsidRPr="00C21A91">
        <w:rPr>
          <w:rFonts w:ascii="仿宋_GB2312" w:eastAsia="仿宋_GB2312" w:hAnsiTheme="minorEastAsia" w:hint="eastAsia"/>
          <w:sz w:val="24"/>
          <w:szCs w:val="24"/>
        </w:rPr>
        <w:t>天弘金利灵活配置混合型证券投资基金</w:t>
      </w:r>
      <w:r w:rsidRPr="009635C9">
        <w:rPr>
          <w:rFonts w:ascii="仿宋_GB2312" w:eastAsia="仿宋_GB2312" w:hAnsiTheme="minorEastAsia" w:hint="eastAsia"/>
          <w:sz w:val="24"/>
          <w:szCs w:val="24"/>
        </w:rPr>
        <w:t>基金合同》（以下简称“《基金合同》”）的有关规定，《基金合同》生效后，连续20个工作日出现基金份额持有人数量不满200人或者基金资产净值低于5000万元的，基金管理人应当在定期报告中予以披露；连续60</w:t>
      </w:r>
      <w:r w:rsidR="003F583D">
        <w:rPr>
          <w:rFonts w:ascii="仿宋_GB2312" w:eastAsia="仿宋_GB2312" w:hAnsiTheme="minorEastAsia" w:hint="eastAsia"/>
          <w:sz w:val="24"/>
          <w:szCs w:val="24"/>
        </w:rPr>
        <w:t>个工作日出现前述情形的，基金合同应当终止，并按照</w:t>
      </w:r>
      <w:r w:rsidRPr="009635C9">
        <w:rPr>
          <w:rFonts w:ascii="仿宋_GB2312" w:eastAsia="仿宋_GB2312" w:hAnsiTheme="minorEastAsia" w:hint="eastAsia"/>
          <w:sz w:val="24"/>
          <w:szCs w:val="24"/>
        </w:rPr>
        <w:t>基金合同的约定程序进行清算，无需召开基金份额持有人大会。</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截至2018年</w:t>
      </w:r>
      <w:r w:rsidR="00D96ADF">
        <w:rPr>
          <w:rFonts w:ascii="仿宋_GB2312" w:eastAsia="仿宋_GB2312" w:hAnsiTheme="minorEastAsia" w:hint="eastAsia"/>
          <w:sz w:val="24"/>
          <w:szCs w:val="24"/>
        </w:rPr>
        <w:t>7</w:t>
      </w:r>
      <w:r w:rsidRPr="009635C9">
        <w:rPr>
          <w:rFonts w:ascii="仿宋_GB2312" w:eastAsia="仿宋_GB2312" w:hAnsiTheme="minorEastAsia" w:hint="eastAsia"/>
          <w:sz w:val="24"/>
          <w:szCs w:val="24"/>
        </w:rPr>
        <w:t>月</w:t>
      </w:r>
      <w:r w:rsidR="00882468">
        <w:rPr>
          <w:rFonts w:ascii="仿宋_GB2312" w:eastAsia="仿宋_GB2312" w:hAnsiTheme="minorEastAsia" w:hint="eastAsia"/>
          <w:sz w:val="24"/>
          <w:szCs w:val="24"/>
        </w:rPr>
        <w:t>1</w:t>
      </w:r>
      <w:r w:rsidR="00D96ADF">
        <w:rPr>
          <w:rFonts w:ascii="仿宋_GB2312" w:eastAsia="仿宋_GB2312" w:hAnsiTheme="minorEastAsia" w:hint="eastAsia"/>
          <w:sz w:val="24"/>
          <w:szCs w:val="24"/>
        </w:rPr>
        <w:t>9</w:t>
      </w:r>
      <w:r w:rsidRPr="009635C9">
        <w:rPr>
          <w:rFonts w:ascii="仿宋_GB2312" w:eastAsia="仿宋_GB2312" w:hAnsiTheme="minorEastAsia" w:hint="eastAsia"/>
          <w:sz w:val="24"/>
          <w:szCs w:val="24"/>
        </w:rPr>
        <w:t>日日终，</w:t>
      </w:r>
      <w:r w:rsidR="00C21A91" w:rsidRPr="00C21A91">
        <w:rPr>
          <w:rFonts w:ascii="仿宋_GB2312" w:eastAsia="仿宋_GB2312" w:hAnsiTheme="minorEastAsia" w:hint="eastAsia"/>
          <w:sz w:val="24"/>
          <w:szCs w:val="24"/>
        </w:rPr>
        <w:t>天弘金利灵活配置混合型证券投资基金</w:t>
      </w:r>
      <w:r w:rsidRPr="009635C9">
        <w:rPr>
          <w:rFonts w:ascii="仿宋_GB2312" w:eastAsia="仿宋_GB2312" w:hAnsiTheme="minorEastAsia" w:hint="eastAsia"/>
          <w:sz w:val="24"/>
          <w:szCs w:val="24"/>
        </w:rPr>
        <w:t>（以下简称“本基金”）的基金资产净值持续低于5000万元，本基金已连续60个工作日基金资产净值低于5000万元。本基金已触发上述《基金合同》约定的自动终止情形，天弘基金管理有限公司（以下简称“本基金管理人”）将自2018年</w:t>
      </w:r>
      <w:r w:rsidR="00882468">
        <w:rPr>
          <w:rFonts w:ascii="仿宋_GB2312" w:eastAsia="仿宋_GB2312" w:hAnsiTheme="minorEastAsia" w:hint="eastAsia"/>
          <w:sz w:val="24"/>
          <w:szCs w:val="24"/>
        </w:rPr>
        <w:t>7</w:t>
      </w:r>
      <w:r w:rsidRPr="009635C9">
        <w:rPr>
          <w:rFonts w:ascii="仿宋_GB2312" w:eastAsia="仿宋_GB2312" w:hAnsiTheme="minorEastAsia" w:hint="eastAsia"/>
          <w:sz w:val="24"/>
          <w:szCs w:val="24"/>
        </w:rPr>
        <w:t>月</w:t>
      </w:r>
      <w:r w:rsidR="00882468">
        <w:rPr>
          <w:rFonts w:ascii="仿宋_GB2312" w:eastAsia="仿宋_GB2312" w:hAnsiTheme="minorEastAsia" w:hint="eastAsia"/>
          <w:sz w:val="24"/>
          <w:szCs w:val="24"/>
        </w:rPr>
        <w:t>20</w:t>
      </w:r>
      <w:r w:rsidRPr="009635C9">
        <w:rPr>
          <w:rFonts w:ascii="仿宋_GB2312" w:eastAsia="仿宋_GB2312" w:hAnsiTheme="minorEastAsia" w:hint="eastAsia"/>
          <w:sz w:val="24"/>
          <w:szCs w:val="24"/>
        </w:rPr>
        <w:t>日起根据相关法律法规、基金合同等规定履行基金财产清算程序。具体情况如下：</w:t>
      </w:r>
    </w:p>
    <w:p w:rsidR="00034693" w:rsidRPr="009635C9" w:rsidRDefault="00034693" w:rsidP="00034693">
      <w:pPr>
        <w:pStyle w:val="a4"/>
        <w:adjustRightInd w:val="0"/>
        <w:snapToGrid w:val="0"/>
        <w:spacing w:line="500" w:lineRule="exact"/>
        <w:ind w:firstLineChars="200" w:firstLine="482"/>
        <w:rPr>
          <w:rFonts w:ascii="仿宋_GB2312" w:eastAsia="仿宋_GB2312" w:hAnsiTheme="minorEastAsia"/>
          <w:b/>
          <w:sz w:val="24"/>
          <w:szCs w:val="24"/>
        </w:rPr>
      </w:pPr>
      <w:r w:rsidRPr="009635C9">
        <w:rPr>
          <w:rFonts w:ascii="仿宋_GB2312" w:eastAsia="仿宋_GB2312" w:hAnsiTheme="minorEastAsia" w:hint="eastAsia"/>
          <w:b/>
          <w:sz w:val="24"/>
          <w:szCs w:val="24"/>
        </w:rPr>
        <w:t>一、本基金基本信息</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基金名称：</w:t>
      </w:r>
      <w:r w:rsidR="008063A3" w:rsidRPr="008063A3">
        <w:rPr>
          <w:rFonts w:ascii="仿宋_GB2312" w:eastAsia="仿宋_GB2312" w:hAnsiTheme="minorEastAsia" w:hint="eastAsia"/>
          <w:sz w:val="24"/>
          <w:szCs w:val="24"/>
        </w:rPr>
        <w:t>天弘金利灵活配置混合型证券投资基金</w:t>
      </w:r>
    </w:p>
    <w:p w:rsidR="00034693" w:rsidRPr="009635C9" w:rsidRDefault="003F583D" w:rsidP="00034693">
      <w:pPr>
        <w:pStyle w:val="a4"/>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简称：天弘</w:t>
      </w:r>
      <w:r w:rsidR="008063A3">
        <w:rPr>
          <w:rFonts w:ascii="仿宋_GB2312" w:eastAsia="仿宋_GB2312" w:hAnsiTheme="minorEastAsia" w:hint="eastAsia"/>
          <w:sz w:val="24"/>
          <w:szCs w:val="24"/>
        </w:rPr>
        <w:t>金利</w:t>
      </w:r>
      <w:r w:rsidR="00034693" w:rsidRPr="009635C9">
        <w:rPr>
          <w:rFonts w:ascii="仿宋_GB2312" w:eastAsia="仿宋_GB2312" w:hAnsiTheme="minorEastAsia" w:hint="eastAsia"/>
          <w:sz w:val="24"/>
          <w:szCs w:val="24"/>
        </w:rPr>
        <w:t>混合</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基金代码：</w:t>
      </w:r>
      <w:r w:rsidR="003F583D">
        <w:rPr>
          <w:rFonts w:ascii="仿宋_GB2312" w:eastAsia="仿宋_GB2312" w:hAnsiTheme="minorEastAsia" w:hint="eastAsia"/>
          <w:sz w:val="24"/>
          <w:szCs w:val="24"/>
        </w:rPr>
        <w:t>00</w:t>
      </w:r>
      <w:r w:rsidR="00825368">
        <w:rPr>
          <w:rFonts w:ascii="仿宋_GB2312" w:eastAsia="仿宋_GB2312" w:hAnsiTheme="minorEastAsia"/>
          <w:sz w:val="24"/>
          <w:szCs w:val="24"/>
        </w:rPr>
        <w:t>2433</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基金运作方式：契约型开放式</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基金合同生效日：2016年</w:t>
      </w:r>
      <w:r w:rsidR="008063A3">
        <w:rPr>
          <w:rFonts w:ascii="仿宋_GB2312" w:eastAsia="仿宋_GB2312" w:hAnsiTheme="minorEastAsia" w:hint="eastAsia"/>
          <w:sz w:val="24"/>
          <w:szCs w:val="24"/>
        </w:rPr>
        <w:t>12</w:t>
      </w:r>
      <w:r w:rsidRPr="009635C9">
        <w:rPr>
          <w:rFonts w:ascii="仿宋_GB2312" w:eastAsia="仿宋_GB2312" w:hAnsiTheme="minorEastAsia" w:hint="eastAsia"/>
          <w:sz w:val="24"/>
          <w:szCs w:val="24"/>
        </w:rPr>
        <w:t>月</w:t>
      </w:r>
      <w:r w:rsidR="008063A3">
        <w:rPr>
          <w:rFonts w:ascii="仿宋_GB2312" w:eastAsia="仿宋_GB2312" w:hAnsiTheme="minorEastAsia" w:hint="eastAsia"/>
          <w:sz w:val="24"/>
          <w:szCs w:val="24"/>
        </w:rPr>
        <w:t>2</w:t>
      </w:r>
      <w:r w:rsidR="009E3338">
        <w:rPr>
          <w:rFonts w:ascii="仿宋_GB2312" w:eastAsia="仿宋_GB2312" w:hAnsiTheme="minorEastAsia" w:hint="eastAsia"/>
          <w:sz w:val="24"/>
          <w:szCs w:val="24"/>
        </w:rPr>
        <w:t>1</w:t>
      </w:r>
      <w:r w:rsidRPr="009635C9">
        <w:rPr>
          <w:rFonts w:ascii="仿宋_GB2312" w:eastAsia="仿宋_GB2312" w:hAnsiTheme="minorEastAsia" w:hint="eastAsia"/>
          <w:sz w:val="24"/>
          <w:szCs w:val="24"/>
        </w:rPr>
        <w:t>日</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基金管理人名称：天弘基金管理有限公司</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基金托管人名称：</w:t>
      </w:r>
      <w:r w:rsidR="008063A3" w:rsidRPr="008063A3">
        <w:rPr>
          <w:rFonts w:ascii="仿宋_GB2312" w:eastAsia="仿宋_GB2312" w:hAnsiTheme="minorEastAsia" w:hint="eastAsia"/>
          <w:sz w:val="24"/>
          <w:szCs w:val="24"/>
        </w:rPr>
        <w:t>南京银行股份有限公司</w:t>
      </w:r>
    </w:p>
    <w:p w:rsidR="00034693" w:rsidRPr="009635C9" w:rsidRDefault="00034693" w:rsidP="00034693">
      <w:pPr>
        <w:pStyle w:val="a4"/>
        <w:adjustRightInd w:val="0"/>
        <w:snapToGrid w:val="0"/>
        <w:spacing w:line="500" w:lineRule="exact"/>
        <w:ind w:firstLineChars="200" w:firstLine="482"/>
        <w:rPr>
          <w:rFonts w:ascii="仿宋_GB2312" w:eastAsia="仿宋_GB2312" w:hAnsiTheme="minorEastAsia"/>
          <w:b/>
          <w:sz w:val="24"/>
          <w:szCs w:val="24"/>
        </w:rPr>
      </w:pPr>
      <w:r w:rsidRPr="009635C9">
        <w:rPr>
          <w:rFonts w:ascii="仿宋_GB2312" w:eastAsia="仿宋_GB2312" w:hAnsiTheme="minorEastAsia" w:hint="eastAsia"/>
          <w:b/>
          <w:sz w:val="24"/>
          <w:szCs w:val="24"/>
        </w:rPr>
        <w:t>二、基金合同终止情形</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《基金合同》“第五部分 基金备案”中“三、基金存续期内的基金份额持有人数量和资产规模”规定：</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“《基金合同》生效后，连续20个工作日出现基金份额持有人数量不满200</w:t>
      </w:r>
      <w:r w:rsidRPr="009635C9">
        <w:rPr>
          <w:rFonts w:ascii="仿宋_GB2312" w:eastAsia="仿宋_GB2312" w:hAnsiTheme="minorEastAsia" w:hint="eastAsia"/>
          <w:sz w:val="24"/>
          <w:szCs w:val="24"/>
        </w:rPr>
        <w:lastRenderedPageBreak/>
        <w:t>人或者基金资产净值低于5000万元的，基金管理人应当在定期报告中予以披露；连续60个工作日出现前述情形的，本基金合同应当终止，并按照本基金合同的约定程序进行清算，无需召开基金份额持有人大会。</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法律法规另有规定时，从其规定。”</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截至2018年</w:t>
      </w:r>
      <w:r w:rsidR="009116E1">
        <w:rPr>
          <w:rFonts w:ascii="仿宋_GB2312" w:eastAsia="仿宋_GB2312" w:hAnsiTheme="minorEastAsia" w:hint="eastAsia"/>
          <w:sz w:val="24"/>
          <w:szCs w:val="24"/>
        </w:rPr>
        <w:t>7</w:t>
      </w:r>
      <w:r w:rsidRPr="009635C9">
        <w:rPr>
          <w:rFonts w:ascii="仿宋_GB2312" w:eastAsia="仿宋_GB2312" w:hAnsiTheme="minorEastAsia" w:hint="eastAsia"/>
          <w:sz w:val="24"/>
          <w:szCs w:val="24"/>
        </w:rPr>
        <w:t>月</w:t>
      </w:r>
      <w:r w:rsidR="00835909">
        <w:rPr>
          <w:rFonts w:ascii="仿宋_GB2312" w:eastAsia="仿宋_GB2312" w:hAnsiTheme="minorEastAsia" w:hint="eastAsia"/>
          <w:sz w:val="24"/>
          <w:szCs w:val="24"/>
        </w:rPr>
        <w:t>1</w:t>
      </w:r>
      <w:r w:rsidR="009116E1">
        <w:rPr>
          <w:rFonts w:ascii="仿宋_GB2312" w:eastAsia="仿宋_GB2312" w:hAnsiTheme="minorEastAsia" w:hint="eastAsia"/>
          <w:sz w:val="24"/>
          <w:szCs w:val="24"/>
        </w:rPr>
        <w:t>9</w:t>
      </w:r>
      <w:r w:rsidRPr="009635C9">
        <w:rPr>
          <w:rFonts w:ascii="仿宋_GB2312" w:eastAsia="仿宋_GB2312" w:hAnsiTheme="minorEastAsia" w:hint="eastAsia"/>
          <w:sz w:val="24"/>
          <w:szCs w:val="24"/>
        </w:rPr>
        <w:t>日日终，</w:t>
      </w:r>
      <w:r w:rsidR="00835909" w:rsidRPr="00835909">
        <w:rPr>
          <w:rFonts w:ascii="仿宋_GB2312" w:eastAsia="仿宋_GB2312" w:hAnsiTheme="minorEastAsia" w:hint="eastAsia"/>
          <w:sz w:val="24"/>
          <w:szCs w:val="24"/>
        </w:rPr>
        <w:t>天弘金利灵活配置混合型证券投资基金</w:t>
      </w:r>
      <w:r w:rsidRPr="009635C9">
        <w:rPr>
          <w:rFonts w:ascii="仿宋_GB2312" w:eastAsia="仿宋_GB2312" w:hAnsiTheme="minorEastAsia" w:hint="eastAsia"/>
          <w:sz w:val="24"/>
          <w:szCs w:val="24"/>
        </w:rPr>
        <w:t>的基金资产净值持续低于5000万元，即本基金已连续60个工作日基金资产净值低于5000万元。为维护基金份额持有人利益，根据《基金合同》约定，本基金将依法进入基金财产清算程序，无需召开基金份额持有人大会审议。</w:t>
      </w:r>
    </w:p>
    <w:p w:rsidR="00034693" w:rsidRPr="009635C9" w:rsidRDefault="00034693" w:rsidP="00034693">
      <w:pPr>
        <w:pStyle w:val="a4"/>
        <w:adjustRightInd w:val="0"/>
        <w:snapToGrid w:val="0"/>
        <w:spacing w:line="500" w:lineRule="exact"/>
        <w:ind w:firstLineChars="200" w:firstLine="482"/>
        <w:rPr>
          <w:rFonts w:ascii="仿宋_GB2312" w:eastAsia="仿宋_GB2312" w:hAnsiTheme="minorEastAsia"/>
          <w:b/>
          <w:sz w:val="24"/>
          <w:szCs w:val="24"/>
        </w:rPr>
      </w:pPr>
      <w:r w:rsidRPr="009635C9">
        <w:rPr>
          <w:rFonts w:ascii="仿宋_GB2312" w:eastAsia="仿宋_GB2312" w:hAnsiTheme="minorEastAsia" w:hint="eastAsia"/>
          <w:b/>
          <w:sz w:val="24"/>
          <w:szCs w:val="24"/>
        </w:rPr>
        <w:t>三、基金财产清算</w:t>
      </w:r>
    </w:p>
    <w:p w:rsidR="00034693" w:rsidRPr="009635C9" w:rsidRDefault="00CA4174" w:rsidP="00034693">
      <w:pPr>
        <w:pStyle w:val="a4"/>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（一）</w:t>
      </w:r>
      <w:r w:rsidR="00034693" w:rsidRPr="009635C9">
        <w:rPr>
          <w:rFonts w:ascii="仿宋_GB2312" w:eastAsia="仿宋_GB2312" w:hAnsiTheme="minorEastAsia" w:hint="eastAsia"/>
          <w:sz w:val="24"/>
          <w:szCs w:val="24"/>
        </w:rPr>
        <w:t>基金财产的清算</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1、自2018年</w:t>
      </w:r>
      <w:r w:rsidR="009116E1">
        <w:rPr>
          <w:rFonts w:ascii="仿宋_GB2312" w:eastAsia="仿宋_GB2312" w:hAnsiTheme="minorEastAsia" w:hint="eastAsia"/>
          <w:sz w:val="24"/>
          <w:szCs w:val="24"/>
        </w:rPr>
        <w:t>7</w:t>
      </w:r>
      <w:r w:rsidRPr="009635C9">
        <w:rPr>
          <w:rFonts w:ascii="仿宋_GB2312" w:eastAsia="仿宋_GB2312" w:hAnsiTheme="minorEastAsia" w:hint="eastAsia"/>
          <w:sz w:val="24"/>
          <w:szCs w:val="24"/>
        </w:rPr>
        <w:t>月</w:t>
      </w:r>
      <w:r w:rsidR="00747808">
        <w:rPr>
          <w:rFonts w:ascii="仿宋_GB2312" w:eastAsia="仿宋_GB2312" w:hAnsiTheme="minorEastAsia" w:hint="eastAsia"/>
          <w:sz w:val="24"/>
          <w:szCs w:val="24"/>
        </w:rPr>
        <w:t>20</w:t>
      </w:r>
      <w:r w:rsidRPr="009635C9">
        <w:rPr>
          <w:rFonts w:ascii="仿宋_GB2312" w:eastAsia="仿宋_GB2312" w:hAnsiTheme="minorEastAsia" w:hint="eastAsia"/>
          <w:sz w:val="24"/>
          <w:szCs w:val="24"/>
        </w:rPr>
        <w:t>日起，本基金进入基金财产清算程序，不再办理申购、赎回等业务，同时不再收取基金管理费和基金托管费。</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2、基金财产清算小组：自出现《基金合同》终止事由之日起30个工作日内成立清算小组，基金管理人组织基金财产清算小组并在中国证监会的监督下进行基金清算。</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4、基金财产清算小组职责：基金财产清算小组负责基金财产的保管、清理、估价、变现和分配。基金财产清算小组可以依法进行必要的民事活动。</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5、基金财产清算程序：</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（1）《基金合同》终止情形出现时，由基金财产清算小组统一接管基金；</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（2）对基金财产和债权债务进行清理和确认；</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（3）对基金财产进行估值和变现；</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（4）制作清算报告；</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（5）聘请会计师事务所对清算报告进行外部审计，聘请律师事务所对清算报告出具法律意见书；</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lastRenderedPageBreak/>
        <w:t>（6）将清算报告报中国证监会备案并公告；</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（7）对基金剩余财产进行分配。</w:t>
      </w:r>
    </w:p>
    <w:p w:rsidR="00034693" w:rsidRPr="009635C9" w:rsidRDefault="00034693" w:rsidP="00CA4174">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6、基金财产清算的期限为6个月。</w:t>
      </w:r>
    </w:p>
    <w:p w:rsidR="00034693" w:rsidRPr="009635C9" w:rsidRDefault="00CA4174" w:rsidP="00034693">
      <w:pPr>
        <w:pStyle w:val="a4"/>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（二）</w:t>
      </w:r>
      <w:r w:rsidR="00034693" w:rsidRPr="009635C9">
        <w:rPr>
          <w:rFonts w:ascii="仿宋_GB2312" w:eastAsia="仿宋_GB2312" w:hAnsiTheme="minorEastAsia" w:hint="eastAsia"/>
          <w:sz w:val="24"/>
          <w:szCs w:val="24"/>
        </w:rPr>
        <w:t>清算费用</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清算费用是指基金财产清算小组在进行基金清算过程中发生的所有合理费用，清算费用可由基金财产清算小组优先从基金财产中支付。</w:t>
      </w:r>
    </w:p>
    <w:p w:rsidR="00034693" w:rsidRPr="009635C9" w:rsidRDefault="00CA4174" w:rsidP="00034693">
      <w:pPr>
        <w:pStyle w:val="a4"/>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（三）</w:t>
      </w:r>
      <w:r w:rsidR="00034693" w:rsidRPr="009635C9">
        <w:rPr>
          <w:rFonts w:ascii="仿宋_GB2312" w:eastAsia="仿宋_GB2312" w:hAnsiTheme="minorEastAsia" w:hint="eastAsia"/>
          <w:sz w:val="24"/>
          <w:szCs w:val="24"/>
        </w:rPr>
        <w:t>基金财产清算剩余资产的分配</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034693" w:rsidRPr="009635C9" w:rsidRDefault="00CA4174" w:rsidP="00034693">
      <w:pPr>
        <w:pStyle w:val="a4"/>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（四）</w:t>
      </w:r>
      <w:r w:rsidR="00034693" w:rsidRPr="009635C9">
        <w:rPr>
          <w:rFonts w:ascii="仿宋_GB2312" w:eastAsia="仿宋_GB2312" w:hAnsiTheme="minorEastAsia" w:hint="eastAsia"/>
          <w:sz w:val="24"/>
          <w:szCs w:val="24"/>
        </w:rPr>
        <w:t>基金财产清算的公告</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34693" w:rsidRPr="009635C9" w:rsidRDefault="003527C3" w:rsidP="00034693">
      <w:pPr>
        <w:pStyle w:val="a4"/>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（五）</w:t>
      </w:r>
      <w:r w:rsidR="00034693" w:rsidRPr="009635C9">
        <w:rPr>
          <w:rFonts w:ascii="仿宋_GB2312" w:eastAsia="仿宋_GB2312" w:hAnsiTheme="minorEastAsia" w:hint="eastAsia"/>
          <w:sz w:val="24"/>
          <w:szCs w:val="24"/>
        </w:rPr>
        <w:t>基金财产清算账册及文件的保存</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基金财产清算账册及有关文件由基金托管人保存15年以上。</w:t>
      </w:r>
    </w:p>
    <w:p w:rsidR="00034693" w:rsidRPr="009635C9" w:rsidRDefault="00034693" w:rsidP="00034693">
      <w:pPr>
        <w:pStyle w:val="a4"/>
        <w:adjustRightInd w:val="0"/>
        <w:snapToGrid w:val="0"/>
        <w:spacing w:line="500" w:lineRule="exact"/>
        <w:ind w:firstLineChars="200" w:firstLine="482"/>
        <w:rPr>
          <w:rFonts w:ascii="仿宋_GB2312" w:eastAsia="仿宋_GB2312" w:hAnsiTheme="minorEastAsia"/>
          <w:b/>
          <w:sz w:val="24"/>
          <w:szCs w:val="24"/>
        </w:rPr>
      </w:pPr>
      <w:r w:rsidRPr="009635C9">
        <w:rPr>
          <w:rFonts w:ascii="仿宋_GB2312" w:eastAsia="仿宋_GB2312" w:hAnsiTheme="minorEastAsia" w:hint="eastAsia"/>
          <w:b/>
          <w:sz w:val="24"/>
          <w:szCs w:val="24"/>
        </w:rPr>
        <w:t>四、风险提示</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1、本公司承诺在清算过程中以诚实信用、勤勉尽责的原则履行相关职责。基金财产清算结果将在报中国证监会备案后公布，并将遵照法律法规、基金合同等规定及时进行分配，敬请投资者留意。</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r w:rsidRPr="009635C9">
        <w:rPr>
          <w:rFonts w:ascii="仿宋_GB2312" w:eastAsia="仿宋_GB2312" w:hAnsiTheme="minorEastAsia" w:hint="eastAsia"/>
          <w:sz w:val="24"/>
          <w:szCs w:val="24"/>
        </w:rPr>
        <w:t>2</w:t>
      </w:r>
      <w:r w:rsidR="001B4C54">
        <w:rPr>
          <w:rFonts w:ascii="仿宋_GB2312" w:eastAsia="仿宋_GB2312" w:hAnsiTheme="minorEastAsia" w:hint="eastAsia"/>
          <w:sz w:val="24"/>
          <w:szCs w:val="24"/>
        </w:rPr>
        <w:t>、本公告的解释权归天弘基金管理有限公司所有。投资者可登录</w:t>
      </w:r>
      <w:r w:rsidRPr="009635C9">
        <w:rPr>
          <w:rFonts w:ascii="仿宋_GB2312" w:eastAsia="仿宋_GB2312" w:hAnsiTheme="minorEastAsia" w:hint="eastAsia"/>
          <w:sz w:val="24"/>
          <w:szCs w:val="24"/>
        </w:rPr>
        <w:t>本公司官方网站（www.thfund.com.cn）或拨打本公司客户服务热线（95046）进行详细咨询。</w:t>
      </w:r>
    </w:p>
    <w:p w:rsidR="00034693" w:rsidRPr="009635C9" w:rsidRDefault="00034693" w:rsidP="00034693">
      <w:pPr>
        <w:pStyle w:val="a4"/>
        <w:adjustRightInd w:val="0"/>
        <w:snapToGrid w:val="0"/>
        <w:spacing w:line="500" w:lineRule="exact"/>
        <w:ind w:firstLineChars="200" w:firstLine="480"/>
        <w:rPr>
          <w:rFonts w:ascii="仿宋_GB2312" w:eastAsia="仿宋_GB2312" w:hAnsiTheme="minorEastAsia"/>
          <w:sz w:val="24"/>
          <w:szCs w:val="24"/>
        </w:rPr>
      </w:pPr>
    </w:p>
    <w:p w:rsidR="00034693" w:rsidRPr="009635C9" w:rsidRDefault="00034693" w:rsidP="00034693">
      <w:pPr>
        <w:pStyle w:val="a4"/>
        <w:adjustRightInd w:val="0"/>
        <w:snapToGrid w:val="0"/>
        <w:spacing w:line="500" w:lineRule="exact"/>
        <w:ind w:firstLineChars="200" w:firstLine="480"/>
        <w:jc w:val="right"/>
        <w:rPr>
          <w:rFonts w:ascii="仿宋_GB2312" w:eastAsia="仿宋_GB2312" w:hAnsiTheme="minorEastAsia"/>
          <w:sz w:val="24"/>
          <w:szCs w:val="24"/>
        </w:rPr>
      </w:pPr>
      <w:r w:rsidRPr="009635C9">
        <w:rPr>
          <w:rFonts w:ascii="仿宋_GB2312" w:eastAsia="仿宋_GB2312" w:hAnsiTheme="minorEastAsia" w:hint="eastAsia"/>
          <w:sz w:val="24"/>
          <w:szCs w:val="24"/>
        </w:rPr>
        <w:t>天弘基金管理有限公司</w:t>
      </w:r>
    </w:p>
    <w:p w:rsidR="00034693" w:rsidRDefault="00034693" w:rsidP="00034693">
      <w:pPr>
        <w:pStyle w:val="a4"/>
        <w:adjustRightInd w:val="0"/>
        <w:snapToGrid w:val="0"/>
        <w:spacing w:line="500" w:lineRule="exact"/>
        <w:ind w:firstLineChars="200" w:firstLine="480"/>
        <w:jc w:val="right"/>
        <w:rPr>
          <w:rFonts w:ascii="仿宋_GB2312" w:eastAsia="仿宋_GB2312" w:hAnsiTheme="minorEastAsia"/>
          <w:sz w:val="24"/>
          <w:szCs w:val="24"/>
        </w:rPr>
      </w:pPr>
      <w:r w:rsidRPr="009635C9">
        <w:rPr>
          <w:rFonts w:ascii="仿宋_GB2312" w:eastAsia="仿宋_GB2312" w:hAnsiTheme="minorEastAsia" w:hint="eastAsia"/>
          <w:sz w:val="24"/>
          <w:szCs w:val="24"/>
        </w:rPr>
        <w:t>二</w:t>
      </w:r>
      <w:r w:rsidRPr="009635C9">
        <w:rPr>
          <w:rFonts w:ascii="微软雅黑" w:eastAsia="微软雅黑" w:hAnsi="微软雅黑" w:cs="微软雅黑" w:hint="eastAsia"/>
          <w:sz w:val="24"/>
          <w:szCs w:val="24"/>
        </w:rPr>
        <w:t>〇</w:t>
      </w:r>
      <w:r w:rsidRPr="009635C9">
        <w:rPr>
          <w:rFonts w:ascii="仿宋_GB2312" w:eastAsia="仿宋_GB2312" w:hAnsi="仿宋_GB2312" w:cs="仿宋_GB2312" w:hint="eastAsia"/>
          <w:sz w:val="24"/>
          <w:szCs w:val="24"/>
        </w:rPr>
        <w:t>一</w:t>
      </w:r>
      <w:r w:rsidR="007219CD">
        <w:rPr>
          <w:rFonts w:ascii="仿宋_GB2312" w:eastAsia="仿宋_GB2312" w:hAnsiTheme="minorEastAsia" w:hint="eastAsia"/>
          <w:sz w:val="24"/>
          <w:szCs w:val="24"/>
        </w:rPr>
        <w:t>八年七月</w:t>
      </w:r>
      <w:r w:rsidR="00221006">
        <w:rPr>
          <w:rFonts w:ascii="仿宋_GB2312" w:eastAsia="仿宋_GB2312" w:hAnsiTheme="minorEastAsia" w:hint="eastAsia"/>
          <w:sz w:val="24"/>
          <w:szCs w:val="24"/>
        </w:rPr>
        <w:t>二</w:t>
      </w:r>
      <w:r w:rsidR="007219CD">
        <w:rPr>
          <w:rFonts w:ascii="仿宋_GB2312" w:eastAsia="仿宋_GB2312" w:hAnsiTheme="minorEastAsia" w:hint="eastAsia"/>
          <w:sz w:val="24"/>
          <w:szCs w:val="24"/>
        </w:rPr>
        <w:t>十</w:t>
      </w:r>
      <w:r w:rsidRPr="009635C9">
        <w:rPr>
          <w:rFonts w:ascii="仿宋_GB2312" w:eastAsia="仿宋_GB2312" w:hAnsiTheme="minorEastAsia" w:hint="eastAsia"/>
          <w:sz w:val="24"/>
          <w:szCs w:val="24"/>
        </w:rPr>
        <w:t>日</w:t>
      </w:r>
    </w:p>
    <w:p w:rsidR="00735CC4" w:rsidRDefault="00735CC4"/>
    <w:sectPr w:rsidR="00735CC4" w:rsidSect="00895E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CDB" w:rsidRDefault="00E90CDB" w:rsidP="00E90CDB">
      <w:r>
        <w:separator/>
      </w:r>
    </w:p>
  </w:endnote>
  <w:endnote w:type="continuationSeparator" w:id="1">
    <w:p w:rsidR="00E90CDB" w:rsidRDefault="00E90CDB" w:rsidP="00E90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CDB" w:rsidRDefault="00E90CDB" w:rsidP="00E90CDB">
      <w:r>
        <w:separator/>
      </w:r>
    </w:p>
  </w:footnote>
  <w:footnote w:type="continuationSeparator" w:id="1">
    <w:p w:rsidR="00E90CDB" w:rsidRDefault="00E90CDB" w:rsidP="00E90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2069A"/>
    <w:multiLevelType w:val="hybridMultilevel"/>
    <w:tmpl w:val="5A8AB852"/>
    <w:lvl w:ilvl="0" w:tplc="33B62BD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3522"/>
    <w:rsid w:val="00013522"/>
    <w:rsid w:val="00034693"/>
    <w:rsid w:val="00100114"/>
    <w:rsid w:val="0019554F"/>
    <w:rsid w:val="001B4C54"/>
    <w:rsid w:val="00221006"/>
    <w:rsid w:val="002302D3"/>
    <w:rsid w:val="003527C3"/>
    <w:rsid w:val="003F583D"/>
    <w:rsid w:val="007219CD"/>
    <w:rsid w:val="00735CC4"/>
    <w:rsid w:val="00747808"/>
    <w:rsid w:val="007F3F67"/>
    <w:rsid w:val="008063A3"/>
    <w:rsid w:val="00825368"/>
    <w:rsid w:val="00835909"/>
    <w:rsid w:val="00882468"/>
    <w:rsid w:val="00895ED9"/>
    <w:rsid w:val="009116E1"/>
    <w:rsid w:val="009635C9"/>
    <w:rsid w:val="009E3338"/>
    <w:rsid w:val="00A8664B"/>
    <w:rsid w:val="00A90ABD"/>
    <w:rsid w:val="00BC0DBE"/>
    <w:rsid w:val="00BC24FF"/>
    <w:rsid w:val="00C21A91"/>
    <w:rsid w:val="00C76249"/>
    <w:rsid w:val="00CA4174"/>
    <w:rsid w:val="00CD7666"/>
    <w:rsid w:val="00D96ADF"/>
    <w:rsid w:val="00E90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D9"/>
    <w:pPr>
      <w:widowControl w:val="0"/>
      <w:jc w:val="both"/>
    </w:pPr>
  </w:style>
  <w:style w:type="paragraph" w:styleId="2">
    <w:name w:val="heading 2"/>
    <w:basedOn w:val="a"/>
    <w:next w:val="a"/>
    <w:link w:val="2Char"/>
    <w:uiPriority w:val="9"/>
    <w:semiHidden/>
    <w:unhideWhenUsed/>
    <w:qFormat/>
    <w:rsid w:val="00034693"/>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034693"/>
    <w:rPr>
      <w:rFonts w:asciiTheme="majorHAnsi" w:eastAsiaTheme="majorEastAsia" w:hAnsiTheme="majorHAnsi" w:cstheme="majorBidi"/>
      <w:b/>
      <w:bCs/>
      <w:sz w:val="32"/>
      <w:szCs w:val="32"/>
    </w:rPr>
  </w:style>
  <w:style w:type="paragraph" w:styleId="a3">
    <w:name w:val="annotation text"/>
    <w:basedOn w:val="a"/>
    <w:link w:val="Char"/>
    <w:uiPriority w:val="99"/>
    <w:semiHidden/>
    <w:unhideWhenUsed/>
    <w:rsid w:val="00034693"/>
    <w:pPr>
      <w:jc w:val="left"/>
    </w:pPr>
  </w:style>
  <w:style w:type="character" w:customStyle="1" w:styleId="Char">
    <w:name w:val="批注文字 Char"/>
    <w:basedOn w:val="a0"/>
    <w:link w:val="a3"/>
    <w:uiPriority w:val="99"/>
    <w:semiHidden/>
    <w:rsid w:val="00034693"/>
  </w:style>
  <w:style w:type="paragraph" w:styleId="a4">
    <w:name w:val="No Spacing"/>
    <w:uiPriority w:val="1"/>
    <w:qFormat/>
    <w:rsid w:val="00034693"/>
    <w:pPr>
      <w:widowControl w:val="0"/>
      <w:jc w:val="both"/>
    </w:pPr>
  </w:style>
  <w:style w:type="character" w:styleId="a5">
    <w:name w:val="annotation reference"/>
    <w:basedOn w:val="a0"/>
    <w:uiPriority w:val="99"/>
    <w:semiHidden/>
    <w:unhideWhenUsed/>
    <w:rsid w:val="00034693"/>
    <w:rPr>
      <w:sz w:val="21"/>
      <w:szCs w:val="21"/>
    </w:rPr>
  </w:style>
  <w:style w:type="paragraph" w:styleId="a6">
    <w:name w:val="Balloon Text"/>
    <w:basedOn w:val="a"/>
    <w:link w:val="Char0"/>
    <w:uiPriority w:val="99"/>
    <w:semiHidden/>
    <w:unhideWhenUsed/>
    <w:rsid w:val="00034693"/>
    <w:rPr>
      <w:sz w:val="18"/>
      <w:szCs w:val="18"/>
    </w:rPr>
  </w:style>
  <w:style w:type="character" w:customStyle="1" w:styleId="Char0">
    <w:name w:val="批注框文本 Char"/>
    <w:basedOn w:val="a0"/>
    <w:link w:val="a6"/>
    <w:uiPriority w:val="99"/>
    <w:semiHidden/>
    <w:rsid w:val="00034693"/>
    <w:rPr>
      <w:sz w:val="18"/>
      <w:szCs w:val="18"/>
    </w:rPr>
  </w:style>
  <w:style w:type="paragraph" w:styleId="a7">
    <w:name w:val="header"/>
    <w:basedOn w:val="a"/>
    <w:link w:val="Char1"/>
    <w:uiPriority w:val="99"/>
    <w:semiHidden/>
    <w:unhideWhenUsed/>
    <w:rsid w:val="00E90C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E90CDB"/>
    <w:rPr>
      <w:sz w:val="18"/>
      <w:szCs w:val="18"/>
    </w:rPr>
  </w:style>
  <w:style w:type="paragraph" w:styleId="a8">
    <w:name w:val="footer"/>
    <w:basedOn w:val="a"/>
    <w:link w:val="Char2"/>
    <w:uiPriority w:val="99"/>
    <w:semiHidden/>
    <w:unhideWhenUsed/>
    <w:rsid w:val="00E90CDB"/>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E90CDB"/>
    <w:rPr>
      <w:sz w:val="18"/>
      <w:szCs w:val="18"/>
    </w:rPr>
  </w:style>
</w:styles>
</file>

<file path=word/webSettings.xml><?xml version="1.0" encoding="utf-8"?>
<w:webSettings xmlns:r="http://schemas.openxmlformats.org/officeDocument/2006/relationships" xmlns:w="http://schemas.openxmlformats.org/wordprocessingml/2006/main">
  <w:divs>
    <w:div w:id="8717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1657</Characters>
  <Application>Microsoft Office Word</Application>
  <DocSecurity>4</DocSecurity>
  <Lines>13</Lines>
  <Paragraphs>3</Paragraphs>
  <ScaleCrop>false</ScaleCrop>
  <Company>Microsoft</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焦国娟</dc:creator>
  <cp:keywords/>
  <dc:description/>
  <cp:lastModifiedBy>ZHONGM</cp:lastModifiedBy>
  <cp:revision>2</cp:revision>
  <dcterms:created xsi:type="dcterms:W3CDTF">2018-07-19T16:38:00Z</dcterms:created>
  <dcterms:modified xsi:type="dcterms:W3CDTF">2018-07-19T16:38:00Z</dcterms:modified>
</cp:coreProperties>
</file>