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820" w:rsidRDefault="00630820">
      <w:pPr>
        <w:autoSpaceDE w:val="0"/>
        <w:autoSpaceDN w:val="0"/>
        <w:adjustRightInd w:val="0"/>
        <w:spacing w:line="360" w:lineRule="auto"/>
        <w:jc w:val="left"/>
        <w:rPr>
          <w:color w:val="000000"/>
          <w:kern w:val="0"/>
          <w:sz w:val="24"/>
          <w:szCs w:val="24"/>
        </w:rPr>
      </w:pPr>
    </w:p>
    <w:p w:rsidR="00630820" w:rsidRDefault="00630820">
      <w:pPr>
        <w:autoSpaceDE w:val="0"/>
        <w:autoSpaceDN w:val="0"/>
        <w:adjustRightInd w:val="0"/>
        <w:spacing w:line="360" w:lineRule="auto"/>
        <w:jc w:val="left"/>
        <w:rPr>
          <w:color w:val="000000"/>
          <w:kern w:val="0"/>
          <w:sz w:val="24"/>
          <w:szCs w:val="24"/>
        </w:rPr>
      </w:pPr>
    </w:p>
    <w:p w:rsidR="00630820" w:rsidRDefault="00630820">
      <w:pPr>
        <w:autoSpaceDE w:val="0"/>
        <w:autoSpaceDN w:val="0"/>
        <w:adjustRightInd w:val="0"/>
        <w:spacing w:line="360" w:lineRule="auto"/>
        <w:jc w:val="left"/>
        <w:rPr>
          <w:color w:val="000000"/>
          <w:kern w:val="0"/>
          <w:sz w:val="24"/>
          <w:szCs w:val="24"/>
        </w:rPr>
      </w:pPr>
    </w:p>
    <w:p w:rsidR="00630820" w:rsidRDefault="00630820">
      <w:pPr>
        <w:autoSpaceDE w:val="0"/>
        <w:autoSpaceDN w:val="0"/>
        <w:adjustRightInd w:val="0"/>
        <w:spacing w:line="360" w:lineRule="auto"/>
        <w:jc w:val="left"/>
        <w:rPr>
          <w:color w:val="000000"/>
          <w:kern w:val="0"/>
          <w:sz w:val="24"/>
          <w:szCs w:val="24"/>
        </w:rPr>
      </w:pPr>
    </w:p>
    <w:p w:rsidR="00630820" w:rsidRDefault="00630820">
      <w:pPr>
        <w:autoSpaceDE w:val="0"/>
        <w:autoSpaceDN w:val="0"/>
        <w:adjustRightInd w:val="0"/>
        <w:spacing w:line="360" w:lineRule="auto"/>
        <w:jc w:val="left"/>
        <w:rPr>
          <w:color w:val="000000"/>
          <w:kern w:val="0"/>
          <w:sz w:val="24"/>
          <w:szCs w:val="24"/>
        </w:rPr>
      </w:pPr>
    </w:p>
    <w:p w:rsidR="00630820" w:rsidRDefault="009F35F0">
      <w:pPr>
        <w:spacing w:line="360" w:lineRule="auto"/>
        <w:jc w:val="center"/>
        <w:rPr>
          <w:b/>
          <w:sz w:val="36"/>
          <w:szCs w:val="36"/>
        </w:rPr>
      </w:pPr>
      <w:r>
        <w:rPr>
          <w:b/>
          <w:sz w:val="36"/>
          <w:szCs w:val="36"/>
        </w:rPr>
        <w:t>中银尊享半年定期开放债券型证券投资基金</w:t>
      </w:r>
    </w:p>
    <w:p w:rsidR="00630820" w:rsidRDefault="009F35F0">
      <w:pPr>
        <w:spacing w:line="360" w:lineRule="auto"/>
        <w:jc w:val="center"/>
        <w:rPr>
          <w:b/>
          <w:sz w:val="36"/>
          <w:szCs w:val="36"/>
        </w:rPr>
      </w:pPr>
      <w:r>
        <w:rPr>
          <w:b/>
          <w:sz w:val="36"/>
          <w:szCs w:val="36"/>
        </w:rPr>
        <w:t>2018</w:t>
      </w:r>
      <w:r>
        <w:rPr>
          <w:b/>
          <w:sz w:val="36"/>
          <w:szCs w:val="36"/>
        </w:rPr>
        <w:t>年第</w:t>
      </w:r>
      <w:r>
        <w:rPr>
          <w:b/>
          <w:sz w:val="36"/>
          <w:szCs w:val="36"/>
        </w:rPr>
        <w:t>2</w:t>
      </w:r>
      <w:r>
        <w:rPr>
          <w:b/>
          <w:sz w:val="36"/>
          <w:szCs w:val="36"/>
        </w:rPr>
        <w:t>季度报告</w:t>
      </w:r>
    </w:p>
    <w:p w:rsidR="00630820" w:rsidRDefault="009F35F0">
      <w:pPr>
        <w:spacing w:line="360" w:lineRule="auto"/>
        <w:jc w:val="center"/>
        <w:rPr>
          <w:b/>
          <w:sz w:val="36"/>
          <w:szCs w:val="36"/>
        </w:rPr>
      </w:pPr>
      <w:r>
        <w:rPr>
          <w:b/>
          <w:sz w:val="36"/>
          <w:szCs w:val="36"/>
        </w:rPr>
        <w:t>2018</w:t>
      </w:r>
      <w:r>
        <w:rPr>
          <w:b/>
          <w:sz w:val="36"/>
          <w:szCs w:val="36"/>
        </w:rPr>
        <w:t>年</w:t>
      </w:r>
      <w:r>
        <w:rPr>
          <w:b/>
          <w:sz w:val="36"/>
          <w:szCs w:val="36"/>
        </w:rPr>
        <w:t>6</w:t>
      </w:r>
      <w:r>
        <w:rPr>
          <w:b/>
          <w:sz w:val="36"/>
          <w:szCs w:val="36"/>
        </w:rPr>
        <w:t>月</w:t>
      </w:r>
      <w:r>
        <w:rPr>
          <w:b/>
          <w:sz w:val="36"/>
          <w:szCs w:val="36"/>
        </w:rPr>
        <w:t>30</w:t>
      </w:r>
      <w:r>
        <w:rPr>
          <w:b/>
          <w:sz w:val="36"/>
          <w:szCs w:val="36"/>
        </w:rPr>
        <w:t>日</w:t>
      </w:r>
    </w:p>
    <w:p w:rsidR="00630820" w:rsidRDefault="00630820">
      <w:pPr>
        <w:spacing w:line="360" w:lineRule="auto"/>
        <w:jc w:val="center"/>
        <w:rPr>
          <w:b/>
          <w:bCs/>
          <w:color w:val="000000"/>
          <w:sz w:val="24"/>
          <w:szCs w:val="24"/>
        </w:rPr>
      </w:pPr>
    </w:p>
    <w:p w:rsidR="00630820" w:rsidRDefault="00630820">
      <w:pPr>
        <w:spacing w:line="360" w:lineRule="auto"/>
        <w:jc w:val="center"/>
        <w:rPr>
          <w:b/>
          <w:bCs/>
          <w:color w:val="000000"/>
          <w:sz w:val="24"/>
          <w:szCs w:val="24"/>
        </w:rPr>
      </w:pPr>
    </w:p>
    <w:p w:rsidR="00630820" w:rsidRDefault="00630820">
      <w:pPr>
        <w:spacing w:line="360" w:lineRule="auto"/>
        <w:jc w:val="center"/>
        <w:rPr>
          <w:b/>
          <w:bCs/>
          <w:color w:val="000000"/>
          <w:sz w:val="24"/>
          <w:szCs w:val="24"/>
        </w:rPr>
      </w:pPr>
    </w:p>
    <w:p w:rsidR="00630820" w:rsidRDefault="00630820">
      <w:pPr>
        <w:spacing w:line="360" w:lineRule="auto"/>
        <w:jc w:val="center"/>
        <w:rPr>
          <w:b/>
          <w:bCs/>
          <w:color w:val="000000"/>
          <w:sz w:val="24"/>
          <w:szCs w:val="24"/>
        </w:rPr>
      </w:pPr>
    </w:p>
    <w:p w:rsidR="00630820" w:rsidRDefault="00630820">
      <w:pPr>
        <w:spacing w:line="360" w:lineRule="auto"/>
        <w:jc w:val="center"/>
        <w:rPr>
          <w:b/>
          <w:bCs/>
          <w:color w:val="000000"/>
          <w:sz w:val="24"/>
          <w:szCs w:val="24"/>
        </w:rPr>
      </w:pPr>
    </w:p>
    <w:p w:rsidR="00630820" w:rsidRDefault="00630820">
      <w:pPr>
        <w:spacing w:line="360" w:lineRule="auto"/>
        <w:jc w:val="center"/>
        <w:rPr>
          <w:b/>
          <w:bCs/>
          <w:color w:val="000000"/>
          <w:sz w:val="24"/>
          <w:szCs w:val="24"/>
        </w:rPr>
      </w:pPr>
    </w:p>
    <w:p w:rsidR="00630820" w:rsidRDefault="00630820">
      <w:pPr>
        <w:spacing w:line="360" w:lineRule="auto"/>
        <w:jc w:val="center"/>
        <w:rPr>
          <w:b/>
          <w:bCs/>
          <w:color w:val="000000"/>
          <w:sz w:val="24"/>
          <w:szCs w:val="24"/>
        </w:rPr>
      </w:pPr>
    </w:p>
    <w:p w:rsidR="00630820" w:rsidRDefault="00630820">
      <w:pPr>
        <w:spacing w:line="360" w:lineRule="auto"/>
        <w:jc w:val="center"/>
        <w:rPr>
          <w:b/>
          <w:bCs/>
          <w:color w:val="000000"/>
          <w:sz w:val="24"/>
          <w:szCs w:val="24"/>
        </w:rPr>
      </w:pPr>
    </w:p>
    <w:p w:rsidR="00630820" w:rsidRDefault="00630820">
      <w:pPr>
        <w:spacing w:line="360" w:lineRule="auto"/>
        <w:jc w:val="center"/>
        <w:rPr>
          <w:b/>
          <w:bCs/>
          <w:color w:val="000000"/>
          <w:sz w:val="24"/>
          <w:szCs w:val="24"/>
        </w:rPr>
      </w:pPr>
    </w:p>
    <w:p w:rsidR="00630820" w:rsidRDefault="00630820">
      <w:pPr>
        <w:spacing w:line="360" w:lineRule="auto"/>
        <w:jc w:val="center"/>
        <w:rPr>
          <w:b/>
          <w:bCs/>
          <w:color w:val="000000"/>
          <w:sz w:val="24"/>
          <w:szCs w:val="24"/>
        </w:rPr>
      </w:pPr>
    </w:p>
    <w:p w:rsidR="00630820" w:rsidRDefault="00630820">
      <w:pPr>
        <w:spacing w:line="360" w:lineRule="auto"/>
        <w:jc w:val="center"/>
        <w:rPr>
          <w:b/>
          <w:bCs/>
          <w:color w:val="000000"/>
          <w:sz w:val="24"/>
          <w:szCs w:val="24"/>
        </w:rPr>
      </w:pPr>
    </w:p>
    <w:p w:rsidR="00630820" w:rsidRDefault="00630820">
      <w:pPr>
        <w:spacing w:line="360" w:lineRule="auto"/>
        <w:jc w:val="center"/>
        <w:rPr>
          <w:b/>
          <w:bCs/>
          <w:color w:val="000000"/>
          <w:sz w:val="24"/>
          <w:szCs w:val="24"/>
        </w:rPr>
      </w:pPr>
    </w:p>
    <w:p w:rsidR="00630820" w:rsidRDefault="00630820">
      <w:pPr>
        <w:spacing w:line="360" w:lineRule="auto"/>
        <w:jc w:val="center"/>
        <w:rPr>
          <w:b/>
          <w:bCs/>
          <w:color w:val="000000"/>
          <w:sz w:val="24"/>
          <w:szCs w:val="24"/>
        </w:rPr>
      </w:pPr>
    </w:p>
    <w:p w:rsidR="00630820" w:rsidRDefault="00630820">
      <w:pPr>
        <w:spacing w:line="360" w:lineRule="auto"/>
        <w:rPr>
          <w:b/>
          <w:bCs/>
          <w:color w:val="000000"/>
          <w:sz w:val="24"/>
          <w:szCs w:val="24"/>
        </w:rPr>
      </w:pPr>
    </w:p>
    <w:p w:rsidR="00630820" w:rsidRDefault="009F35F0">
      <w:pPr>
        <w:spacing w:line="360" w:lineRule="auto"/>
        <w:ind w:firstLineChars="900" w:firstLine="2168"/>
        <w:rPr>
          <w:b/>
          <w:color w:val="000000"/>
          <w:sz w:val="24"/>
          <w:szCs w:val="24"/>
        </w:rPr>
      </w:pPr>
      <w:r>
        <w:rPr>
          <w:b/>
          <w:color w:val="000000"/>
          <w:sz w:val="24"/>
          <w:szCs w:val="24"/>
        </w:rPr>
        <w:t>基金管理人：中银基金管理有限公司</w:t>
      </w:r>
    </w:p>
    <w:p w:rsidR="00630820" w:rsidRDefault="009F35F0">
      <w:pPr>
        <w:spacing w:line="360" w:lineRule="auto"/>
        <w:ind w:firstLineChars="900" w:firstLine="2168"/>
        <w:rPr>
          <w:b/>
          <w:color w:val="000000"/>
          <w:sz w:val="24"/>
          <w:szCs w:val="24"/>
        </w:rPr>
      </w:pPr>
      <w:r>
        <w:rPr>
          <w:b/>
          <w:color w:val="000000"/>
          <w:sz w:val="24"/>
          <w:szCs w:val="24"/>
        </w:rPr>
        <w:t>基金托管人：上海浦东发展银行股份有限公司</w:t>
      </w:r>
    </w:p>
    <w:p w:rsidR="00630820" w:rsidRDefault="009F35F0">
      <w:pPr>
        <w:spacing w:line="360" w:lineRule="auto"/>
        <w:ind w:firstLineChars="900" w:firstLine="2168"/>
        <w:rPr>
          <w:b/>
          <w:color w:val="000000"/>
          <w:sz w:val="24"/>
          <w:szCs w:val="24"/>
        </w:rPr>
        <w:sectPr w:rsidR="00630820">
          <w:headerReference w:type="default" r:id="rId7"/>
          <w:footerReference w:type="default" r:id="rId8"/>
          <w:pgSz w:w="11926" w:h="15840"/>
          <w:pgMar w:top="1418" w:right="1418" w:bottom="851" w:left="1418" w:header="851" w:footer="992" w:gutter="0"/>
          <w:cols w:space="720"/>
        </w:sectPr>
      </w:pPr>
      <w:r>
        <w:rPr>
          <w:b/>
          <w:color w:val="000000"/>
          <w:sz w:val="24"/>
          <w:szCs w:val="24"/>
        </w:rPr>
        <w:t>报告送出日期：二〇一八年七月十九日</w:t>
      </w:r>
    </w:p>
    <w:p w:rsidR="00630820" w:rsidRDefault="009F35F0">
      <w:pPr>
        <w:pStyle w:val="1"/>
        <w:spacing w:before="0" w:after="0" w:line="360" w:lineRule="auto"/>
        <w:jc w:val="center"/>
        <w:rPr>
          <w:b w:val="0"/>
          <w:bCs w:val="0"/>
          <w:color w:val="000000"/>
          <w:kern w:val="0"/>
          <w:sz w:val="24"/>
          <w:szCs w:val="24"/>
        </w:rPr>
      </w:pPr>
      <w:r>
        <w:rPr>
          <w:color w:val="000000"/>
          <w:kern w:val="0"/>
          <w:sz w:val="24"/>
          <w:szCs w:val="24"/>
        </w:rPr>
        <w:lastRenderedPageBreak/>
        <w:t xml:space="preserve">§1  </w:t>
      </w:r>
      <w:r>
        <w:rPr>
          <w:color w:val="000000"/>
          <w:kern w:val="0"/>
          <w:sz w:val="24"/>
          <w:szCs w:val="24"/>
        </w:rPr>
        <w:t>重要提示</w:t>
      </w:r>
    </w:p>
    <w:p w:rsidR="00630820" w:rsidRDefault="009F35F0">
      <w:pPr>
        <w:spacing w:line="360" w:lineRule="auto"/>
        <w:ind w:firstLineChars="200" w:firstLine="420"/>
        <w:rPr>
          <w:color w:val="000000"/>
        </w:rPr>
      </w:pPr>
      <w:r>
        <w:rPr>
          <w:color w:val="000000"/>
        </w:rPr>
        <w:t>基金管理人的董事会及董事保证本报告所载资料不存在虚假记载、误导性陈述或重大遗漏，并对其内容的真实性、准确性和完整性承担个别及连带责任。</w:t>
      </w:r>
      <w:r>
        <w:rPr>
          <w:color w:val="000000"/>
        </w:rPr>
        <w:t xml:space="preserve"> </w:t>
      </w:r>
    </w:p>
    <w:p w:rsidR="00630820" w:rsidRDefault="009F35F0">
      <w:pPr>
        <w:spacing w:line="360" w:lineRule="auto"/>
        <w:ind w:firstLineChars="200" w:firstLine="420"/>
        <w:rPr>
          <w:color w:val="000000"/>
        </w:rPr>
      </w:pPr>
      <w:r>
        <w:rPr>
          <w:color w:val="000000"/>
        </w:rPr>
        <w:t>基金托管人上海浦东发展银行股份有限公司根据本基金合同规定，于</w:t>
      </w:r>
      <w:r>
        <w:rPr>
          <w:color w:val="000000"/>
        </w:rPr>
        <w:t>2018</w:t>
      </w:r>
      <w:r>
        <w:rPr>
          <w:color w:val="000000"/>
        </w:rPr>
        <w:t>年</w:t>
      </w:r>
      <w:r>
        <w:rPr>
          <w:color w:val="000000"/>
        </w:rPr>
        <w:t>7</w:t>
      </w:r>
      <w:r>
        <w:rPr>
          <w:color w:val="000000"/>
        </w:rPr>
        <w:t>月</w:t>
      </w:r>
      <w:r>
        <w:rPr>
          <w:color w:val="000000"/>
        </w:rPr>
        <w:t>18</w:t>
      </w:r>
      <w:r>
        <w:rPr>
          <w:color w:val="000000"/>
        </w:rPr>
        <w:t>日复核了本报告中的财务指标、净值表现和投资组合报告等内容，保证复核内容不存在虚假记载、误导性陈述或者重大遗漏。</w:t>
      </w:r>
      <w:r>
        <w:rPr>
          <w:color w:val="000000"/>
        </w:rPr>
        <w:t xml:space="preserve"> </w:t>
      </w:r>
    </w:p>
    <w:p w:rsidR="00630820" w:rsidRDefault="009F35F0">
      <w:pPr>
        <w:spacing w:line="360" w:lineRule="auto"/>
        <w:ind w:firstLineChars="200" w:firstLine="420"/>
        <w:rPr>
          <w:color w:val="000000"/>
        </w:rPr>
      </w:pPr>
      <w:r>
        <w:rPr>
          <w:color w:val="000000"/>
        </w:rPr>
        <w:t>基金管理人承诺以诚实信用、勤勉尽责的原则管理和运用基金资产，但不保证基金一定盈利。</w:t>
      </w:r>
      <w:r>
        <w:rPr>
          <w:color w:val="000000"/>
        </w:rPr>
        <w:t xml:space="preserve"> </w:t>
      </w:r>
    </w:p>
    <w:p w:rsidR="00630820" w:rsidRDefault="009F35F0">
      <w:pPr>
        <w:spacing w:line="360" w:lineRule="auto"/>
        <w:ind w:firstLineChars="200" w:firstLine="420"/>
        <w:rPr>
          <w:color w:val="000000"/>
        </w:rPr>
      </w:pPr>
      <w:r>
        <w:rPr>
          <w:color w:val="000000"/>
        </w:rPr>
        <w:t>基金的过往业绩并不代表其未来表现。投资有风</w:t>
      </w:r>
      <w:r>
        <w:rPr>
          <w:color w:val="000000"/>
        </w:rPr>
        <w:t>险，投资者在作出投资决策前应仔细阅读本基金的招募说明书。</w:t>
      </w:r>
      <w:r>
        <w:rPr>
          <w:color w:val="000000"/>
        </w:rPr>
        <w:t xml:space="preserve"> </w:t>
      </w:r>
    </w:p>
    <w:p w:rsidR="00630820" w:rsidRDefault="009F35F0">
      <w:pPr>
        <w:spacing w:line="360" w:lineRule="auto"/>
        <w:ind w:firstLineChars="200" w:firstLine="420"/>
        <w:rPr>
          <w:color w:val="000000"/>
        </w:rPr>
      </w:pPr>
      <w:r>
        <w:rPr>
          <w:color w:val="000000"/>
        </w:rPr>
        <w:t>本报告中财务资料未经审计。</w:t>
      </w:r>
    </w:p>
    <w:p w:rsidR="00630820" w:rsidRDefault="009F35F0">
      <w:pPr>
        <w:spacing w:line="360" w:lineRule="auto"/>
        <w:ind w:firstLineChars="200" w:firstLine="420"/>
        <w:rPr>
          <w:color w:val="000000"/>
        </w:rPr>
      </w:pPr>
      <w:r>
        <w:rPr>
          <w:color w:val="000000"/>
        </w:rPr>
        <w:t>本报告期自</w:t>
      </w:r>
      <w:r>
        <w:rPr>
          <w:color w:val="000000"/>
        </w:rPr>
        <w:t>2018</w:t>
      </w:r>
      <w:r>
        <w:rPr>
          <w:color w:val="000000"/>
        </w:rPr>
        <w:t>年</w:t>
      </w:r>
      <w:r>
        <w:rPr>
          <w:color w:val="000000"/>
        </w:rPr>
        <w:t>4</w:t>
      </w:r>
      <w:r>
        <w:rPr>
          <w:color w:val="000000"/>
        </w:rPr>
        <w:t>月</w:t>
      </w:r>
      <w:r>
        <w:rPr>
          <w:color w:val="000000"/>
        </w:rPr>
        <w:t>1</w:t>
      </w:r>
      <w:r>
        <w:rPr>
          <w:color w:val="000000"/>
        </w:rPr>
        <w:t>日起至</w:t>
      </w:r>
      <w:r>
        <w:rPr>
          <w:color w:val="000000"/>
        </w:rPr>
        <w:t>6</w:t>
      </w:r>
      <w:r>
        <w:rPr>
          <w:color w:val="000000"/>
        </w:rPr>
        <w:t>月</w:t>
      </w:r>
      <w:r>
        <w:rPr>
          <w:color w:val="000000"/>
        </w:rPr>
        <w:t>30</w:t>
      </w:r>
      <w:r>
        <w:rPr>
          <w:color w:val="000000"/>
        </w:rPr>
        <w:t>日止。</w:t>
      </w:r>
    </w:p>
    <w:p w:rsidR="00630820" w:rsidRDefault="009F35F0">
      <w:pPr>
        <w:pStyle w:val="1"/>
        <w:spacing w:before="0" w:after="0" w:line="360" w:lineRule="auto"/>
        <w:jc w:val="center"/>
        <w:rPr>
          <w:color w:val="000000"/>
          <w:kern w:val="0"/>
          <w:sz w:val="24"/>
          <w:szCs w:val="24"/>
        </w:rPr>
      </w:pPr>
      <w:r>
        <w:rPr>
          <w:color w:val="000000"/>
          <w:kern w:val="0"/>
          <w:sz w:val="24"/>
          <w:szCs w:val="24"/>
        </w:rPr>
        <w:t xml:space="preserve">§2  </w:t>
      </w:r>
      <w:r>
        <w:rPr>
          <w:color w:val="000000"/>
          <w:kern w:val="0"/>
          <w:sz w:val="24"/>
          <w:szCs w:val="24"/>
        </w:rPr>
        <w:t>基金产品概况</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5670"/>
      </w:tblGrid>
      <w:tr w:rsidR="00630820">
        <w:tc>
          <w:tcPr>
            <w:tcW w:w="2835" w:type="dxa"/>
          </w:tcPr>
          <w:p w:rsidR="00630820" w:rsidRDefault="009F35F0">
            <w:pPr>
              <w:adjustRightInd w:val="0"/>
              <w:spacing w:before="29"/>
              <w:ind w:left="17"/>
              <w:jc w:val="left"/>
              <w:rPr>
                <w:kern w:val="0"/>
              </w:rPr>
            </w:pPr>
            <w:r>
              <w:rPr>
                <w:kern w:val="0"/>
              </w:rPr>
              <w:t>基金简称</w:t>
            </w:r>
          </w:p>
        </w:tc>
        <w:tc>
          <w:tcPr>
            <w:tcW w:w="5670" w:type="dxa"/>
          </w:tcPr>
          <w:p w:rsidR="00630820" w:rsidRDefault="009F35F0">
            <w:pPr>
              <w:adjustRightInd w:val="0"/>
              <w:spacing w:before="29"/>
              <w:ind w:left="17"/>
              <w:jc w:val="left"/>
              <w:rPr>
                <w:color w:val="000000"/>
                <w:kern w:val="0"/>
              </w:rPr>
            </w:pPr>
            <w:r>
              <w:rPr>
                <w:color w:val="000000"/>
                <w:kern w:val="0"/>
              </w:rPr>
              <w:t>中银尊享半年定期开放债券</w:t>
            </w:r>
          </w:p>
        </w:tc>
      </w:tr>
      <w:tr w:rsidR="00630820">
        <w:tc>
          <w:tcPr>
            <w:tcW w:w="2835" w:type="dxa"/>
            <w:tcBorders>
              <w:top w:val="single" w:sz="4" w:space="0" w:color="auto"/>
              <w:left w:val="single" w:sz="4" w:space="0" w:color="auto"/>
              <w:bottom w:val="single" w:sz="4" w:space="0" w:color="auto"/>
              <w:right w:val="single" w:sz="4" w:space="0" w:color="auto"/>
            </w:tcBorders>
          </w:tcPr>
          <w:p w:rsidR="00630820" w:rsidRDefault="009F35F0">
            <w:pPr>
              <w:adjustRightInd w:val="0"/>
              <w:spacing w:before="29"/>
              <w:ind w:left="17"/>
              <w:jc w:val="left"/>
              <w:rPr>
                <w:kern w:val="0"/>
              </w:rPr>
            </w:pPr>
            <w:r>
              <w:rPr>
                <w:kern w:val="0"/>
              </w:rPr>
              <w:t>基金主代码</w:t>
            </w:r>
          </w:p>
        </w:tc>
        <w:tc>
          <w:tcPr>
            <w:tcW w:w="5670" w:type="dxa"/>
            <w:tcBorders>
              <w:top w:val="single" w:sz="4" w:space="0" w:color="auto"/>
              <w:left w:val="single" w:sz="4" w:space="0" w:color="auto"/>
              <w:bottom w:val="single" w:sz="4" w:space="0" w:color="auto"/>
              <w:right w:val="single" w:sz="4" w:space="0" w:color="auto"/>
            </w:tcBorders>
          </w:tcPr>
          <w:p w:rsidR="00630820" w:rsidRDefault="009F35F0">
            <w:pPr>
              <w:adjustRightInd w:val="0"/>
              <w:spacing w:before="29"/>
              <w:ind w:left="17"/>
              <w:jc w:val="left"/>
              <w:rPr>
                <w:color w:val="000000"/>
                <w:kern w:val="0"/>
              </w:rPr>
            </w:pPr>
            <w:r>
              <w:rPr>
                <w:color w:val="000000"/>
                <w:kern w:val="0"/>
              </w:rPr>
              <w:t>002916</w:t>
            </w:r>
          </w:p>
        </w:tc>
      </w:tr>
      <w:tr w:rsidR="00630820">
        <w:tc>
          <w:tcPr>
            <w:tcW w:w="2835" w:type="dxa"/>
            <w:tcBorders>
              <w:top w:val="single" w:sz="4" w:space="0" w:color="auto"/>
              <w:left w:val="single" w:sz="4" w:space="0" w:color="auto"/>
              <w:bottom w:val="single" w:sz="4" w:space="0" w:color="auto"/>
              <w:right w:val="single" w:sz="4" w:space="0" w:color="auto"/>
            </w:tcBorders>
          </w:tcPr>
          <w:p w:rsidR="00630820" w:rsidRDefault="009F35F0">
            <w:pPr>
              <w:adjustRightInd w:val="0"/>
              <w:spacing w:before="29"/>
              <w:ind w:left="17"/>
              <w:jc w:val="left"/>
              <w:rPr>
                <w:kern w:val="0"/>
              </w:rPr>
            </w:pPr>
            <w:r>
              <w:rPr>
                <w:kern w:val="0"/>
              </w:rPr>
              <w:t>交易代码</w:t>
            </w:r>
          </w:p>
        </w:tc>
        <w:tc>
          <w:tcPr>
            <w:tcW w:w="5670" w:type="dxa"/>
            <w:tcBorders>
              <w:top w:val="single" w:sz="4" w:space="0" w:color="auto"/>
              <w:left w:val="single" w:sz="4" w:space="0" w:color="auto"/>
              <w:bottom w:val="single" w:sz="4" w:space="0" w:color="auto"/>
              <w:right w:val="single" w:sz="4" w:space="0" w:color="auto"/>
            </w:tcBorders>
          </w:tcPr>
          <w:p w:rsidR="00630820" w:rsidRDefault="009F35F0">
            <w:pPr>
              <w:adjustRightInd w:val="0"/>
              <w:spacing w:before="29"/>
              <w:ind w:left="17"/>
              <w:jc w:val="left"/>
              <w:rPr>
                <w:color w:val="000000"/>
                <w:kern w:val="0"/>
              </w:rPr>
            </w:pPr>
            <w:r>
              <w:rPr>
                <w:kern w:val="0"/>
              </w:rPr>
              <w:t>002916</w:t>
            </w:r>
          </w:p>
        </w:tc>
      </w:tr>
      <w:tr w:rsidR="00630820">
        <w:tc>
          <w:tcPr>
            <w:tcW w:w="2835" w:type="dxa"/>
          </w:tcPr>
          <w:p w:rsidR="00630820" w:rsidRDefault="009F35F0">
            <w:pPr>
              <w:adjustRightInd w:val="0"/>
              <w:spacing w:before="29"/>
              <w:ind w:left="17"/>
              <w:jc w:val="left"/>
            </w:pPr>
            <w:r>
              <w:rPr>
                <w:kern w:val="0"/>
              </w:rPr>
              <w:t>基金运作方式</w:t>
            </w:r>
          </w:p>
        </w:tc>
        <w:tc>
          <w:tcPr>
            <w:tcW w:w="5670" w:type="dxa"/>
          </w:tcPr>
          <w:p w:rsidR="00630820" w:rsidRDefault="009F35F0">
            <w:pPr>
              <w:adjustRightInd w:val="0"/>
              <w:spacing w:before="29"/>
              <w:ind w:left="17"/>
              <w:jc w:val="left"/>
              <w:rPr>
                <w:color w:val="000000"/>
              </w:rPr>
            </w:pPr>
            <w:r>
              <w:rPr>
                <w:color w:val="000000"/>
                <w:kern w:val="0"/>
              </w:rPr>
              <w:t>契约型、定期开放式</w:t>
            </w:r>
          </w:p>
        </w:tc>
      </w:tr>
      <w:tr w:rsidR="00630820">
        <w:tc>
          <w:tcPr>
            <w:tcW w:w="2835" w:type="dxa"/>
          </w:tcPr>
          <w:p w:rsidR="00630820" w:rsidRDefault="009F35F0">
            <w:pPr>
              <w:adjustRightInd w:val="0"/>
              <w:spacing w:before="29"/>
              <w:ind w:left="17"/>
              <w:jc w:val="left"/>
            </w:pPr>
            <w:r>
              <w:rPr>
                <w:kern w:val="0"/>
              </w:rPr>
              <w:t>基金合同生效日</w:t>
            </w:r>
          </w:p>
        </w:tc>
        <w:tc>
          <w:tcPr>
            <w:tcW w:w="5670" w:type="dxa"/>
          </w:tcPr>
          <w:p w:rsidR="00630820" w:rsidRDefault="009F35F0">
            <w:pPr>
              <w:adjustRightInd w:val="0"/>
              <w:spacing w:before="29"/>
              <w:ind w:left="17"/>
              <w:jc w:val="left"/>
              <w:rPr>
                <w:color w:val="000000"/>
              </w:rPr>
            </w:pPr>
            <w:r>
              <w:rPr>
                <w:color w:val="000000"/>
                <w:kern w:val="0"/>
              </w:rPr>
              <w:t>2016</w:t>
            </w:r>
            <w:r>
              <w:rPr>
                <w:color w:val="000000"/>
                <w:kern w:val="0"/>
              </w:rPr>
              <w:t>年</w:t>
            </w:r>
            <w:r>
              <w:rPr>
                <w:color w:val="000000"/>
                <w:kern w:val="0"/>
              </w:rPr>
              <w:t>8</w:t>
            </w:r>
            <w:r>
              <w:rPr>
                <w:color w:val="000000"/>
                <w:kern w:val="0"/>
              </w:rPr>
              <w:t>月</w:t>
            </w:r>
            <w:r>
              <w:rPr>
                <w:color w:val="000000"/>
                <w:kern w:val="0"/>
              </w:rPr>
              <w:t>24</w:t>
            </w:r>
            <w:r>
              <w:rPr>
                <w:color w:val="000000"/>
                <w:kern w:val="0"/>
              </w:rPr>
              <w:t>日</w:t>
            </w:r>
          </w:p>
        </w:tc>
      </w:tr>
      <w:tr w:rsidR="00630820">
        <w:tc>
          <w:tcPr>
            <w:tcW w:w="2835" w:type="dxa"/>
          </w:tcPr>
          <w:p w:rsidR="00630820" w:rsidRDefault="009F35F0">
            <w:pPr>
              <w:adjustRightInd w:val="0"/>
              <w:spacing w:before="29"/>
              <w:ind w:left="17"/>
              <w:jc w:val="left"/>
            </w:pPr>
            <w:r>
              <w:rPr>
                <w:kern w:val="0"/>
              </w:rPr>
              <w:t>报告期末基金份额总额</w:t>
            </w:r>
          </w:p>
        </w:tc>
        <w:tc>
          <w:tcPr>
            <w:tcW w:w="5670" w:type="dxa"/>
          </w:tcPr>
          <w:p w:rsidR="00630820" w:rsidRDefault="009F35F0">
            <w:pPr>
              <w:adjustRightInd w:val="0"/>
              <w:spacing w:before="29"/>
              <w:ind w:left="17"/>
              <w:jc w:val="left"/>
              <w:rPr>
                <w:color w:val="000000"/>
              </w:rPr>
            </w:pPr>
            <w:r>
              <w:rPr>
                <w:color w:val="000000"/>
                <w:kern w:val="0"/>
              </w:rPr>
              <w:t>1,226,167.92</w:t>
            </w:r>
            <w:r>
              <w:rPr>
                <w:color w:val="000000"/>
                <w:kern w:val="0"/>
              </w:rPr>
              <w:t>份</w:t>
            </w:r>
          </w:p>
        </w:tc>
      </w:tr>
      <w:tr w:rsidR="00630820">
        <w:tc>
          <w:tcPr>
            <w:tcW w:w="2835" w:type="dxa"/>
          </w:tcPr>
          <w:p w:rsidR="00630820" w:rsidRDefault="009F35F0">
            <w:pPr>
              <w:adjustRightInd w:val="0"/>
              <w:spacing w:before="29"/>
              <w:ind w:left="17"/>
              <w:jc w:val="left"/>
            </w:pPr>
            <w:r>
              <w:rPr>
                <w:kern w:val="0"/>
              </w:rPr>
              <w:t>投资目标</w:t>
            </w:r>
          </w:p>
        </w:tc>
        <w:tc>
          <w:tcPr>
            <w:tcW w:w="5670" w:type="dxa"/>
          </w:tcPr>
          <w:p w:rsidR="00630820" w:rsidRDefault="009F35F0">
            <w:pPr>
              <w:adjustRightInd w:val="0"/>
              <w:spacing w:before="29"/>
              <w:ind w:left="17"/>
              <w:jc w:val="left"/>
              <w:rPr>
                <w:color w:val="000000"/>
              </w:rPr>
            </w:pPr>
            <w:r>
              <w:rPr>
                <w:color w:val="000000"/>
                <w:kern w:val="0"/>
              </w:rPr>
              <w:t>本基金在追求基金资产长期稳健增值的基础上，力争为基金份额持有人创造超越业绩比较基准的稳定收益。</w:t>
            </w:r>
          </w:p>
        </w:tc>
      </w:tr>
      <w:tr w:rsidR="00630820">
        <w:tc>
          <w:tcPr>
            <w:tcW w:w="2835" w:type="dxa"/>
          </w:tcPr>
          <w:p w:rsidR="00630820" w:rsidRDefault="009F35F0">
            <w:pPr>
              <w:adjustRightInd w:val="0"/>
              <w:spacing w:before="29"/>
              <w:ind w:left="17"/>
              <w:jc w:val="left"/>
            </w:pPr>
            <w:r>
              <w:rPr>
                <w:kern w:val="0"/>
              </w:rPr>
              <w:t>投资策略</w:t>
            </w:r>
          </w:p>
        </w:tc>
        <w:tc>
          <w:tcPr>
            <w:tcW w:w="5670" w:type="dxa"/>
          </w:tcPr>
          <w:p w:rsidR="00630820" w:rsidRDefault="009F35F0">
            <w:pPr>
              <w:adjustRightInd w:val="0"/>
              <w:spacing w:before="29"/>
              <w:ind w:left="17"/>
              <w:jc w:val="left"/>
              <w:rPr>
                <w:color w:val="000000"/>
              </w:rPr>
            </w:pPr>
            <w:r>
              <w:rPr>
                <w:color w:val="000000"/>
                <w:kern w:val="0"/>
              </w:rPr>
              <w:t>本基金根据对宏观经济趋势的动态分析，结合定性分析和定量分析的方法，在限定投资范围内，决定债券类资产、权益类资产和现金类资产的配置比例，并跟踪影响资产配置策略的各种因素的变化，定期或不定期对大类资产配置比例进行调整。在充分论证债券市场宏观环境和仔细分析利率走势基础上，依次通过久期配置策略、期限结构配置策略、类属配置策略、信用债券投资策略、中小企业私募债券投资策略以及自下而上精选潜力股票等完成组合构建。本基金在整个投资决策过程中将认真遵守投资纪律并有效管理投资风险。</w:t>
            </w:r>
          </w:p>
        </w:tc>
      </w:tr>
      <w:tr w:rsidR="00630820">
        <w:tc>
          <w:tcPr>
            <w:tcW w:w="2835" w:type="dxa"/>
          </w:tcPr>
          <w:p w:rsidR="00630820" w:rsidRDefault="009F35F0">
            <w:pPr>
              <w:adjustRightInd w:val="0"/>
              <w:spacing w:before="29"/>
              <w:ind w:left="17"/>
              <w:jc w:val="left"/>
            </w:pPr>
            <w:r>
              <w:rPr>
                <w:kern w:val="0"/>
              </w:rPr>
              <w:t>业绩比较基准</w:t>
            </w:r>
          </w:p>
        </w:tc>
        <w:tc>
          <w:tcPr>
            <w:tcW w:w="5670" w:type="dxa"/>
          </w:tcPr>
          <w:p w:rsidR="00630820" w:rsidRDefault="009F35F0">
            <w:pPr>
              <w:adjustRightInd w:val="0"/>
              <w:spacing w:before="29"/>
              <w:ind w:left="17"/>
              <w:jc w:val="left"/>
              <w:rPr>
                <w:color w:val="000000"/>
              </w:rPr>
            </w:pPr>
            <w:r>
              <w:rPr>
                <w:color w:val="000000"/>
                <w:kern w:val="0"/>
              </w:rPr>
              <w:t>中债综合全价（总值）指数收益</w:t>
            </w:r>
            <w:r>
              <w:rPr>
                <w:color w:val="000000"/>
                <w:kern w:val="0"/>
              </w:rPr>
              <w:t>率</w:t>
            </w:r>
            <w:r>
              <w:rPr>
                <w:color w:val="000000"/>
                <w:kern w:val="0"/>
              </w:rPr>
              <w:t xml:space="preserve">*90% + </w:t>
            </w:r>
            <w:r>
              <w:rPr>
                <w:color w:val="000000"/>
                <w:kern w:val="0"/>
              </w:rPr>
              <w:t>沪深</w:t>
            </w:r>
            <w:r>
              <w:rPr>
                <w:color w:val="000000"/>
                <w:kern w:val="0"/>
              </w:rPr>
              <w:t>300</w:t>
            </w:r>
            <w:r>
              <w:rPr>
                <w:color w:val="000000"/>
                <w:kern w:val="0"/>
              </w:rPr>
              <w:t>指数收益率</w:t>
            </w:r>
            <w:r>
              <w:rPr>
                <w:color w:val="000000"/>
                <w:kern w:val="0"/>
              </w:rPr>
              <w:t>*10%</w:t>
            </w:r>
            <w:r>
              <w:rPr>
                <w:color w:val="000000"/>
                <w:kern w:val="0"/>
              </w:rPr>
              <w:t>。</w:t>
            </w:r>
          </w:p>
        </w:tc>
      </w:tr>
      <w:tr w:rsidR="00630820">
        <w:tc>
          <w:tcPr>
            <w:tcW w:w="2835" w:type="dxa"/>
          </w:tcPr>
          <w:p w:rsidR="00630820" w:rsidRDefault="009F35F0">
            <w:pPr>
              <w:adjustRightInd w:val="0"/>
              <w:spacing w:before="29"/>
              <w:ind w:left="17"/>
              <w:jc w:val="left"/>
            </w:pPr>
            <w:r>
              <w:rPr>
                <w:kern w:val="0"/>
              </w:rPr>
              <w:t>风险收益特征</w:t>
            </w:r>
          </w:p>
        </w:tc>
        <w:tc>
          <w:tcPr>
            <w:tcW w:w="5670" w:type="dxa"/>
          </w:tcPr>
          <w:p w:rsidR="00630820" w:rsidRDefault="009F35F0">
            <w:pPr>
              <w:adjustRightInd w:val="0"/>
              <w:spacing w:before="29"/>
              <w:ind w:left="17"/>
              <w:jc w:val="left"/>
              <w:rPr>
                <w:color w:val="000000"/>
              </w:rPr>
            </w:pPr>
            <w:r>
              <w:rPr>
                <w:color w:val="000000"/>
                <w:kern w:val="0"/>
              </w:rPr>
              <w:t>本基金为债券型基金，属于证投资中的较低风险品种，本基金的预期收益和预期风险高于货币市场基金，低于混合型基金和股票型基金。</w:t>
            </w:r>
          </w:p>
        </w:tc>
      </w:tr>
      <w:tr w:rsidR="00630820">
        <w:tc>
          <w:tcPr>
            <w:tcW w:w="2835" w:type="dxa"/>
          </w:tcPr>
          <w:p w:rsidR="00630820" w:rsidRDefault="009F35F0">
            <w:pPr>
              <w:adjustRightInd w:val="0"/>
              <w:spacing w:before="29"/>
              <w:ind w:left="17"/>
              <w:jc w:val="left"/>
            </w:pPr>
            <w:r>
              <w:rPr>
                <w:kern w:val="0"/>
              </w:rPr>
              <w:t>基金管理人</w:t>
            </w:r>
          </w:p>
        </w:tc>
        <w:tc>
          <w:tcPr>
            <w:tcW w:w="5670" w:type="dxa"/>
          </w:tcPr>
          <w:p w:rsidR="00630820" w:rsidRDefault="009F35F0">
            <w:pPr>
              <w:adjustRightInd w:val="0"/>
              <w:spacing w:before="29"/>
              <w:ind w:left="17"/>
              <w:jc w:val="left"/>
              <w:rPr>
                <w:color w:val="000000"/>
              </w:rPr>
            </w:pPr>
            <w:r>
              <w:rPr>
                <w:color w:val="000000"/>
                <w:kern w:val="0"/>
              </w:rPr>
              <w:t>中银基金管理有限公司</w:t>
            </w:r>
          </w:p>
        </w:tc>
      </w:tr>
      <w:tr w:rsidR="00630820">
        <w:tc>
          <w:tcPr>
            <w:tcW w:w="2835" w:type="dxa"/>
          </w:tcPr>
          <w:p w:rsidR="00630820" w:rsidRDefault="009F35F0">
            <w:pPr>
              <w:adjustRightInd w:val="0"/>
              <w:spacing w:before="29"/>
              <w:ind w:left="17"/>
              <w:jc w:val="left"/>
            </w:pPr>
            <w:r>
              <w:rPr>
                <w:kern w:val="0"/>
              </w:rPr>
              <w:lastRenderedPageBreak/>
              <w:t>基金托管人</w:t>
            </w:r>
          </w:p>
        </w:tc>
        <w:tc>
          <w:tcPr>
            <w:tcW w:w="5670" w:type="dxa"/>
          </w:tcPr>
          <w:p w:rsidR="00630820" w:rsidRDefault="009F35F0">
            <w:pPr>
              <w:adjustRightInd w:val="0"/>
              <w:spacing w:before="29"/>
              <w:ind w:left="17"/>
              <w:jc w:val="left"/>
              <w:rPr>
                <w:color w:val="000000"/>
              </w:rPr>
            </w:pPr>
            <w:r>
              <w:rPr>
                <w:color w:val="000000"/>
                <w:kern w:val="0"/>
              </w:rPr>
              <w:t>上海浦东发展银行股份有限公司</w:t>
            </w:r>
          </w:p>
        </w:tc>
      </w:tr>
    </w:tbl>
    <w:p w:rsidR="00630820" w:rsidRDefault="009F35F0">
      <w:pPr>
        <w:pStyle w:val="1"/>
        <w:spacing w:before="0" w:after="0" w:line="360" w:lineRule="auto"/>
        <w:jc w:val="center"/>
        <w:rPr>
          <w:color w:val="000000"/>
          <w:kern w:val="0"/>
          <w:sz w:val="24"/>
          <w:szCs w:val="24"/>
        </w:rPr>
      </w:pPr>
      <w:r>
        <w:rPr>
          <w:color w:val="000000"/>
          <w:kern w:val="0"/>
          <w:sz w:val="24"/>
          <w:szCs w:val="24"/>
        </w:rPr>
        <w:t xml:space="preserve">§3  </w:t>
      </w:r>
      <w:r>
        <w:rPr>
          <w:color w:val="000000"/>
          <w:kern w:val="0"/>
          <w:sz w:val="24"/>
          <w:szCs w:val="24"/>
        </w:rPr>
        <w:t>主要财务指标和基金净值表现</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3.1 </w:t>
      </w:r>
      <w:r>
        <w:rPr>
          <w:b/>
          <w:bCs/>
          <w:color w:val="000000"/>
          <w:kern w:val="0"/>
        </w:rPr>
        <w:t>主要财务指标</w:t>
      </w:r>
    </w:p>
    <w:p w:rsidR="00630820" w:rsidRDefault="009F35F0">
      <w:pPr>
        <w:autoSpaceDE w:val="0"/>
        <w:autoSpaceDN w:val="0"/>
        <w:adjustRightInd w:val="0"/>
        <w:spacing w:line="360" w:lineRule="auto"/>
        <w:ind w:left="15"/>
        <w:jc w:val="right"/>
        <w:rPr>
          <w:color w:val="000000"/>
          <w:kern w:val="0"/>
        </w:rPr>
      </w:pPr>
      <w:r>
        <w:rPr>
          <w:color w:val="000000"/>
          <w:kern w:val="0"/>
        </w:rPr>
        <w:t>单位：人民币元</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1"/>
        <w:gridCol w:w="5102"/>
      </w:tblGrid>
      <w:tr w:rsidR="00630820">
        <w:tc>
          <w:tcPr>
            <w:tcW w:w="3402" w:type="dxa"/>
            <w:vAlign w:val="center"/>
          </w:tcPr>
          <w:p w:rsidR="00630820" w:rsidRDefault="009F35F0">
            <w:pPr>
              <w:adjustRightInd w:val="0"/>
              <w:spacing w:before="29"/>
              <w:ind w:left="17"/>
              <w:jc w:val="center"/>
              <w:rPr>
                <w:kern w:val="0"/>
              </w:rPr>
            </w:pPr>
            <w:r>
              <w:rPr>
                <w:kern w:val="0"/>
              </w:rPr>
              <w:t>主要财务指标</w:t>
            </w:r>
          </w:p>
        </w:tc>
        <w:tc>
          <w:tcPr>
            <w:tcW w:w="5103" w:type="dxa"/>
            <w:hMerge w:val="restart"/>
            <w:vAlign w:val="center"/>
          </w:tcPr>
          <w:p w:rsidR="00630820" w:rsidRDefault="009F35F0">
            <w:pPr>
              <w:adjustRightInd w:val="0"/>
              <w:spacing w:before="29"/>
              <w:ind w:left="17"/>
              <w:jc w:val="center"/>
              <w:rPr>
                <w:color w:val="000000"/>
              </w:rPr>
            </w:pPr>
            <w:r>
              <w:rPr>
                <w:color w:val="000000"/>
              </w:rPr>
              <w:t>报告期</w:t>
            </w:r>
          </w:p>
          <w:p w:rsidR="00630820" w:rsidRDefault="009F35F0">
            <w:pPr>
              <w:adjustRightInd w:val="0"/>
              <w:spacing w:before="29"/>
              <w:ind w:left="17"/>
              <w:jc w:val="center"/>
              <w:rPr>
                <w:color w:val="000000"/>
              </w:rPr>
            </w:pPr>
            <w:r>
              <w:rPr>
                <w:color w:val="000000"/>
              </w:rPr>
              <w:t>(2018</w:t>
            </w:r>
            <w:r>
              <w:rPr>
                <w:color w:val="000000"/>
              </w:rPr>
              <w:t>年</w:t>
            </w:r>
            <w:r>
              <w:rPr>
                <w:color w:val="000000"/>
              </w:rPr>
              <w:t>4</w:t>
            </w:r>
            <w:r>
              <w:rPr>
                <w:color w:val="000000"/>
              </w:rPr>
              <w:t>月</w:t>
            </w:r>
            <w:r>
              <w:rPr>
                <w:color w:val="000000"/>
              </w:rPr>
              <w:t>1</w:t>
            </w:r>
            <w:r>
              <w:rPr>
                <w:color w:val="000000"/>
              </w:rPr>
              <w:t>日</w:t>
            </w:r>
            <w:r>
              <w:rPr>
                <w:color w:val="000000"/>
              </w:rPr>
              <w:t>-2018</w:t>
            </w:r>
            <w:r>
              <w:rPr>
                <w:color w:val="000000"/>
              </w:rPr>
              <w:t>年</w:t>
            </w:r>
            <w:r>
              <w:rPr>
                <w:color w:val="000000"/>
              </w:rPr>
              <w:t>6</w:t>
            </w:r>
            <w:r>
              <w:rPr>
                <w:color w:val="000000"/>
              </w:rPr>
              <w:t>月</w:t>
            </w:r>
            <w:r>
              <w:rPr>
                <w:color w:val="000000"/>
              </w:rPr>
              <w:t>30</w:t>
            </w:r>
            <w:r>
              <w:rPr>
                <w:color w:val="000000"/>
              </w:rPr>
              <w:t>日</w:t>
            </w:r>
            <w:r>
              <w:rPr>
                <w:color w:val="000000"/>
              </w:rPr>
              <w:t>)</w:t>
            </w:r>
          </w:p>
        </w:tc>
        <w:tc>
          <w:tcPr>
            <w:tcW w:w="2409" w:type="dxa"/>
            <w:hMerge/>
            <w:vAlign w:val="center"/>
          </w:tcPr>
          <w:p w:rsidR="00630820" w:rsidRDefault="009F35F0">
            <w:pPr>
              <w:adjustRightInd w:val="0"/>
              <w:spacing w:before="29"/>
              <w:ind w:left="17"/>
              <w:jc w:val="center"/>
              <w:rPr>
                <w:color w:val="000000"/>
              </w:rPr>
            </w:pPr>
            <w:r>
              <w:rPr>
                <w:color w:val="000000"/>
              </w:rPr>
              <w:t>上期金额</w:t>
            </w:r>
          </w:p>
        </w:tc>
      </w:tr>
      <w:tr w:rsidR="00630820">
        <w:tc>
          <w:tcPr>
            <w:tcW w:w="3402" w:type="dxa"/>
            <w:vAlign w:val="center"/>
          </w:tcPr>
          <w:p w:rsidR="00630820" w:rsidRDefault="009F35F0">
            <w:pPr>
              <w:adjustRightInd w:val="0"/>
              <w:spacing w:before="29"/>
              <w:ind w:left="17"/>
              <w:rPr>
                <w:kern w:val="0"/>
              </w:rPr>
            </w:pPr>
            <w:r>
              <w:rPr>
                <w:kern w:val="0"/>
              </w:rPr>
              <w:t>1.</w:t>
            </w:r>
            <w:r>
              <w:rPr>
                <w:kern w:val="0"/>
              </w:rPr>
              <w:t>本期已实现收益</w:t>
            </w:r>
          </w:p>
        </w:tc>
        <w:tc>
          <w:tcPr>
            <w:tcW w:w="5103" w:type="dxa"/>
            <w:hMerge w:val="restart"/>
            <w:vAlign w:val="center"/>
          </w:tcPr>
          <w:p w:rsidR="00630820" w:rsidRDefault="009F35F0">
            <w:pPr>
              <w:adjustRightInd w:val="0"/>
              <w:spacing w:before="29"/>
              <w:ind w:left="17"/>
              <w:jc w:val="right"/>
              <w:rPr>
                <w:color w:val="000000"/>
              </w:rPr>
            </w:pPr>
            <w:r>
              <w:rPr>
                <w:color w:val="000000"/>
              </w:rPr>
              <w:t>166.08</w:t>
            </w:r>
          </w:p>
        </w:tc>
        <w:tc>
          <w:tcPr>
            <w:tcW w:w="2409" w:type="dxa"/>
            <w:hMerge/>
            <w:vAlign w:val="center"/>
          </w:tcPr>
          <w:p w:rsidR="00630820" w:rsidRDefault="009F35F0">
            <w:pPr>
              <w:adjustRightInd w:val="0"/>
              <w:spacing w:before="29"/>
              <w:ind w:left="17"/>
              <w:jc w:val="right"/>
              <w:rPr>
                <w:color w:val="000000"/>
              </w:rPr>
            </w:pPr>
            <w:r>
              <w:rPr>
                <w:color w:val="000000"/>
              </w:rPr>
              <w:t>-</w:t>
            </w:r>
          </w:p>
        </w:tc>
      </w:tr>
      <w:tr w:rsidR="00630820">
        <w:tc>
          <w:tcPr>
            <w:tcW w:w="3402" w:type="dxa"/>
            <w:vAlign w:val="center"/>
          </w:tcPr>
          <w:p w:rsidR="00630820" w:rsidRDefault="009F35F0">
            <w:pPr>
              <w:adjustRightInd w:val="0"/>
              <w:spacing w:before="29"/>
              <w:ind w:left="17"/>
              <w:rPr>
                <w:kern w:val="0"/>
              </w:rPr>
            </w:pPr>
            <w:r>
              <w:rPr>
                <w:kern w:val="0"/>
              </w:rPr>
              <w:t>2.</w:t>
            </w:r>
            <w:r>
              <w:rPr>
                <w:kern w:val="0"/>
              </w:rPr>
              <w:t>本期利润</w:t>
            </w:r>
          </w:p>
        </w:tc>
        <w:tc>
          <w:tcPr>
            <w:tcW w:w="5103" w:type="dxa"/>
            <w:hMerge w:val="restart"/>
            <w:vAlign w:val="center"/>
          </w:tcPr>
          <w:p w:rsidR="00630820" w:rsidRDefault="009F35F0">
            <w:pPr>
              <w:adjustRightInd w:val="0"/>
              <w:spacing w:before="29"/>
              <w:ind w:left="17"/>
              <w:jc w:val="right"/>
              <w:rPr>
                <w:color w:val="000000"/>
              </w:rPr>
            </w:pPr>
            <w:r>
              <w:rPr>
                <w:color w:val="000000"/>
              </w:rPr>
              <w:t>8,039.08</w:t>
            </w:r>
          </w:p>
        </w:tc>
        <w:tc>
          <w:tcPr>
            <w:tcW w:w="2409" w:type="dxa"/>
            <w:hMerge/>
            <w:vAlign w:val="center"/>
          </w:tcPr>
          <w:p w:rsidR="00630820" w:rsidRDefault="009F35F0">
            <w:pPr>
              <w:adjustRightInd w:val="0"/>
              <w:spacing w:before="29"/>
              <w:ind w:left="17"/>
              <w:jc w:val="right"/>
              <w:rPr>
                <w:color w:val="000000"/>
              </w:rPr>
            </w:pPr>
            <w:r>
              <w:rPr>
                <w:color w:val="000000"/>
              </w:rPr>
              <w:t>-</w:t>
            </w:r>
          </w:p>
        </w:tc>
      </w:tr>
      <w:tr w:rsidR="00630820">
        <w:tc>
          <w:tcPr>
            <w:tcW w:w="3402" w:type="dxa"/>
            <w:vAlign w:val="center"/>
          </w:tcPr>
          <w:p w:rsidR="00630820" w:rsidRDefault="009F35F0">
            <w:pPr>
              <w:adjustRightInd w:val="0"/>
              <w:spacing w:before="29"/>
              <w:ind w:left="17"/>
              <w:rPr>
                <w:kern w:val="0"/>
              </w:rPr>
            </w:pPr>
            <w:r>
              <w:rPr>
                <w:kern w:val="0"/>
              </w:rPr>
              <w:t>3.</w:t>
            </w:r>
            <w:r>
              <w:rPr>
                <w:kern w:val="0"/>
              </w:rPr>
              <w:t>加权平均基金份额本期利润</w:t>
            </w:r>
          </w:p>
        </w:tc>
        <w:tc>
          <w:tcPr>
            <w:tcW w:w="5103" w:type="dxa"/>
            <w:hMerge w:val="restart"/>
            <w:vAlign w:val="center"/>
          </w:tcPr>
          <w:p w:rsidR="00630820" w:rsidRDefault="009F35F0">
            <w:pPr>
              <w:adjustRightInd w:val="0"/>
              <w:spacing w:before="29"/>
              <w:ind w:left="17"/>
              <w:jc w:val="right"/>
              <w:rPr>
                <w:color w:val="000000"/>
              </w:rPr>
            </w:pPr>
            <w:r>
              <w:rPr>
                <w:color w:val="000000"/>
              </w:rPr>
              <w:t>0.0066</w:t>
            </w:r>
          </w:p>
        </w:tc>
        <w:tc>
          <w:tcPr>
            <w:tcW w:w="2409" w:type="dxa"/>
            <w:hMerge/>
            <w:vAlign w:val="center"/>
          </w:tcPr>
          <w:p w:rsidR="00630820" w:rsidRDefault="009F35F0">
            <w:pPr>
              <w:adjustRightInd w:val="0"/>
              <w:spacing w:before="29"/>
              <w:ind w:left="17"/>
              <w:jc w:val="right"/>
              <w:rPr>
                <w:color w:val="000000"/>
              </w:rPr>
            </w:pPr>
            <w:r>
              <w:rPr>
                <w:color w:val="000000"/>
              </w:rPr>
              <w:t>-</w:t>
            </w:r>
          </w:p>
        </w:tc>
      </w:tr>
      <w:tr w:rsidR="00630820">
        <w:tc>
          <w:tcPr>
            <w:tcW w:w="3402" w:type="dxa"/>
            <w:vAlign w:val="center"/>
          </w:tcPr>
          <w:p w:rsidR="00630820" w:rsidRDefault="009F35F0">
            <w:pPr>
              <w:adjustRightInd w:val="0"/>
              <w:spacing w:before="29"/>
              <w:ind w:left="17"/>
              <w:rPr>
                <w:kern w:val="0"/>
              </w:rPr>
            </w:pPr>
            <w:r>
              <w:rPr>
                <w:kern w:val="0"/>
              </w:rPr>
              <w:t>4.</w:t>
            </w:r>
            <w:r>
              <w:rPr>
                <w:kern w:val="0"/>
              </w:rPr>
              <w:t>期末基金资产净值</w:t>
            </w:r>
          </w:p>
        </w:tc>
        <w:tc>
          <w:tcPr>
            <w:tcW w:w="5103" w:type="dxa"/>
            <w:hMerge w:val="restart"/>
            <w:vAlign w:val="center"/>
          </w:tcPr>
          <w:p w:rsidR="00630820" w:rsidRDefault="009F35F0">
            <w:pPr>
              <w:adjustRightInd w:val="0"/>
              <w:spacing w:before="29"/>
              <w:ind w:left="17"/>
              <w:jc w:val="right"/>
              <w:rPr>
                <w:color w:val="000000"/>
              </w:rPr>
            </w:pPr>
            <w:r>
              <w:rPr>
                <w:color w:val="000000"/>
              </w:rPr>
              <w:t>1,242,231.59</w:t>
            </w:r>
          </w:p>
        </w:tc>
        <w:tc>
          <w:tcPr>
            <w:tcW w:w="2409" w:type="dxa"/>
            <w:hMerge/>
            <w:vAlign w:val="center"/>
          </w:tcPr>
          <w:p w:rsidR="00630820" w:rsidRDefault="009F35F0">
            <w:pPr>
              <w:adjustRightInd w:val="0"/>
              <w:spacing w:before="29"/>
              <w:ind w:left="17"/>
              <w:jc w:val="right"/>
              <w:rPr>
                <w:color w:val="000000"/>
              </w:rPr>
            </w:pPr>
            <w:r>
              <w:rPr>
                <w:color w:val="000000"/>
              </w:rPr>
              <w:t>-</w:t>
            </w:r>
          </w:p>
        </w:tc>
      </w:tr>
      <w:tr w:rsidR="00630820">
        <w:trPr>
          <w:trHeight w:val="158"/>
        </w:trPr>
        <w:tc>
          <w:tcPr>
            <w:tcW w:w="3402" w:type="dxa"/>
            <w:vAlign w:val="center"/>
          </w:tcPr>
          <w:p w:rsidR="00630820" w:rsidRDefault="009F35F0">
            <w:pPr>
              <w:adjustRightInd w:val="0"/>
              <w:spacing w:before="29"/>
              <w:ind w:left="17"/>
              <w:rPr>
                <w:kern w:val="0"/>
              </w:rPr>
            </w:pPr>
            <w:r>
              <w:rPr>
                <w:kern w:val="0"/>
              </w:rPr>
              <w:t>5.</w:t>
            </w:r>
            <w:r>
              <w:rPr>
                <w:kern w:val="0"/>
              </w:rPr>
              <w:t>期末基金份额净值</w:t>
            </w:r>
          </w:p>
        </w:tc>
        <w:tc>
          <w:tcPr>
            <w:tcW w:w="5103" w:type="dxa"/>
            <w:hMerge w:val="restart"/>
            <w:vAlign w:val="center"/>
          </w:tcPr>
          <w:p w:rsidR="00630820" w:rsidRDefault="009F35F0">
            <w:pPr>
              <w:adjustRightInd w:val="0"/>
              <w:spacing w:before="29"/>
              <w:ind w:left="17"/>
              <w:jc w:val="right"/>
              <w:rPr>
                <w:color w:val="000000"/>
              </w:rPr>
            </w:pPr>
            <w:r>
              <w:rPr>
                <w:color w:val="000000"/>
              </w:rPr>
              <w:t>1.0131</w:t>
            </w:r>
          </w:p>
        </w:tc>
        <w:tc>
          <w:tcPr>
            <w:tcW w:w="2409" w:type="dxa"/>
            <w:hMerge/>
            <w:vAlign w:val="center"/>
          </w:tcPr>
          <w:p w:rsidR="00630820" w:rsidRDefault="009F35F0">
            <w:pPr>
              <w:adjustRightInd w:val="0"/>
              <w:spacing w:before="29"/>
              <w:ind w:left="17"/>
              <w:jc w:val="right"/>
              <w:rPr>
                <w:color w:val="000000"/>
              </w:rPr>
            </w:pPr>
            <w:r>
              <w:rPr>
                <w:color w:val="000000"/>
              </w:rPr>
              <w:t>-</w:t>
            </w:r>
          </w:p>
        </w:tc>
      </w:tr>
    </w:tbl>
    <w:p w:rsidR="00630820" w:rsidRDefault="009F35F0">
      <w:pPr>
        <w:autoSpaceDE w:val="0"/>
        <w:autoSpaceDN w:val="0"/>
        <w:adjustRightInd w:val="0"/>
        <w:spacing w:line="360" w:lineRule="auto"/>
        <w:jc w:val="left"/>
        <w:rPr>
          <w:color w:val="000000"/>
        </w:rPr>
      </w:pPr>
      <w:r>
        <w:rPr>
          <w:color w:val="000000"/>
        </w:rPr>
        <w:t>注：</w:t>
      </w:r>
      <w:r>
        <w:rPr>
          <w:color w:val="000000"/>
        </w:rPr>
        <w:t>1</w:t>
      </w:r>
      <w:r>
        <w:rPr>
          <w:color w:val="000000"/>
        </w:rPr>
        <w:t>、本期已实现收益指基金本期利息收入、投资收益、其他收入（不含公允价值变动收益）扣除相关费用后的余额，本期利润为本期已实现收益加上本期公允价值变动收益。</w:t>
      </w:r>
    </w:p>
    <w:p w:rsidR="00630820" w:rsidRDefault="009F35F0">
      <w:pPr>
        <w:autoSpaceDE w:val="0"/>
        <w:autoSpaceDN w:val="0"/>
        <w:adjustRightInd w:val="0"/>
        <w:spacing w:line="360" w:lineRule="auto"/>
        <w:jc w:val="left"/>
        <w:rPr>
          <w:color w:val="000000"/>
        </w:rPr>
      </w:pPr>
      <w:r>
        <w:rPr>
          <w:color w:val="000000"/>
        </w:rPr>
        <w:t>2</w:t>
      </w:r>
      <w:r>
        <w:rPr>
          <w:color w:val="000000"/>
        </w:rPr>
        <w:t>、所述基金业绩指标不包括持有人认购或交易基金的各项费用，计入费用后实际收益水平要低于所列数字。</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3.2 </w:t>
      </w:r>
      <w:r>
        <w:rPr>
          <w:b/>
          <w:bCs/>
          <w:color w:val="000000"/>
          <w:kern w:val="0"/>
        </w:rPr>
        <w:t>基金净值表现</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3.2.1 </w:t>
      </w:r>
      <w:r>
        <w:rPr>
          <w:b/>
          <w:bCs/>
          <w:color w:val="000000"/>
          <w:kern w:val="0"/>
        </w:rPr>
        <w:t>本报告期基金份额净值增长率及其与同期业绩比较基准收益率的比较</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7"/>
        <w:gridCol w:w="1092"/>
        <w:gridCol w:w="1161"/>
        <w:gridCol w:w="1181"/>
        <w:gridCol w:w="1267"/>
        <w:gridCol w:w="1275"/>
        <w:gridCol w:w="1134"/>
      </w:tblGrid>
      <w:tr w:rsidR="00630820">
        <w:tc>
          <w:tcPr>
            <w:tcW w:w="1537" w:type="dxa"/>
            <w:vAlign w:val="center"/>
          </w:tcPr>
          <w:p w:rsidR="00630820" w:rsidRDefault="009F35F0">
            <w:pPr>
              <w:autoSpaceDE w:val="0"/>
              <w:autoSpaceDN w:val="0"/>
              <w:adjustRightInd w:val="0"/>
              <w:spacing w:before="29"/>
              <w:ind w:left="17"/>
              <w:jc w:val="center"/>
              <w:rPr>
                <w:color w:val="000000"/>
                <w:kern w:val="0"/>
              </w:rPr>
            </w:pPr>
            <w:r>
              <w:rPr>
                <w:color w:val="000000"/>
                <w:kern w:val="0"/>
              </w:rPr>
              <w:t>阶段</w:t>
            </w:r>
          </w:p>
        </w:tc>
        <w:tc>
          <w:tcPr>
            <w:tcW w:w="1092" w:type="dxa"/>
            <w:vAlign w:val="center"/>
          </w:tcPr>
          <w:p w:rsidR="00630820" w:rsidRDefault="009F35F0">
            <w:pPr>
              <w:autoSpaceDE w:val="0"/>
              <w:autoSpaceDN w:val="0"/>
              <w:adjustRightInd w:val="0"/>
              <w:spacing w:before="29"/>
              <w:ind w:left="17"/>
              <w:jc w:val="center"/>
              <w:rPr>
                <w:color w:val="000000"/>
                <w:kern w:val="0"/>
              </w:rPr>
            </w:pPr>
            <w:r>
              <w:rPr>
                <w:color w:val="000000"/>
                <w:kern w:val="0"/>
              </w:rPr>
              <w:t>净值增长率</w:t>
            </w:r>
            <w:r>
              <w:rPr>
                <w:rFonts w:ascii="宋体" w:hAnsi="宋体" w:cs="宋体" w:hint="eastAsia"/>
                <w:color w:val="000000"/>
                <w:kern w:val="0"/>
              </w:rPr>
              <w:t>①</w:t>
            </w:r>
          </w:p>
        </w:tc>
        <w:tc>
          <w:tcPr>
            <w:tcW w:w="1161" w:type="dxa"/>
            <w:vAlign w:val="center"/>
          </w:tcPr>
          <w:p w:rsidR="00630820" w:rsidRDefault="009F35F0">
            <w:pPr>
              <w:autoSpaceDE w:val="0"/>
              <w:autoSpaceDN w:val="0"/>
              <w:adjustRightInd w:val="0"/>
              <w:spacing w:before="29"/>
              <w:ind w:left="17"/>
              <w:jc w:val="center"/>
              <w:rPr>
                <w:color w:val="000000"/>
                <w:kern w:val="0"/>
              </w:rPr>
            </w:pPr>
            <w:r>
              <w:rPr>
                <w:color w:val="000000"/>
                <w:kern w:val="0"/>
              </w:rPr>
              <w:t>净值增长率标准差</w:t>
            </w:r>
            <w:r>
              <w:rPr>
                <w:rFonts w:ascii="宋体" w:hAnsi="宋体" w:cs="宋体" w:hint="eastAsia"/>
                <w:color w:val="000000"/>
                <w:kern w:val="0"/>
              </w:rPr>
              <w:t>②</w:t>
            </w:r>
          </w:p>
        </w:tc>
        <w:tc>
          <w:tcPr>
            <w:tcW w:w="1181" w:type="dxa"/>
            <w:vAlign w:val="center"/>
          </w:tcPr>
          <w:p w:rsidR="00630820" w:rsidRDefault="009F35F0">
            <w:pPr>
              <w:autoSpaceDE w:val="0"/>
              <w:autoSpaceDN w:val="0"/>
              <w:adjustRightInd w:val="0"/>
              <w:spacing w:before="29"/>
              <w:ind w:left="17"/>
              <w:jc w:val="center"/>
              <w:rPr>
                <w:color w:val="000000"/>
                <w:kern w:val="0"/>
              </w:rPr>
            </w:pPr>
            <w:r>
              <w:rPr>
                <w:color w:val="000000"/>
                <w:kern w:val="0"/>
              </w:rPr>
              <w:t>业绩比较基准收益率</w:t>
            </w:r>
            <w:r>
              <w:rPr>
                <w:rFonts w:ascii="宋体" w:hAnsi="宋体" w:cs="宋体" w:hint="eastAsia"/>
                <w:color w:val="000000"/>
                <w:kern w:val="0"/>
              </w:rPr>
              <w:t>③</w:t>
            </w:r>
          </w:p>
        </w:tc>
        <w:tc>
          <w:tcPr>
            <w:tcW w:w="1267" w:type="dxa"/>
            <w:vAlign w:val="center"/>
          </w:tcPr>
          <w:p w:rsidR="00630820" w:rsidRDefault="009F35F0">
            <w:pPr>
              <w:autoSpaceDE w:val="0"/>
              <w:autoSpaceDN w:val="0"/>
              <w:adjustRightInd w:val="0"/>
              <w:spacing w:before="29"/>
              <w:ind w:left="17"/>
              <w:jc w:val="center"/>
              <w:rPr>
                <w:color w:val="000000"/>
                <w:kern w:val="0"/>
              </w:rPr>
            </w:pPr>
            <w:r>
              <w:rPr>
                <w:color w:val="000000"/>
                <w:kern w:val="0"/>
              </w:rPr>
              <w:t>业绩比较基准收益率标准差</w:t>
            </w:r>
            <w:r>
              <w:rPr>
                <w:rFonts w:ascii="宋体" w:hAnsi="宋体" w:cs="宋体" w:hint="eastAsia"/>
                <w:color w:val="000000"/>
                <w:kern w:val="0"/>
              </w:rPr>
              <w:t>④</w:t>
            </w:r>
          </w:p>
        </w:tc>
        <w:tc>
          <w:tcPr>
            <w:tcW w:w="1275" w:type="dxa"/>
            <w:vAlign w:val="center"/>
          </w:tcPr>
          <w:p w:rsidR="00630820" w:rsidRDefault="009F35F0">
            <w:pPr>
              <w:autoSpaceDE w:val="0"/>
              <w:autoSpaceDN w:val="0"/>
              <w:adjustRightInd w:val="0"/>
              <w:spacing w:before="29"/>
              <w:ind w:left="17"/>
              <w:jc w:val="center"/>
              <w:rPr>
                <w:color w:val="000000"/>
                <w:kern w:val="0"/>
              </w:rPr>
            </w:pPr>
            <w:r>
              <w:rPr>
                <w:rFonts w:ascii="宋体" w:hAnsi="宋体" w:cs="宋体" w:hint="eastAsia"/>
                <w:color w:val="000000"/>
                <w:kern w:val="0"/>
              </w:rPr>
              <w:t>①</w:t>
            </w:r>
            <w:r>
              <w:rPr>
                <w:color w:val="000000"/>
                <w:kern w:val="0"/>
              </w:rPr>
              <w:t>-</w:t>
            </w:r>
            <w:r>
              <w:rPr>
                <w:rFonts w:ascii="宋体" w:hAnsi="宋体" w:cs="宋体" w:hint="eastAsia"/>
                <w:color w:val="000000"/>
                <w:kern w:val="0"/>
              </w:rPr>
              <w:t>③</w:t>
            </w:r>
          </w:p>
        </w:tc>
        <w:tc>
          <w:tcPr>
            <w:tcW w:w="1134" w:type="dxa"/>
            <w:vAlign w:val="center"/>
          </w:tcPr>
          <w:p w:rsidR="00630820" w:rsidRDefault="009F35F0">
            <w:pPr>
              <w:autoSpaceDE w:val="0"/>
              <w:autoSpaceDN w:val="0"/>
              <w:adjustRightInd w:val="0"/>
              <w:spacing w:before="29"/>
              <w:ind w:left="17"/>
              <w:jc w:val="center"/>
              <w:rPr>
                <w:color w:val="000000"/>
                <w:kern w:val="0"/>
              </w:rPr>
            </w:pPr>
            <w:r>
              <w:rPr>
                <w:rFonts w:ascii="宋体" w:hAnsi="宋体" w:cs="宋体" w:hint="eastAsia"/>
                <w:color w:val="000000"/>
                <w:kern w:val="0"/>
              </w:rPr>
              <w:t>②</w:t>
            </w:r>
            <w:r>
              <w:rPr>
                <w:color w:val="000000"/>
                <w:kern w:val="0"/>
              </w:rPr>
              <w:t>-</w:t>
            </w:r>
            <w:r>
              <w:rPr>
                <w:rFonts w:ascii="宋体" w:hAnsi="宋体" w:cs="宋体" w:hint="eastAsia"/>
                <w:color w:val="000000"/>
                <w:kern w:val="0"/>
              </w:rPr>
              <w:t>④</w:t>
            </w:r>
          </w:p>
        </w:tc>
      </w:tr>
      <w:tr w:rsidR="00630820">
        <w:tc>
          <w:tcPr>
            <w:tcW w:w="1537" w:type="dxa"/>
            <w:vAlign w:val="center"/>
          </w:tcPr>
          <w:p w:rsidR="00630820" w:rsidRDefault="009F35F0">
            <w:pPr>
              <w:jc w:val="left"/>
            </w:pPr>
            <w:r>
              <w:rPr>
                <w:color w:val="000000"/>
                <w:kern w:val="0"/>
              </w:rPr>
              <w:t>过去三个月</w:t>
            </w:r>
          </w:p>
        </w:tc>
        <w:tc>
          <w:tcPr>
            <w:tcW w:w="1092" w:type="dxa"/>
            <w:vAlign w:val="center"/>
          </w:tcPr>
          <w:p w:rsidR="00630820" w:rsidRDefault="009F35F0">
            <w:pPr>
              <w:jc w:val="center"/>
            </w:pPr>
            <w:r>
              <w:rPr>
                <w:color w:val="000000"/>
                <w:kern w:val="0"/>
              </w:rPr>
              <w:t>0.66%</w:t>
            </w:r>
          </w:p>
        </w:tc>
        <w:tc>
          <w:tcPr>
            <w:tcW w:w="1161" w:type="dxa"/>
            <w:vAlign w:val="center"/>
          </w:tcPr>
          <w:p w:rsidR="00630820" w:rsidRDefault="009F35F0">
            <w:pPr>
              <w:jc w:val="center"/>
            </w:pPr>
            <w:r>
              <w:rPr>
                <w:color w:val="000000"/>
                <w:kern w:val="0"/>
              </w:rPr>
              <w:t>0.58%</w:t>
            </w:r>
          </w:p>
        </w:tc>
        <w:tc>
          <w:tcPr>
            <w:tcW w:w="1181" w:type="dxa"/>
            <w:vAlign w:val="center"/>
          </w:tcPr>
          <w:p w:rsidR="00630820" w:rsidRDefault="009F35F0">
            <w:pPr>
              <w:jc w:val="center"/>
            </w:pPr>
            <w:r>
              <w:rPr>
                <w:color w:val="000000"/>
                <w:kern w:val="0"/>
              </w:rPr>
              <w:t>-0.11%</w:t>
            </w:r>
          </w:p>
        </w:tc>
        <w:tc>
          <w:tcPr>
            <w:tcW w:w="1267" w:type="dxa"/>
            <w:vAlign w:val="center"/>
          </w:tcPr>
          <w:p w:rsidR="00630820" w:rsidRDefault="009F35F0">
            <w:pPr>
              <w:jc w:val="center"/>
            </w:pPr>
            <w:r>
              <w:rPr>
                <w:color w:val="000000"/>
                <w:kern w:val="0"/>
              </w:rPr>
              <w:t>0.14%</w:t>
            </w:r>
          </w:p>
        </w:tc>
        <w:tc>
          <w:tcPr>
            <w:tcW w:w="1275" w:type="dxa"/>
            <w:vAlign w:val="center"/>
          </w:tcPr>
          <w:p w:rsidR="00630820" w:rsidRDefault="009F35F0">
            <w:pPr>
              <w:jc w:val="center"/>
            </w:pPr>
            <w:r>
              <w:rPr>
                <w:color w:val="000000"/>
                <w:kern w:val="0"/>
              </w:rPr>
              <w:t>0.77%</w:t>
            </w:r>
          </w:p>
        </w:tc>
        <w:tc>
          <w:tcPr>
            <w:tcW w:w="1134" w:type="dxa"/>
            <w:vAlign w:val="center"/>
          </w:tcPr>
          <w:p w:rsidR="00630820" w:rsidRDefault="009F35F0">
            <w:pPr>
              <w:jc w:val="center"/>
            </w:pPr>
            <w:r>
              <w:rPr>
                <w:color w:val="000000"/>
                <w:kern w:val="0"/>
              </w:rPr>
              <w:t>0.44%</w:t>
            </w:r>
          </w:p>
        </w:tc>
      </w:tr>
    </w:tbl>
    <w:p w:rsidR="00630820" w:rsidRDefault="009F35F0">
      <w:pPr>
        <w:autoSpaceDE w:val="0"/>
        <w:autoSpaceDN w:val="0"/>
        <w:adjustRightInd w:val="0"/>
        <w:spacing w:line="360" w:lineRule="auto"/>
        <w:jc w:val="left"/>
        <w:rPr>
          <w:b/>
          <w:bCs/>
          <w:color w:val="000000"/>
          <w:kern w:val="0"/>
        </w:rPr>
      </w:pPr>
      <w:r>
        <w:rPr>
          <w:b/>
          <w:bCs/>
          <w:color w:val="000000"/>
          <w:kern w:val="0"/>
        </w:rPr>
        <w:t>3.2.2</w:t>
      </w:r>
      <w:r>
        <w:rPr>
          <w:b/>
          <w:bCs/>
          <w:color w:val="000000"/>
          <w:kern w:val="0"/>
        </w:rPr>
        <w:t>自基金合同生效以来基金累计净值增长率变动及其与同期业绩比较基准收益率变动的比较</w:t>
      </w:r>
    </w:p>
    <w:p w:rsidR="00630820" w:rsidRDefault="009F35F0">
      <w:pPr>
        <w:tabs>
          <w:tab w:val="left" w:pos="2729"/>
          <w:tab w:val="center" w:pos="4156"/>
        </w:tabs>
        <w:spacing w:line="360" w:lineRule="auto"/>
        <w:jc w:val="center"/>
        <w:rPr>
          <w:color w:val="000000"/>
        </w:rPr>
      </w:pPr>
      <w:r>
        <w:rPr>
          <w:color w:val="000000"/>
        </w:rPr>
        <w:t>中银尊享半年定期开放债券型证券投资基金</w:t>
      </w:r>
    </w:p>
    <w:p w:rsidR="00630820" w:rsidRDefault="009F35F0">
      <w:pPr>
        <w:pStyle w:val="a9"/>
        <w:snapToGrid w:val="0"/>
        <w:spacing w:line="360" w:lineRule="auto"/>
        <w:jc w:val="center"/>
        <w:rPr>
          <w:rFonts w:ascii="Times New Roman" w:hAnsi="Times New Roman" w:cs="Times New Roman"/>
          <w:color w:val="000000"/>
        </w:rPr>
      </w:pPr>
      <w:r>
        <w:rPr>
          <w:rFonts w:ascii="Times New Roman" w:hAnsi="Times New Roman" w:cs="Times New Roman"/>
          <w:color w:val="000000"/>
        </w:rPr>
        <w:t>累计净值增长率与业绩比较基准收益率历史走势对比图</w:t>
      </w:r>
    </w:p>
    <w:p w:rsidR="00630820" w:rsidRDefault="009F35F0">
      <w:pPr>
        <w:pStyle w:val="a9"/>
        <w:snapToGrid w:val="0"/>
        <w:spacing w:line="360" w:lineRule="auto"/>
        <w:ind w:firstLine="480"/>
        <w:jc w:val="center"/>
        <w:rPr>
          <w:rFonts w:ascii="Times New Roman" w:hAnsi="Times New Roman" w:cs="Times New Roman"/>
        </w:rPr>
      </w:pPr>
      <w:r>
        <w:rPr>
          <w:rFonts w:ascii="Times New Roman" w:hAnsi="Times New Roman" w:cs="Times New Roman"/>
        </w:rPr>
        <w:t>(2016</w:t>
      </w:r>
      <w:r>
        <w:rPr>
          <w:rFonts w:ascii="Times New Roman" w:hAnsi="Times New Roman" w:cs="Times New Roman"/>
        </w:rPr>
        <w:t>年</w:t>
      </w:r>
      <w:r>
        <w:rPr>
          <w:rFonts w:ascii="Times New Roman" w:hAnsi="Times New Roman" w:cs="Times New Roman"/>
        </w:rPr>
        <w:t>8</w:t>
      </w:r>
      <w:r>
        <w:rPr>
          <w:rFonts w:ascii="Times New Roman" w:hAnsi="Times New Roman" w:cs="Times New Roman"/>
        </w:rPr>
        <w:t>月</w:t>
      </w:r>
      <w:r>
        <w:rPr>
          <w:rFonts w:ascii="Times New Roman" w:hAnsi="Times New Roman" w:cs="Times New Roman"/>
        </w:rPr>
        <w:t>24</w:t>
      </w:r>
      <w:r>
        <w:rPr>
          <w:rFonts w:ascii="Times New Roman" w:hAnsi="Times New Roman" w:cs="Times New Roman"/>
        </w:rPr>
        <w:t>日至</w:t>
      </w:r>
      <w:r>
        <w:rPr>
          <w:rFonts w:ascii="Times New Roman" w:hAnsi="Times New Roman" w:cs="Times New Roman"/>
        </w:rPr>
        <w:t>2018</w:t>
      </w:r>
      <w:r>
        <w:rPr>
          <w:rFonts w:ascii="Times New Roman" w:hAnsi="Times New Roman" w:cs="Times New Roman"/>
        </w:rPr>
        <w:t>年</w:t>
      </w:r>
      <w:r>
        <w:rPr>
          <w:rFonts w:ascii="Times New Roman" w:hAnsi="Times New Roman" w:cs="Times New Roman"/>
        </w:rPr>
        <w:t>6</w:t>
      </w:r>
      <w:r>
        <w:rPr>
          <w:rFonts w:ascii="Times New Roman" w:hAnsi="Times New Roman" w:cs="Times New Roman"/>
        </w:rPr>
        <w:t>月</w:t>
      </w:r>
      <w:r>
        <w:rPr>
          <w:rFonts w:ascii="Times New Roman" w:hAnsi="Times New Roman" w:cs="Times New Roman"/>
        </w:rPr>
        <w:t>30</w:t>
      </w:r>
      <w:r>
        <w:rPr>
          <w:rFonts w:ascii="Times New Roman" w:hAnsi="Times New Roman" w:cs="Times New Roman"/>
        </w:rPr>
        <w:t>日</w:t>
      </w:r>
      <w:r>
        <w:rPr>
          <w:rFonts w:ascii="Times New Roman" w:hAnsi="Times New Roman" w:cs="Times New Roman"/>
        </w:rPr>
        <w:t>)</w:t>
      </w:r>
    </w:p>
    <w:p w:rsidR="00630820" w:rsidRDefault="009F35F0">
      <w:pPr>
        <w:pStyle w:val="a9"/>
        <w:snapToGrid w:val="0"/>
        <w:spacing w:before="120" w:line="360" w:lineRule="auto"/>
        <w:jc w:val="center"/>
        <w:rPr>
          <w:rFonts w:ascii="Times New Roman" w:hAnsi="Times New Roman" w:cs="Times New Roman"/>
          <w:color w:val="000000"/>
          <w:sz w:val="24"/>
          <w:szCs w:val="24"/>
        </w:rPr>
      </w:pPr>
      <w:r w:rsidRPr="00630820">
        <w:rPr>
          <w:rFonts w:ascii="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243pt">
            <v:imagedata r:id="rId9" o:title=""/>
          </v:shape>
        </w:pict>
      </w:r>
    </w:p>
    <w:p w:rsidR="00630820" w:rsidRDefault="009F35F0">
      <w:pPr>
        <w:autoSpaceDE w:val="0"/>
        <w:autoSpaceDN w:val="0"/>
        <w:adjustRightInd w:val="0"/>
        <w:spacing w:line="360" w:lineRule="auto"/>
        <w:jc w:val="left"/>
        <w:rPr>
          <w:color w:val="000000"/>
        </w:rPr>
      </w:pPr>
      <w:r>
        <w:rPr>
          <w:color w:val="000000"/>
        </w:rPr>
        <w:t>注：按基金合同规定，本基金自基金合同生效起</w:t>
      </w:r>
      <w:r>
        <w:rPr>
          <w:color w:val="000000"/>
        </w:rPr>
        <w:t>6</w:t>
      </w:r>
      <w:r>
        <w:rPr>
          <w:color w:val="000000"/>
        </w:rPr>
        <w:t>个月内为建仓期，截至建仓结束时各项资产配置比例均符合基金合同约定。</w:t>
      </w:r>
    </w:p>
    <w:p w:rsidR="00630820" w:rsidRDefault="009F35F0">
      <w:pPr>
        <w:pStyle w:val="1"/>
        <w:spacing w:before="0" w:after="0" w:line="360" w:lineRule="auto"/>
        <w:jc w:val="center"/>
        <w:rPr>
          <w:color w:val="000000"/>
          <w:kern w:val="0"/>
          <w:sz w:val="24"/>
          <w:szCs w:val="24"/>
        </w:rPr>
      </w:pPr>
      <w:r>
        <w:rPr>
          <w:color w:val="000000"/>
          <w:kern w:val="0"/>
          <w:sz w:val="24"/>
          <w:szCs w:val="24"/>
        </w:rPr>
        <w:t xml:space="preserve">§4  </w:t>
      </w:r>
      <w:r>
        <w:rPr>
          <w:color w:val="000000"/>
          <w:kern w:val="0"/>
          <w:sz w:val="24"/>
          <w:szCs w:val="24"/>
        </w:rPr>
        <w:t>管理人报告</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4.1 </w:t>
      </w:r>
      <w:r>
        <w:rPr>
          <w:b/>
          <w:bCs/>
          <w:color w:val="000000"/>
          <w:kern w:val="0"/>
        </w:rPr>
        <w:t>基金经理</w:t>
      </w:r>
      <w:r>
        <w:rPr>
          <w:b/>
          <w:bCs/>
          <w:color w:val="000000"/>
          <w:kern w:val="0"/>
        </w:rPr>
        <w:t>(</w:t>
      </w:r>
      <w:r>
        <w:rPr>
          <w:b/>
          <w:bCs/>
          <w:color w:val="000000"/>
          <w:kern w:val="0"/>
        </w:rPr>
        <w:t>或基金经理小组</w:t>
      </w:r>
      <w:r>
        <w:rPr>
          <w:b/>
          <w:bCs/>
          <w:color w:val="000000"/>
          <w:kern w:val="0"/>
        </w:rPr>
        <w:t>)</w:t>
      </w:r>
      <w:r>
        <w:rPr>
          <w:b/>
          <w:bCs/>
          <w:color w:val="000000"/>
          <w:kern w:val="0"/>
        </w:rPr>
        <w:t>简介</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843"/>
        <w:gridCol w:w="1418"/>
        <w:gridCol w:w="1559"/>
        <w:gridCol w:w="1559"/>
        <w:gridCol w:w="2693"/>
      </w:tblGrid>
      <w:tr w:rsidR="00630820">
        <w:trPr>
          <w:cantSplit/>
          <w:trHeight w:val="292"/>
        </w:trPr>
        <w:tc>
          <w:tcPr>
            <w:tcW w:w="1134" w:type="dxa"/>
            <w:vMerge w:val="restart"/>
            <w:vAlign w:val="center"/>
          </w:tcPr>
          <w:p w:rsidR="00630820" w:rsidRDefault="009F35F0">
            <w:pPr>
              <w:widowControl/>
              <w:spacing w:before="29"/>
              <w:ind w:left="17"/>
              <w:jc w:val="center"/>
              <w:rPr>
                <w:color w:val="000000"/>
                <w:kern w:val="0"/>
              </w:rPr>
            </w:pPr>
            <w:r>
              <w:rPr>
                <w:color w:val="000000"/>
                <w:kern w:val="0"/>
              </w:rPr>
              <w:t>姓名</w:t>
            </w:r>
          </w:p>
        </w:tc>
        <w:tc>
          <w:tcPr>
            <w:tcW w:w="1843" w:type="dxa"/>
            <w:vMerge w:val="restart"/>
            <w:vAlign w:val="center"/>
          </w:tcPr>
          <w:p w:rsidR="00630820" w:rsidRDefault="009F35F0">
            <w:pPr>
              <w:widowControl/>
              <w:spacing w:before="29"/>
              <w:ind w:left="17"/>
              <w:jc w:val="center"/>
              <w:rPr>
                <w:color w:val="000000"/>
                <w:kern w:val="0"/>
              </w:rPr>
            </w:pPr>
            <w:r>
              <w:rPr>
                <w:color w:val="000000"/>
                <w:kern w:val="0"/>
              </w:rPr>
              <w:t>职务</w:t>
            </w:r>
          </w:p>
        </w:tc>
        <w:tc>
          <w:tcPr>
            <w:tcW w:w="2977" w:type="dxa"/>
            <w:gridSpan w:val="2"/>
            <w:vAlign w:val="center"/>
          </w:tcPr>
          <w:p w:rsidR="00630820" w:rsidRDefault="009F35F0">
            <w:pPr>
              <w:autoSpaceDE w:val="0"/>
              <w:autoSpaceDN w:val="0"/>
              <w:adjustRightInd w:val="0"/>
              <w:spacing w:before="29"/>
              <w:ind w:left="17"/>
              <w:jc w:val="center"/>
              <w:rPr>
                <w:color w:val="000000"/>
                <w:kern w:val="0"/>
              </w:rPr>
            </w:pPr>
            <w:r>
              <w:rPr>
                <w:color w:val="000000"/>
                <w:kern w:val="0"/>
              </w:rPr>
              <w:t>任本基金的基金经理期限</w:t>
            </w:r>
          </w:p>
        </w:tc>
        <w:tc>
          <w:tcPr>
            <w:tcW w:w="1559" w:type="dxa"/>
            <w:vMerge w:val="restart"/>
            <w:vAlign w:val="center"/>
          </w:tcPr>
          <w:p w:rsidR="00630820" w:rsidRDefault="009F35F0">
            <w:pPr>
              <w:autoSpaceDE w:val="0"/>
              <w:autoSpaceDN w:val="0"/>
              <w:adjustRightInd w:val="0"/>
              <w:spacing w:before="29"/>
              <w:ind w:left="17"/>
              <w:jc w:val="center"/>
              <w:rPr>
                <w:color w:val="000000"/>
                <w:kern w:val="0"/>
              </w:rPr>
            </w:pPr>
            <w:r>
              <w:rPr>
                <w:color w:val="000000"/>
                <w:kern w:val="0"/>
              </w:rPr>
              <w:t>证券从业年限</w:t>
            </w:r>
          </w:p>
        </w:tc>
        <w:tc>
          <w:tcPr>
            <w:tcW w:w="2693" w:type="dxa"/>
            <w:vMerge w:val="restart"/>
            <w:vAlign w:val="center"/>
          </w:tcPr>
          <w:p w:rsidR="00630820" w:rsidRDefault="009F35F0">
            <w:pPr>
              <w:widowControl/>
              <w:spacing w:before="29"/>
              <w:ind w:left="17"/>
              <w:jc w:val="center"/>
              <w:rPr>
                <w:color w:val="000000"/>
                <w:kern w:val="0"/>
              </w:rPr>
            </w:pPr>
            <w:r>
              <w:rPr>
                <w:color w:val="000000"/>
                <w:kern w:val="0"/>
              </w:rPr>
              <w:t>说明</w:t>
            </w:r>
          </w:p>
        </w:tc>
      </w:tr>
      <w:tr w:rsidR="00630820">
        <w:trPr>
          <w:cantSplit/>
        </w:trPr>
        <w:tc>
          <w:tcPr>
            <w:tcW w:w="1134" w:type="dxa"/>
            <w:vMerge/>
            <w:vAlign w:val="center"/>
          </w:tcPr>
          <w:p w:rsidR="00630820" w:rsidRDefault="00630820">
            <w:pPr>
              <w:widowControl/>
              <w:jc w:val="left"/>
              <w:rPr>
                <w:color w:val="000000"/>
                <w:kern w:val="0"/>
              </w:rPr>
            </w:pPr>
          </w:p>
        </w:tc>
        <w:tc>
          <w:tcPr>
            <w:tcW w:w="1843" w:type="dxa"/>
            <w:vMerge/>
            <w:vAlign w:val="center"/>
          </w:tcPr>
          <w:p w:rsidR="00630820" w:rsidRDefault="00630820">
            <w:pPr>
              <w:widowControl/>
              <w:jc w:val="left"/>
              <w:rPr>
                <w:color w:val="000000"/>
                <w:kern w:val="0"/>
              </w:rPr>
            </w:pPr>
          </w:p>
        </w:tc>
        <w:tc>
          <w:tcPr>
            <w:tcW w:w="1418" w:type="dxa"/>
            <w:vAlign w:val="center"/>
          </w:tcPr>
          <w:p w:rsidR="00630820" w:rsidRDefault="009F35F0">
            <w:pPr>
              <w:autoSpaceDE w:val="0"/>
              <w:autoSpaceDN w:val="0"/>
              <w:adjustRightInd w:val="0"/>
              <w:spacing w:before="29"/>
              <w:ind w:left="17"/>
              <w:jc w:val="center"/>
              <w:rPr>
                <w:color w:val="000000"/>
                <w:kern w:val="0"/>
              </w:rPr>
            </w:pPr>
            <w:r>
              <w:rPr>
                <w:color w:val="000000"/>
                <w:kern w:val="0"/>
              </w:rPr>
              <w:t>任职日期</w:t>
            </w:r>
          </w:p>
        </w:tc>
        <w:tc>
          <w:tcPr>
            <w:tcW w:w="1559" w:type="dxa"/>
            <w:vAlign w:val="center"/>
          </w:tcPr>
          <w:p w:rsidR="00630820" w:rsidRDefault="009F35F0">
            <w:pPr>
              <w:autoSpaceDE w:val="0"/>
              <w:autoSpaceDN w:val="0"/>
              <w:adjustRightInd w:val="0"/>
              <w:spacing w:before="29"/>
              <w:ind w:left="17"/>
              <w:jc w:val="center"/>
              <w:rPr>
                <w:color w:val="000000"/>
                <w:kern w:val="0"/>
              </w:rPr>
            </w:pPr>
            <w:r>
              <w:rPr>
                <w:color w:val="000000"/>
                <w:kern w:val="0"/>
              </w:rPr>
              <w:t>离任日期</w:t>
            </w:r>
          </w:p>
        </w:tc>
        <w:tc>
          <w:tcPr>
            <w:tcW w:w="1559" w:type="dxa"/>
            <w:vMerge/>
            <w:vAlign w:val="center"/>
          </w:tcPr>
          <w:p w:rsidR="00630820" w:rsidRDefault="00630820">
            <w:pPr>
              <w:widowControl/>
              <w:jc w:val="left"/>
              <w:rPr>
                <w:color w:val="000000"/>
                <w:kern w:val="0"/>
              </w:rPr>
            </w:pPr>
          </w:p>
        </w:tc>
        <w:tc>
          <w:tcPr>
            <w:tcW w:w="2693" w:type="dxa"/>
            <w:vMerge/>
            <w:vAlign w:val="center"/>
          </w:tcPr>
          <w:p w:rsidR="00630820" w:rsidRDefault="00630820">
            <w:pPr>
              <w:widowControl/>
              <w:jc w:val="left"/>
              <w:rPr>
                <w:color w:val="000000"/>
                <w:kern w:val="0"/>
              </w:rPr>
            </w:pPr>
          </w:p>
        </w:tc>
      </w:tr>
      <w:tr w:rsidR="00630820">
        <w:tc>
          <w:tcPr>
            <w:tcW w:w="1134" w:type="dxa"/>
            <w:vAlign w:val="center"/>
          </w:tcPr>
          <w:p w:rsidR="00630820" w:rsidRDefault="009F35F0">
            <w:pPr>
              <w:jc w:val="center"/>
            </w:pPr>
            <w:r>
              <w:rPr>
                <w:color w:val="000000"/>
              </w:rPr>
              <w:t>杨成</w:t>
            </w:r>
          </w:p>
        </w:tc>
        <w:tc>
          <w:tcPr>
            <w:tcW w:w="1843" w:type="dxa"/>
            <w:vAlign w:val="center"/>
          </w:tcPr>
          <w:p w:rsidR="00630820" w:rsidRDefault="009F35F0">
            <w:pPr>
              <w:jc w:val="center"/>
            </w:pPr>
            <w:r>
              <w:rPr>
                <w:color w:val="000000"/>
              </w:rPr>
              <w:t>本基金的基金经理、中银新趋势基金基金经理、中银益利基金基金经理、中银合利基金基金经理、中银丰利基金基金经理、中银锦利基金基金经理</w:t>
            </w:r>
          </w:p>
        </w:tc>
        <w:tc>
          <w:tcPr>
            <w:tcW w:w="1418" w:type="dxa"/>
            <w:vAlign w:val="center"/>
          </w:tcPr>
          <w:p w:rsidR="00630820" w:rsidRDefault="009F35F0">
            <w:pPr>
              <w:jc w:val="center"/>
            </w:pPr>
            <w:r>
              <w:rPr>
                <w:color w:val="000000"/>
              </w:rPr>
              <w:t>2016-08-24</w:t>
            </w:r>
          </w:p>
        </w:tc>
        <w:tc>
          <w:tcPr>
            <w:tcW w:w="1559" w:type="dxa"/>
            <w:vAlign w:val="center"/>
          </w:tcPr>
          <w:p w:rsidR="00630820" w:rsidRDefault="009F35F0">
            <w:pPr>
              <w:jc w:val="center"/>
            </w:pPr>
            <w:r>
              <w:rPr>
                <w:color w:val="000000"/>
              </w:rPr>
              <w:t>-</w:t>
            </w:r>
          </w:p>
        </w:tc>
        <w:tc>
          <w:tcPr>
            <w:tcW w:w="1559" w:type="dxa"/>
            <w:vAlign w:val="center"/>
          </w:tcPr>
          <w:p w:rsidR="00630820" w:rsidRDefault="009F35F0">
            <w:pPr>
              <w:jc w:val="center"/>
            </w:pPr>
            <w:r>
              <w:rPr>
                <w:color w:val="000000"/>
              </w:rPr>
              <w:t>12</w:t>
            </w:r>
          </w:p>
        </w:tc>
        <w:tc>
          <w:tcPr>
            <w:tcW w:w="2693" w:type="dxa"/>
            <w:vAlign w:val="center"/>
          </w:tcPr>
          <w:p w:rsidR="00630820" w:rsidRDefault="009F35F0">
            <w:r>
              <w:rPr>
                <w:color w:val="000000"/>
              </w:rPr>
              <w:t>中银基金管理有限公司助理副总裁（</w:t>
            </w:r>
            <w:r>
              <w:rPr>
                <w:color w:val="000000"/>
              </w:rPr>
              <w:t>AVP</w:t>
            </w:r>
            <w:r>
              <w:rPr>
                <w:color w:val="000000"/>
              </w:rPr>
              <w:t>），管理学硕士。曾任信诚基金固定收益分析师，上投摩根基金管理有限公司基金经理。</w:t>
            </w:r>
            <w:r>
              <w:rPr>
                <w:color w:val="000000"/>
              </w:rPr>
              <w:t>2015</w:t>
            </w:r>
            <w:r>
              <w:rPr>
                <w:color w:val="000000"/>
              </w:rPr>
              <w:t>年加入中银基金管理有限公司，</w:t>
            </w:r>
            <w:r>
              <w:rPr>
                <w:color w:val="000000"/>
              </w:rPr>
              <w:t>2015</w:t>
            </w:r>
            <w:r>
              <w:rPr>
                <w:color w:val="000000"/>
              </w:rPr>
              <w:t>年</w:t>
            </w:r>
            <w:r>
              <w:rPr>
                <w:color w:val="000000"/>
              </w:rPr>
              <w:t>9</w:t>
            </w:r>
            <w:r>
              <w:rPr>
                <w:color w:val="000000"/>
              </w:rPr>
              <w:t>月至今任中银新趋势基金基金经理，</w:t>
            </w:r>
            <w:r>
              <w:rPr>
                <w:color w:val="000000"/>
              </w:rPr>
              <w:t>2016</w:t>
            </w:r>
            <w:r>
              <w:rPr>
                <w:color w:val="000000"/>
              </w:rPr>
              <w:t>年</w:t>
            </w:r>
            <w:r>
              <w:rPr>
                <w:color w:val="000000"/>
              </w:rPr>
              <w:t>4</w:t>
            </w:r>
            <w:r>
              <w:rPr>
                <w:color w:val="000000"/>
              </w:rPr>
              <w:t>月至今任中银益利基金基金经理，</w:t>
            </w:r>
            <w:r>
              <w:rPr>
                <w:color w:val="000000"/>
              </w:rPr>
              <w:t>2016</w:t>
            </w:r>
            <w:r>
              <w:rPr>
                <w:color w:val="000000"/>
              </w:rPr>
              <w:t>年</w:t>
            </w:r>
            <w:r>
              <w:rPr>
                <w:color w:val="000000"/>
              </w:rPr>
              <w:t>5</w:t>
            </w:r>
            <w:r>
              <w:rPr>
                <w:color w:val="000000"/>
              </w:rPr>
              <w:t>月至今任中银合利基金基金经理，</w:t>
            </w:r>
            <w:r>
              <w:rPr>
                <w:color w:val="000000"/>
              </w:rPr>
              <w:t>2016</w:t>
            </w:r>
            <w:r>
              <w:rPr>
                <w:color w:val="000000"/>
              </w:rPr>
              <w:t>年</w:t>
            </w:r>
            <w:r>
              <w:rPr>
                <w:color w:val="000000"/>
              </w:rPr>
              <w:t>8</w:t>
            </w:r>
            <w:r>
              <w:rPr>
                <w:color w:val="000000"/>
              </w:rPr>
              <w:t>月至今任中银丰利基金基金经理，</w:t>
            </w:r>
            <w:r>
              <w:rPr>
                <w:color w:val="000000"/>
              </w:rPr>
              <w:t>2016</w:t>
            </w:r>
            <w:r>
              <w:rPr>
                <w:color w:val="000000"/>
              </w:rPr>
              <w:t>年</w:t>
            </w:r>
            <w:r>
              <w:rPr>
                <w:color w:val="000000"/>
              </w:rPr>
              <w:t>8</w:t>
            </w:r>
            <w:r>
              <w:rPr>
                <w:color w:val="000000"/>
              </w:rPr>
              <w:t>月至今任中银尊享基金基金经理，</w:t>
            </w:r>
            <w:r>
              <w:rPr>
                <w:color w:val="000000"/>
              </w:rPr>
              <w:t>2016</w:t>
            </w:r>
            <w:r>
              <w:rPr>
                <w:color w:val="000000"/>
              </w:rPr>
              <w:t>年</w:t>
            </w:r>
            <w:r>
              <w:rPr>
                <w:color w:val="000000"/>
              </w:rPr>
              <w:t>12</w:t>
            </w:r>
            <w:r>
              <w:rPr>
                <w:color w:val="000000"/>
              </w:rPr>
              <w:t>月至今任中银锦利基金基金经理。具有</w:t>
            </w:r>
            <w:r>
              <w:rPr>
                <w:color w:val="000000"/>
              </w:rPr>
              <w:t>12</w:t>
            </w:r>
            <w:r>
              <w:rPr>
                <w:color w:val="000000"/>
              </w:rPr>
              <w:t>年证券从业年限。具备基金从业资格。</w:t>
            </w:r>
            <w:r>
              <w:rPr>
                <w:color w:val="000000"/>
              </w:rPr>
              <w:t xml:space="preserve"> </w:t>
            </w:r>
          </w:p>
        </w:tc>
      </w:tr>
    </w:tbl>
    <w:p w:rsidR="00630820" w:rsidRDefault="009F35F0">
      <w:pPr>
        <w:autoSpaceDE w:val="0"/>
        <w:autoSpaceDN w:val="0"/>
        <w:adjustRightInd w:val="0"/>
        <w:spacing w:line="360" w:lineRule="auto"/>
        <w:jc w:val="left"/>
        <w:rPr>
          <w:color w:val="000000"/>
        </w:rPr>
      </w:pPr>
      <w:r>
        <w:rPr>
          <w:color w:val="000000"/>
        </w:rPr>
        <w:t>注：</w:t>
      </w:r>
      <w:r>
        <w:rPr>
          <w:color w:val="000000"/>
        </w:rPr>
        <w:t>1</w:t>
      </w:r>
      <w:r>
        <w:rPr>
          <w:color w:val="000000"/>
        </w:rPr>
        <w:t>、首任基金经理的</w:t>
      </w:r>
      <w:r>
        <w:rPr>
          <w:color w:val="000000"/>
        </w:rPr>
        <w:t>“</w:t>
      </w:r>
      <w:r>
        <w:rPr>
          <w:color w:val="000000"/>
        </w:rPr>
        <w:t>任职日期</w:t>
      </w:r>
      <w:r>
        <w:rPr>
          <w:color w:val="000000"/>
        </w:rPr>
        <w:t>”</w:t>
      </w:r>
      <w:r>
        <w:rPr>
          <w:color w:val="000000"/>
        </w:rPr>
        <w:t>为基金合同生效日，非首</w:t>
      </w:r>
      <w:r>
        <w:rPr>
          <w:color w:val="000000"/>
        </w:rPr>
        <w:t>任基金经理的</w:t>
      </w:r>
      <w:r>
        <w:rPr>
          <w:color w:val="000000"/>
        </w:rPr>
        <w:t>“</w:t>
      </w:r>
      <w:r>
        <w:rPr>
          <w:color w:val="000000"/>
        </w:rPr>
        <w:t>任职日期</w:t>
      </w:r>
      <w:r>
        <w:rPr>
          <w:color w:val="000000"/>
        </w:rPr>
        <w:t>”</w:t>
      </w:r>
      <w:r>
        <w:rPr>
          <w:color w:val="000000"/>
        </w:rPr>
        <w:t>为根据公司决定确定的聘任日期，基金经理的</w:t>
      </w:r>
      <w:r>
        <w:rPr>
          <w:color w:val="000000"/>
        </w:rPr>
        <w:t>“</w:t>
      </w:r>
      <w:r>
        <w:rPr>
          <w:color w:val="000000"/>
        </w:rPr>
        <w:t>离任日期</w:t>
      </w:r>
      <w:r>
        <w:rPr>
          <w:color w:val="000000"/>
        </w:rPr>
        <w:t>”</w:t>
      </w:r>
      <w:r>
        <w:rPr>
          <w:color w:val="000000"/>
        </w:rPr>
        <w:t>均为根据公司决定确定的解聘日期；</w:t>
      </w:r>
      <w:r>
        <w:rPr>
          <w:color w:val="000000"/>
        </w:rPr>
        <w:t>2</w:t>
      </w:r>
      <w:r>
        <w:rPr>
          <w:color w:val="000000"/>
        </w:rPr>
        <w:t>、证券从业年限的计算标准及含义遵从《证券业从业人员资格管理办法》的相关规定。</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4.2 </w:t>
      </w:r>
      <w:r>
        <w:rPr>
          <w:b/>
          <w:bCs/>
          <w:color w:val="000000"/>
          <w:kern w:val="0"/>
        </w:rPr>
        <w:t>管理人对报告期内本基金运作遵规守信情况的说明</w:t>
      </w:r>
    </w:p>
    <w:p w:rsidR="00630820" w:rsidRDefault="009F35F0">
      <w:pPr>
        <w:spacing w:line="360" w:lineRule="auto"/>
        <w:ind w:firstLineChars="200" w:firstLine="420"/>
        <w:rPr>
          <w:color w:val="000000"/>
        </w:rPr>
      </w:pPr>
      <w:r>
        <w:rPr>
          <w:color w:val="000000"/>
        </w:rPr>
        <w:t>本报告期内，本基金管理人严格遵守《中华人民共和国证券投资基金法》、中国证监会的有关规则和其他有关法律法规的规定，严格遵循本基金基金合同，本着诚实信用、勤勉尽责的原则管理和运用基金资产，在严格控制风险的基础上，为基金份额持有人谋求最大利益。本报告期内，本基金运作合法合规，</w:t>
      </w:r>
      <w:r>
        <w:rPr>
          <w:color w:val="000000"/>
        </w:rPr>
        <w:t>无损害基金份额持有人利益的行为。</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4.3 </w:t>
      </w:r>
      <w:r>
        <w:rPr>
          <w:b/>
          <w:bCs/>
          <w:color w:val="000000"/>
          <w:kern w:val="0"/>
        </w:rPr>
        <w:t>公平交易专项说明</w:t>
      </w:r>
    </w:p>
    <w:p w:rsidR="00630820" w:rsidRDefault="009F35F0">
      <w:pPr>
        <w:spacing w:line="360" w:lineRule="auto"/>
        <w:rPr>
          <w:color w:val="000000"/>
        </w:rPr>
      </w:pPr>
      <w:r>
        <w:rPr>
          <w:color w:val="000000"/>
        </w:rPr>
        <w:t xml:space="preserve">4.3.1 </w:t>
      </w:r>
      <w:r>
        <w:rPr>
          <w:color w:val="000000"/>
        </w:rPr>
        <w:t>公平交易制度的执行情况</w:t>
      </w:r>
    </w:p>
    <w:p w:rsidR="00630820" w:rsidRDefault="009F35F0">
      <w:pPr>
        <w:spacing w:line="360" w:lineRule="auto"/>
        <w:ind w:firstLineChars="200" w:firstLine="420"/>
        <w:rPr>
          <w:color w:val="000000"/>
        </w:rPr>
      </w:pPr>
      <w:r>
        <w:rPr>
          <w:color w:val="000000"/>
        </w:rPr>
        <w:t>根据中国证监会颁布的《证券投资基金管理公司公平交易制度指导意见》，公司制定了《中银基金管理有限公司公平交易管理办法》，建立了《新股询价申购和参与公开增发管理办法》、《债券询价申购管理办法》、《集中交易管理办法》等公平交易相关制度体系，通过制度确保不同投资组合在投资管理活动中得到公平对待，严格防范不同投资组合之间进行利益输送。公司建立了投资决策委员会领导下的投资决策及授权制度，以科学规范的投资决策体系，采用集中交易</w:t>
      </w:r>
      <w:r>
        <w:rPr>
          <w:color w:val="000000"/>
        </w:rPr>
        <w:t>管理加强交易执行环节的内部控制，通过工作制度、流程和技术手段保证公平交易原则的实现；通过建立层级完备的公司证券池及组合风格库，完善各类具体资产管理业务组织结构，规范各项业务之间的关系，在保证各投资组合既具有相对独立性的同时，确保其在获得投资信息、投资建议和实施投资决策方面享有公平的机会；通过对异常交易行为的实时监控、分析评估、监察稽核和信息披露确保公平交易过程和结果的有效监督。</w:t>
      </w:r>
    </w:p>
    <w:p w:rsidR="00630820" w:rsidRDefault="009F35F0">
      <w:pPr>
        <w:spacing w:line="360" w:lineRule="auto"/>
        <w:ind w:firstLineChars="200" w:firstLine="420"/>
        <w:rPr>
          <w:color w:val="000000"/>
        </w:rPr>
      </w:pPr>
      <w:r>
        <w:rPr>
          <w:color w:val="000000"/>
        </w:rPr>
        <w:t>本报告期内，本公司严格遵守法律法规关于公平交易的相关规定，确保本公司管理的不同投资组合在授权、研究分析、投资决策、交易执行、业绩评</w:t>
      </w:r>
      <w:r>
        <w:rPr>
          <w:color w:val="000000"/>
        </w:rPr>
        <w:t>估等投资管理活动和环节得到公平对待。各投资组合均严格按照法律、法规和公司制度执行投资交易，本报告期内未发生异常交易行为。</w:t>
      </w:r>
    </w:p>
    <w:p w:rsidR="00630820" w:rsidRDefault="009F35F0">
      <w:pPr>
        <w:spacing w:line="360" w:lineRule="auto"/>
        <w:rPr>
          <w:color w:val="000000"/>
        </w:rPr>
      </w:pPr>
      <w:r>
        <w:rPr>
          <w:color w:val="000000"/>
        </w:rPr>
        <w:t xml:space="preserve">4.3.2 </w:t>
      </w:r>
      <w:r>
        <w:rPr>
          <w:color w:val="000000"/>
        </w:rPr>
        <w:t>异常交易行为的专项说明</w:t>
      </w:r>
    </w:p>
    <w:p w:rsidR="00630820" w:rsidRDefault="009F35F0">
      <w:pPr>
        <w:spacing w:line="360" w:lineRule="auto"/>
        <w:ind w:firstLineChars="200" w:firstLine="420"/>
        <w:rPr>
          <w:color w:val="000000"/>
        </w:rPr>
      </w:pPr>
      <w:r>
        <w:rPr>
          <w:color w:val="000000"/>
        </w:rPr>
        <w:t>本报告期内，本基金未发现异常交易行为。</w:t>
      </w:r>
    </w:p>
    <w:p w:rsidR="00630820" w:rsidRDefault="009F35F0">
      <w:pPr>
        <w:spacing w:line="360" w:lineRule="auto"/>
        <w:ind w:firstLineChars="200" w:firstLine="420"/>
        <w:rPr>
          <w:color w:val="000000"/>
        </w:rPr>
      </w:pPr>
      <w:r>
        <w:rPr>
          <w:color w:val="000000"/>
        </w:rPr>
        <w:t>本报告期内，基金管理人未发生所有投资组合参与的交易所公开竞价同日反向交易成交较少的单边交易量超过该证券当日成交量的</w:t>
      </w:r>
      <w:r>
        <w:rPr>
          <w:color w:val="000000"/>
        </w:rPr>
        <w:t>5%</w:t>
      </w:r>
      <w:r>
        <w:rPr>
          <w:color w:val="000000"/>
        </w:rPr>
        <w:t>的情况。</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4.4 </w:t>
      </w:r>
      <w:r>
        <w:rPr>
          <w:b/>
          <w:bCs/>
          <w:color w:val="000000"/>
          <w:kern w:val="0"/>
        </w:rPr>
        <w:t>报告期内基金投资策略和运作分析</w:t>
      </w:r>
    </w:p>
    <w:p w:rsidR="00630820" w:rsidRDefault="009F35F0">
      <w:pPr>
        <w:spacing w:line="360" w:lineRule="auto"/>
        <w:ind w:firstLineChars="200" w:firstLine="420"/>
        <w:rPr>
          <w:color w:val="000000"/>
        </w:rPr>
      </w:pPr>
      <w:r>
        <w:rPr>
          <w:color w:val="000000"/>
        </w:rPr>
        <w:t xml:space="preserve">1. </w:t>
      </w:r>
      <w:r>
        <w:rPr>
          <w:color w:val="000000"/>
        </w:rPr>
        <w:t>宏观经济分析</w:t>
      </w:r>
    </w:p>
    <w:p w:rsidR="00630820" w:rsidRDefault="009F35F0">
      <w:pPr>
        <w:spacing w:line="360" w:lineRule="auto"/>
        <w:ind w:firstLineChars="200" w:firstLine="420"/>
        <w:rPr>
          <w:color w:val="000000"/>
        </w:rPr>
      </w:pPr>
      <w:r>
        <w:rPr>
          <w:color w:val="000000"/>
        </w:rPr>
        <w:t>国外经济方面，全球经济继续稳定复苏，二季度美强欧弱格局延续。从领先指标来看，美国经济景气度维持高位，二季度美国</w:t>
      </w:r>
      <w:r>
        <w:rPr>
          <w:color w:val="000000"/>
        </w:rPr>
        <w:t>ISM</w:t>
      </w:r>
      <w:r>
        <w:rPr>
          <w:color w:val="000000"/>
        </w:rPr>
        <w:t>制造业</w:t>
      </w:r>
      <w:r>
        <w:rPr>
          <w:color w:val="000000"/>
        </w:rPr>
        <w:t>PMI</w:t>
      </w:r>
      <w:r>
        <w:rPr>
          <w:color w:val="000000"/>
        </w:rPr>
        <w:t>指数从一季度末的</w:t>
      </w:r>
      <w:r>
        <w:rPr>
          <w:color w:val="000000"/>
        </w:rPr>
        <w:t>59.3</w:t>
      </w:r>
      <w:r>
        <w:rPr>
          <w:color w:val="000000"/>
        </w:rPr>
        <w:t>进一步上行至</w:t>
      </w:r>
      <w:r>
        <w:rPr>
          <w:color w:val="000000"/>
        </w:rPr>
        <w:t>60.2</w:t>
      </w:r>
      <w:r>
        <w:rPr>
          <w:color w:val="000000"/>
        </w:rPr>
        <w:t>，就业市场整体稳健，失业率创出近年新低</w:t>
      </w:r>
      <w:r>
        <w:rPr>
          <w:color w:val="000000"/>
        </w:rPr>
        <w:t>3.8%</w:t>
      </w:r>
      <w:r>
        <w:rPr>
          <w:color w:val="000000"/>
        </w:rPr>
        <w:t>，通胀明显回升，美元指数大幅走强至</w:t>
      </w:r>
      <w:r>
        <w:rPr>
          <w:color w:val="000000"/>
        </w:rPr>
        <w:t>94</w:t>
      </w:r>
      <w:r>
        <w:rPr>
          <w:color w:val="000000"/>
        </w:rPr>
        <w:t>上方。欧元区经济复苏势头延续放缓，二季度制造业</w:t>
      </w:r>
      <w:r>
        <w:rPr>
          <w:color w:val="000000"/>
        </w:rPr>
        <w:t>PMI</w:t>
      </w:r>
      <w:r>
        <w:rPr>
          <w:color w:val="000000"/>
        </w:rPr>
        <w:t>指数从</w:t>
      </w:r>
      <w:r>
        <w:rPr>
          <w:color w:val="000000"/>
        </w:rPr>
        <w:t>56.6</w:t>
      </w:r>
      <w:r>
        <w:rPr>
          <w:color w:val="000000"/>
        </w:rPr>
        <w:t>继续下行至</w:t>
      </w:r>
      <w:r>
        <w:rPr>
          <w:color w:val="000000"/>
        </w:rPr>
        <w:t>54.9</w:t>
      </w:r>
      <w:r>
        <w:rPr>
          <w:color w:val="000000"/>
        </w:rPr>
        <w:t>，虽然通胀在油价助推下有所回暖，但经济明显放缓使欧央行维持宽松的货币政策，欧元对美元显著贬值；日本经济继续缓慢复苏，二季度制造业</w:t>
      </w:r>
      <w:r>
        <w:rPr>
          <w:color w:val="000000"/>
        </w:rPr>
        <w:t>PMI</w:t>
      </w:r>
      <w:r>
        <w:rPr>
          <w:color w:val="000000"/>
        </w:rPr>
        <w:t>指数从</w:t>
      </w:r>
      <w:r>
        <w:rPr>
          <w:color w:val="000000"/>
        </w:rPr>
        <w:t>53.1</w:t>
      </w:r>
      <w:r>
        <w:rPr>
          <w:color w:val="000000"/>
        </w:rPr>
        <w:t>小幅回落至</w:t>
      </w:r>
      <w:r>
        <w:rPr>
          <w:color w:val="000000"/>
        </w:rPr>
        <w:t>53.0</w:t>
      </w:r>
      <w:r>
        <w:rPr>
          <w:color w:val="000000"/>
        </w:rPr>
        <w:t>，通胀</w:t>
      </w:r>
      <w:r>
        <w:rPr>
          <w:color w:val="000000"/>
        </w:rPr>
        <w:t>逐步回暖，但工业产出表现不佳，日本央行仍维持谨慎。综合来看，美国经济基本面依然有包括税改和金融监管放松等多项正向因素支撑，美联储点阵图上调年内加息预期，对经济、劳动力市场及通胀的展望更加乐观，美元仍有升值压力；欧洲经济前景展望进一步走弱，全球贸易保护主义抬头、经济明显放缓、叠加意大利新政府赤字扩张破坏欧元区金融市场稳定的潜在风险，日本经济延续复苏。</w:t>
      </w:r>
    </w:p>
    <w:p w:rsidR="00630820" w:rsidRDefault="009F35F0">
      <w:pPr>
        <w:spacing w:line="360" w:lineRule="auto"/>
        <w:ind w:firstLineChars="200" w:firstLine="420"/>
        <w:rPr>
          <w:color w:val="000000"/>
        </w:rPr>
      </w:pPr>
      <w:r>
        <w:rPr>
          <w:color w:val="000000"/>
        </w:rPr>
        <w:t>国内经济方面，融资需求下行显著，违约风险加快暴露，叠加中美贸易摩擦再度反复、外需走弱，经济缓慢下行趋势不改。具体来看，二季度领先指标中采制造业</w:t>
      </w:r>
      <w:r>
        <w:rPr>
          <w:color w:val="000000"/>
        </w:rPr>
        <w:t>PMI</w:t>
      </w:r>
      <w:r>
        <w:rPr>
          <w:color w:val="000000"/>
        </w:rPr>
        <w:t>震荡持平于</w:t>
      </w:r>
      <w:r>
        <w:rPr>
          <w:color w:val="000000"/>
        </w:rPr>
        <w:t>5</w:t>
      </w:r>
      <w:r>
        <w:rPr>
          <w:color w:val="000000"/>
        </w:rPr>
        <w:t>1.5</w:t>
      </w:r>
      <w:r>
        <w:rPr>
          <w:color w:val="000000"/>
        </w:rPr>
        <w:t>，同步指标工业增加值</w:t>
      </w:r>
      <w:r>
        <w:rPr>
          <w:color w:val="000000"/>
        </w:rPr>
        <w:t>1-5</w:t>
      </w:r>
      <w:r>
        <w:rPr>
          <w:color w:val="000000"/>
        </w:rPr>
        <w:t>月同比增长</w:t>
      </w:r>
      <w:r>
        <w:rPr>
          <w:color w:val="000000"/>
        </w:rPr>
        <w:t>6.9%</w:t>
      </w:r>
      <w:r>
        <w:rPr>
          <w:color w:val="000000"/>
        </w:rPr>
        <w:t>，较一季度末回升</w:t>
      </w:r>
      <w:r>
        <w:rPr>
          <w:color w:val="000000"/>
        </w:rPr>
        <w:t>0.1</w:t>
      </w:r>
      <w:r>
        <w:rPr>
          <w:color w:val="000000"/>
        </w:rPr>
        <w:t>个百分点，但主要受益于短期企业加速复工。从经济增长动力来看，出口暂时受贸易战拖累不明显，消费与投资显著下行：</w:t>
      </w:r>
      <w:r>
        <w:rPr>
          <w:color w:val="000000"/>
        </w:rPr>
        <w:t>5</w:t>
      </w:r>
      <w:r>
        <w:rPr>
          <w:color w:val="000000"/>
        </w:rPr>
        <w:t>月美元计价出口增速较一季度末回升至</w:t>
      </w:r>
      <w:r>
        <w:rPr>
          <w:color w:val="000000"/>
        </w:rPr>
        <w:t>12.6%</w:t>
      </w:r>
      <w:r>
        <w:rPr>
          <w:color w:val="000000"/>
        </w:rPr>
        <w:t>左右，</w:t>
      </w:r>
      <w:r>
        <w:rPr>
          <w:color w:val="000000"/>
        </w:rPr>
        <w:t>5</w:t>
      </w:r>
      <w:r>
        <w:rPr>
          <w:color w:val="000000"/>
        </w:rPr>
        <w:t>月消费增速较一季度末回落至</w:t>
      </w:r>
      <w:r>
        <w:rPr>
          <w:color w:val="000000"/>
        </w:rPr>
        <w:t>8.5%</w:t>
      </w:r>
      <w:r>
        <w:rPr>
          <w:color w:val="000000"/>
        </w:rPr>
        <w:t>，依然处于较低水平；制造业投资有所反弹，房地产投资缓慢下行，基建投资大幅下降，</w:t>
      </w:r>
      <w:r>
        <w:rPr>
          <w:color w:val="000000"/>
        </w:rPr>
        <w:t>1-5</w:t>
      </w:r>
      <w:r>
        <w:rPr>
          <w:color w:val="000000"/>
        </w:rPr>
        <w:t>月固定资产投资增速较一季度末大幅回落至</w:t>
      </w:r>
      <w:r>
        <w:rPr>
          <w:color w:val="000000"/>
        </w:rPr>
        <w:t>6.1%</w:t>
      </w:r>
      <w:r>
        <w:rPr>
          <w:color w:val="000000"/>
        </w:rPr>
        <w:t>的水平。通胀方面，</w:t>
      </w:r>
      <w:r>
        <w:rPr>
          <w:color w:val="000000"/>
        </w:rPr>
        <w:t>CPI</w:t>
      </w:r>
      <w:r>
        <w:rPr>
          <w:color w:val="000000"/>
        </w:rPr>
        <w:t>总体低位徘徊，</w:t>
      </w:r>
      <w:r>
        <w:rPr>
          <w:color w:val="000000"/>
        </w:rPr>
        <w:t>5</w:t>
      </w:r>
      <w:r>
        <w:rPr>
          <w:color w:val="000000"/>
        </w:rPr>
        <w:t>月同比增速仅</w:t>
      </w:r>
      <w:r>
        <w:rPr>
          <w:color w:val="000000"/>
        </w:rPr>
        <w:t>1.8%</w:t>
      </w:r>
      <w:r>
        <w:rPr>
          <w:color w:val="000000"/>
        </w:rPr>
        <w:t>，</w:t>
      </w:r>
      <w:r>
        <w:rPr>
          <w:color w:val="000000"/>
        </w:rPr>
        <w:t>PPI</w:t>
      </w:r>
      <w:r>
        <w:rPr>
          <w:color w:val="000000"/>
        </w:rPr>
        <w:t>在生产资料价格上涨背景下小幅回升，</w:t>
      </w:r>
      <w:r>
        <w:rPr>
          <w:color w:val="000000"/>
        </w:rPr>
        <w:t>5</w:t>
      </w:r>
      <w:r>
        <w:rPr>
          <w:color w:val="000000"/>
        </w:rPr>
        <w:t>月同比增速</w:t>
      </w:r>
      <w:r>
        <w:rPr>
          <w:color w:val="000000"/>
        </w:rPr>
        <w:t>上升至</w:t>
      </w:r>
      <w:r>
        <w:rPr>
          <w:color w:val="000000"/>
        </w:rPr>
        <w:t>4.1%</w:t>
      </w:r>
      <w:r>
        <w:rPr>
          <w:color w:val="000000"/>
        </w:rPr>
        <w:t>。</w:t>
      </w:r>
    </w:p>
    <w:p w:rsidR="00630820" w:rsidRDefault="009F35F0">
      <w:pPr>
        <w:spacing w:line="360" w:lineRule="auto"/>
        <w:ind w:firstLineChars="200" w:firstLine="420"/>
        <w:rPr>
          <w:color w:val="000000"/>
        </w:rPr>
      </w:pPr>
      <w:r>
        <w:rPr>
          <w:color w:val="000000"/>
        </w:rPr>
        <w:t xml:space="preserve">2. </w:t>
      </w:r>
      <w:r>
        <w:rPr>
          <w:color w:val="000000"/>
        </w:rPr>
        <w:t>市场回顾</w:t>
      </w:r>
    </w:p>
    <w:p w:rsidR="00630820" w:rsidRDefault="009F35F0">
      <w:pPr>
        <w:spacing w:line="360" w:lineRule="auto"/>
        <w:ind w:firstLineChars="200" w:firstLine="420"/>
        <w:rPr>
          <w:color w:val="000000"/>
        </w:rPr>
      </w:pPr>
      <w:r>
        <w:rPr>
          <w:color w:val="000000"/>
        </w:rPr>
        <w:t>整体来看，二季度债市利率债品种出现了不同程度的上涨，但信用债出现下跌。其中，二季度中债总全价指数上涨</w:t>
      </w:r>
      <w:r>
        <w:rPr>
          <w:color w:val="000000"/>
        </w:rPr>
        <w:t>1.76%</w:t>
      </w:r>
      <w:r>
        <w:rPr>
          <w:color w:val="000000"/>
        </w:rPr>
        <w:t>，中债银行间国债全价指数上涨</w:t>
      </w:r>
      <w:r>
        <w:rPr>
          <w:color w:val="000000"/>
        </w:rPr>
        <w:t>1.52%</w:t>
      </w:r>
      <w:r>
        <w:rPr>
          <w:color w:val="000000"/>
        </w:rPr>
        <w:t>，中债企业债总全价指数下跌</w:t>
      </w:r>
      <w:r>
        <w:rPr>
          <w:color w:val="000000"/>
        </w:rPr>
        <w:t>0.47%</w:t>
      </w:r>
      <w:r>
        <w:rPr>
          <w:color w:val="000000"/>
        </w:rPr>
        <w:t>，在收益率曲线上，二季度收益率曲线经历了由陡变平的变化。其中，二季度</w:t>
      </w:r>
      <w:r>
        <w:rPr>
          <w:color w:val="000000"/>
        </w:rPr>
        <w:t>10</w:t>
      </w:r>
      <w:r>
        <w:rPr>
          <w:color w:val="000000"/>
        </w:rPr>
        <w:t>年期国债收益率从</w:t>
      </w:r>
      <w:r>
        <w:rPr>
          <w:color w:val="000000"/>
        </w:rPr>
        <w:t>3.74%</w:t>
      </w:r>
      <w:r>
        <w:rPr>
          <w:color w:val="000000"/>
        </w:rPr>
        <w:t>的水平下行</w:t>
      </w:r>
      <w:r>
        <w:rPr>
          <w:color w:val="000000"/>
        </w:rPr>
        <w:t>26</w:t>
      </w:r>
      <w:r>
        <w:rPr>
          <w:color w:val="000000"/>
        </w:rPr>
        <w:t>个</w:t>
      </w:r>
      <w:r>
        <w:rPr>
          <w:color w:val="000000"/>
        </w:rPr>
        <w:t>bp</w:t>
      </w:r>
      <w:r>
        <w:rPr>
          <w:color w:val="000000"/>
        </w:rPr>
        <w:t>至</w:t>
      </w:r>
      <w:r>
        <w:rPr>
          <w:color w:val="000000"/>
        </w:rPr>
        <w:t>3.48%</w:t>
      </w:r>
      <w:r>
        <w:rPr>
          <w:color w:val="000000"/>
        </w:rPr>
        <w:t>，</w:t>
      </w:r>
      <w:r>
        <w:rPr>
          <w:color w:val="000000"/>
        </w:rPr>
        <w:t>10</w:t>
      </w:r>
      <w:r>
        <w:rPr>
          <w:color w:val="000000"/>
        </w:rPr>
        <w:t>年期金融债（国开）收益率从</w:t>
      </w:r>
      <w:r>
        <w:rPr>
          <w:color w:val="000000"/>
        </w:rPr>
        <w:t>4.65%</w:t>
      </w:r>
      <w:r>
        <w:rPr>
          <w:color w:val="000000"/>
        </w:rPr>
        <w:t>下行</w:t>
      </w:r>
      <w:r>
        <w:rPr>
          <w:color w:val="000000"/>
        </w:rPr>
        <w:t>40</w:t>
      </w:r>
      <w:r>
        <w:rPr>
          <w:color w:val="000000"/>
        </w:rPr>
        <w:t>个</w:t>
      </w:r>
      <w:r>
        <w:rPr>
          <w:color w:val="000000"/>
        </w:rPr>
        <w:t>BP</w:t>
      </w:r>
      <w:r>
        <w:rPr>
          <w:color w:val="000000"/>
        </w:rPr>
        <w:t>至</w:t>
      </w:r>
      <w:r>
        <w:rPr>
          <w:color w:val="000000"/>
        </w:rPr>
        <w:t>4.25%</w:t>
      </w:r>
      <w:r>
        <w:rPr>
          <w:color w:val="000000"/>
        </w:rPr>
        <w:t>。货币市场方面，二季度央行货币政策整体中性，资金面呈现总体宽松、时点性紧张的格局。其中二季度银行</w:t>
      </w:r>
      <w:r>
        <w:rPr>
          <w:color w:val="000000"/>
        </w:rPr>
        <w:t>间</w:t>
      </w:r>
      <w:r>
        <w:rPr>
          <w:color w:val="000000"/>
        </w:rPr>
        <w:t>1</w:t>
      </w:r>
      <w:r>
        <w:rPr>
          <w:color w:val="000000"/>
        </w:rPr>
        <w:t>天回购加权平均利率均值在</w:t>
      </w:r>
      <w:r>
        <w:rPr>
          <w:color w:val="000000"/>
        </w:rPr>
        <w:t>2.73%</w:t>
      </w:r>
      <w:r>
        <w:rPr>
          <w:color w:val="000000"/>
        </w:rPr>
        <w:t>左右，较上季度均值上升</w:t>
      </w:r>
      <w:r>
        <w:rPr>
          <w:color w:val="000000"/>
        </w:rPr>
        <w:t>5bp</w:t>
      </w:r>
      <w:r>
        <w:rPr>
          <w:color w:val="000000"/>
        </w:rPr>
        <w:t>，银行间</w:t>
      </w:r>
      <w:r>
        <w:rPr>
          <w:color w:val="000000"/>
        </w:rPr>
        <w:t>7</w:t>
      </w:r>
      <w:r>
        <w:rPr>
          <w:color w:val="000000"/>
        </w:rPr>
        <w:t>天回购利率均值在</w:t>
      </w:r>
      <w:r>
        <w:rPr>
          <w:color w:val="000000"/>
        </w:rPr>
        <w:t>3.39%</w:t>
      </w:r>
      <w:r>
        <w:rPr>
          <w:color w:val="000000"/>
        </w:rPr>
        <w:t>左右，较上季度均值上升</w:t>
      </w:r>
      <w:r>
        <w:rPr>
          <w:color w:val="000000"/>
        </w:rPr>
        <w:t>18bp</w:t>
      </w:r>
      <w:r>
        <w:rPr>
          <w:color w:val="000000"/>
        </w:rPr>
        <w:t>。</w:t>
      </w:r>
    </w:p>
    <w:p w:rsidR="00630820" w:rsidRDefault="009F35F0">
      <w:pPr>
        <w:spacing w:line="360" w:lineRule="auto"/>
        <w:ind w:firstLineChars="200" w:firstLine="420"/>
        <w:rPr>
          <w:color w:val="000000"/>
        </w:rPr>
      </w:pPr>
      <w:r>
        <w:rPr>
          <w:color w:val="000000"/>
        </w:rPr>
        <w:t>可转债方面，二季度中证转债指数下跌</w:t>
      </w:r>
      <w:r>
        <w:rPr>
          <w:color w:val="000000"/>
        </w:rPr>
        <w:t>5.82%</w:t>
      </w:r>
      <w:r>
        <w:rPr>
          <w:color w:val="000000"/>
        </w:rPr>
        <w:t>，一方面权益市场在贸易战及信用风险担忧下，二季度跌幅较大，另一方面市场整体估值中枢继续上移。个券方面，与权益市场风格一致，康泰转债、万信转债二季度分别上涨</w:t>
      </w:r>
      <w:r>
        <w:rPr>
          <w:color w:val="000000"/>
        </w:rPr>
        <w:t>51.57%</w:t>
      </w:r>
      <w:r>
        <w:rPr>
          <w:color w:val="000000"/>
        </w:rPr>
        <w:t>、</w:t>
      </w:r>
      <w:r>
        <w:rPr>
          <w:color w:val="000000"/>
        </w:rPr>
        <w:t>23.38%</w:t>
      </w:r>
      <w:r>
        <w:rPr>
          <w:color w:val="000000"/>
        </w:rPr>
        <w:t>，表现相对较好。从市场波动情况看，在供给端压力相对平稳的背景下，权益市场的高波动及结构性行情主导了转债价格的波动。往后看，虽然在潜在巨量的供给之下，估值</w:t>
      </w:r>
      <w:r>
        <w:rPr>
          <w:color w:val="000000"/>
        </w:rPr>
        <w:t>短期仍难见系统性的提升，但当前市场转债的估值水平在历史上已经较低，具有一定的风险收益比，同时随着品种的持续丰富，市场结构性机会带来的择券空间将继续增加。</w:t>
      </w:r>
    </w:p>
    <w:p w:rsidR="00630820" w:rsidRDefault="009F35F0">
      <w:pPr>
        <w:spacing w:line="360" w:lineRule="auto"/>
        <w:ind w:firstLineChars="200" w:firstLine="420"/>
        <w:rPr>
          <w:color w:val="000000"/>
        </w:rPr>
      </w:pPr>
      <w:r>
        <w:rPr>
          <w:color w:val="000000"/>
        </w:rPr>
        <w:t>从权益市场来看，二季度受信用风险事件持续发酵及贸易战的影响震荡下行，市场抱团医药消费等防御性板块的特征明显，市场风险偏好低迷，主要指数跌幅均在</w:t>
      </w:r>
      <w:r>
        <w:rPr>
          <w:color w:val="000000"/>
        </w:rPr>
        <w:t>10%</w:t>
      </w:r>
      <w:r>
        <w:rPr>
          <w:color w:val="000000"/>
        </w:rPr>
        <w:t>以上。</w:t>
      </w:r>
    </w:p>
    <w:p w:rsidR="00630820" w:rsidRDefault="009F35F0">
      <w:pPr>
        <w:spacing w:line="360" w:lineRule="auto"/>
        <w:ind w:firstLineChars="200" w:firstLine="420"/>
        <w:rPr>
          <w:color w:val="000000"/>
        </w:rPr>
      </w:pPr>
      <w:r>
        <w:rPr>
          <w:color w:val="000000"/>
        </w:rPr>
        <w:t xml:space="preserve">3. </w:t>
      </w:r>
      <w:r>
        <w:rPr>
          <w:color w:val="000000"/>
        </w:rPr>
        <w:t>运行分析</w:t>
      </w:r>
    </w:p>
    <w:p w:rsidR="00630820" w:rsidRDefault="009F35F0">
      <w:pPr>
        <w:spacing w:line="360" w:lineRule="auto"/>
        <w:ind w:firstLineChars="200" w:firstLine="420"/>
        <w:rPr>
          <w:color w:val="000000"/>
        </w:rPr>
      </w:pPr>
      <w:r>
        <w:rPr>
          <w:color w:val="000000"/>
        </w:rPr>
        <w:t>本基金在二季度以风险防范为主，债券组合配置维持短久期的持有策略，低配权益类资产，部分规避了二季度权益市场的大幅调整。</w:t>
      </w:r>
    </w:p>
    <w:p w:rsidR="00630820" w:rsidRDefault="009F35F0">
      <w:pPr>
        <w:spacing w:line="360" w:lineRule="auto"/>
        <w:ind w:firstLineChars="200" w:firstLine="420"/>
        <w:rPr>
          <w:color w:val="000000"/>
        </w:rPr>
      </w:pPr>
      <w:r>
        <w:rPr>
          <w:color w:val="000000"/>
        </w:rPr>
        <w:t>4.</w:t>
      </w:r>
      <w:r>
        <w:rPr>
          <w:color w:val="000000"/>
        </w:rPr>
        <w:t>市场展望和投资策略</w:t>
      </w:r>
    </w:p>
    <w:p w:rsidR="00630820" w:rsidRDefault="009F35F0">
      <w:pPr>
        <w:spacing w:line="360" w:lineRule="auto"/>
        <w:ind w:firstLineChars="200" w:firstLine="420"/>
        <w:rPr>
          <w:color w:val="000000"/>
        </w:rPr>
      </w:pPr>
      <w:r>
        <w:rPr>
          <w:color w:val="000000"/>
        </w:rPr>
        <w:t>展望未来，全球经济依然处于复苏阶段，美国经济</w:t>
      </w:r>
      <w:r>
        <w:rPr>
          <w:color w:val="000000"/>
        </w:rPr>
        <w:t>表现相对较好，欧洲经济势头延续放缓，中美贸易摩擦延续。国内宏观政策出现微调，海外压力已经开始影响决策层的决策基础，但依然延续淡化总量强调结构的思路。财政政策积极的取向不变，但持续关注地方政府债务、房地产市场以及国企过度举债三大领域的风险，社会融资规模增速显著下降。</w:t>
      </w:r>
    </w:p>
    <w:p w:rsidR="00630820" w:rsidRDefault="009F35F0">
      <w:pPr>
        <w:spacing w:line="360" w:lineRule="auto"/>
        <w:ind w:firstLineChars="200" w:firstLine="420"/>
        <w:rPr>
          <w:color w:val="000000"/>
        </w:rPr>
      </w:pPr>
      <w:bookmarkStart w:id="0" w:name="_GoBack"/>
      <w:bookmarkEnd w:id="0"/>
      <w:r>
        <w:rPr>
          <w:color w:val="000000"/>
        </w:rPr>
        <w:t>我们对</w:t>
      </w:r>
      <w:r>
        <w:rPr>
          <w:color w:val="000000"/>
        </w:rPr>
        <w:t>2018</w:t>
      </w:r>
      <w:r>
        <w:rPr>
          <w:color w:val="000000"/>
        </w:rPr>
        <w:t>年三季度债券市场的走势判断保持乐观。经济基本面缓慢下行趋势不改，固定资产投资增速延续小幅下行，出口与消费增速中枢下降。货币政策转为中性偏松，保障流动性合理充裕，疏通传导渠道，以对冲融资需求下滑，同时汇率稳定不再作为主要目标，人民币趋</w:t>
      </w:r>
      <w:r>
        <w:rPr>
          <w:color w:val="000000"/>
        </w:rPr>
        <w:t>于贬值。金融严监管背景不变，但更加强调结构性去杠杆的力度和节奏。通胀对债市的压力相对可控，三季度食品价格季节性上涨预计带动</w:t>
      </w:r>
      <w:r>
        <w:rPr>
          <w:color w:val="000000"/>
        </w:rPr>
        <w:t>CPI</w:t>
      </w:r>
      <w:r>
        <w:rPr>
          <w:color w:val="000000"/>
        </w:rPr>
        <w:t>增速温和抬升，</w:t>
      </w:r>
      <w:r>
        <w:rPr>
          <w:color w:val="000000"/>
        </w:rPr>
        <w:t>PPI</w:t>
      </w:r>
      <w:r>
        <w:rPr>
          <w:color w:val="000000"/>
        </w:rPr>
        <w:t>在油价有企稳态势下上行幅度有限。在贸易保护主义抬头背景下，全球市场风险偏好大概率延续较低水平，美联储将继续加息，美元指数走势强劲，人民币对美元趋于贬值。综合上述分析，预计三季度债券收益率中枢可能呈震荡下行走势，我们将积极把握交易性机会。信用债方面，经济下行叠加去杠杆背景下需对违约风险继续保持高度关注，操作上在做好组合流动性管理的基础上，保持适度杠杆和久期，合理分</w:t>
      </w:r>
      <w:r>
        <w:rPr>
          <w:color w:val="000000"/>
        </w:rPr>
        <w:t>配各类资产，审慎精选信用债和可转债品种，积极把握投资交易机会。我们将坚持从自上而下的角度预判市场走势，并从自下而上的角度严防信用风险。权益方面，中美贸易摩擦升级以及去杠杆过程中信用风险暴露，仍将阶段性扰动市场的风险偏好，但在</w:t>
      </w:r>
      <w:r>
        <w:rPr>
          <w:color w:val="000000"/>
        </w:rPr>
        <w:t>A</w:t>
      </w:r>
      <w:r>
        <w:rPr>
          <w:color w:val="000000"/>
        </w:rPr>
        <w:t>股加入</w:t>
      </w:r>
      <w:r>
        <w:rPr>
          <w:color w:val="000000"/>
        </w:rPr>
        <w:t>MSCI</w:t>
      </w:r>
      <w:r>
        <w:rPr>
          <w:color w:val="000000"/>
        </w:rPr>
        <w:t>之后，全球投资者通过沪港通和</w:t>
      </w:r>
      <w:r>
        <w:rPr>
          <w:color w:val="000000"/>
        </w:rPr>
        <w:t>QFII</w:t>
      </w:r>
      <w:r>
        <w:rPr>
          <w:color w:val="000000"/>
        </w:rPr>
        <w:t>等机制投资中国股票市场的资金有增无减，这将成为稳定股市和引领</w:t>
      </w:r>
      <w:r>
        <w:rPr>
          <w:color w:val="000000"/>
        </w:rPr>
        <w:t>A</w:t>
      </w:r>
      <w:r>
        <w:rPr>
          <w:color w:val="000000"/>
        </w:rPr>
        <w:t>股向价值型投资转型的重要力量。我们认为，股市在经历一段时间的震荡调整之后，将会呈现积极向上的良好发展态势。我们看好代表经济转型方向的行业和领域，将积极把握结构性与波段性行情，</w:t>
      </w:r>
      <w:r>
        <w:rPr>
          <w:color w:val="000000"/>
        </w:rPr>
        <w:t>借此提升基金的业绩表现。作为基金管理者，我们将一如既往地依靠团队的努力和智慧，为投资人创造应有的回报。</w:t>
      </w:r>
    </w:p>
    <w:p w:rsidR="00630820" w:rsidRDefault="009F35F0">
      <w:pPr>
        <w:spacing w:line="360" w:lineRule="auto"/>
        <w:rPr>
          <w:b/>
          <w:bCs/>
        </w:rPr>
      </w:pPr>
      <w:r>
        <w:rPr>
          <w:b/>
          <w:bCs/>
        </w:rPr>
        <w:t>4.</w:t>
      </w:r>
      <w:r>
        <w:rPr>
          <w:rFonts w:hint="eastAsia"/>
          <w:b/>
          <w:bCs/>
        </w:rPr>
        <w:t>5</w:t>
      </w:r>
      <w:r>
        <w:rPr>
          <w:b/>
          <w:bCs/>
        </w:rPr>
        <w:t>报告期内基金的业绩表现</w:t>
      </w:r>
    </w:p>
    <w:p w:rsidR="00630820" w:rsidRDefault="009F35F0">
      <w:pPr>
        <w:spacing w:line="360" w:lineRule="auto"/>
        <w:ind w:firstLineChars="200" w:firstLine="420"/>
        <w:rPr>
          <w:color w:val="000000"/>
        </w:rPr>
      </w:pPr>
      <w:r>
        <w:rPr>
          <w:color w:val="000000"/>
        </w:rPr>
        <w:t>截至</w:t>
      </w:r>
      <w:r>
        <w:rPr>
          <w:color w:val="000000"/>
        </w:rPr>
        <w:t>2018</w:t>
      </w:r>
      <w:r>
        <w:rPr>
          <w:color w:val="000000"/>
        </w:rPr>
        <w:t>年二季度为止，季度内本基金份额净值增长率为</w:t>
      </w:r>
      <w:r>
        <w:rPr>
          <w:color w:val="000000"/>
        </w:rPr>
        <w:t>0.66%</w:t>
      </w:r>
      <w:r>
        <w:rPr>
          <w:color w:val="000000"/>
        </w:rPr>
        <w:t>，同期业绩比较基准收益率为</w:t>
      </w:r>
      <w:r>
        <w:rPr>
          <w:color w:val="000000"/>
        </w:rPr>
        <w:t>-0.11%</w:t>
      </w:r>
      <w:r>
        <w:rPr>
          <w:color w:val="000000"/>
        </w:rPr>
        <w:t>。</w:t>
      </w:r>
    </w:p>
    <w:p w:rsidR="00630820" w:rsidRDefault="009F35F0">
      <w:pPr>
        <w:autoSpaceDE w:val="0"/>
        <w:autoSpaceDN w:val="0"/>
        <w:adjustRightInd w:val="0"/>
        <w:spacing w:line="360" w:lineRule="auto"/>
        <w:jc w:val="left"/>
        <w:rPr>
          <w:b/>
          <w:bCs/>
          <w:color w:val="000000"/>
          <w:kern w:val="0"/>
        </w:rPr>
      </w:pPr>
      <w:r>
        <w:rPr>
          <w:b/>
          <w:bCs/>
          <w:color w:val="000000"/>
          <w:kern w:val="0"/>
        </w:rPr>
        <w:t>4.6</w:t>
      </w:r>
      <w:r>
        <w:rPr>
          <w:b/>
          <w:bCs/>
          <w:color w:val="000000"/>
          <w:kern w:val="0"/>
        </w:rPr>
        <w:t>报告期内基金持有人数或基金资产净值预警说明</w:t>
      </w:r>
    </w:p>
    <w:p w:rsidR="00630820" w:rsidRDefault="009F35F0">
      <w:pPr>
        <w:spacing w:line="360" w:lineRule="auto"/>
        <w:ind w:firstLineChars="200" w:firstLine="420"/>
        <w:rPr>
          <w:color w:val="000000"/>
        </w:rPr>
      </w:pPr>
      <w:r>
        <w:rPr>
          <w:color w:val="000000"/>
        </w:rPr>
        <w:t>截至本报告期末，本基金已连续超过</w:t>
      </w:r>
      <w:r>
        <w:rPr>
          <w:color w:val="000000"/>
        </w:rPr>
        <w:t>60</w:t>
      </w:r>
      <w:r>
        <w:rPr>
          <w:color w:val="000000"/>
        </w:rPr>
        <w:t>个工作日出现基金资产净值低于</w:t>
      </w:r>
      <w:r>
        <w:rPr>
          <w:color w:val="000000"/>
        </w:rPr>
        <w:t>5000</w:t>
      </w:r>
      <w:r>
        <w:rPr>
          <w:color w:val="000000"/>
        </w:rPr>
        <w:t>万元的情形。</w:t>
      </w:r>
    </w:p>
    <w:p w:rsidR="00630820" w:rsidRDefault="009F35F0">
      <w:pPr>
        <w:pStyle w:val="1"/>
        <w:spacing w:before="0" w:after="0" w:line="360" w:lineRule="auto"/>
        <w:jc w:val="center"/>
        <w:rPr>
          <w:color w:val="000000"/>
          <w:kern w:val="0"/>
          <w:sz w:val="24"/>
          <w:szCs w:val="24"/>
        </w:rPr>
      </w:pPr>
      <w:r>
        <w:rPr>
          <w:color w:val="000000"/>
          <w:kern w:val="0"/>
          <w:sz w:val="24"/>
          <w:szCs w:val="24"/>
        </w:rPr>
        <w:t xml:space="preserve">§5  </w:t>
      </w:r>
      <w:r>
        <w:rPr>
          <w:color w:val="000000"/>
          <w:kern w:val="0"/>
          <w:sz w:val="24"/>
          <w:szCs w:val="24"/>
        </w:rPr>
        <w:t>投资组合报告</w:t>
      </w:r>
    </w:p>
    <w:p w:rsidR="00630820" w:rsidRDefault="009F35F0">
      <w:pPr>
        <w:autoSpaceDE w:val="0"/>
        <w:autoSpaceDN w:val="0"/>
        <w:adjustRightInd w:val="0"/>
        <w:spacing w:line="360" w:lineRule="auto"/>
        <w:jc w:val="left"/>
        <w:rPr>
          <w:b/>
          <w:bCs/>
          <w:color w:val="000000"/>
          <w:kern w:val="0"/>
          <w:sz w:val="24"/>
          <w:szCs w:val="24"/>
        </w:rPr>
      </w:pPr>
      <w:r>
        <w:rPr>
          <w:b/>
          <w:bCs/>
          <w:color w:val="000000"/>
          <w:kern w:val="0"/>
          <w:sz w:val="24"/>
          <w:szCs w:val="24"/>
        </w:rPr>
        <w:t xml:space="preserve">5.1 </w:t>
      </w:r>
      <w:r>
        <w:rPr>
          <w:b/>
          <w:bCs/>
          <w:color w:val="000000"/>
          <w:kern w:val="0"/>
          <w:sz w:val="24"/>
          <w:szCs w:val="24"/>
        </w:rPr>
        <w:t>报告期末基金资产组合情况</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3209"/>
        <w:gridCol w:w="2977"/>
        <w:gridCol w:w="2176"/>
      </w:tblGrid>
      <w:tr w:rsidR="00630820">
        <w:trPr>
          <w:jc w:val="center"/>
        </w:trPr>
        <w:tc>
          <w:tcPr>
            <w:tcW w:w="720" w:type="dxa"/>
            <w:vAlign w:val="center"/>
          </w:tcPr>
          <w:p w:rsidR="00630820" w:rsidRDefault="009F35F0">
            <w:pPr>
              <w:spacing w:before="29"/>
              <w:ind w:left="17"/>
              <w:jc w:val="center"/>
              <w:rPr>
                <w:color w:val="000000"/>
                <w:kern w:val="0"/>
              </w:rPr>
            </w:pPr>
            <w:r>
              <w:rPr>
                <w:color w:val="000000"/>
                <w:kern w:val="0"/>
              </w:rPr>
              <w:t>序号</w:t>
            </w:r>
          </w:p>
        </w:tc>
        <w:tc>
          <w:tcPr>
            <w:tcW w:w="3209" w:type="dxa"/>
            <w:vAlign w:val="center"/>
          </w:tcPr>
          <w:p w:rsidR="00630820" w:rsidRDefault="009F35F0">
            <w:pPr>
              <w:spacing w:before="29"/>
              <w:ind w:left="17"/>
              <w:jc w:val="center"/>
              <w:rPr>
                <w:color w:val="000000"/>
                <w:kern w:val="0"/>
              </w:rPr>
            </w:pPr>
            <w:r>
              <w:rPr>
                <w:color w:val="000000"/>
                <w:kern w:val="0"/>
              </w:rPr>
              <w:t>项目</w:t>
            </w:r>
          </w:p>
        </w:tc>
        <w:tc>
          <w:tcPr>
            <w:tcW w:w="2977" w:type="dxa"/>
            <w:vAlign w:val="center"/>
          </w:tcPr>
          <w:p w:rsidR="00630820" w:rsidRDefault="009F35F0">
            <w:pPr>
              <w:spacing w:before="29"/>
              <w:ind w:left="17"/>
              <w:jc w:val="center"/>
              <w:rPr>
                <w:color w:val="000000"/>
                <w:kern w:val="0"/>
              </w:rPr>
            </w:pPr>
            <w:r>
              <w:rPr>
                <w:color w:val="000000"/>
                <w:kern w:val="0"/>
              </w:rPr>
              <w:t>金额</w:t>
            </w:r>
            <w:r>
              <w:rPr>
                <w:color w:val="000000"/>
                <w:kern w:val="0"/>
              </w:rPr>
              <w:t>(</w:t>
            </w:r>
            <w:r>
              <w:rPr>
                <w:color w:val="000000"/>
                <w:kern w:val="0"/>
              </w:rPr>
              <w:t>元</w:t>
            </w:r>
            <w:r>
              <w:rPr>
                <w:color w:val="000000"/>
                <w:kern w:val="0"/>
              </w:rPr>
              <w:t>)</w:t>
            </w:r>
          </w:p>
        </w:tc>
        <w:tc>
          <w:tcPr>
            <w:tcW w:w="2176" w:type="dxa"/>
            <w:vAlign w:val="center"/>
          </w:tcPr>
          <w:p w:rsidR="00630820" w:rsidRDefault="009F35F0">
            <w:pPr>
              <w:spacing w:before="29"/>
              <w:ind w:left="17"/>
              <w:jc w:val="center"/>
              <w:rPr>
                <w:color w:val="000000"/>
                <w:kern w:val="0"/>
              </w:rPr>
            </w:pPr>
            <w:r>
              <w:rPr>
                <w:color w:val="000000"/>
                <w:kern w:val="0"/>
              </w:rPr>
              <w:t>占基金总资产的比例</w:t>
            </w:r>
            <w:r>
              <w:rPr>
                <w:color w:val="000000"/>
                <w:kern w:val="0"/>
              </w:rPr>
              <w:t>(%)</w:t>
            </w:r>
          </w:p>
        </w:tc>
      </w:tr>
      <w:tr w:rsidR="00630820">
        <w:trPr>
          <w:jc w:val="center"/>
        </w:trPr>
        <w:tc>
          <w:tcPr>
            <w:tcW w:w="720" w:type="dxa"/>
            <w:vAlign w:val="center"/>
          </w:tcPr>
          <w:p w:rsidR="00630820" w:rsidRDefault="009F35F0">
            <w:pPr>
              <w:spacing w:before="29"/>
              <w:ind w:left="17"/>
              <w:jc w:val="center"/>
              <w:rPr>
                <w:color w:val="000000"/>
                <w:kern w:val="0"/>
              </w:rPr>
            </w:pPr>
            <w:r>
              <w:rPr>
                <w:color w:val="000000"/>
                <w:kern w:val="0"/>
              </w:rPr>
              <w:t>1</w:t>
            </w:r>
          </w:p>
        </w:tc>
        <w:tc>
          <w:tcPr>
            <w:tcW w:w="3209" w:type="dxa"/>
            <w:vAlign w:val="center"/>
          </w:tcPr>
          <w:p w:rsidR="00630820" w:rsidRDefault="009F35F0">
            <w:pPr>
              <w:spacing w:before="29"/>
              <w:ind w:left="17"/>
              <w:jc w:val="left"/>
              <w:rPr>
                <w:kern w:val="0"/>
              </w:rPr>
            </w:pPr>
            <w:r>
              <w:rPr>
                <w:color w:val="000000"/>
                <w:kern w:val="0"/>
              </w:rPr>
              <w:t>权益投资</w:t>
            </w:r>
          </w:p>
        </w:tc>
        <w:tc>
          <w:tcPr>
            <w:tcW w:w="2977" w:type="dxa"/>
            <w:vAlign w:val="center"/>
          </w:tcPr>
          <w:p w:rsidR="00630820" w:rsidRDefault="009F35F0">
            <w:pPr>
              <w:spacing w:before="29"/>
              <w:ind w:left="17"/>
              <w:jc w:val="right"/>
              <w:rPr>
                <w:color w:val="000000"/>
                <w:kern w:val="0"/>
              </w:rPr>
            </w:pPr>
            <w:r>
              <w:rPr>
                <w:color w:val="000000"/>
                <w:kern w:val="0"/>
              </w:rPr>
              <w:t>-</w:t>
            </w:r>
          </w:p>
        </w:tc>
        <w:tc>
          <w:tcPr>
            <w:tcW w:w="2176" w:type="dxa"/>
            <w:vAlign w:val="center"/>
          </w:tcPr>
          <w:p w:rsidR="00630820" w:rsidRDefault="009F35F0">
            <w:pPr>
              <w:spacing w:before="29"/>
              <w:ind w:left="17"/>
              <w:jc w:val="right"/>
              <w:rPr>
                <w:color w:val="000000"/>
                <w:kern w:val="0"/>
              </w:rPr>
            </w:pPr>
            <w:r>
              <w:rPr>
                <w:color w:val="000000"/>
                <w:kern w:val="0"/>
              </w:rPr>
              <w:t>-</w:t>
            </w:r>
          </w:p>
        </w:tc>
      </w:tr>
      <w:tr w:rsidR="00630820">
        <w:trPr>
          <w:jc w:val="center"/>
        </w:trPr>
        <w:tc>
          <w:tcPr>
            <w:tcW w:w="720" w:type="dxa"/>
            <w:vAlign w:val="center"/>
          </w:tcPr>
          <w:p w:rsidR="00630820" w:rsidRDefault="00630820">
            <w:pPr>
              <w:spacing w:before="29"/>
              <w:ind w:left="17"/>
              <w:jc w:val="center"/>
              <w:rPr>
                <w:color w:val="000000"/>
                <w:kern w:val="0"/>
              </w:rPr>
            </w:pPr>
          </w:p>
        </w:tc>
        <w:tc>
          <w:tcPr>
            <w:tcW w:w="3209" w:type="dxa"/>
            <w:vAlign w:val="center"/>
          </w:tcPr>
          <w:p w:rsidR="00630820" w:rsidRDefault="009F35F0">
            <w:pPr>
              <w:spacing w:before="29"/>
              <w:ind w:left="17"/>
              <w:jc w:val="left"/>
              <w:rPr>
                <w:kern w:val="0"/>
              </w:rPr>
            </w:pPr>
            <w:r>
              <w:rPr>
                <w:color w:val="000000"/>
                <w:kern w:val="0"/>
              </w:rPr>
              <w:t>其中：股票</w:t>
            </w:r>
          </w:p>
        </w:tc>
        <w:tc>
          <w:tcPr>
            <w:tcW w:w="2977" w:type="dxa"/>
            <w:vAlign w:val="center"/>
          </w:tcPr>
          <w:p w:rsidR="00630820" w:rsidRDefault="009F35F0">
            <w:pPr>
              <w:spacing w:before="29"/>
              <w:ind w:left="17"/>
              <w:jc w:val="right"/>
              <w:rPr>
                <w:color w:val="000000"/>
                <w:kern w:val="0"/>
              </w:rPr>
            </w:pPr>
            <w:r>
              <w:rPr>
                <w:color w:val="000000"/>
                <w:kern w:val="0"/>
              </w:rPr>
              <w:t>-</w:t>
            </w:r>
          </w:p>
        </w:tc>
        <w:tc>
          <w:tcPr>
            <w:tcW w:w="2176" w:type="dxa"/>
            <w:vAlign w:val="center"/>
          </w:tcPr>
          <w:p w:rsidR="00630820" w:rsidRDefault="009F35F0">
            <w:pPr>
              <w:spacing w:before="29"/>
              <w:ind w:left="17"/>
              <w:jc w:val="right"/>
              <w:rPr>
                <w:color w:val="000000"/>
                <w:kern w:val="0"/>
              </w:rPr>
            </w:pPr>
            <w:r>
              <w:rPr>
                <w:color w:val="000000"/>
                <w:kern w:val="0"/>
              </w:rPr>
              <w:t>-</w:t>
            </w:r>
          </w:p>
        </w:tc>
      </w:tr>
      <w:tr w:rsidR="00630820">
        <w:trPr>
          <w:jc w:val="center"/>
        </w:trPr>
        <w:tc>
          <w:tcPr>
            <w:tcW w:w="720" w:type="dxa"/>
            <w:vAlign w:val="center"/>
          </w:tcPr>
          <w:p w:rsidR="00630820" w:rsidRDefault="009F35F0">
            <w:pPr>
              <w:spacing w:before="29"/>
              <w:ind w:left="17"/>
              <w:jc w:val="center"/>
              <w:rPr>
                <w:color w:val="000000"/>
                <w:kern w:val="0"/>
              </w:rPr>
            </w:pPr>
            <w:r>
              <w:rPr>
                <w:color w:val="000000"/>
                <w:kern w:val="0"/>
              </w:rPr>
              <w:t>2</w:t>
            </w:r>
          </w:p>
        </w:tc>
        <w:tc>
          <w:tcPr>
            <w:tcW w:w="3209" w:type="dxa"/>
            <w:vAlign w:val="center"/>
          </w:tcPr>
          <w:p w:rsidR="00630820" w:rsidRDefault="009F35F0">
            <w:pPr>
              <w:spacing w:before="29"/>
              <w:ind w:left="17"/>
              <w:jc w:val="left"/>
              <w:rPr>
                <w:kern w:val="0"/>
              </w:rPr>
            </w:pPr>
            <w:r>
              <w:rPr>
                <w:color w:val="000000"/>
                <w:kern w:val="0"/>
              </w:rPr>
              <w:t>固定收益投资</w:t>
            </w:r>
          </w:p>
        </w:tc>
        <w:tc>
          <w:tcPr>
            <w:tcW w:w="2977" w:type="dxa"/>
            <w:vAlign w:val="center"/>
          </w:tcPr>
          <w:p w:rsidR="00630820" w:rsidRDefault="009F35F0">
            <w:pPr>
              <w:spacing w:before="29"/>
              <w:ind w:left="17"/>
              <w:jc w:val="right"/>
              <w:rPr>
                <w:color w:val="000000"/>
                <w:kern w:val="0"/>
              </w:rPr>
            </w:pPr>
            <w:r>
              <w:rPr>
                <w:color w:val="000000"/>
                <w:kern w:val="0"/>
              </w:rPr>
              <w:t>-</w:t>
            </w:r>
          </w:p>
        </w:tc>
        <w:tc>
          <w:tcPr>
            <w:tcW w:w="2176" w:type="dxa"/>
            <w:vAlign w:val="center"/>
          </w:tcPr>
          <w:p w:rsidR="00630820" w:rsidRDefault="009F35F0">
            <w:pPr>
              <w:spacing w:before="29"/>
              <w:ind w:left="17"/>
              <w:jc w:val="right"/>
              <w:rPr>
                <w:color w:val="000000"/>
                <w:kern w:val="0"/>
              </w:rPr>
            </w:pPr>
            <w:r>
              <w:rPr>
                <w:color w:val="000000"/>
                <w:kern w:val="0"/>
              </w:rPr>
              <w:t>-</w:t>
            </w:r>
          </w:p>
        </w:tc>
      </w:tr>
      <w:tr w:rsidR="00630820">
        <w:trPr>
          <w:jc w:val="center"/>
        </w:trPr>
        <w:tc>
          <w:tcPr>
            <w:tcW w:w="720" w:type="dxa"/>
            <w:vAlign w:val="center"/>
          </w:tcPr>
          <w:p w:rsidR="00630820" w:rsidRDefault="00630820">
            <w:pPr>
              <w:spacing w:before="29"/>
              <w:ind w:left="17"/>
              <w:jc w:val="center"/>
              <w:rPr>
                <w:color w:val="000000"/>
                <w:kern w:val="0"/>
              </w:rPr>
            </w:pPr>
          </w:p>
        </w:tc>
        <w:tc>
          <w:tcPr>
            <w:tcW w:w="3209" w:type="dxa"/>
            <w:vAlign w:val="center"/>
          </w:tcPr>
          <w:p w:rsidR="00630820" w:rsidRDefault="009F35F0">
            <w:pPr>
              <w:spacing w:before="29"/>
              <w:ind w:left="17"/>
              <w:jc w:val="left"/>
              <w:rPr>
                <w:kern w:val="0"/>
              </w:rPr>
            </w:pPr>
            <w:r>
              <w:rPr>
                <w:color w:val="000000"/>
                <w:kern w:val="0"/>
              </w:rPr>
              <w:t>其中：债券</w:t>
            </w:r>
          </w:p>
        </w:tc>
        <w:tc>
          <w:tcPr>
            <w:tcW w:w="2977" w:type="dxa"/>
            <w:vAlign w:val="center"/>
          </w:tcPr>
          <w:p w:rsidR="00630820" w:rsidRDefault="009F35F0">
            <w:pPr>
              <w:spacing w:before="29"/>
              <w:ind w:left="17"/>
              <w:jc w:val="right"/>
              <w:rPr>
                <w:color w:val="000000"/>
                <w:kern w:val="0"/>
              </w:rPr>
            </w:pPr>
            <w:r>
              <w:rPr>
                <w:color w:val="000000"/>
                <w:kern w:val="0"/>
              </w:rPr>
              <w:t>-</w:t>
            </w:r>
          </w:p>
        </w:tc>
        <w:tc>
          <w:tcPr>
            <w:tcW w:w="2176" w:type="dxa"/>
            <w:vAlign w:val="center"/>
          </w:tcPr>
          <w:p w:rsidR="00630820" w:rsidRDefault="009F35F0">
            <w:pPr>
              <w:spacing w:before="29"/>
              <w:ind w:left="17"/>
              <w:jc w:val="right"/>
              <w:rPr>
                <w:color w:val="000000"/>
                <w:kern w:val="0"/>
              </w:rPr>
            </w:pPr>
            <w:r>
              <w:rPr>
                <w:color w:val="000000"/>
                <w:kern w:val="0"/>
              </w:rPr>
              <w:t>-</w:t>
            </w:r>
          </w:p>
        </w:tc>
      </w:tr>
      <w:tr w:rsidR="00630820">
        <w:trPr>
          <w:jc w:val="center"/>
        </w:trPr>
        <w:tc>
          <w:tcPr>
            <w:tcW w:w="720" w:type="dxa"/>
            <w:vAlign w:val="center"/>
          </w:tcPr>
          <w:p w:rsidR="00630820" w:rsidRDefault="00630820">
            <w:pPr>
              <w:spacing w:before="29"/>
              <w:ind w:left="17"/>
              <w:jc w:val="center"/>
              <w:rPr>
                <w:color w:val="000000"/>
                <w:kern w:val="0"/>
              </w:rPr>
            </w:pPr>
          </w:p>
        </w:tc>
        <w:tc>
          <w:tcPr>
            <w:tcW w:w="3209" w:type="dxa"/>
            <w:vAlign w:val="center"/>
          </w:tcPr>
          <w:p w:rsidR="00630820" w:rsidRDefault="009F35F0">
            <w:pPr>
              <w:autoSpaceDE w:val="0"/>
              <w:autoSpaceDN w:val="0"/>
              <w:adjustRightInd w:val="0"/>
              <w:spacing w:before="29"/>
              <w:ind w:left="17"/>
              <w:jc w:val="left"/>
              <w:rPr>
                <w:color w:val="000000"/>
                <w:kern w:val="0"/>
              </w:rPr>
            </w:pPr>
            <w:r>
              <w:rPr>
                <w:color w:val="000000"/>
                <w:kern w:val="0"/>
              </w:rPr>
              <w:t>资产支持证券</w:t>
            </w:r>
          </w:p>
        </w:tc>
        <w:tc>
          <w:tcPr>
            <w:tcW w:w="2977" w:type="dxa"/>
            <w:vAlign w:val="center"/>
          </w:tcPr>
          <w:p w:rsidR="00630820" w:rsidRDefault="009F35F0">
            <w:pPr>
              <w:spacing w:before="29"/>
              <w:ind w:left="17"/>
              <w:jc w:val="right"/>
              <w:rPr>
                <w:color w:val="000000"/>
                <w:kern w:val="0"/>
              </w:rPr>
            </w:pPr>
            <w:r>
              <w:rPr>
                <w:color w:val="000000"/>
                <w:kern w:val="0"/>
              </w:rPr>
              <w:t>-</w:t>
            </w:r>
          </w:p>
        </w:tc>
        <w:tc>
          <w:tcPr>
            <w:tcW w:w="2176" w:type="dxa"/>
            <w:vAlign w:val="center"/>
          </w:tcPr>
          <w:p w:rsidR="00630820" w:rsidRDefault="009F35F0">
            <w:pPr>
              <w:spacing w:before="29"/>
              <w:ind w:left="17"/>
              <w:jc w:val="right"/>
              <w:rPr>
                <w:color w:val="000000"/>
                <w:kern w:val="0"/>
              </w:rPr>
            </w:pPr>
            <w:r>
              <w:rPr>
                <w:color w:val="000000"/>
                <w:kern w:val="0"/>
              </w:rPr>
              <w:t>-</w:t>
            </w:r>
          </w:p>
        </w:tc>
      </w:tr>
      <w:tr w:rsidR="00630820">
        <w:trPr>
          <w:jc w:val="center"/>
        </w:trPr>
        <w:tc>
          <w:tcPr>
            <w:tcW w:w="720" w:type="dxa"/>
          </w:tcPr>
          <w:p w:rsidR="00630820" w:rsidRDefault="009F35F0">
            <w:pPr>
              <w:spacing w:before="29"/>
              <w:ind w:left="17"/>
              <w:jc w:val="center"/>
              <w:rPr>
                <w:color w:val="000000"/>
                <w:kern w:val="0"/>
              </w:rPr>
            </w:pPr>
            <w:r>
              <w:rPr>
                <w:color w:val="000000"/>
                <w:kern w:val="0"/>
              </w:rPr>
              <w:t>3</w:t>
            </w:r>
          </w:p>
        </w:tc>
        <w:tc>
          <w:tcPr>
            <w:tcW w:w="3209" w:type="dxa"/>
          </w:tcPr>
          <w:p w:rsidR="00630820" w:rsidRDefault="009F35F0">
            <w:pPr>
              <w:spacing w:before="29"/>
              <w:ind w:leftChars="50" w:left="105"/>
              <w:rPr>
                <w:color w:val="000000"/>
                <w:kern w:val="0"/>
              </w:rPr>
            </w:pPr>
            <w:r>
              <w:rPr>
                <w:color w:val="000000"/>
                <w:kern w:val="0"/>
              </w:rPr>
              <w:t>贵金属投资</w:t>
            </w:r>
          </w:p>
        </w:tc>
        <w:tc>
          <w:tcPr>
            <w:tcW w:w="2977" w:type="dxa"/>
            <w:vAlign w:val="center"/>
          </w:tcPr>
          <w:p w:rsidR="00630820" w:rsidRDefault="009F35F0">
            <w:pPr>
              <w:spacing w:before="29"/>
              <w:ind w:left="17"/>
              <w:jc w:val="right"/>
              <w:rPr>
                <w:color w:val="000000"/>
                <w:kern w:val="0"/>
              </w:rPr>
            </w:pPr>
            <w:r>
              <w:rPr>
                <w:color w:val="000000"/>
                <w:kern w:val="0"/>
              </w:rPr>
              <w:t>-</w:t>
            </w:r>
          </w:p>
        </w:tc>
        <w:tc>
          <w:tcPr>
            <w:tcW w:w="2176" w:type="dxa"/>
            <w:vAlign w:val="center"/>
          </w:tcPr>
          <w:p w:rsidR="00630820" w:rsidRDefault="009F35F0">
            <w:pPr>
              <w:spacing w:before="29"/>
              <w:ind w:left="17"/>
              <w:jc w:val="right"/>
              <w:rPr>
                <w:color w:val="000000"/>
                <w:kern w:val="0"/>
              </w:rPr>
            </w:pPr>
            <w:r>
              <w:rPr>
                <w:color w:val="000000"/>
                <w:kern w:val="0"/>
              </w:rPr>
              <w:t>-</w:t>
            </w:r>
          </w:p>
        </w:tc>
      </w:tr>
      <w:tr w:rsidR="00630820">
        <w:trPr>
          <w:jc w:val="center"/>
        </w:trPr>
        <w:tc>
          <w:tcPr>
            <w:tcW w:w="720" w:type="dxa"/>
            <w:vAlign w:val="center"/>
          </w:tcPr>
          <w:p w:rsidR="00630820" w:rsidRDefault="009F35F0">
            <w:pPr>
              <w:spacing w:before="29"/>
              <w:ind w:left="17"/>
              <w:jc w:val="center"/>
              <w:rPr>
                <w:color w:val="000000"/>
                <w:kern w:val="0"/>
              </w:rPr>
            </w:pPr>
            <w:r>
              <w:rPr>
                <w:color w:val="000000"/>
                <w:kern w:val="0"/>
              </w:rPr>
              <w:t>4</w:t>
            </w:r>
          </w:p>
        </w:tc>
        <w:tc>
          <w:tcPr>
            <w:tcW w:w="3209" w:type="dxa"/>
            <w:vAlign w:val="center"/>
          </w:tcPr>
          <w:p w:rsidR="00630820" w:rsidRDefault="009F35F0">
            <w:pPr>
              <w:spacing w:before="29"/>
              <w:ind w:left="17"/>
              <w:jc w:val="left"/>
              <w:rPr>
                <w:color w:val="000000"/>
                <w:kern w:val="0"/>
              </w:rPr>
            </w:pPr>
            <w:r>
              <w:rPr>
                <w:color w:val="000000"/>
                <w:kern w:val="0"/>
              </w:rPr>
              <w:t>金融衍生品投资</w:t>
            </w:r>
          </w:p>
        </w:tc>
        <w:tc>
          <w:tcPr>
            <w:tcW w:w="2977" w:type="dxa"/>
            <w:vAlign w:val="center"/>
          </w:tcPr>
          <w:p w:rsidR="00630820" w:rsidRDefault="009F35F0">
            <w:pPr>
              <w:spacing w:before="29"/>
              <w:ind w:left="17"/>
              <w:jc w:val="right"/>
              <w:rPr>
                <w:color w:val="000000"/>
                <w:kern w:val="0"/>
              </w:rPr>
            </w:pPr>
            <w:r>
              <w:rPr>
                <w:color w:val="000000"/>
                <w:kern w:val="0"/>
              </w:rPr>
              <w:t>-</w:t>
            </w:r>
          </w:p>
        </w:tc>
        <w:tc>
          <w:tcPr>
            <w:tcW w:w="2176" w:type="dxa"/>
            <w:vAlign w:val="center"/>
          </w:tcPr>
          <w:p w:rsidR="00630820" w:rsidRDefault="009F35F0">
            <w:pPr>
              <w:spacing w:before="29"/>
              <w:ind w:left="17"/>
              <w:jc w:val="right"/>
              <w:rPr>
                <w:color w:val="000000"/>
                <w:kern w:val="0"/>
              </w:rPr>
            </w:pPr>
            <w:r>
              <w:rPr>
                <w:color w:val="000000"/>
                <w:kern w:val="0"/>
              </w:rPr>
              <w:t>-</w:t>
            </w:r>
          </w:p>
        </w:tc>
      </w:tr>
      <w:tr w:rsidR="00630820">
        <w:trPr>
          <w:jc w:val="center"/>
        </w:trPr>
        <w:tc>
          <w:tcPr>
            <w:tcW w:w="720" w:type="dxa"/>
            <w:vAlign w:val="center"/>
          </w:tcPr>
          <w:p w:rsidR="00630820" w:rsidRDefault="009F35F0">
            <w:pPr>
              <w:spacing w:before="29"/>
              <w:ind w:left="17"/>
              <w:jc w:val="center"/>
              <w:rPr>
                <w:color w:val="000000"/>
                <w:kern w:val="0"/>
              </w:rPr>
            </w:pPr>
            <w:r>
              <w:rPr>
                <w:color w:val="000000"/>
                <w:kern w:val="0"/>
              </w:rPr>
              <w:t>5</w:t>
            </w:r>
          </w:p>
        </w:tc>
        <w:tc>
          <w:tcPr>
            <w:tcW w:w="3209" w:type="dxa"/>
            <w:vAlign w:val="center"/>
          </w:tcPr>
          <w:p w:rsidR="00630820" w:rsidRDefault="009F35F0">
            <w:pPr>
              <w:spacing w:before="29"/>
              <w:ind w:left="17"/>
              <w:jc w:val="left"/>
              <w:rPr>
                <w:kern w:val="0"/>
              </w:rPr>
            </w:pPr>
            <w:r>
              <w:rPr>
                <w:color w:val="000000"/>
                <w:kern w:val="0"/>
              </w:rPr>
              <w:t>买入返售金融资产</w:t>
            </w:r>
          </w:p>
        </w:tc>
        <w:tc>
          <w:tcPr>
            <w:tcW w:w="2977" w:type="dxa"/>
            <w:vAlign w:val="center"/>
          </w:tcPr>
          <w:p w:rsidR="00630820" w:rsidRDefault="009F35F0">
            <w:pPr>
              <w:spacing w:before="29"/>
              <w:ind w:left="17"/>
              <w:jc w:val="right"/>
              <w:rPr>
                <w:color w:val="000000"/>
                <w:kern w:val="0"/>
              </w:rPr>
            </w:pPr>
            <w:r>
              <w:rPr>
                <w:color w:val="000000"/>
                <w:kern w:val="0"/>
              </w:rPr>
              <w:t>-</w:t>
            </w:r>
          </w:p>
        </w:tc>
        <w:tc>
          <w:tcPr>
            <w:tcW w:w="2176" w:type="dxa"/>
            <w:vAlign w:val="center"/>
          </w:tcPr>
          <w:p w:rsidR="00630820" w:rsidRDefault="009F35F0">
            <w:pPr>
              <w:spacing w:before="29"/>
              <w:ind w:left="17"/>
              <w:jc w:val="right"/>
              <w:rPr>
                <w:color w:val="000000"/>
                <w:kern w:val="0"/>
              </w:rPr>
            </w:pPr>
            <w:r>
              <w:rPr>
                <w:color w:val="000000"/>
                <w:kern w:val="0"/>
              </w:rPr>
              <w:t>-</w:t>
            </w:r>
          </w:p>
        </w:tc>
      </w:tr>
      <w:tr w:rsidR="00630820">
        <w:trPr>
          <w:jc w:val="center"/>
        </w:trPr>
        <w:tc>
          <w:tcPr>
            <w:tcW w:w="720" w:type="dxa"/>
            <w:vAlign w:val="center"/>
          </w:tcPr>
          <w:p w:rsidR="00630820" w:rsidRDefault="00630820">
            <w:pPr>
              <w:spacing w:before="29"/>
              <w:ind w:left="17"/>
              <w:jc w:val="center"/>
              <w:rPr>
                <w:color w:val="000000"/>
                <w:kern w:val="0"/>
              </w:rPr>
            </w:pPr>
          </w:p>
        </w:tc>
        <w:tc>
          <w:tcPr>
            <w:tcW w:w="3209" w:type="dxa"/>
            <w:vAlign w:val="center"/>
          </w:tcPr>
          <w:p w:rsidR="00630820" w:rsidRDefault="009F35F0">
            <w:pPr>
              <w:spacing w:before="29"/>
              <w:ind w:left="17"/>
              <w:jc w:val="left"/>
              <w:rPr>
                <w:kern w:val="0"/>
              </w:rPr>
            </w:pPr>
            <w:r>
              <w:rPr>
                <w:color w:val="000000"/>
                <w:kern w:val="0"/>
              </w:rPr>
              <w:t>其中：买断式回购的买入返售金融资产</w:t>
            </w:r>
          </w:p>
        </w:tc>
        <w:tc>
          <w:tcPr>
            <w:tcW w:w="2977" w:type="dxa"/>
            <w:vAlign w:val="center"/>
          </w:tcPr>
          <w:p w:rsidR="00630820" w:rsidRDefault="009F35F0">
            <w:pPr>
              <w:spacing w:before="29"/>
              <w:ind w:left="17"/>
              <w:jc w:val="right"/>
              <w:rPr>
                <w:color w:val="000000"/>
                <w:kern w:val="0"/>
              </w:rPr>
            </w:pPr>
            <w:r>
              <w:rPr>
                <w:color w:val="000000"/>
                <w:kern w:val="0"/>
              </w:rPr>
              <w:t>-</w:t>
            </w:r>
          </w:p>
        </w:tc>
        <w:tc>
          <w:tcPr>
            <w:tcW w:w="2176" w:type="dxa"/>
            <w:vAlign w:val="center"/>
          </w:tcPr>
          <w:p w:rsidR="00630820" w:rsidRDefault="009F35F0">
            <w:pPr>
              <w:spacing w:before="29"/>
              <w:ind w:left="17"/>
              <w:jc w:val="right"/>
              <w:rPr>
                <w:color w:val="000000"/>
                <w:kern w:val="0"/>
              </w:rPr>
            </w:pPr>
            <w:r>
              <w:rPr>
                <w:color w:val="000000"/>
                <w:kern w:val="0"/>
              </w:rPr>
              <w:t>-</w:t>
            </w:r>
          </w:p>
        </w:tc>
      </w:tr>
      <w:tr w:rsidR="00630820">
        <w:trPr>
          <w:jc w:val="center"/>
        </w:trPr>
        <w:tc>
          <w:tcPr>
            <w:tcW w:w="720" w:type="dxa"/>
            <w:vAlign w:val="center"/>
          </w:tcPr>
          <w:p w:rsidR="00630820" w:rsidRDefault="009F35F0">
            <w:pPr>
              <w:spacing w:before="29"/>
              <w:ind w:left="17"/>
              <w:jc w:val="center"/>
              <w:rPr>
                <w:color w:val="000000"/>
                <w:kern w:val="0"/>
              </w:rPr>
            </w:pPr>
            <w:r>
              <w:rPr>
                <w:color w:val="000000"/>
                <w:kern w:val="0"/>
              </w:rPr>
              <w:t>6</w:t>
            </w:r>
          </w:p>
        </w:tc>
        <w:tc>
          <w:tcPr>
            <w:tcW w:w="3209" w:type="dxa"/>
            <w:vAlign w:val="center"/>
          </w:tcPr>
          <w:p w:rsidR="00630820" w:rsidRDefault="009F35F0">
            <w:pPr>
              <w:spacing w:before="29"/>
              <w:ind w:left="17"/>
              <w:jc w:val="left"/>
              <w:rPr>
                <w:kern w:val="0"/>
              </w:rPr>
            </w:pPr>
            <w:r>
              <w:rPr>
                <w:color w:val="000000"/>
                <w:kern w:val="0"/>
              </w:rPr>
              <w:t>银行存款和结算备付金合计</w:t>
            </w:r>
          </w:p>
        </w:tc>
        <w:tc>
          <w:tcPr>
            <w:tcW w:w="2977" w:type="dxa"/>
            <w:vAlign w:val="center"/>
          </w:tcPr>
          <w:p w:rsidR="00630820" w:rsidRDefault="009F35F0">
            <w:pPr>
              <w:spacing w:before="29"/>
              <w:ind w:left="17"/>
              <w:jc w:val="right"/>
              <w:rPr>
                <w:color w:val="000000"/>
                <w:kern w:val="0"/>
              </w:rPr>
            </w:pPr>
            <w:r>
              <w:rPr>
                <w:color w:val="000000"/>
                <w:kern w:val="0"/>
              </w:rPr>
              <w:t>1,240,532.51</w:t>
            </w:r>
          </w:p>
        </w:tc>
        <w:tc>
          <w:tcPr>
            <w:tcW w:w="2176" w:type="dxa"/>
            <w:vAlign w:val="center"/>
          </w:tcPr>
          <w:p w:rsidR="00630820" w:rsidRDefault="009F35F0">
            <w:pPr>
              <w:spacing w:before="29"/>
              <w:ind w:left="17"/>
              <w:jc w:val="right"/>
              <w:rPr>
                <w:color w:val="000000"/>
                <w:kern w:val="0"/>
              </w:rPr>
            </w:pPr>
            <w:r>
              <w:rPr>
                <w:color w:val="000000"/>
                <w:kern w:val="0"/>
              </w:rPr>
              <w:t>96.37</w:t>
            </w:r>
          </w:p>
        </w:tc>
      </w:tr>
      <w:tr w:rsidR="00630820">
        <w:trPr>
          <w:jc w:val="center"/>
        </w:trPr>
        <w:tc>
          <w:tcPr>
            <w:tcW w:w="720" w:type="dxa"/>
            <w:vAlign w:val="center"/>
          </w:tcPr>
          <w:p w:rsidR="00630820" w:rsidRDefault="009F35F0">
            <w:pPr>
              <w:spacing w:before="29"/>
              <w:ind w:left="17"/>
              <w:jc w:val="center"/>
              <w:rPr>
                <w:color w:val="000000"/>
                <w:kern w:val="0"/>
              </w:rPr>
            </w:pPr>
            <w:r>
              <w:rPr>
                <w:color w:val="000000"/>
                <w:kern w:val="0"/>
              </w:rPr>
              <w:t>7</w:t>
            </w:r>
          </w:p>
        </w:tc>
        <w:tc>
          <w:tcPr>
            <w:tcW w:w="3209" w:type="dxa"/>
            <w:vAlign w:val="center"/>
          </w:tcPr>
          <w:p w:rsidR="00630820" w:rsidRDefault="009F35F0">
            <w:pPr>
              <w:jc w:val="left"/>
              <w:rPr>
                <w:kern w:val="0"/>
              </w:rPr>
            </w:pPr>
            <w:r>
              <w:rPr>
                <w:color w:val="000000"/>
                <w:kern w:val="0"/>
              </w:rPr>
              <w:t>其他各项资产</w:t>
            </w:r>
          </w:p>
        </w:tc>
        <w:tc>
          <w:tcPr>
            <w:tcW w:w="2977" w:type="dxa"/>
            <w:vAlign w:val="center"/>
          </w:tcPr>
          <w:p w:rsidR="00630820" w:rsidRDefault="009F35F0">
            <w:pPr>
              <w:jc w:val="right"/>
              <w:rPr>
                <w:color w:val="000000"/>
                <w:kern w:val="0"/>
              </w:rPr>
            </w:pPr>
            <w:r>
              <w:rPr>
                <w:color w:val="000000"/>
                <w:kern w:val="0"/>
              </w:rPr>
              <w:t>46,699.08</w:t>
            </w:r>
          </w:p>
        </w:tc>
        <w:tc>
          <w:tcPr>
            <w:tcW w:w="2176" w:type="dxa"/>
            <w:vAlign w:val="center"/>
          </w:tcPr>
          <w:p w:rsidR="00630820" w:rsidRDefault="009F35F0">
            <w:pPr>
              <w:jc w:val="right"/>
              <w:rPr>
                <w:color w:val="000000"/>
                <w:kern w:val="0"/>
              </w:rPr>
            </w:pPr>
            <w:r>
              <w:rPr>
                <w:color w:val="000000"/>
                <w:kern w:val="0"/>
              </w:rPr>
              <w:t>3.63</w:t>
            </w:r>
          </w:p>
        </w:tc>
      </w:tr>
      <w:tr w:rsidR="00630820">
        <w:trPr>
          <w:jc w:val="center"/>
        </w:trPr>
        <w:tc>
          <w:tcPr>
            <w:tcW w:w="720" w:type="dxa"/>
            <w:vAlign w:val="center"/>
          </w:tcPr>
          <w:p w:rsidR="00630820" w:rsidRDefault="009F35F0">
            <w:pPr>
              <w:spacing w:before="29"/>
              <w:ind w:left="17"/>
              <w:jc w:val="center"/>
              <w:rPr>
                <w:color w:val="000000"/>
                <w:kern w:val="0"/>
              </w:rPr>
            </w:pPr>
            <w:r>
              <w:rPr>
                <w:color w:val="000000"/>
                <w:kern w:val="0"/>
              </w:rPr>
              <w:t>8</w:t>
            </w:r>
          </w:p>
        </w:tc>
        <w:tc>
          <w:tcPr>
            <w:tcW w:w="3209" w:type="dxa"/>
            <w:vAlign w:val="center"/>
          </w:tcPr>
          <w:p w:rsidR="00630820" w:rsidRDefault="009F35F0">
            <w:pPr>
              <w:jc w:val="left"/>
              <w:rPr>
                <w:kern w:val="0"/>
              </w:rPr>
            </w:pPr>
            <w:r>
              <w:rPr>
                <w:color w:val="000000"/>
                <w:kern w:val="0"/>
              </w:rPr>
              <w:t>合计</w:t>
            </w:r>
          </w:p>
        </w:tc>
        <w:tc>
          <w:tcPr>
            <w:tcW w:w="2977" w:type="dxa"/>
            <w:vAlign w:val="center"/>
          </w:tcPr>
          <w:p w:rsidR="00630820" w:rsidRDefault="009F35F0">
            <w:pPr>
              <w:jc w:val="right"/>
              <w:rPr>
                <w:color w:val="000000"/>
                <w:kern w:val="0"/>
              </w:rPr>
            </w:pPr>
            <w:r>
              <w:rPr>
                <w:color w:val="000000"/>
                <w:kern w:val="0"/>
              </w:rPr>
              <w:t>1,287,231.59</w:t>
            </w:r>
          </w:p>
        </w:tc>
        <w:tc>
          <w:tcPr>
            <w:tcW w:w="2176" w:type="dxa"/>
            <w:vAlign w:val="center"/>
          </w:tcPr>
          <w:p w:rsidR="00630820" w:rsidRDefault="009F35F0">
            <w:pPr>
              <w:jc w:val="right"/>
              <w:rPr>
                <w:color w:val="000000"/>
                <w:kern w:val="0"/>
              </w:rPr>
            </w:pPr>
            <w:r>
              <w:rPr>
                <w:color w:val="000000"/>
                <w:kern w:val="0"/>
              </w:rPr>
              <w:t>100.00</w:t>
            </w:r>
          </w:p>
        </w:tc>
      </w:tr>
    </w:tbl>
    <w:p w:rsidR="00630820" w:rsidRDefault="009F35F0">
      <w:pPr>
        <w:autoSpaceDE w:val="0"/>
        <w:autoSpaceDN w:val="0"/>
        <w:adjustRightInd w:val="0"/>
        <w:spacing w:line="360" w:lineRule="auto"/>
        <w:jc w:val="left"/>
        <w:rPr>
          <w:b/>
          <w:bCs/>
          <w:color w:val="000000"/>
          <w:kern w:val="0"/>
        </w:rPr>
      </w:pPr>
      <w:r>
        <w:rPr>
          <w:b/>
          <w:bCs/>
          <w:color w:val="000000"/>
          <w:kern w:val="0"/>
        </w:rPr>
        <w:t xml:space="preserve">5.2 </w:t>
      </w:r>
      <w:r>
        <w:rPr>
          <w:b/>
          <w:bCs/>
          <w:color w:val="000000"/>
          <w:kern w:val="0"/>
        </w:rPr>
        <w:t>报告期末按行业分类的股票投资组合</w:t>
      </w:r>
    </w:p>
    <w:p w:rsidR="00630820" w:rsidRDefault="009F35F0">
      <w:pPr>
        <w:spacing w:line="360" w:lineRule="auto"/>
        <w:rPr>
          <w:b/>
        </w:rPr>
      </w:pPr>
      <w:r>
        <w:rPr>
          <w:rFonts w:eastAsiaTheme="minorEastAsia" w:hint="eastAsia"/>
          <w:b/>
          <w:color w:val="000000" w:themeColor="text1"/>
          <w:kern w:val="0"/>
        </w:rPr>
        <w:t>5.2.1</w:t>
      </w:r>
      <w:r>
        <w:rPr>
          <w:rFonts w:eastAsiaTheme="minorEastAsia" w:hint="eastAsia"/>
          <w:b/>
          <w:color w:val="000000" w:themeColor="text1"/>
          <w:kern w:val="0"/>
        </w:rPr>
        <w:t>报告期末按行业分类的境内股票投资组合</w:t>
      </w:r>
    </w:p>
    <w:p w:rsidR="00630820" w:rsidRDefault="009F35F0">
      <w:pPr>
        <w:autoSpaceDE w:val="0"/>
        <w:autoSpaceDN w:val="0"/>
        <w:adjustRightInd w:val="0"/>
        <w:spacing w:line="360" w:lineRule="auto"/>
        <w:jc w:val="left"/>
        <w:rPr>
          <w:color w:val="000000"/>
        </w:rPr>
      </w:pPr>
      <w:r>
        <w:rPr>
          <w:color w:val="000000"/>
        </w:rPr>
        <w:t>本基金本报告期末未持有股票。</w:t>
      </w:r>
    </w:p>
    <w:p w:rsidR="00630820" w:rsidRDefault="009F35F0">
      <w:pPr>
        <w:spacing w:line="360" w:lineRule="auto"/>
        <w:jc w:val="left"/>
        <w:rPr>
          <w:rFonts w:asciiTheme="minorEastAsia" w:eastAsiaTheme="minorEastAsia" w:hAnsiTheme="minorEastAsia"/>
          <w:b/>
          <w:bCs/>
          <w:color w:val="000000" w:themeColor="text1"/>
          <w:kern w:val="0"/>
        </w:rPr>
      </w:pPr>
      <w:r>
        <w:rPr>
          <w:rFonts w:asciiTheme="minorEastAsia" w:eastAsiaTheme="minorEastAsia" w:hAnsiTheme="minorEastAsia" w:hint="eastAsia"/>
          <w:b/>
          <w:bCs/>
          <w:color w:val="000000" w:themeColor="text1"/>
          <w:kern w:val="0"/>
        </w:rPr>
        <w:t>5.2.2</w:t>
      </w:r>
      <w:r>
        <w:rPr>
          <w:rFonts w:asciiTheme="minorEastAsia" w:eastAsiaTheme="minorEastAsia" w:hAnsiTheme="minorEastAsia" w:hint="eastAsia"/>
          <w:b/>
          <w:bCs/>
          <w:color w:val="000000" w:themeColor="text1"/>
          <w:kern w:val="0"/>
        </w:rPr>
        <w:t>报告期末按行业分类的港股通投资股票投资组合</w:t>
      </w:r>
    </w:p>
    <w:p w:rsidR="00630820" w:rsidRDefault="009F35F0">
      <w:pPr>
        <w:spacing w:line="360" w:lineRule="auto"/>
        <w:ind w:left="17"/>
        <w:rPr>
          <w:color w:val="000000"/>
        </w:rPr>
      </w:pPr>
      <w:r>
        <w:rPr>
          <w:color w:val="000000"/>
        </w:rPr>
        <w:t>本基金本报告期末未持有港股通投资股票。</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5.3 </w:t>
      </w:r>
      <w:r>
        <w:rPr>
          <w:b/>
          <w:bCs/>
          <w:color w:val="000000"/>
          <w:kern w:val="0"/>
        </w:rPr>
        <w:t>报告期末按公允价值占基金资产净值比例大小排序的前十名股票投资明细</w:t>
      </w:r>
    </w:p>
    <w:p w:rsidR="00630820" w:rsidRDefault="009F35F0">
      <w:pPr>
        <w:autoSpaceDE w:val="0"/>
        <w:autoSpaceDN w:val="0"/>
        <w:adjustRightInd w:val="0"/>
        <w:spacing w:line="360" w:lineRule="auto"/>
        <w:jc w:val="left"/>
        <w:rPr>
          <w:color w:val="000000"/>
        </w:rPr>
      </w:pPr>
      <w:r>
        <w:rPr>
          <w:color w:val="000000"/>
        </w:rPr>
        <w:t>本基金本报告期末未持有股票。</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5.4 </w:t>
      </w:r>
      <w:r>
        <w:rPr>
          <w:b/>
          <w:bCs/>
          <w:color w:val="000000"/>
          <w:kern w:val="0"/>
        </w:rPr>
        <w:t>报告期末按债券品种分类的债券投资组合</w:t>
      </w:r>
    </w:p>
    <w:p w:rsidR="00630820" w:rsidRDefault="009F35F0">
      <w:pPr>
        <w:autoSpaceDE w:val="0"/>
        <w:autoSpaceDN w:val="0"/>
        <w:adjustRightInd w:val="0"/>
        <w:spacing w:line="360" w:lineRule="auto"/>
        <w:jc w:val="left"/>
        <w:rPr>
          <w:color w:val="000000"/>
        </w:rPr>
      </w:pPr>
      <w:r>
        <w:rPr>
          <w:color w:val="000000"/>
        </w:rPr>
        <w:t>本基金本报告期末未持有债券。</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5.5 </w:t>
      </w:r>
      <w:r>
        <w:rPr>
          <w:b/>
          <w:bCs/>
          <w:color w:val="000000"/>
          <w:kern w:val="0"/>
        </w:rPr>
        <w:t>报告期末按公允价值占基金资产净值比例大小排序的前五名债券投资明细</w:t>
      </w:r>
    </w:p>
    <w:p w:rsidR="00630820" w:rsidRDefault="009F35F0">
      <w:pPr>
        <w:autoSpaceDE w:val="0"/>
        <w:autoSpaceDN w:val="0"/>
        <w:adjustRightInd w:val="0"/>
        <w:spacing w:line="360" w:lineRule="auto"/>
        <w:jc w:val="left"/>
        <w:rPr>
          <w:color w:val="000000"/>
        </w:rPr>
      </w:pPr>
      <w:r>
        <w:rPr>
          <w:color w:val="000000"/>
        </w:rPr>
        <w:t>本基金本报告期末未持有债券。</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5.6 </w:t>
      </w:r>
      <w:r>
        <w:rPr>
          <w:b/>
          <w:bCs/>
          <w:color w:val="000000"/>
          <w:kern w:val="0"/>
        </w:rPr>
        <w:t>报告期末按公允价值占基金资产净值比例大小排序的前十名资产支持证券投资明细</w:t>
      </w:r>
    </w:p>
    <w:p w:rsidR="00630820" w:rsidRDefault="009F35F0">
      <w:pPr>
        <w:autoSpaceDE w:val="0"/>
        <w:autoSpaceDN w:val="0"/>
        <w:adjustRightInd w:val="0"/>
        <w:spacing w:line="360" w:lineRule="auto"/>
        <w:jc w:val="left"/>
        <w:rPr>
          <w:color w:val="000000"/>
        </w:rPr>
      </w:pPr>
      <w:r>
        <w:rPr>
          <w:color w:val="000000"/>
        </w:rPr>
        <w:t>本基金本报告期末未持有资产支持证券。</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5.7 </w:t>
      </w:r>
      <w:r>
        <w:rPr>
          <w:b/>
          <w:bCs/>
          <w:color w:val="000000"/>
          <w:kern w:val="0"/>
        </w:rPr>
        <w:t>报告期末按公允价值占基金资产净值比例大小排序的前五名贵金属投资明细</w:t>
      </w:r>
    </w:p>
    <w:p w:rsidR="00630820" w:rsidRDefault="009F35F0">
      <w:pPr>
        <w:autoSpaceDE w:val="0"/>
        <w:autoSpaceDN w:val="0"/>
        <w:adjustRightInd w:val="0"/>
        <w:spacing w:line="360" w:lineRule="auto"/>
        <w:jc w:val="left"/>
        <w:rPr>
          <w:color w:val="000000"/>
        </w:rPr>
      </w:pPr>
      <w:r>
        <w:rPr>
          <w:color w:val="000000"/>
        </w:rPr>
        <w:t>本基金本报告期末未持有贵金属。</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5.8 </w:t>
      </w:r>
      <w:r>
        <w:rPr>
          <w:b/>
          <w:bCs/>
          <w:color w:val="000000"/>
          <w:kern w:val="0"/>
        </w:rPr>
        <w:t>报告期末按公允价值占基金资产净值比例大小排序的前五名权证投资明细</w:t>
      </w:r>
    </w:p>
    <w:p w:rsidR="00630820" w:rsidRDefault="009F35F0">
      <w:pPr>
        <w:autoSpaceDE w:val="0"/>
        <w:autoSpaceDN w:val="0"/>
        <w:adjustRightInd w:val="0"/>
        <w:spacing w:line="360" w:lineRule="auto"/>
        <w:jc w:val="left"/>
        <w:rPr>
          <w:color w:val="000000"/>
        </w:rPr>
      </w:pPr>
      <w:r>
        <w:rPr>
          <w:color w:val="000000"/>
        </w:rPr>
        <w:t>本基金本报告期末未持有权证。</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5.9 </w:t>
      </w:r>
      <w:r>
        <w:rPr>
          <w:b/>
          <w:bCs/>
          <w:color w:val="000000"/>
          <w:kern w:val="0"/>
        </w:rPr>
        <w:t>报告期末本基金投资的股指期货交易情况说明</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5.9.1 </w:t>
      </w:r>
      <w:r>
        <w:rPr>
          <w:b/>
          <w:bCs/>
          <w:color w:val="000000"/>
          <w:kern w:val="0"/>
        </w:rPr>
        <w:t>报告期末本基金投资的股指期货持仓和损益明细</w:t>
      </w:r>
    </w:p>
    <w:p w:rsidR="00630820" w:rsidRDefault="009F35F0">
      <w:pPr>
        <w:autoSpaceDE w:val="0"/>
        <w:autoSpaceDN w:val="0"/>
        <w:adjustRightInd w:val="0"/>
        <w:spacing w:line="360" w:lineRule="auto"/>
        <w:jc w:val="left"/>
        <w:rPr>
          <w:color w:val="000000"/>
        </w:rPr>
      </w:pPr>
      <w:r>
        <w:rPr>
          <w:color w:val="000000"/>
        </w:rPr>
        <w:t>本基金报告期内未参与股指期货投资。</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5.9.2 </w:t>
      </w:r>
      <w:r>
        <w:rPr>
          <w:b/>
          <w:bCs/>
          <w:color w:val="000000"/>
          <w:kern w:val="0"/>
        </w:rPr>
        <w:t>本基金投资股指期货的投资政策</w:t>
      </w:r>
    </w:p>
    <w:p w:rsidR="00630820" w:rsidRDefault="009F35F0">
      <w:pPr>
        <w:spacing w:line="360" w:lineRule="auto"/>
        <w:jc w:val="left"/>
        <w:rPr>
          <w:color w:val="000000"/>
        </w:rPr>
      </w:pPr>
      <w:r>
        <w:rPr>
          <w:color w:val="000000"/>
        </w:rPr>
        <w:t>本基金投资范围未包括股指期货，无相关投资政策。</w:t>
      </w:r>
    </w:p>
    <w:p w:rsidR="00630820" w:rsidRDefault="009F35F0">
      <w:pPr>
        <w:autoSpaceDE w:val="0"/>
        <w:autoSpaceDN w:val="0"/>
        <w:adjustRightInd w:val="0"/>
        <w:spacing w:line="360" w:lineRule="auto"/>
        <w:jc w:val="left"/>
        <w:rPr>
          <w:b/>
          <w:bCs/>
          <w:color w:val="000000"/>
          <w:kern w:val="0"/>
        </w:rPr>
      </w:pPr>
      <w:r>
        <w:rPr>
          <w:b/>
          <w:bCs/>
          <w:color w:val="000000"/>
          <w:kern w:val="0"/>
        </w:rPr>
        <w:t>5.10</w:t>
      </w:r>
      <w:r>
        <w:rPr>
          <w:b/>
          <w:bCs/>
          <w:color w:val="000000"/>
          <w:kern w:val="0"/>
        </w:rPr>
        <w:t>报告期末本基金投资的国</w:t>
      </w:r>
      <w:r>
        <w:rPr>
          <w:b/>
          <w:bCs/>
          <w:color w:val="000000"/>
          <w:kern w:val="0"/>
        </w:rPr>
        <w:t>债期货交易情况说明</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5.10.1 </w:t>
      </w:r>
      <w:r>
        <w:rPr>
          <w:b/>
          <w:bCs/>
          <w:color w:val="000000"/>
          <w:kern w:val="0"/>
        </w:rPr>
        <w:t>本期国债期货投资政策</w:t>
      </w:r>
    </w:p>
    <w:p w:rsidR="00630820" w:rsidRDefault="009F35F0">
      <w:pPr>
        <w:spacing w:line="360" w:lineRule="auto"/>
        <w:jc w:val="left"/>
        <w:rPr>
          <w:color w:val="000000"/>
        </w:rPr>
      </w:pPr>
      <w:r>
        <w:rPr>
          <w:color w:val="000000"/>
        </w:rPr>
        <w:t>国债期货作为利率衍生品的一种，有助于管理债券组合的久期、流动性和风险水平。基金管理人将按照相关法律法规的规定，结合对宏观经济形势和政策趋势的判断、对债券市场进行定性和定量分析。构建量化分析体系，对国债期货和现货的基差、国债期货的流动性、波动水平、套期保值的有效性等指标进行跟踪监控，在最大限度保证基金资产安全的基础上，力求实现基金资产的长期稳定增值。</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5.10.2 </w:t>
      </w:r>
      <w:r>
        <w:rPr>
          <w:b/>
          <w:bCs/>
          <w:color w:val="000000"/>
          <w:kern w:val="0"/>
        </w:rPr>
        <w:t>报告期末本基金投资的国债期货持仓和损益明细</w:t>
      </w:r>
    </w:p>
    <w:p w:rsidR="00630820" w:rsidRDefault="009F35F0">
      <w:pPr>
        <w:autoSpaceDE w:val="0"/>
        <w:autoSpaceDN w:val="0"/>
        <w:adjustRightInd w:val="0"/>
        <w:spacing w:line="360" w:lineRule="auto"/>
        <w:jc w:val="left"/>
        <w:rPr>
          <w:color w:val="000000"/>
        </w:rPr>
      </w:pPr>
      <w:r>
        <w:rPr>
          <w:color w:val="000000"/>
        </w:rPr>
        <w:t>本基金报告期内未参与国债期货投资。</w:t>
      </w:r>
    </w:p>
    <w:p w:rsidR="00630820" w:rsidRDefault="009F35F0">
      <w:pPr>
        <w:autoSpaceDE w:val="0"/>
        <w:autoSpaceDN w:val="0"/>
        <w:adjustRightInd w:val="0"/>
        <w:spacing w:line="360" w:lineRule="auto"/>
        <w:jc w:val="left"/>
        <w:rPr>
          <w:b/>
          <w:bCs/>
          <w:color w:val="000000"/>
          <w:kern w:val="0"/>
        </w:rPr>
      </w:pPr>
      <w:r>
        <w:rPr>
          <w:b/>
          <w:bCs/>
          <w:color w:val="000000"/>
          <w:kern w:val="0"/>
        </w:rPr>
        <w:t>5.10.</w:t>
      </w:r>
      <w:r>
        <w:rPr>
          <w:b/>
          <w:bCs/>
          <w:color w:val="000000"/>
          <w:kern w:val="0"/>
        </w:rPr>
        <w:t xml:space="preserve">3 </w:t>
      </w:r>
      <w:r>
        <w:rPr>
          <w:b/>
          <w:bCs/>
          <w:color w:val="000000"/>
          <w:kern w:val="0"/>
        </w:rPr>
        <w:t>本期国债期货投资评价</w:t>
      </w:r>
    </w:p>
    <w:p w:rsidR="00630820" w:rsidRDefault="009F35F0">
      <w:pPr>
        <w:spacing w:line="360" w:lineRule="auto"/>
        <w:jc w:val="left"/>
        <w:rPr>
          <w:color w:val="000000"/>
        </w:rPr>
      </w:pPr>
      <w:r>
        <w:rPr>
          <w:color w:val="000000"/>
        </w:rPr>
        <w:t>本基金报告期内未参与国债期货投资，无相关投资评价。</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5.11 </w:t>
      </w:r>
      <w:r>
        <w:rPr>
          <w:b/>
          <w:bCs/>
          <w:color w:val="000000"/>
          <w:kern w:val="0"/>
        </w:rPr>
        <w:t>投资组合报告附注</w:t>
      </w:r>
    </w:p>
    <w:p w:rsidR="00630820" w:rsidRDefault="009F35F0">
      <w:pPr>
        <w:spacing w:line="360" w:lineRule="auto"/>
        <w:jc w:val="left"/>
        <w:rPr>
          <w:color w:val="000000"/>
        </w:rPr>
      </w:pPr>
      <w:r>
        <w:rPr>
          <w:color w:val="000000"/>
        </w:rPr>
        <w:t>5.11.1</w:t>
      </w:r>
      <w:r>
        <w:rPr>
          <w:color w:val="000000"/>
        </w:rPr>
        <w:t>本基金投资的前十名证券的发行主体本期没有出现被监管部门立案调查，或在报告编制日前一年内受到公开谴责、处罚的情形。</w:t>
      </w:r>
    </w:p>
    <w:p w:rsidR="00630820" w:rsidRDefault="009F35F0">
      <w:pPr>
        <w:spacing w:line="360" w:lineRule="auto"/>
        <w:jc w:val="left"/>
        <w:rPr>
          <w:color w:val="000000"/>
        </w:rPr>
      </w:pPr>
      <w:r>
        <w:rPr>
          <w:color w:val="000000"/>
        </w:rPr>
        <w:t>5.11.2</w:t>
      </w:r>
      <w:r>
        <w:rPr>
          <w:color w:val="000000"/>
        </w:rPr>
        <w:t>本基金投资的前十名股票没有超出基金合同规定的备选股票库。</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5.11.3 </w:t>
      </w:r>
      <w:r>
        <w:rPr>
          <w:b/>
          <w:bCs/>
          <w:color w:val="000000"/>
          <w:kern w:val="0"/>
        </w:rPr>
        <w:t>其他各项资产构成</w:t>
      </w:r>
    </w:p>
    <w:tbl>
      <w:tblPr>
        <w:tblW w:w="851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1"/>
        <w:gridCol w:w="2291"/>
        <w:gridCol w:w="4911"/>
      </w:tblGrid>
      <w:tr w:rsidR="00630820">
        <w:tc>
          <w:tcPr>
            <w:tcW w:w="1311" w:type="dxa"/>
            <w:vAlign w:val="center"/>
          </w:tcPr>
          <w:p w:rsidR="00630820" w:rsidRDefault="009F35F0">
            <w:pPr>
              <w:autoSpaceDE w:val="0"/>
              <w:autoSpaceDN w:val="0"/>
              <w:adjustRightInd w:val="0"/>
              <w:spacing w:before="29"/>
              <w:ind w:left="17"/>
              <w:jc w:val="center"/>
              <w:rPr>
                <w:color w:val="000000"/>
                <w:kern w:val="0"/>
              </w:rPr>
            </w:pPr>
            <w:r>
              <w:rPr>
                <w:color w:val="000000"/>
                <w:kern w:val="0"/>
              </w:rPr>
              <w:t>序号</w:t>
            </w:r>
          </w:p>
        </w:tc>
        <w:tc>
          <w:tcPr>
            <w:tcW w:w="2291" w:type="dxa"/>
            <w:vAlign w:val="center"/>
          </w:tcPr>
          <w:p w:rsidR="00630820" w:rsidRDefault="009F35F0">
            <w:pPr>
              <w:autoSpaceDE w:val="0"/>
              <w:autoSpaceDN w:val="0"/>
              <w:adjustRightInd w:val="0"/>
              <w:spacing w:before="29"/>
              <w:ind w:left="17"/>
              <w:jc w:val="center"/>
              <w:rPr>
                <w:color w:val="000000"/>
                <w:kern w:val="0"/>
              </w:rPr>
            </w:pPr>
            <w:r>
              <w:rPr>
                <w:color w:val="000000"/>
                <w:kern w:val="0"/>
              </w:rPr>
              <w:t>名称</w:t>
            </w:r>
          </w:p>
        </w:tc>
        <w:tc>
          <w:tcPr>
            <w:tcW w:w="4911" w:type="dxa"/>
            <w:vAlign w:val="center"/>
          </w:tcPr>
          <w:p w:rsidR="00630820" w:rsidRDefault="009F35F0">
            <w:pPr>
              <w:autoSpaceDE w:val="0"/>
              <w:autoSpaceDN w:val="0"/>
              <w:adjustRightInd w:val="0"/>
              <w:spacing w:before="29"/>
              <w:ind w:left="17"/>
              <w:jc w:val="center"/>
              <w:rPr>
                <w:color w:val="000000"/>
                <w:kern w:val="0"/>
              </w:rPr>
            </w:pPr>
            <w:r>
              <w:rPr>
                <w:color w:val="000000"/>
                <w:kern w:val="0"/>
              </w:rPr>
              <w:t>金额</w:t>
            </w:r>
            <w:r>
              <w:rPr>
                <w:color w:val="000000"/>
                <w:kern w:val="0"/>
              </w:rPr>
              <w:t>(</w:t>
            </w:r>
            <w:r>
              <w:rPr>
                <w:color w:val="000000"/>
                <w:kern w:val="0"/>
              </w:rPr>
              <w:t>元</w:t>
            </w:r>
            <w:r>
              <w:rPr>
                <w:color w:val="000000"/>
                <w:kern w:val="0"/>
              </w:rPr>
              <w:t>)</w:t>
            </w:r>
          </w:p>
        </w:tc>
      </w:tr>
      <w:tr w:rsidR="00630820">
        <w:tc>
          <w:tcPr>
            <w:tcW w:w="1311" w:type="dxa"/>
            <w:vAlign w:val="center"/>
          </w:tcPr>
          <w:p w:rsidR="00630820" w:rsidRDefault="009F35F0">
            <w:pPr>
              <w:autoSpaceDE w:val="0"/>
              <w:autoSpaceDN w:val="0"/>
              <w:adjustRightInd w:val="0"/>
              <w:spacing w:before="29"/>
              <w:ind w:left="15"/>
              <w:jc w:val="center"/>
              <w:rPr>
                <w:color w:val="000000"/>
                <w:kern w:val="0"/>
              </w:rPr>
            </w:pPr>
            <w:r>
              <w:rPr>
                <w:color w:val="000000"/>
                <w:kern w:val="0"/>
              </w:rPr>
              <w:t>1</w:t>
            </w:r>
          </w:p>
        </w:tc>
        <w:tc>
          <w:tcPr>
            <w:tcW w:w="2291" w:type="dxa"/>
            <w:vAlign w:val="center"/>
          </w:tcPr>
          <w:p w:rsidR="00630820" w:rsidRDefault="009F35F0">
            <w:pPr>
              <w:autoSpaceDE w:val="0"/>
              <w:autoSpaceDN w:val="0"/>
              <w:adjustRightInd w:val="0"/>
              <w:spacing w:before="29"/>
              <w:ind w:left="15"/>
              <w:jc w:val="left"/>
              <w:rPr>
                <w:color w:val="000000"/>
                <w:kern w:val="0"/>
              </w:rPr>
            </w:pPr>
            <w:r>
              <w:rPr>
                <w:color w:val="000000"/>
                <w:kern w:val="0"/>
              </w:rPr>
              <w:t>存出保证金</w:t>
            </w:r>
          </w:p>
        </w:tc>
        <w:tc>
          <w:tcPr>
            <w:tcW w:w="4911" w:type="dxa"/>
            <w:vAlign w:val="center"/>
          </w:tcPr>
          <w:p w:rsidR="00630820" w:rsidRDefault="009F35F0">
            <w:pPr>
              <w:autoSpaceDE w:val="0"/>
              <w:autoSpaceDN w:val="0"/>
              <w:adjustRightInd w:val="0"/>
              <w:spacing w:before="29"/>
              <w:ind w:left="15"/>
              <w:jc w:val="right"/>
              <w:rPr>
                <w:color w:val="000000"/>
                <w:kern w:val="0"/>
              </w:rPr>
            </w:pPr>
            <w:r>
              <w:rPr>
                <w:color w:val="000000"/>
                <w:kern w:val="0"/>
              </w:rPr>
              <w:t>46,177.89</w:t>
            </w:r>
          </w:p>
        </w:tc>
      </w:tr>
      <w:tr w:rsidR="00630820">
        <w:tc>
          <w:tcPr>
            <w:tcW w:w="1311" w:type="dxa"/>
            <w:vAlign w:val="center"/>
          </w:tcPr>
          <w:p w:rsidR="00630820" w:rsidRDefault="009F35F0">
            <w:pPr>
              <w:autoSpaceDE w:val="0"/>
              <w:autoSpaceDN w:val="0"/>
              <w:adjustRightInd w:val="0"/>
              <w:spacing w:before="29"/>
              <w:ind w:left="15"/>
              <w:jc w:val="center"/>
              <w:rPr>
                <w:color w:val="000000"/>
                <w:kern w:val="0"/>
              </w:rPr>
            </w:pPr>
            <w:r>
              <w:rPr>
                <w:color w:val="000000"/>
                <w:kern w:val="0"/>
              </w:rPr>
              <w:t>2</w:t>
            </w:r>
          </w:p>
        </w:tc>
        <w:tc>
          <w:tcPr>
            <w:tcW w:w="2291" w:type="dxa"/>
            <w:vAlign w:val="center"/>
          </w:tcPr>
          <w:p w:rsidR="00630820" w:rsidRDefault="009F35F0">
            <w:pPr>
              <w:autoSpaceDE w:val="0"/>
              <w:autoSpaceDN w:val="0"/>
              <w:adjustRightInd w:val="0"/>
              <w:spacing w:before="29"/>
              <w:ind w:left="15"/>
              <w:jc w:val="left"/>
              <w:rPr>
                <w:color w:val="000000"/>
                <w:kern w:val="0"/>
              </w:rPr>
            </w:pPr>
            <w:r>
              <w:rPr>
                <w:color w:val="000000"/>
                <w:kern w:val="0"/>
              </w:rPr>
              <w:t>应收证券清算款</w:t>
            </w:r>
          </w:p>
        </w:tc>
        <w:tc>
          <w:tcPr>
            <w:tcW w:w="4911" w:type="dxa"/>
            <w:vAlign w:val="center"/>
          </w:tcPr>
          <w:p w:rsidR="00630820" w:rsidRDefault="009F35F0">
            <w:pPr>
              <w:autoSpaceDE w:val="0"/>
              <w:autoSpaceDN w:val="0"/>
              <w:adjustRightInd w:val="0"/>
              <w:spacing w:before="29"/>
              <w:ind w:left="15"/>
              <w:jc w:val="right"/>
              <w:rPr>
                <w:color w:val="000000"/>
                <w:kern w:val="0"/>
              </w:rPr>
            </w:pPr>
            <w:r>
              <w:rPr>
                <w:color w:val="000000"/>
                <w:kern w:val="0"/>
              </w:rPr>
              <w:t>-</w:t>
            </w:r>
          </w:p>
        </w:tc>
      </w:tr>
      <w:tr w:rsidR="00630820">
        <w:tc>
          <w:tcPr>
            <w:tcW w:w="1311" w:type="dxa"/>
            <w:vAlign w:val="center"/>
          </w:tcPr>
          <w:p w:rsidR="00630820" w:rsidRDefault="009F35F0">
            <w:pPr>
              <w:autoSpaceDE w:val="0"/>
              <w:autoSpaceDN w:val="0"/>
              <w:adjustRightInd w:val="0"/>
              <w:spacing w:before="29"/>
              <w:ind w:left="15"/>
              <w:jc w:val="center"/>
              <w:rPr>
                <w:color w:val="000000"/>
                <w:kern w:val="0"/>
              </w:rPr>
            </w:pPr>
            <w:r>
              <w:rPr>
                <w:color w:val="000000"/>
                <w:kern w:val="0"/>
              </w:rPr>
              <w:t>3</w:t>
            </w:r>
          </w:p>
        </w:tc>
        <w:tc>
          <w:tcPr>
            <w:tcW w:w="2291" w:type="dxa"/>
            <w:vAlign w:val="center"/>
          </w:tcPr>
          <w:p w:rsidR="00630820" w:rsidRDefault="009F35F0">
            <w:pPr>
              <w:autoSpaceDE w:val="0"/>
              <w:autoSpaceDN w:val="0"/>
              <w:adjustRightInd w:val="0"/>
              <w:spacing w:before="29"/>
              <w:ind w:left="15"/>
              <w:jc w:val="left"/>
              <w:rPr>
                <w:color w:val="000000"/>
                <w:kern w:val="0"/>
              </w:rPr>
            </w:pPr>
            <w:r>
              <w:rPr>
                <w:color w:val="000000"/>
                <w:kern w:val="0"/>
              </w:rPr>
              <w:t>应收股利</w:t>
            </w:r>
          </w:p>
        </w:tc>
        <w:tc>
          <w:tcPr>
            <w:tcW w:w="4911" w:type="dxa"/>
            <w:vAlign w:val="center"/>
          </w:tcPr>
          <w:p w:rsidR="00630820" w:rsidRDefault="009F35F0">
            <w:pPr>
              <w:autoSpaceDE w:val="0"/>
              <w:autoSpaceDN w:val="0"/>
              <w:adjustRightInd w:val="0"/>
              <w:spacing w:before="29"/>
              <w:ind w:left="15"/>
              <w:jc w:val="right"/>
              <w:rPr>
                <w:color w:val="000000"/>
                <w:kern w:val="0"/>
              </w:rPr>
            </w:pPr>
            <w:r>
              <w:rPr>
                <w:color w:val="000000"/>
                <w:kern w:val="0"/>
              </w:rPr>
              <w:t>-</w:t>
            </w:r>
          </w:p>
        </w:tc>
      </w:tr>
      <w:tr w:rsidR="00630820">
        <w:tc>
          <w:tcPr>
            <w:tcW w:w="1311" w:type="dxa"/>
            <w:vAlign w:val="center"/>
          </w:tcPr>
          <w:p w:rsidR="00630820" w:rsidRDefault="009F35F0">
            <w:pPr>
              <w:autoSpaceDE w:val="0"/>
              <w:autoSpaceDN w:val="0"/>
              <w:adjustRightInd w:val="0"/>
              <w:spacing w:before="29"/>
              <w:ind w:left="15"/>
              <w:jc w:val="center"/>
              <w:rPr>
                <w:color w:val="000000"/>
                <w:kern w:val="0"/>
              </w:rPr>
            </w:pPr>
            <w:r>
              <w:rPr>
                <w:color w:val="000000"/>
                <w:kern w:val="0"/>
              </w:rPr>
              <w:t>4</w:t>
            </w:r>
          </w:p>
        </w:tc>
        <w:tc>
          <w:tcPr>
            <w:tcW w:w="2291" w:type="dxa"/>
            <w:vAlign w:val="center"/>
          </w:tcPr>
          <w:p w:rsidR="00630820" w:rsidRDefault="009F35F0">
            <w:pPr>
              <w:autoSpaceDE w:val="0"/>
              <w:autoSpaceDN w:val="0"/>
              <w:adjustRightInd w:val="0"/>
              <w:spacing w:before="29"/>
              <w:ind w:left="15"/>
              <w:jc w:val="left"/>
              <w:rPr>
                <w:color w:val="000000"/>
                <w:kern w:val="0"/>
              </w:rPr>
            </w:pPr>
            <w:r>
              <w:rPr>
                <w:color w:val="000000"/>
                <w:kern w:val="0"/>
              </w:rPr>
              <w:t>应收利息</w:t>
            </w:r>
          </w:p>
        </w:tc>
        <w:tc>
          <w:tcPr>
            <w:tcW w:w="4911" w:type="dxa"/>
            <w:vAlign w:val="center"/>
          </w:tcPr>
          <w:p w:rsidR="00630820" w:rsidRDefault="009F35F0">
            <w:pPr>
              <w:autoSpaceDE w:val="0"/>
              <w:autoSpaceDN w:val="0"/>
              <w:adjustRightInd w:val="0"/>
              <w:spacing w:before="29"/>
              <w:ind w:left="15"/>
              <w:jc w:val="right"/>
              <w:rPr>
                <w:color w:val="000000"/>
                <w:kern w:val="0"/>
              </w:rPr>
            </w:pPr>
            <w:r>
              <w:rPr>
                <w:color w:val="000000"/>
                <w:kern w:val="0"/>
              </w:rPr>
              <w:t>521.19</w:t>
            </w:r>
          </w:p>
        </w:tc>
      </w:tr>
      <w:tr w:rsidR="00630820">
        <w:tc>
          <w:tcPr>
            <w:tcW w:w="1311" w:type="dxa"/>
            <w:vAlign w:val="center"/>
          </w:tcPr>
          <w:p w:rsidR="00630820" w:rsidRDefault="009F35F0">
            <w:pPr>
              <w:autoSpaceDE w:val="0"/>
              <w:autoSpaceDN w:val="0"/>
              <w:adjustRightInd w:val="0"/>
              <w:spacing w:before="29"/>
              <w:ind w:left="15"/>
              <w:jc w:val="center"/>
              <w:rPr>
                <w:color w:val="000000"/>
                <w:kern w:val="0"/>
              </w:rPr>
            </w:pPr>
            <w:r>
              <w:rPr>
                <w:color w:val="000000"/>
                <w:kern w:val="0"/>
              </w:rPr>
              <w:t>5</w:t>
            </w:r>
          </w:p>
        </w:tc>
        <w:tc>
          <w:tcPr>
            <w:tcW w:w="2291" w:type="dxa"/>
            <w:vAlign w:val="center"/>
          </w:tcPr>
          <w:p w:rsidR="00630820" w:rsidRDefault="009F35F0">
            <w:pPr>
              <w:autoSpaceDE w:val="0"/>
              <w:autoSpaceDN w:val="0"/>
              <w:adjustRightInd w:val="0"/>
              <w:spacing w:before="29"/>
              <w:ind w:left="15"/>
              <w:jc w:val="left"/>
              <w:rPr>
                <w:color w:val="000000"/>
                <w:kern w:val="0"/>
              </w:rPr>
            </w:pPr>
            <w:r>
              <w:rPr>
                <w:color w:val="000000"/>
                <w:kern w:val="0"/>
              </w:rPr>
              <w:t>应收申购款</w:t>
            </w:r>
          </w:p>
        </w:tc>
        <w:tc>
          <w:tcPr>
            <w:tcW w:w="4911" w:type="dxa"/>
            <w:vAlign w:val="center"/>
          </w:tcPr>
          <w:p w:rsidR="00630820" w:rsidRDefault="009F35F0">
            <w:pPr>
              <w:autoSpaceDE w:val="0"/>
              <w:autoSpaceDN w:val="0"/>
              <w:adjustRightInd w:val="0"/>
              <w:spacing w:before="29"/>
              <w:ind w:left="15"/>
              <w:jc w:val="right"/>
              <w:rPr>
                <w:color w:val="000000"/>
                <w:kern w:val="0"/>
              </w:rPr>
            </w:pPr>
            <w:r>
              <w:rPr>
                <w:color w:val="000000"/>
                <w:kern w:val="0"/>
              </w:rPr>
              <w:t>-</w:t>
            </w:r>
          </w:p>
        </w:tc>
      </w:tr>
      <w:tr w:rsidR="00630820">
        <w:tc>
          <w:tcPr>
            <w:tcW w:w="1311" w:type="dxa"/>
            <w:vAlign w:val="center"/>
          </w:tcPr>
          <w:p w:rsidR="00630820" w:rsidRDefault="009F35F0">
            <w:pPr>
              <w:autoSpaceDE w:val="0"/>
              <w:autoSpaceDN w:val="0"/>
              <w:adjustRightInd w:val="0"/>
              <w:spacing w:before="29"/>
              <w:ind w:left="15"/>
              <w:jc w:val="center"/>
              <w:rPr>
                <w:color w:val="000000"/>
                <w:kern w:val="0"/>
              </w:rPr>
            </w:pPr>
            <w:r>
              <w:rPr>
                <w:color w:val="000000"/>
                <w:kern w:val="0"/>
              </w:rPr>
              <w:t>6</w:t>
            </w:r>
          </w:p>
        </w:tc>
        <w:tc>
          <w:tcPr>
            <w:tcW w:w="2291" w:type="dxa"/>
            <w:vAlign w:val="center"/>
          </w:tcPr>
          <w:p w:rsidR="00630820" w:rsidRDefault="009F35F0">
            <w:pPr>
              <w:autoSpaceDE w:val="0"/>
              <w:autoSpaceDN w:val="0"/>
              <w:adjustRightInd w:val="0"/>
              <w:spacing w:before="29"/>
              <w:ind w:left="15"/>
              <w:jc w:val="left"/>
              <w:rPr>
                <w:color w:val="000000"/>
                <w:kern w:val="0"/>
              </w:rPr>
            </w:pPr>
            <w:r>
              <w:rPr>
                <w:color w:val="000000"/>
                <w:kern w:val="0"/>
              </w:rPr>
              <w:t>其他应收款</w:t>
            </w:r>
          </w:p>
        </w:tc>
        <w:tc>
          <w:tcPr>
            <w:tcW w:w="4911" w:type="dxa"/>
            <w:vAlign w:val="center"/>
          </w:tcPr>
          <w:p w:rsidR="00630820" w:rsidRDefault="009F35F0">
            <w:pPr>
              <w:autoSpaceDE w:val="0"/>
              <w:autoSpaceDN w:val="0"/>
              <w:adjustRightInd w:val="0"/>
              <w:spacing w:before="29"/>
              <w:ind w:left="15"/>
              <w:jc w:val="right"/>
              <w:rPr>
                <w:color w:val="000000"/>
                <w:kern w:val="0"/>
              </w:rPr>
            </w:pPr>
            <w:r>
              <w:rPr>
                <w:color w:val="000000"/>
                <w:kern w:val="0"/>
              </w:rPr>
              <w:t>-</w:t>
            </w:r>
          </w:p>
        </w:tc>
      </w:tr>
      <w:tr w:rsidR="00630820">
        <w:tc>
          <w:tcPr>
            <w:tcW w:w="1311" w:type="dxa"/>
            <w:vAlign w:val="center"/>
          </w:tcPr>
          <w:p w:rsidR="00630820" w:rsidRDefault="009F35F0">
            <w:pPr>
              <w:autoSpaceDE w:val="0"/>
              <w:autoSpaceDN w:val="0"/>
              <w:adjustRightInd w:val="0"/>
              <w:spacing w:before="29"/>
              <w:ind w:left="15"/>
              <w:jc w:val="center"/>
              <w:rPr>
                <w:color w:val="000000"/>
                <w:kern w:val="0"/>
              </w:rPr>
            </w:pPr>
            <w:r>
              <w:rPr>
                <w:color w:val="000000"/>
                <w:kern w:val="0"/>
              </w:rPr>
              <w:t>7</w:t>
            </w:r>
          </w:p>
        </w:tc>
        <w:tc>
          <w:tcPr>
            <w:tcW w:w="2291" w:type="dxa"/>
            <w:vAlign w:val="center"/>
          </w:tcPr>
          <w:p w:rsidR="00630820" w:rsidRDefault="009F35F0">
            <w:pPr>
              <w:autoSpaceDE w:val="0"/>
              <w:autoSpaceDN w:val="0"/>
              <w:adjustRightInd w:val="0"/>
              <w:spacing w:before="29"/>
              <w:ind w:left="15"/>
              <w:jc w:val="left"/>
              <w:rPr>
                <w:color w:val="000000"/>
                <w:kern w:val="0"/>
              </w:rPr>
            </w:pPr>
            <w:r>
              <w:rPr>
                <w:color w:val="000000"/>
                <w:kern w:val="0"/>
              </w:rPr>
              <w:t>待摊费用</w:t>
            </w:r>
          </w:p>
        </w:tc>
        <w:tc>
          <w:tcPr>
            <w:tcW w:w="4911" w:type="dxa"/>
            <w:vAlign w:val="center"/>
          </w:tcPr>
          <w:p w:rsidR="00630820" w:rsidRDefault="009F35F0">
            <w:pPr>
              <w:autoSpaceDE w:val="0"/>
              <w:autoSpaceDN w:val="0"/>
              <w:adjustRightInd w:val="0"/>
              <w:spacing w:before="29"/>
              <w:ind w:left="15"/>
              <w:jc w:val="right"/>
              <w:rPr>
                <w:color w:val="000000"/>
                <w:kern w:val="0"/>
              </w:rPr>
            </w:pPr>
            <w:r>
              <w:rPr>
                <w:color w:val="000000"/>
                <w:kern w:val="0"/>
              </w:rPr>
              <w:t>-</w:t>
            </w:r>
          </w:p>
        </w:tc>
      </w:tr>
      <w:tr w:rsidR="00630820">
        <w:tc>
          <w:tcPr>
            <w:tcW w:w="1311" w:type="dxa"/>
            <w:vAlign w:val="center"/>
          </w:tcPr>
          <w:p w:rsidR="00630820" w:rsidRDefault="009F35F0">
            <w:pPr>
              <w:autoSpaceDE w:val="0"/>
              <w:autoSpaceDN w:val="0"/>
              <w:adjustRightInd w:val="0"/>
              <w:spacing w:before="29"/>
              <w:ind w:left="15"/>
              <w:jc w:val="center"/>
              <w:rPr>
                <w:color w:val="000000"/>
                <w:kern w:val="0"/>
              </w:rPr>
            </w:pPr>
            <w:r>
              <w:rPr>
                <w:color w:val="000000"/>
                <w:kern w:val="0"/>
              </w:rPr>
              <w:t>8</w:t>
            </w:r>
          </w:p>
        </w:tc>
        <w:tc>
          <w:tcPr>
            <w:tcW w:w="2291" w:type="dxa"/>
            <w:vAlign w:val="center"/>
          </w:tcPr>
          <w:p w:rsidR="00630820" w:rsidRDefault="009F35F0">
            <w:pPr>
              <w:autoSpaceDE w:val="0"/>
              <w:autoSpaceDN w:val="0"/>
              <w:adjustRightInd w:val="0"/>
              <w:spacing w:before="29"/>
              <w:ind w:left="15"/>
              <w:jc w:val="left"/>
              <w:rPr>
                <w:color w:val="000000"/>
                <w:kern w:val="0"/>
              </w:rPr>
            </w:pPr>
            <w:r>
              <w:rPr>
                <w:color w:val="000000"/>
                <w:kern w:val="0"/>
              </w:rPr>
              <w:t>其他</w:t>
            </w:r>
          </w:p>
        </w:tc>
        <w:tc>
          <w:tcPr>
            <w:tcW w:w="4911" w:type="dxa"/>
            <w:vAlign w:val="center"/>
          </w:tcPr>
          <w:p w:rsidR="00630820" w:rsidRDefault="009F35F0">
            <w:pPr>
              <w:autoSpaceDE w:val="0"/>
              <w:autoSpaceDN w:val="0"/>
              <w:adjustRightInd w:val="0"/>
              <w:spacing w:before="29"/>
              <w:ind w:left="15"/>
              <w:jc w:val="right"/>
              <w:rPr>
                <w:color w:val="000000"/>
                <w:kern w:val="0"/>
              </w:rPr>
            </w:pPr>
            <w:r>
              <w:rPr>
                <w:color w:val="000000"/>
                <w:kern w:val="0"/>
              </w:rPr>
              <w:t>-</w:t>
            </w:r>
          </w:p>
        </w:tc>
      </w:tr>
      <w:tr w:rsidR="00630820">
        <w:tc>
          <w:tcPr>
            <w:tcW w:w="1311" w:type="dxa"/>
            <w:vAlign w:val="center"/>
          </w:tcPr>
          <w:p w:rsidR="00630820" w:rsidRDefault="009F35F0">
            <w:pPr>
              <w:autoSpaceDE w:val="0"/>
              <w:autoSpaceDN w:val="0"/>
              <w:adjustRightInd w:val="0"/>
              <w:spacing w:before="29"/>
              <w:ind w:left="15"/>
              <w:jc w:val="center"/>
              <w:rPr>
                <w:color w:val="000000"/>
                <w:kern w:val="0"/>
              </w:rPr>
            </w:pPr>
            <w:r>
              <w:rPr>
                <w:color w:val="000000"/>
                <w:kern w:val="0"/>
              </w:rPr>
              <w:t>9</w:t>
            </w:r>
          </w:p>
        </w:tc>
        <w:tc>
          <w:tcPr>
            <w:tcW w:w="2291" w:type="dxa"/>
            <w:vAlign w:val="center"/>
          </w:tcPr>
          <w:p w:rsidR="00630820" w:rsidRDefault="009F35F0">
            <w:pPr>
              <w:autoSpaceDE w:val="0"/>
              <w:autoSpaceDN w:val="0"/>
              <w:adjustRightInd w:val="0"/>
              <w:spacing w:before="29"/>
              <w:ind w:left="15"/>
              <w:jc w:val="left"/>
              <w:rPr>
                <w:color w:val="000000"/>
                <w:kern w:val="0"/>
              </w:rPr>
            </w:pPr>
            <w:r>
              <w:rPr>
                <w:color w:val="000000"/>
                <w:kern w:val="0"/>
              </w:rPr>
              <w:t>合计</w:t>
            </w:r>
          </w:p>
        </w:tc>
        <w:tc>
          <w:tcPr>
            <w:tcW w:w="4911" w:type="dxa"/>
            <w:vAlign w:val="center"/>
          </w:tcPr>
          <w:p w:rsidR="00630820" w:rsidRDefault="009F35F0">
            <w:pPr>
              <w:autoSpaceDE w:val="0"/>
              <w:autoSpaceDN w:val="0"/>
              <w:adjustRightInd w:val="0"/>
              <w:spacing w:before="29"/>
              <w:ind w:left="15"/>
              <w:jc w:val="right"/>
              <w:rPr>
                <w:color w:val="000000"/>
                <w:kern w:val="0"/>
              </w:rPr>
            </w:pPr>
            <w:r>
              <w:rPr>
                <w:color w:val="000000"/>
                <w:kern w:val="0"/>
              </w:rPr>
              <w:t>46,699.08</w:t>
            </w:r>
          </w:p>
        </w:tc>
      </w:tr>
    </w:tbl>
    <w:p w:rsidR="00630820" w:rsidRDefault="009F35F0">
      <w:pPr>
        <w:autoSpaceDE w:val="0"/>
        <w:autoSpaceDN w:val="0"/>
        <w:adjustRightInd w:val="0"/>
        <w:spacing w:line="360" w:lineRule="auto"/>
        <w:jc w:val="left"/>
        <w:rPr>
          <w:b/>
          <w:bCs/>
          <w:color w:val="000000"/>
          <w:kern w:val="0"/>
        </w:rPr>
      </w:pPr>
      <w:r>
        <w:rPr>
          <w:b/>
          <w:bCs/>
          <w:color w:val="000000"/>
          <w:kern w:val="0"/>
        </w:rPr>
        <w:t>5.11.4</w:t>
      </w:r>
      <w:r>
        <w:rPr>
          <w:b/>
          <w:bCs/>
          <w:color w:val="000000"/>
          <w:kern w:val="0"/>
        </w:rPr>
        <w:t>报告期末持有的处于转股期的可转换债券明细</w:t>
      </w:r>
    </w:p>
    <w:p w:rsidR="00630820" w:rsidRDefault="009F35F0">
      <w:pPr>
        <w:autoSpaceDE w:val="0"/>
        <w:autoSpaceDN w:val="0"/>
        <w:adjustRightInd w:val="0"/>
        <w:spacing w:line="360" w:lineRule="auto"/>
        <w:jc w:val="left"/>
        <w:rPr>
          <w:color w:val="000000"/>
        </w:rPr>
      </w:pPr>
      <w:r>
        <w:rPr>
          <w:color w:val="000000"/>
        </w:rPr>
        <w:t>本基金本报告期末未持有处于转股期的可转换债券。</w:t>
      </w:r>
    </w:p>
    <w:p w:rsidR="00630820" w:rsidRDefault="009F35F0">
      <w:pPr>
        <w:autoSpaceDE w:val="0"/>
        <w:autoSpaceDN w:val="0"/>
        <w:adjustRightInd w:val="0"/>
        <w:spacing w:line="360" w:lineRule="auto"/>
        <w:jc w:val="left"/>
        <w:rPr>
          <w:b/>
          <w:bCs/>
          <w:color w:val="000000"/>
          <w:kern w:val="0"/>
        </w:rPr>
      </w:pPr>
      <w:r>
        <w:rPr>
          <w:b/>
          <w:bCs/>
          <w:color w:val="000000"/>
          <w:kern w:val="0"/>
        </w:rPr>
        <w:t>5.11.5</w:t>
      </w:r>
      <w:r>
        <w:rPr>
          <w:b/>
          <w:bCs/>
          <w:color w:val="000000"/>
          <w:kern w:val="0"/>
        </w:rPr>
        <w:t>报告期末前十名股票中存在流通受限情况的说明</w:t>
      </w:r>
    </w:p>
    <w:p w:rsidR="00630820" w:rsidRDefault="009F35F0">
      <w:pPr>
        <w:autoSpaceDE w:val="0"/>
        <w:autoSpaceDN w:val="0"/>
        <w:adjustRightInd w:val="0"/>
        <w:spacing w:line="360" w:lineRule="auto"/>
        <w:jc w:val="left"/>
        <w:rPr>
          <w:color w:val="000000"/>
        </w:rPr>
      </w:pPr>
      <w:r>
        <w:rPr>
          <w:color w:val="000000"/>
        </w:rPr>
        <w:t>本基金本报告期末前十名股票中不存在流通受限情况。</w:t>
      </w:r>
    </w:p>
    <w:p w:rsidR="00630820" w:rsidRDefault="009F35F0">
      <w:pPr>
        <w:autoSpaceDE w:val="0"/>
        <w:autoSpaceDN w:val="0"/>
        <w:adjustRightInd w:val="0"/>
        <w:spacing w:line="360" w:lineRule="auto"/>
        <w:jc w:val="left"/>
        <w:rPr>
          <w:b/>
          <w:bCs/>
          <w:color w:val="000000"/>
          <w:kern w:val="0"/>
        </w:rPr>
      </w:pPr>
      <w:r>
        <w:rPr>
          <w:b/>
          <w:bCs/>
          <w:color w:val="000000"/>
          <w:kern w:val="0"/>
        </w:rPr>
        <w:t>5.11.6</w:t>
      </w:r>
      <w:r>
        <w:rPr>
          <w:b/>
          <w:bCs/>
          <w:color w:val="000000"/>
          <w:kern w:val="0"/>
        </w:rPr>
        <w:t>投资组合报告附注的其他文字描述部分</w:t>
      </w:r>
    </w:p>
    <w:p w:rsidR="00630820" w:rsidRDefault="009F35F0">
      <w:pPr>
        <w:spacing w:line="360" w:lineRule="auto"/>
        <w:jc w:val="left"/>
        <w:rPr>
          <w:color w:val="000000"/>
        </w:rPr>
      </w:pPr>
      <w:r>
        <w:rPr>
          <w:color w:val="000000"/>
        </w:rPr>
        <w:t>由于计算中四舍五入的原因，本报告分项之和与合计项之间可能存在尾差。</w:t>
      </w:r>
    </w:p>
    <w:p w:rsidR="00630820" w:rsidRDefault="009F35F0">
      <w:pPr>
        <w:pStyle w:val="1"/>
        <w:spacing w:before="0" w:after="0" w:line="360" w:lineRule="auto"/>
        <w:jc w:val="center"/>
        <w:rPr>
          <w:color w:val="000000"/>
          <w:kern w:val="0"/>
          <w:sz w:val="24"/>
          <w:szCs w:val="24"/>
        </w:rPr>
      </w:pPr>
      <w:r>
        <w:rPr>
          <w:color w:val="000000"/>
          <w:kern w:val="0"/>
          <w:sz w:val="24"/>
          <w:szCs w:val="24"/>
        </w:rPr>
        <w:t xml:space="preserve">§6  </w:t>
      </w:r>
      <w:r>
        <w:rPr>
          <w:color w:val="000000"/>
          <w:kern w:val="0"/>
          <w:sz w:val="24"/>
          <w:szCs w:val="24"/>
        </w:rPr>
        <w:t>开放式基金份额变动</w:t>
      </w:r>
    </w:p>
    <w:p w:rsidR="00630820" w:rsidRDefault="009F35F0">
      <w:pPr>
        <w:autoSpaceDE w:val="0"/>
        <w:autoSpaceDN w:val="0"/>
        <w:adjustRightInd w:val="0"/>
        <w:spacing w:line="360" w:lineRule="auto"/>
        <w:ind w:left="17"/>
        <w:jc w:val="right"/>
        <w:rPr>
          <w:color w:val="000000"/>
          <w:kern w:val="0"/>
          <w:sz w:val="24"/>
          <w:szCs w:val="24"/>
        </w:rPr>
      </w:pPr>
      <w:r>
        <w:rPr>
          <w:color w:val="000000"/>
          <w:kern w:val="0"/>
          <w:sz w:val="24"/>
          <w:szCs w:val="24"/>
        </w:rPr>
        <w:t>单位：份</w:t>
      </w:r>
    </w:p>
    <w:tbl>
      <w:tblPr>
        <w:tblW w:w="8634" w:type="dxa"/>
        <w:tblInd w:w="-106" w:type="dxa"/>
        <w:tblLayout w:type="fixed"/>
        <w:tblLook w:val="04A0"/>
      </w:tblPr>
      <w:tblGrid>
        <w:gridCol w:w="4609"/>
        <w:gridCol w:w="4025"/>
      </w:tblGrid>
      <w:tr w:rsidR="00630820">
        <w:tc>
          <w:tcPr>
            <w:tcW w:w="4609" w:type="dxa"/>
            <w:tcBorders>
              <w:top w:val="single" w:sz="8" w:space="0" w:color="000000"/>
              <w:left w:val="single" w:sz="8" w:space="0" w:color="000000"/>
              <w:bottom w:val="single" w:sz="8" w:space="0" w:color="000000"/>
              <w:right w:val="single" w:sz="8" w:space="0" w:color="000000"/>
            </w:tcBorders>
            <w:vAlign w:val="center"/>
          </w:tcPr>
          <w:p w:rsidR="00630820" w:rsidRDefault="009F35F0">
            <w:pPr>
              <w:autoSpaceDE w:val="0"/>
              <w:autoSpaceDN w:val="0"/>
              <w:adjustRightInd w:val="0"/>
              <w:spacing w:before="29"/>
              <w:ind w:left="17"/>
              <w:jc w:val="left"/>
              <w:rPr>
                <w:color w:val="000000"/>
                <w:kern w:val="0"/>
              </w:rPr>
            </w:pPr>
            <w:r>
              <w:rPr>
                <w:color w:val="000000"/>
                <w:kern w:val="0"/>
              </w:rPr>
              <w:t>本报告期期初基金份额总额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30820" w:rsidRDefault="009F35F0">
            <w:pPr>
              <w:autoSpaceDE w:val="0"/>
              <w:autoSpaceDN w:val="0"/>
              <w:adjustRightInd w:val="0"/>
              <w:spacing w:before="29"/>
              <w:ind w:left="17"/>
              <w:jc w:val="right"/>
              <w:rPr>
                <w:color w:val="000000"/>
              </w:rPr>
            </w:pPr>
            <w:r>
              <w:rPr>
                <w:color w:val="000000"/>
              </w:rPr>
              <w:t>1,246,854.95</w:t>
            </w:r>
          </w:p>
        </w:tc>
      </w:tr>
      <w:tr w:rsidR="00630820">
        <w:tc>
          <w:tcPr>
            <w:tcW w:w="4609" w:type="dxa"/>
            <w:tcBorders>
              <w:top w:val="single" w:sz="8" w:space="0" w:color="000000"/>
              <w:left w:val="single" w:sz="8" w:space="0" w:color="000000"/>
              <w:bottom w:val="single" w:sz="8" w:space="0" w:color="000000"/>
              <w:right w:val="single" w:sz="8" w:space="0" w:color="000000"/>
            </w:tcBorders>
            <w:vAlign w:val="center"/>
          </w:tcPr>
          <w:p w:rsidR="00630820" w:rsidRDefault="009F35F0">
            <w:pPr>
              <w:autoSpaceDE w:val="0"/>
              <w:autoSpaceDN w:val="0"/>
              <w:adjustRightInd w:val="0"/>
              <w:spacing w:before="29"/>
              <w:ind w:left="17"/>
              <w:jc w:val="left"/>
              <w:rPr>
                <w:color w:val="000000"/>
                <w:kern w:val="0"/>
              </w:rPr>
            </w:pPr>
            <w:r>
              <w:rPr>
                <w:color w:val="000000"/>
                <w:kern w:val="0"/>
              </w:rPr>
              <w:t>本报告期基金总申购份额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30820" w:rsidRDefault="009F35F0">
            <w:pPr>
              <w:autoSpaceDE w:val="0"/>
              <w:autoSpaceDN w:val="0"/>
              <w:adjustRightInd w:val="0"/>
              <w:spacing w:before="29"/>
              <w:ind w:left="17"/>
              <w:jc w:val="right"/>
              <w:rPr>
                <w:color w:val="000000"/>
              </w:rPr>
            </w:pPr>
            <w:r>
              <w:rPr>
                <w:color w:val="000000"/>
              </w:rPr>
              <w:t>30,796.64</w:t>
            </w:r>
          </w:p>
        </w:tc>
      </w:tr>
      <w:tr w:rsidR="00630820">
        <w:tc>
          <w:tcPr>
            <w:tcW w:w="4609" w:type="dxa"/>
            <w:tcBorders>
              <w:top w:val="single" w:sz="8" w:space="0" w:color="000000"/>
              <w:left w:val="single" w:sz="8" w:space="0" w:color="000000"/>
              <w:bottom w:val="single" w:sz="8" w:space="0" w:color="000000"/>
              <w:right w:val="single" w:sz="8" w:space="0" w:color="000000"/>
            </w:tcBorders>
            <w:vAlign w:val="center"/>
          </w:tcPr>
          <w:p w:rsidR="00630820" w:rsidRDefault="009F35F0">
            <w:pPr>
              <w:autoSpaceDE w:val="0"/>
              <w:autoSpaceDN w:val="0"/>
              <w:adjustRightInd w:val="0"/>
              <w:spacing w:before="29"/>
              <w:ind w:left="17"/>
              <w:jc w:val="left"/>
              <w:rPr>
                <w:color w:val="000000"/>
                <w:kern w:val="0"/>
              </w:rPr>
            </w:pPr>
            <w:r>
              <w:rPr>
                <w:color w:val="000000"/>
                <w:kern w:val="0"/>
              </w:rPr>
              <w:t>减：本报告期基金总赎回份额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30820" w:rsidRDefault="009F35F0">
            <w:pPr>
              <w:autoSpaceDE w:val="0"/>
              <w:autoSpaceDN w:val="0"/>
              <w:adjustRightInd w:val="0"/>
              <w:spacing w:before="29"/>
              <w:ind w:left="17"/>
              <w:jc w:val="right"/>
              <w:rPr>
                <w:color w:val="000000"/>
              </w:rPr>
            </w:pPr>
            <w:r>
              <w:rPr>
                <w:color w:val="000000"/>
              </w:rPr>
              <w:t>51,483.67</w:t>
            </w:r>
          </w:p>
        </w:tc>
      </w:tr>
      <w:tr w:rsidR="00630820">
        <w:tc>
          <w:tcPr>
            <w:tcW w:w="4609" w:type="dxa"/>
            <w:tcBorders>
              <w:top w:val="single" w:sz="8" w:space="0" w:color="000000"/>
              <w:left w:val="single" w:sz="8" w:space="0" w:color="000000"/>
              <w:bottom w:val="single" w:sz="8" w:space="0" w:color="000000"/>
              <w:right w:val="single" w:sz="8" w:space="0" w:color="000000"/>
            </w:tcBorders>
            <w:vAlign w:val="center"/>
          </w:tcPr>
          <w:p w:rsidR="00630820" w:rsidRDefault="009F35F0">
            <w:pPr>
              <w:autoSpaceDE w:val="0"/>
              <w:autoSpaceDN w:val="0"/>
              <w:adjustRightInd w:val="0"/>
              <w:spacing w:before="29"/>
              <w:ind w:left="17"/>
              <w:jc w:val="left"/>
              <w:rPr>
                <w:color w:val="000000"/>
                <w:kern w:val="0"/>
              </w:rPr>
            </w:pPr>
            <w:r>
              <w:rPr>
                <w:color w:val="000000"/>
                <w:kern w:val="0"/>
              </w:rPr>
              <w:t>本报告期基金拆分变动份额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30820" w:rsidRDefault="009F35F0">
            <w:pPr>
              <w:autoSpaceDE w:val="0"/>
              <w:autoSpaceDN w:val="0"/>
              <w:adjustRightInd w:val="0"/>
              <w:spacing w:before="29"/>
              <w:ind w:left="17"/>
              <w:jc w:val="right"/>
              <w:rPr>
                <w:color w:val="000000"/>
              </w:rPr>
            </w:pPr>
            <w:r>
              <w:rPr>
                <w:color w:val="000000"/>
              </w:rPr>
              <w:t>-</w:t>
            </w:r>
          </w:p>
        </w:tc>
      </w:tr>
      <w:tr w:rsidR="00630820">
        <w:tc>
          <w:tcPr>
            <w:tcW w:w="4609" w:type="dxa"/>
            <w:tcBorders>
              <w:top w:val="single" w:sz="8" w:space="0" w:color="000000"/>
              <w:left w:val="single" w:sz="8" w:space="0" w:color="000000"/>
              <w:bottom w:val="single" w:sz="8" w:space="0" w:color="000000"/>
              <w:right w:val="single" w:sz="8" w:space="0" w:color="000000"/>
            </w:tcBorders>
            <w:vAlign w:val="center"/>
          </w:tcPr>
          <w:p w:rsidR="00630820" w:rsidRDefault="009F35F0">
            <w:pPr>
              <w:autoSpaceDE w:val="0"/>
              <w:autoSpaceDN w:val="0"/>
              <w:adjustRightInd w:val="0"/>
              <w:spacing w:before="29"/>
              <w:ind w:left="17"/>
              <w:jc w:val="left"/>
              <w:rPr>
                <w:color w:val="000000"/>
                <w:kern w:val="0"/>
              </w:rPr>
            </w:pPr>
            <w:r>
              <w:rPr>
                <w:color w:val="000000"/>
                <w:kern w:val="0"/>
              </w:rPr>
              <w:t>本报告期期末基金份额总额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30820" w:rsidRDefault="009F35F0">
            <w:pPr>
              <w:autoSpaceDE w:val="0"/>
              <w:autoSpaceDN w:val="0"/>
              <w:adjustRightInd w:val="0"/>
              <w:spacing w:before="29"/>
              <w:ind w:left="17"/>
              <w:jc w:val="right"/>
              <w:rPr>
                <w:color w:val="000000"/>
              </w:rPr>
            </w:pPr>
            <w:r>
              <w:rPr>
                <w:color w:val="000000"/>
              </w:rPr>
              <w:t>1,226,167.92</w:t>
            </w:r>
          </w:p>
        </w:tc>
      </w:tr>
    </w:tbl>
    <w:p w:rsidR="00630820" w:rsidRDefault="009F35F0">
      <w:pPr>
        <w:pStyle w:val="1"/>
        <w:spacing w:before="0" w:after="0" w:line="360" w:lineRule="auto"/>
        <w:jc w:val="center"/>
        <w:rPr>
          <w:color w:val="000000"/>
          <w:kern w:val="0"/>
          <w:sz w:val="24"/>
          <w:szCs w:val="24"/>
        </w:rPr>
      </w:pPr>
      <w:r>
        <w:rPr>
          <w:color w:val="000000"/>
          <w:kern w:val="0"/>
          <w:sz w:val="24"/>
          <w:szCs w:val="24"/>
        </w:rPr>
        <w:t xml:space="preserve">§7  </w:t>
      </w:r>
      <w:r>
        <w:rPr>
          <w:color w:val="000000"/>
          <w:kern w:val="0"/>
          <w:sz w:val="24"/>
          <w:szCs w:val="24"/>
        </w:rPr>
        <w:t>基金管理人运用固有资金投资本基金情况</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7.1 </w:t>
      </w:r>
      <w:r>
        <w:rPr>
          <w:b/>
          <w:bCs/>
          <w:color w:val="000000"/>
          <w:kern w:val="0"/>
        </w:rPr>
        <w:t>基金管理人持有本基金份额变动情况</w:t>
      </w:r>
    </w:p>
    <w:p w:rsidR="00630820" w:rsidRDefault="009F35F0">
      <w:pPr>
        <w:autoSpaceDE w:val="0"/>
        <w:autoSpaceDN w:val="0"/>
        <w:adjustRightInd w:val="0"/>
        <w:spacing w:line="360" w:lineRule="auto"/>
        <w:jc w:val="left"/>
        <w:rPr>
          <w:color w:val="000000"/>
        </w:rPr>
      </w:pPr>
      <w:r>
        <w:rPr>
          <w:color w:val="000000"/>
        </w:rPr>
        <w:t>本报告期内基金管理人未持有本基金份额。</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7.2 </w:t>
      </w:r>
      <w:r>
        <w:rPr>
          <w:b/>
          <w:bCs/>
          <w:color w:val="000000"/>
          <w:kern w:val="0"/>
        </w:rPr>
        <w:t>基金管理人运用固有资金投资本基金交易明细</w:t>
      </w:r>
    </w:p>
    <w:p w:rsidR="00630820" w:rsidRDefault="009F35F0">
      <w:pPr>
        <w:autoSpaceDE w:val="0"/>
        <w:autoSpaceDN w:val="0"/>
        <w:adjustRightInd w:val="0"/>
        <w:spacing w:line="360" w:lineRule="auto"/>
        <w:jc w:val="left"/>
        <w:rPr>
          <w:color w:val="000000"/>
        </w:rPr>
      </w:pPr>
      <w:r>
        <w:rPr>
          <w:color w:val="000000"/>
        </w:rPr>
        <w:t>本报告期内，基金管理人未运用固有资金申购、赎回或买卖本基金。</w:t>
      </w:r>
    </w:p>
    <w:p w:rsidR="00630820" w:rsidRDefault="009F35F0" w:rsidP="009F35F0">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§8 </w:t>
      </w:r>
      <w:r>
        <w:rPr>
          <w:rFonts w:eastAsiaTheme="minorEastAsia"/>
          <w:color w:val="000000" w:themeColor="text1"/>
          <w:kern w:val="0"/>
          <w:sz w:val="21"/>
          <w:szCs w:val="21"/>
        </w:rPr>
        <w:t>影响投资者决策的其他重要信息</w:t>
      </w:r>
    </w:p>
    <w:p w:rsidR="00630820" w:rsidRDefault="009F35F0">
      <w:pPr>
        <w:autoSpaceDE w:val="0"/>
        <w:autoSpaceDN w:val="0"/>
        <w:adjustRightInd w:val="0"/>
        <w:spacing w:line="360" w:lineRule="auto"/>
        <w:jc w:val="left"/>
        <w:rPr>
          <w:rFonts w:ascii="宋体" w:hAnsi="宋体"/>
          <w:b/>
          <w:bCs/>
          <w:color w:val="000000"/>
          <w:kern w:val="0"/>
        </w:rPr>
      </w:pPr>
      <w:r>
        <w:rPr>
          <w:rFonts w:ascii="宋体" w:hAnsi="宋体"/>
          <w:b/>
          <w:bCs/>
          <w:color w:val="000000"/>
          <w:kern w:val="0"/>
        </w:rPr>
        <w:t>8.</w:t>
      </w:r>
      <w:r>
        <w:rPr>
          <w:rFonts w:ascii="宋体" w:hAnsi="宋体" w:hint="eastAsia"/>
          <w:b/>
          <w:bCs/>
          <w:color w:val="000000"/>
          <w:kern w:val="0"/>
        </w:rPr>
        <w:t xml:space="preserve">1 </w:t>
      </w:r>
      <w:r>
        <w:rPr>
          <w:rFonts w:ascii="宋体" w:hAnsi="宋体" w:hint="eastAsia"/>
          <w:b/>
          <w:bCs/>
          <w:color w:val="000000"/>
          <w:kern w:val="0"/>
        </w:rPr>
        <w:t>报告期内单一投资者持有基金份额比例达到或超过</w:t>
      </w:r>
      <w:r>
        <w:rPr>
          <w:rFonts w:ascii="宋体" w:hAnsi="宋体" w:hint="eastAsia"/>
          <w:b/>
          <w:bCs/>
          <w:color w:val="000000"/>
          <w:kern w:val="0"/>
        </w:rPr>
        <w:t>20%</w:t>
      </w:r>
      <w:r>
        <w:rPr>
          <w:rFonts w:ascii="宋体" w:hAnsi="宋体" w:hint="eastAsia"/>
          <w:b/>
          <w:bCs/>
          <w:color w:val="000000"/>
          <w:kern w:val="0"/>
        </w:rPr>
        <w:t>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992"/>
        <w:gridCol w:w="1843"/>
        <w:gridCol w:w="851"/>
        <w:gridCol w:w="850"/>
        <w:gridCol w:w="1134"/>
        <w:gridCol w:w="1419"/>
        <w:gridCol w:w="1130"/>
      </w:tblGrid>
      <w:tr w:rsidR="00630820">
        <w:tc>
          <w:tcPr>
            <w:tcW w:w="993" w:type="dxa"/>
            <w:vMerge w:val="restart"/>
            <w:vAlign w:val="center"/>
          </w:tcPr>
          <w:p w:rsidR="00630820" w:rsidRDefault="009F35F0">
            <w:pPr>
              <w:autoSpaceDE w:val="0"/>
              <w:autoSpaceDN w:val="0"/>
              <w:adjustRightInd w:val="0"/>
              <w:jc w:val="center"/>
              <w:rPr>
                <w:rFonts w:ascii="宋体" w:hAnsi="宋体"/>
                <w:b/>
                <w:bCs/>
                <w:color w:val="000000"/>
                <w:kern w:val="0"/>
              </w:rPr>
            </w:pPr>
            <w:r>
              <w:rPr>
                <w:rFonts w:ascii="宋体" w:hAnsi="宋体" w:hint="eastAsia"/>
                <w:color w:val="000000"/>
                <w:kern w:val="0"/>
              </w:rPr>
              <w:t>投资者类别</w:t>
            </w:r>
          </w:p>
        </w:tc>
        <w:tc>
          <w:tcPr>
            <w:tcW w:w="5670" w:type="dxa"/>
            <w:gridSpan w:val="5"/>
            <w:vAlign w:val="center"/>
          </w:tcPr>
          <w:p w:rsidR="00630820" w:rsidRDefault="009F35F0">
            <w:pPr>
              <w:autoSpaceDE w:val="0"/>
              <w:autoSpaceDN w:val="0"/>
              <w:adjustRightInd w:val="0"/>
              <w:jc w:val="center"/>
              <w:rPr>
                <w:rFonts w:ascii="宋体" w:hAnsi="宋体"/>
                <w:b/>
                <w:bCs/>
                <w:color w:val="000000"/>
                <w:kern w:val="0"/>
              </w:rPr>
            </w:pPr>
            <w:r>
              <w:rPr>
                <w:rFonts w:ascii="宋体" w:hAnsi="宋体" w:hint="eastAsia"/>
                <w:color w:val="000000"/>
                <w:kern w:val="0"/>
              </w:rPr>
              <w:t>报告期内持有基金份额变化情况</w:t>
            </w:r>
          </w:p>
        </w:tc>
        <w:tc>
          <w:tcPr>
            <w:tcW w:w="2549" w:type="dxa"/>
            <w:gridSpan w:val="2"/>
            <w:vAlign w:val="center"/>
          </w:tcPr>
          <w:p w:rsidR="00630820" w:rsidRDefault="009F35F0">
            <w:pPr>
              <w:autoSpaceDE w:val="0"/>
              <w:autoSpaceDN w:val="0"/>
              <w:adjustRightInd w:val="0"/>
              <w:jc w:val="center"/>
              <w:rPr>
                <w:rFonts w:ascii="宋体" w:hAnsi="宋体"/>
                <w:b/>
                <w:bCs/>
                <w:color w:val="000000"/>
                <w:kern w:val="0"/>
              </w:rPr>
            </w:pPr>
            <w:r>
              <w:rPr>
                <w:rFonts w:ascii="宋体" w:hAnsi="宋体" w:hint="eastAsia"/>
                <w:color w:val="000000"/>
                <w:kern w:val="0"/>
              </w:rPr>
              <w:t>报告期末持有基金情况</w:t>
            </w:r>
          </w:p>
        </w:tc>
      </w:tr>
      <w:tr w:rsidR="00630820">
        <w:tc>
          <w:tcPr>
            <w:tcW w:w="993" w:type="dxa"/>
            <w:vMerge/>
            <w:vAlign w:val="center"/>
          </w:tcPr>
          <w:p w:rsidR="00630820" w:rsidRDefault="00630820">
            <w:pPr>
              <w:autoSpaceDE w:val="0"/>
              <w:autoSpaceDN w:val="0"/>
              <w:adjustRightInd w:val="0"/>
              <w:jc w:val="center"/>
              <w:rPr>
                <w:rFonts w:ascii="宋体" w:hAnsi="宋体"/>
                <w:b/>
                <w:bCs/>
                <w:color w:val="000000"/>
                <w:kern w:val="0"/>
              </w:rPr>
            </w:pPr>
          </w:p>
        </w:tc>
        <w:tc>
          <w:tcPr>
            <w:tcW w:w="992" w:type="dxa"/>
            <w:vAlign w:val="center"/>
          </w:tcPr>
          <w:p w:rsidR="00630820" w:rsidRDefault="009F35F0">
            <w:pPr>
              <w:autoSpaceDE w:val="0"/>
              <w:autoSpaceDN w:val="0"/>
              <w:adjustRightInd w:val="0"/>
              <w:jc w:val="center"/>
              <w:rPr>
                <w:rFonts w:ascii="宋体" w:hAnsi="宋体"/>
                <w:b/>
                <w:bCs/>
                <w:color w:val="000000"/>
                <w:kern w:val="0"/>
              </w:rPr>
            </w:pPr>
            <w:r>
              <w:rPr>
                <w:rFonts w:ascii="宋体" w:hAnsi="宋体" w:hint="eastAsia"/>
                <w:color w:val="000000"/>
                <w:kern w:val="0"/>
              </w:rPr>
              <w:t>序号</w:t>
            </w:r>
          </w:p>
        </w:tc>
        <w:tc>
          <w:tcPr>
            <w:tcW w:w="1843" w:type="dxa"/>
            <w:vAlign w:val="center"/>
          </w:tcPr>
          <w:p w:rsidR="00630820" w:rsidRDefault="009F35F0">
            <w:pPr>
              <w:autoSpaceDE w:val="0"/>
              <w:autoSpaceDN w:val="0"/>
              <w:adjustRightInd w:val="0"/>
              <w:jc w:val="center"/>
              <w:rPr>
                <w:rFonts w:ascii="宋体" w:hAnsi="宋体"/>
                <w:b/>
                <w:bCs/>
                <w:color w:val="000000"/>
                <w:kern w:val="0"/>
              </w:rPr>
            </w:pPr>
            <w:r>
              <w:rPr>
                <w:rFonts w:ascii="宋体" w:hAnsi="宋体" w:hint="eastAsia"/>
                <w:color w:val="000000"/>
                <w:kern w:val="0"/>
              </w:rPr>
              <w:t>持有基金份额比例达到或者超过</w:t>
            </w:r>
            <w:r>
              <w:rPr>
                <w:rFonts w:ascii="宋体" w:hAnsi="宋体" w:hint="eastAsia"/>
                <w:color w:val="000000"/>
                <w:kern w:val="0"/>
              </w:rPr>
              <w:t>20%</w:t>
            </w:r>
            <w:r>
              <w:rPr>
                <w:rFonts w:ascii="宋体" w:hAnsi="宋体" w:hint="eastAsia"/>
                <w:color w:val="000000"/>
                <w:kern w:val="0"/>
              </w:rPr>
              <w:t>的时间区间</w:t>
            </w:r>
          </w:p>
        </w:tc>
        <w:tc>
          <w:tcPr>
            <w:tcW w:w="851" w:type="dxa"/>
            <w:vAlign w:val="center"/>
          </w:tcPr>
          <w:p w:rsidR="00630820" w:rsidRDefault="009F35F0">
            <w:pPr>
              <w:widowControl/>
              <w:jc w:val="center"/>
              <w:rPr>
                <w:rFonts w:ascii="宋体" w:hAnsi="宋体"/>
                <w:b/>
                <w:bCs/>
                <w:color w:val="000000"/>
                <w:kern w:val="0"/>
              </w:rPr>
            </w:pPr>
            <w:r>
              <w:rPr>
                <w:rFonts w:ascii="宋体" w:hAnsi="宋体" w:hint="eastAsia"/>
                <w:color w:val="000000"/>
                <w:kern w:val="0"/>
              </w:rPr>
              <w:t>期初份额</w:t>
            </w:r>
          </w:p>
        </w:tc>
        <w:tc>
          <w:tcPr>
            <w:tcW w:w="850" w:type="dxa"/>
            <w:vAlign w:val="center"/>
          </w:tcPr>
          <w:p w:rsidR="00630820" w:rsidRDefault="009F35F0">
            <w:pPr>
              <w:widowControl/>
              <w:jc w:val="center"/>
              <w:rPr>
                <w:rFonts w:ascii="宋体" w:hAnsi="宋体"/>
                <w:b/>
                <w:bCs/>
                <w:color w:val="000000"/>
                <w:kern w:val="0"/>
              </w:rPr>
            </w:pPr>
            <w:r>
              <w:rPr>
                <w:rFonts w:ascii="宋体" w:hAnsi="宋体" w:hint="eastAsia"/>
                <w:color w:val="000000"/>
                <w:kern w:val="0"/>
              </w:rPr>
              <w:t>申购份额</w:t>
            </w:r>
          </w:p>
        </w:tc>
        <w:tc>
          <w:tcPr>
            <w:tcW w:w="1134" w:type="dxa"/>
            <w:vAlign w:val="center"/>
          </w:tcPr>
          <w:p w:rsidR="00630820" w:rsidRDefault="009F35F0">
            <w:pPr>
              <w:widowControl/>
              <w:jc w:val="center"/>
              <w:rPr>
                <w:rFonts w:ascii="宋体" w:hAnsi="宋体"/>
                <w:b/>
                <w:bCs/>
                <w:color w:val="000000"/>
                <w:kern w:val="0"/>
              </w:rPr>
            </w:pPr>
            <w:r>
              <w:rPr>
                <w:rFonts w:ascii="宋体" w:hAnsi="宋体" w:hint="eastAsia"/>
                <w:color w:val="000000"/>
                <w:kern w:val="0"/>
              </w:rPr>
              <w:t>赎回份额</w:t>
            </w:r>
          </w:p>
        </w:tc>
        <w:tc>
          <w:tcPr>
            <w:tcW w:w="1419" w:type="dxa"/>
            <w:vAlign w:val="center"/>
          </w:tcPr>
          <w:p w:rsidR="00630820" w:rsidRDefault="009F35F0">
            <w:pPr>
              <w:autoSpaceDE w:val="0"/>
              <w:autoSpaceDN w:val="0"/>
              <w:adjustRightInd w:val="0"/>
              <w:jc w:val="center"/>
              <w:rPr>
                <w:rFonts w:ascii="宋体" w:hAnsi="宋体"/>
                <w:b/>
                <w:bCs/>
                <w:color w:val="000000"/>
                <w:kern w:val="0"/>
              </w:rPr>
            </w:pPr>
            <w:r>
              <w:rPr>
                <w:rFonts w:ascii="宋体" w:hAnsi="宋体" w:hint="eastAsia"/>
                <w:color w:val="000000"/>
                <w:kern w:val="0"/>
              </w:rPr>
              <w:t>持有份额</w:t>
            </w:r>
          </w:p>
        </w:tc>
        <w:tc>
          <w:tcPr>
            <w:tcW w:w="1130" w:type="dxa"/>
            <w:vAlign w:val="center"/>
          </w:tcPr>
          <w:p w:rsidR="00630820" w:rsidRDefault="009F35F0">
            <w:pPr>
              <w:autoSpaceDE w:val="0"/>
              <w:autoSpaceDN w:val="0"/>
              <w:adjustRightInd w:val="0"/>
              <w:jc w:val="center"/>
              <w:rPr>
                <w:rFonts w:ascii="宋体" w:hAnsi="宋体"/>
                <w:b/>
                <w:bCs/>
                <w:color w:val="000000"/>
                <w:kern w:val="0"/>
              </w:rPr>
            </w:pPr>
            <w:r>
              <w:rPr>
                <w:rFonts w:ascii="宋体" w:hAnsi="宋体" w:hint="eastAsia"/>
                <w:color w:val="000000"/>
                <w:kern w:val="0"/>
              </w:rPr>
              <w:t>份额占比</w:t>
            </w:r>
          </w:p>
        </w:tc>
      </w:tr>
      <w:tr w:rsidR="00630820">
        <w:tc>
          <w:tcPr>
            <w:tcW w:w="993" w:type="dxa"/>
            <w:vMerge w:val="restart"/>
          </w:tcPr>
          <w:p w:rsidR="00630820" w:rsidRDefault="00630820"/>
          <w:p w:rsidR="00630820" w:rsidRDefault="009F35F0">
            <w:r>
              <w:rPr>
                <w:rFonts w:ascii="宋体" w:hAnsi="宋体" w:hint="eastAsia"/>
                <w:bCs/>
                <w:color w:val="000000"/>
                <w:kern w:val="0"/>
              </w:rPr>
              <w:t>个人</w:t>
            </w:r>
          </w:p>
        </w:tc>
        <w:tc>
          <w:tcPr>
            <w:tcW w:w="992" w:type="dxa"/>
            <w:vAlign w:val="center"/>
          </w:tcPr>
          <w:p w:rsidR="00630820" w:rsidRDefault="009F35F0">
            <w:pPr>
              <w:jc w:val="center"/>
            </w:pPr>
            <w:r>
              <w:rPr>
                <w:rFonts w:ascii="宋体" w:hAnsi="宋体"/>
                <w:kern w:val="0"/>
              </w:rPr>
              <w:t>1</w:t>
            </w:r>
          </w:p>
        </w:tc>
        <w:tc>
          <w:tcPr>
            <w:tcW w:w="1843" w:type="dxa"/>
            <w:vAlign w:val="center"/>
          </w:tcPr>
          <w:p w:rsidR="00630820" w:rsidRDefault="009F35F0">
            <w:pPr>
              <w:jc w:val="center"/>
            </w:pPr>
            <w:r>
              <w:rPr>
                <w:rFonts w:ascii="宋体" w:hAnsi="宋体"/>
                <w:kern w:val="0"/>
              </w:rPr>
              <w:t>2018-04-01</w:t>
            </w:r>
            <w:r>
              <w:rPr>
                <w:rFonts w:ascii="宋体" w:hAnsi="宋体"/>
                <w:kern w:val="0"/>
              </w:rPr>
              <w:t>至</w:t>
            </w:r>
            <w:r>
              <w:rPr>
                <w:rFonts w:ascii="宋体" w:hAnsi="宋体"/>
                <w:kern w:val="0"/>
              </w:rPr>
              <w:t>2018-06-30</w:t>
            </w:r>
          </w:p>
        </w:tc>
        <w:tc>
          <w:tcPr>
            <w:tcW w:w="851" w:type="dxa"/>
            <w:vAlign w:val="center"/>
          </w:tcPr>
          <w:p w:rsidR="00630820" w:rsidRDefault="009F35F0">
            <w:pPr>
              <w:jc w:val="center"/>
            </w:pPr>
            <w:r>
              <w:rPr>
                <w:rFonts w:ascii="宋体" w:hAnsi="宋体"/>
                <w:kern w:val="0"/>
              </w:rPr>
              <w:t>292,392.14</w:t>
            </w:r>
          </w:p>
        </w:tc>
        <w:tc>
          <w:tcPr>
            <w:tcW w:w="850" w:type="dxa"/>
            <w:vAlign w:val="center"/>
          </w:tcPr>
          <w:p w:rsidR="00630820" w:rsidRDefault="009F35F0">
            <w:pPr>
              <w:jc w:val="center"/>
            </w:pPr>
            <w:r>
              <w:rPr>
                <w:rFonts w:ascii="宋体" w:hAnsi="宋体"/>
                <w:kern w:val="0"/>
              </w:rPr>
              <w:t>0.00</w:t>
            </w:r>
          </w:p>
        </w:tc>
        <w:tc>
          <w:tcPr>
            <w:tcW w:w="1134" w:type="dxa"/>
            <w:vAlign w:val="center"/>
          </w:tcPr>
          <w:p w:rsidR="00630820" w:rsidRDefault="009F35F0">
            <w:pPr>
              <w:jc w:val="center"/>
            </w:pPr>
            <w:r>
              <w:rPr>
                <w:rFonts w:ascii="宋体" w:hAnsi="宋体"/>
                <w:kern w:val="0"/>
              </w:rPr>
              <w:t>-</w:t>
            </w:r>
          </w:p>
        </w:tc>
        <w:tc>
          <w:tcPr>
            <w:tcW w:w="1419" w:type="dxa"/>
            <w:vAlign w:val="center"/>
          </w:tcPr>
          <w:p w:rsidR="00630820" w:rsidRDefault="009F35F0">
            <w:pPr>
              <w:jc w:val="center"/>
            </w:pPr>
            <w:r>
              <w:rPr>
                <w:rFonts w:ascii="宋体" w:hAnsi="宋体"/>
                <w:kern w:val="0"/>
              </w:rPr>
              <w:t>292,392.14</w:t>
            </w:r>
          </w:p>
        </w:tc>
        <w:tc>
          <w:tcPr>
            <w:tcW w:w="1130" w:type="dxa"/>
            <w:vAlign w:val="center"/>
          </w:tcPr>
          <w:p w:rsidR="00630820" w:rsidRDefault="009F35F0">
            <w:pPr>
              <w:jc w:val="center"/>
            </w:pPr>
            <w:r>
              <w:rPr>
                <w:rFonts w:ascii="宋体" w:hAnsi="宋体"/>
                <w:kern w:val="0"/>
              </w:rPr>
              <w:t>23.8460%</w:t>
            </w:r>
          </w:p>
        </w:tc>
      </w:tr>
      <w:tr w:rsidR="00630820">
        <w:tc>
          <w:tcPr>
            <w:tcW w:w="993" w:type="dxa"/>
            <w:vMerge/>
          </w:tcPr>
          <w:p w:rsidR="00630820" w:rsidRDefault="00630820"/>
        </w:tc>
        <w:tc>
          <w:tcPr>
            <w:tcW w:w="992" w:type="dxa"/>
            <w:vAlign w:val="center"/>
          </w:tcPr>
          <w:p w:rsidR="00630820" w:rsidRDefault="009F35F0">
            <w:pPr>
              <w:jc w:val="center"/>
            </w:pPr>
            <w:r>
              <w:rPr>
                <w:rFonts w:ascii="宋体" w:hAnsi="宋体"/>
                <w:kern w:val="0"/>
              </w:rPr>
              <w:t>2</w:t>
            </w:r>
          </w:p>
        </w:tc>
        <w:tc>
          <w:tcPr>
            <w:tcW w:w="1843" w:type="dxa"/>
            <w:vAlign w:val="center"/>
          </w:tcPr>
          <w:p w:rsidR="00630820" w:rsidRDefault="009F35F0">
            <w:pPr>
              <w:jc w:val="center"/>
            </w:pPr>
            <w:r>
              <w:rPr>
                <w:rFonts w:ascii="宋体" w:hAnsi="宋体"/>
                <w:kern w:val="0"/>
              </w:rPr>
              <w:t>2018-04-01</w:t>
            </w:r>
            <w:r>
              <w:rPr>
                <w:rFonts w:ascii="宋体" w:hAnsi="宋体"/>
                <w:kern w:val="0"/>
              </w:rPr>
              <w:t>至</w:t>
            </w:r>
            <w:r>
              <w:rPr>
                <w:rFonts w:ascii="宋体" w:hAnsi="宋体"/>
                <w:kern w:val="0"/>
              </w:rPr>
              <w:t>2018-06-30</w:t>
            </w:r>
          </w:p>
        </w:tc>
        <w:tc>
          <w:tcPr>
            <w:tcW w:w="851" w:type="dxa"/>
            <w:vAlign w:val="center"/>
          </w:tcPr>
          <w:p w:rsidR="00630820" w:rsidRDefault="009F35F0">
            <w:pPr>
              <w:jc w:val="center"/>
            </w:pPr>
            <w:r>
              <w:rPr>
                <w:rFonts w:ascii="宋体" w:hAnsi="宋体"/>
                <w:kern w:val="0"/>
              </w:rPr>
              <w:t>298,234.74</w:t>
            </w:r>
          </w:p>
        </w:tc>
        <w:tc>
          <w:tcPr>
            <w:tcW w:w="850" w:type="dxa"/>
            <w:vAlign w:val="center"/>
          </w:tcPr>
          <w:p w:rsidR="00630820" w:rsidRDefault="009F35F0">
            <w:pPr>
              <w:jc w:val="center"/>
            </w:pPr>
            <w:r>
              <w:rPr>
                <w:rFonts w:ascii="宋体" w:hAnsi="宋体"/>
                <w:kern w:val="0"/>
              </w:rPr>
              <w:t>0.00</w:t>
            </w:r>
          </w:p>
        </w:tc>
        <w:tc>
          <w:tcPr>
            <w:tcW w:w="1134" w:type="dxa"/>
            <w:vAlign w:val="center"/>
          </w:tcPr>
          <w:p w:rsidR="00630820" w:rsidRDefault="009F35F0">
            <w:pPr>
              <w:jc w:val="center"/>
            </w:pPr>
            <w:r>
              <w:rPr>
                <w:rFonts w:ascii="宋体" w:hAnsi="宋体"/>
                <w:kern w:val="0"/>
              </w:rPr>
              <w:t>-</w:t>
            </w:r>
          </w:p>
        </w:tc>
        <w:tc>
          <w:tcPr>
            <w:tcW w:w="1419" w:type="dxa"/>
            <w:vAlign w:val="center"/>
          </w:tcPr>
          <w:p w:rsidR="00630820" w:rsidRDefault="009F35F0">
            <w:pPr>
              <w:jc w:val="center"/>
            </w:pPr>
            <w:r>
              <w:rPr>
                <w:rFonts w:ascii="宋体" w:hAnsi="宋体"/>
                <w:kern w:val="0"/>
              </w:rPr>
              <w:t>298,234.74</w:t>
            </w:r>
          </w:p>
        </w:tc>
        <w:tc>
          <w:tcPr>
            <w:tcW w:w="1130" w:type="dxa"/>
            <w:vAlign w:val="center"/>
          </w:tcPr>
          <w:p w:rsidR="00630820" w:rsidRDefault="009F35F0">
            <w:pPr>
              <w:jc w:val="center"/>
            </w:pPr>
            <w:r>
              <w:rPr>
                <w:rFonts w:ascii="宋体" w:hAnsi="宋体"/>
                <w:kern w:val="0"/>
              </w:rPr>
              <w:t>24.3225%</w:t>
            </w:r>
          </w:p>
        </w:tc>
      </w:tr>
      <w:tr w:rsidR="00630820">
        <w:tc>
          <w:tcPr>
            <w:tcW w:w="9212" w:type="dxa"/>
            <w:gridSpan w:val="8"/>
            <w:vAlign w:val="center"/>
          </w:tcPr>
          <w:p w:rsidR="00630820" w:rsidRDefault="009F35F0">
            <w:pPr>
              <w:autoSpaceDE w:val="0"/>
              <w:autoSpaceDN w:val="0"/>
              <w:adjustRightInd w:val="0"/>
              <w:jc w:val="center"/>
              <w:rPr>
                <w:rFonts w:ascii="宋体" w:hAnsi="宋体"/>
                <w:kern w:val="0"/>
              </w:rPr>
            </w:pPr>
            <w:r>
              <w:rPr>
                <w:rFonts w:ascii="宋体" w:hAnsi="宋体"/>
                <w:color w:val="000000"/>
                <w:kern w:val="0"/>
              </w:rPr>
              <w:t>产品特有风险</w:t>
            </w:r>
          </w:p>
        </w:tc>
      </w:tr>
      <w:tr w:rsidR="00630820">
        <w:tc>
          <w:tcPr>
            <w:tcW w:w="9212" w:type="dxa"/>
            <w:gridSpan w:val="8"/>
            <w:vAlign w:val="center"/>
          </w:tcPr>
          <w:p w:rsidR="00630820" w:rsidRDefault="009F35F0">
            <w:pPr>
              <w:autoSpaceDE w:val="0"/>
              <w:autoSpaceDN w:val="0"/>
              <w:adjustRightInd w:val="0"/>
              <w:jc w:val="left"/>
              <w:rPr>
                <w:rFonts w:ascii="宋体" w:hAnsi="宋体"/>
                <w:kern w:val="0"/>
              </w:rPr>
            </w:pPr>
            <w:r>
              <w:rPr>
                <w:rFonts w:ascii="宋体" w:hAnsi="宋体" w:hint="eastAsia"/>
                <w:kern w:val="0"/>
              </w:rPr>
              <w:t>本基金由于存在上述单一投资者持有基金份额比例达到或超过</w:t>
            </w:r>
            <w:r>
              <w:rPr>
                <w:rFonts w:ascii="宋体" w:hAnsi="宋体" w:hint="eastAsia"/>
                <w:kern w:val="0"/>
              </w:rPr>
              <w:t>20%</w:t>
            </w:r>
            <w:r>
              <w:rPr>
                <w:rFonts w:ascii="宋体" w:hAnsi="宋体" w:hint="eastAsia"/>
                <w:kern w:val="0"/>
              </w:rPr>
              <w:t>的情况，存在以下特有风险：（</w:t>
            </w:r>
            <w:r>
              <w:rPr>
                <w:rFonts w:ascii="宋体" w:hAnsi="宋体" w:hint="eastAsia"/>
                <w:kern w:val="0"/>
              </w:rPr>
              <w:t>1</w:t>
            </w:r>
            <w:r>
              <w:rPr>
                <w:rFonts w:ascii="宋体" w:hAnsi="宋体" w:hint="eastAsia"/>
                <w:kern w:val="0"/>
              </w:rPr>
              <w:t>）持有基金份额比例达到或超过</w:t>
            </w:r>
            <w:r>
              <w:rPr>
                <w:rFonts w:ascii="宋体" w:hAnsi="宋体" w:hint="eastAsia"/>
                <w:kern w:val="0"/>
              </w:rPr>
              <w:t>20%</w:t>
            </w:r>
            <w:r>
              <w:rPr>
                <w:rFonts w:ascii="宋体" w:hAnsi="宋体" w:hint="eastAsia"/>
                <w:kern w:val="0"/>
              </w:rPr>
              <w:t>的投资者大额赎回导致的基金份额净值波动风险；（</w:t>
            </w:r>
            <w:r>
              <w:rPr>
                <w:rFonts w:ascii="宋体" w:hAnsi="宋体" w:hint="eastAsia"/>
                <w:kern w:val="0"/>
              </w:rPr>
              <w:t>2</w:t>
            </w:r>
            <w:r>
              <w:rPr>
                <w:rFonts w:ascii="宋体" w:hAnsi="宋体" w:hint="eastAsia"/>
                <w:kern w:val="0"/>
              </w:rPr>
              <w:t>）持有基金份额比例达到或超过</w:t>
            </w:r>
            <w:r>
              <w:rPr>
                <w:rFonts w:ascii="宋体" w:hAnsi="宋体" w:hint="eastAsia"/>
                <w:kern w:val="0"/>
              </w:rPr>
              <w:t>20%</w:t>
            </w:r>
            <w:r>
              <w:rPr>
                <w:rFonts w:ascii="宋体" w:hAnsi="宋体" w:hint="eastAsia"/>
                <w:kern w:val="0"/>
              </w:rPr>
              <w:t>的投资者大额赎回导致的流动性风险；（</w:t>
            </w:r>
            <w:r>
              <w:rPr>
                <w:rFonts w:ascii="宋体" w:hAnsi="宋体" w:hint="eastAsia"/>
                <w:kern w:val="0"/>
              </w:rPr>
              <w:t>3</w:t>
            </w:r>
            <w:r>
              <w:rPr>
                <w:rFonts w:ascii="宋体" w:hAnsi="宋体" w:hint="eastAsia"/>
                <w:kern w:val="0"/>
              </w:rPr>
              <w:t>）持有基金份额比例达到或超过</w:t>
            </w:r>
            <w:r>
              <w:rPr>
                <w:rFonts w:ascii="宋体" w:hAnsi="宋体" w:hint="eastAsia"/>
                <w:kern w:val="0"/>
              </w:rPr>
              <w:t>20%</w:t>
            </w:r>
            <w:r>
              <w:rPr>
                <w:rFonts w:ascii="宋体" w:hAnsi="宋体" w:hint="eastAsia"/>
                <w:kern w:val="0"/>
              </w:rPr>
              <w:t>的投资者大额赎回导致的巨额赎回风险；（</w:t>
            </w:r>
            <w:r>
              <w:rPr>
                <w:rFonts w:ascii="宋体" w:hAnsi="宋体" w:hint="eastAsia"/>
                <w:kern w:val="0"/>
              </w:rPr>
              <w:t>4</w:t>
            </w:r>
            <w:r>
              <w:rPr>
                <w:rFonts w:ascii="宋体" w:hAnsi="宋体" w:hint="eastAsia"/>
                <w:kern w:val="0"/>
              </w:rPr>
              <w:t>）持有基金份额比例达到或超过</w:t>
            </w:r>
            <w:r>
              <w:rPr>
                <w:rFonts w:ascii="宋体" w:hAnsi="宋体" w:hint="eastAsia"/>
                <w:kern w:val="0"/>
              </w:rPr>
              <w:t>20%</w:t>
            </w:r>
            <w:r>
              <w:rPr>
                <w:rFonts w:ascii="宋体" w:hAnsi="宋体" w:hint="eastAsia"/>
                <w:kern w:val="0"/>
              </w:rPr>
              <w:t>的投资者大额赎回导致的基金资产净值持续低于</w:t>
            </w:r>
            <w:r>
              <w:rPr>
                <w:rFonts w:ascii="宋体" w:hAnsi="宋体" w:hint="eastAsia"/>
                <w:kern w:val="0"/>
              </w:rPr>
              <w:t>5000</w:t>
            </w:r>
            <w:r>
              <w:rPr>
                <w:rFonts w:ascii="宋体" w:hAnsi="宋体" w:hint="eastAsia"/>
                <w:kern w:val="0"/>
              </w:rPr>
              <w:t>万元的风险。</w:t>
            </w:r>
          </w:p>
        </w:tc>
      </w:tr>
    </w:tbl>
    <w:p w:rsidR="00630820" w:rsidRDefault="009F35F0">
      <w:pPr>
        <w:autoSpaceDE w:val="0"/>
        <w:autoSpaceDN w:val="0"/>
        <w:adjustRightInd w:val="0"/>
        <w:spacing w:line="360" w:lineRule="auto"/>
        <w:jc w:val="left"/>
        <w:rPr>
          <w:rFonts w:ascii="宋体" w:hAnsi="宋体"/>
          <w:b/>
          <w:bCs/>
          <w:color w:val="000000"/>
          <w:kern w:val="0"/>
        </w:rPr>
      </w:pPr>
      <w:r>
        <w:rPr>
          <w:rFonts w:ascii="宋体" w:hAnsi="宋体" w:hint="eastAsia"/>
          <w:b/>
          <w:bCs/>
          <w:color w:val="000000"/>
          <w:kern w:val="0"/>
        </w:rPr>
        <w:t xml:space="preserve">8.2 </w:t>
      </w:r>
      <w:r>
        <w:rPr>
          <w:rFonts w:ascii="宋体" w:hAnsi="宋体" w:hint="eastAsia"/>
          <w:b/>
          <w:bCs/>
          <w:color w:val="000000"/>
          <w:kern w:val="0"/>
        </w:rPr>
        <w:t>影响投资者决策的其他重要信息</w:t>
      </w:r>
    </w:p>
    <w:p w:rsidR="00630820" w:rsidRDefault="009F35F0">
      <w:pPr>
        <w:spacing w:line="360" w:lineRule="auto"/>
        <w:ind w:firstLineChars="200" w:firstLine="420"/>
        <w:rPr>
          <w:rFonts w:ascii="宋体" w:hAnsi="宋体"/>
          <w:color w:val="000000"/>
        </w:rPr>
      </w:pPr>
      <w:r>
        <w:rPr>
          <w:rFonts w:ascii="宋体" w:hAnsi="宋体"/>
          <w:color w:val="000000"/>
        </w:rPr>
        <w:t>根据《中华人民共和国证券投资基金法》、《公开募集证券投资基金运作管理办法》、《中银尊享半年定期开放债券型证券投资基金基金合同》（以下简称</w:t>
      </w:r>
      <w:r>
        <w:rPr>
          <w:rFonts w:ascii="宋体" w:hAnsi="宋体"/>
          <w:color w:val="000000"/>
        </w:rPr>
        <w:t>“</w:t>
      </w:r>
      <w:r>
        <w:rPr>
          <w:rFonts w:ascii="宋体" w:hAnsi="宋体"/>
          <w:color w:val="000000"/>
        </w:rPr>
        <w:t>《基金合同》</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第五部分</w:t>
      </w:r>
      <w:r>
        <w:rPr>
          <w:rFonts w:ascii="宋体" w:hAnsi="宋体"/>
          <w:color w:val="000000"/>
        </w:rPr>
        <w:t xml:space="preserve"> </w:t>
      </w:r>
      <w:r>
        <w:rPr>
          <w:rFonts w:ascii="宋体" w:hAnsi="宋体"/>
          <w:color w:val="000000"/>
        </w:rPr>
        <w:t>基金备案</w:t>
      </w:r>
      <w:r>
        <w:rPr>
          <w:rFonts w:ascii="宋体" w:hAnsi="宋体"/>
          <w:color w:val="000000"/>
        </w:rPr>
        <w:t>”</w:t>
      </w:r>
      <w:r>
        <w:rPr>
          <w:rFonts w:ascii="宋体" w:hAnsi="宋体"/>
          <w:color w:val="000000"/>
        </w:rPr>
        <w:t>之</w:t>
      </w:r>
      <w:r>
        <w:rPr>
          <w:rFonts w:ascii="宋体" w:hAnsi="宋体"/>
          <w:color w:val="000000"/>
        </w:rPr>
        <w:t>“</w:t>
      </w:r>
      <w:r>
        <w:rPr>
          <w:rFonts w:ascii="宋体" w:hAnsi="宋体"/>
          <w:color w:val="000000"/>
        </w:rPr>
        <w:t>三、基金存续期内的基金份额持有人数量和资产规模</w:t>
      </w:r>
      <w:r>
        <w:rPr>
          <w:rFonts w:ascii="宋体" w:hAnsi="宋体"/>
          <w:color w:val="000000"/>
        </w:rPr>
        <w:t>”</w:t>
      </w:r>
      <w:r>
        <w:rPr>
          <w:rFonts w:ascii="宋体" w:hAnsi="宋体"/>
          <w:color w:val="000000"/>
        </w:rPr>
        <w:t>及</w:t>
      </w:r>
      <w:r>
        <w:rPr>
          <w:rFonts w:ascii="宋体" w:hAnsi="宋体"/>
          <w:color w:val="000000"/>
        </w:rPr>
        <w:t>“</w:t>
      </w:r>
      <w:r>
        <w:rPr>
          <w:rFonts w:ascii="宋体" w:hAnsi="宋体"/>
          <w:color w:val="000000"/>
        </w:rPr>
        <w:t>第二十部分</w:t>
      </w:r>
      <w:r>
        <w:rPr>
          <w:rFonts w:ascii="宋体" w:hAnsi="宋体"/>
          <w:color w:val="000000"/>
        </w:rPr>
        <w:t xml:space="preserve"> </w:t>
      </w:r>
      <w:r>
        <w:rPr>
          <w:rFonts w:ascii="宋体" w:hAnsi="宋体"/>
          <w:color w:val="000000"/>
        </w:rPr>
        <w:t>基金合同的变更、终止与基金财产的清算</w:t>
      </w:r>
      <w:r>
        <w:rPr>
          <w:rFonts w:ascii="宋体" w:hAnsi="宋体"/>
          <w:color w:val="000000"/>
        </w:rPr>
        <w:t>”</w:t>
      </w:r>
      <w:r>
        <w:rPr>
          <w:rFonts w:ascii="宋体" w:hAnsi="宋体"/>
          <w:color w:val="000000"/>
        </w:rPr>
        <w:t>之</w:t>
      </w:r>
      <w:r>
        <w:rPr>
          <w:rFonts w:ascii="宋体" w:hAnsi="宋体"/>
          <w:color w:val="000000"/>
        </w:rPr>
        <w:t>“</w:t>
      </w:r>
      <w:r>
        <w:rPr>
          <w:rFonts w:ascii="宋体" w:hAnsi="宋体"/>
          <w:color w:val="000000"/>
        </w:rPr>
        <w:t>二、《基金合同》的终止事由</w:t>
      </w:r>
      <w:r>
        <w:rPr>
          <w:rFonts w:ascii="宋体" w:hAnsi="宋体"/>
          <w:color w:val="000000"/>
        </w:rPr>
        <w:t>”</w:t>
      </w:r>
      <w:r>
        <w:rPr>
          <w:rFonts w:ascii="宋体" w:hAnsi="宋体"/>
          <w:color w:val="000000"/>
        </w:rPr>
        <w:t>的约定，《基金合同》生效后，连续</w:t>
      </w:r>
      <w:r>
        <w:rPr>
          <w:rFonts w:ascii="宋体" w:hAnsi="宋体"/>
          <w:color w:val="000000"/>
        </w:rPr>
        <w:t>60</w:t>
      </w:r>
      <w:r>
        <w:rPr>
          <w:rFonts w:ascii="宋体" w:hAnsi="宋体"/>
          <w:color w:val="000000"/>
        </w:rPr>
        <w:t>个工作日出现基金份额持有人数量不满</w:t>
      </w:r>
      <w:r>
        <w:rPr>
          <w:rFonts w:ascii="宋体" w:hAnsi="宋体"/>
          <w:color w:val="000000"/>
        </w:rPr>
        <w:t>200</w:t>
      </w:r>
      <w:r>
        <w:rPr>
          <w:rFonts w:ascii="宋体" w:hAnsi="宋体"/>
          <w:color w:val="000000"/>
        </w:rPr>
        <w:t>人或者基金资产净值低于</w:t>
      </w:r>
      <w:r>
        <w:rPr>
          <w:rFonts w:ascii="宋体" w:hAnsi="宋体"/>
          <w:color w:val="000000"/>
        </w:rPr>
        <w:t>5000</w:t>
      </w:r>
      <w:r>
        <w:rPr>
          <w:rFonts w:ascii="宋体" w:hAnsi="宋体"/>
          <w:color w:val="000000"/>
        </w:rPr>
        <w:t>万元的，基金管理人应当终止《基金合同》，不需要召开基金份额持有人大会。本基金的最后运作日为</w:t>
      </w:r>
      <w:r>
        <w:rPr>
          <w:rFonts w:ascii="宋体" w:hAnsi="宋体"/>
          <w:color w:val="000000"/>
        </w:rPr>
        <w:t xml:space="preserve"> </w:t>
      </w:r>
      <w:r>
        <w:rPr>
          <w:rFonts w:ascii="宋体" w:hAnsi="宋体"/>
          <w:color w:val="000000"/>
        </w:rPr>
        <w:t xml:space="preserve">2018 </w:t>
      </w:r>
      <w:r>
        <w:rPr>
          <w:rFonts w:ascii="宋体" w:hAnsi="宋体"/>
          <w:color w:val="000000"/>
        </w:rPr>
        <w:t>年</w:t>
      </w:r>
      <w:r>
        <w:rPr>
          <w:rFonts w:ascii="宋体" w:hAnsi="宋体"/>
          <w:color w:val="000000"/>
        </w:rPr>
        <w:t xml:space="preserve"> 6 </w:t>
      </w:r>
      <w:r>
        <w:rPr>
          <w:rFonts w:ascii="宋体" w:hAnsi="宋体"/>
          <w:color w:val="000000"/>
        </w:rPr>
        <w:t>月</w:t>
      </w:r>
      <w:r>
        <w:rPr>
          <w:rFonts w:ascii="宋体" w:hAnsi="宋体"/>
          <w:color w:val="000000"/>
        </w:rPr>
        <w:t xml:space="preserve"> 11 </w:t>
      </w:r>
      <w:r>
        <w:rPr>
          <w:rFonts w:ascii="宋体" w:hAnsi="宋体"/>
          <w:color w:val="000000"/>
        </w:rPr>
        <w:t>日，并于</w:t>
      </w:r>
      <w:r>
        <w:rPr>
          <w:rFonts w:ascii="宋体" w:hAnsi="宋体"/>
          <w:color w:val="000000"/>
        </w:rPr>
        <w:t xml:space="preserve"> 2018 </w:t>
      </w:r>
      <w:r>
        <w:rPr>
          <w:rFonts w:ascii="宋体" w:hAnsi="宋体"/>
          <w:color w:val="000000"/>
        </w:rPr>
        <w:t>年</w:t>
      </w:r>
      <w:r>
        <w:rPr>
          <w:rFonts w:ascii="宋体" w:hAnsi="宋体"/>
          <w:color w:val="000000"/>
        </w:rPr>
        <w:t xml:space="preserve"> 6 </w:t>
      </w:r>
      <w:r>
        <w:rPr>
          <w:rFonts w:ascii="宋体" w:hAnsi="宋体"/>
          <w:color w:val="000000"/>
        </w:rPr>
        <w:t>月</w:t>
      </w:r>
      <w:r>
        <w:rPr>
          <w:rFonts w:ascii="宋体" w:hAnsi="宋体"/>
          <w:color w:val="000000"/>
        </w:rPr>
        <w:t xml:space="preserve"> 12 </w:t>
      </w:r>
      <w:r>
        <w:rPr>
          <w:rFonts w:ascii="宋体" w:hAnsi="宋体"/>
          <w:color w:val="000000"/>
        </w:rPr>
        <w:t>日进入清算程序，具体可详阅基金管理人发布的相关公告。</w:t>
      </w:r>
    </w:p>
    <w:p w:rsidR="00630820" w:rsidRDefault="00630820">
      <w:pPr>
        <w:spacing w:line="360" w:lineRule="auto"/>
        <w:ind w:firstLineChars="200" w:firstLine="420"/>
        <w:rPr>
          <w:rFonts w:ascii="宋体" w:hAnsi="宋体"/>
          <w:color w:val="000000" w:themeColor="text1"/>
        </w:rPr>
      </w:pPr>
    </w:p>
    <w:p w:rsidR="00630820" w:rsidRDefault="009F35F0">
      <w:pPr>
        <w:pStyle w:val="1"/>
        <w:spacing w:before="0" w:after="0" w:line="360" w:lineRule="auto"/>
        <w:jc w:val="center"/>
        <w:rPr>
          <w:color w:val="000000"/>
          <w:kern w:val="0"/>
          <w:sz w:val="21"/>
          <w:szCs w:val="21"/>
        </w:rPr>
      </w:pPr>
      <w:r>
        <w:rPr>
          <w:color w:val="000000"/>
          <w:kern w:val="0"/>
          <w:sz w:val="21"/>
          <w:szCs w:val="21"/>
        </w:rPr>
        <w:t xml:space="preserve">§9  </w:t>
      </w:r>
      <w:r>
        <w:rPr>
          <w:color w:val="000000"/>
          <w:kern w:val="0"/>
          <w:sz w:val="21"/>
          <w:szCs w:val="21"/>
        </w:rPr>
        <w:t>备查文件目录</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9.1 </w:t>
      </w:r>
      <w:r>
        <w:rPr>
          <w:b/>
          <w:bCs/>
          <w:color w:val="000000"/>
          <w:kern w:val="0"/>
        </w:rPr>
        <w:t>备查文件目录</w:t>
      </w:r>
    </w:p>
    <w:p w:rsidR="00630820" w:rsidRDefault="009F35F0">
      <w:pPr>
        <w:spacing w:line="360" w:lineRule="auto"/>
        <w:rPr>
          <w:color w:val="000000"/>
        </w:rPr>
      </w:pPr>
      <w:r>
        <w:rPr>
          <w:color w:val="000000"/>
        </w:rPr>
        <w:t>1</w:t>
      </w:r>
      <w:r>
        <w:rPr>
          <w:color w:val="000000"/>
        </w:rPr>
        <w:t>、中国证监会准予中银尊享半年定期开放债券型证券投资基金募集注册的文件；</w:t>
      </w:r>
    </w:p>
    <w:p w:rsidR="00630820" w:rsidRDefault="009F35F0">
      <w:pPr>
        <w:spacing w:line="360" w:lineRule="auto"/>
        <w:rPr>
          <w:color w:val="000000"/>
        </w:rPr>
      </w:pPr>
      <w:r>
        <w:rPr>
          <w:color w:val="000000"/>
        </w:rPr>
        <w:t>2</w:t>
      </w:r>
      <w:r>
        <w:rPr>
          <w:color w:val="000000"/>
        </w:rPr>
        <w:t>、《中银尊享半年定期开放债券型证券投资基金基金合同》；</w:t>
      </w:r>
    </w:p>
    <w:p w:rsidR="00630820" w:rsidRDefault="009F35F0">
      <w:pPr>
        <w:spacing w:line="360" w:lineRule="auto"/>
        <w:rPr>
          <w:color w:val="000000"/>
        </w:rPr>
      </w:pPr>
      <w:r>
        <w:rPr>
          <w:color w:val="000000"/>
        </w:rPr>
        <w:t>3</w:t>
      </w:r>
      <w:r>
        <w:rPr>
          <w:color w:val="000000"/>
        </w:rPr>
        <w:t>、《中银尊享半年定期开放债券型证券投资基金托管协议》；</w:t>
      </w:r>
    </w:p>
    <w:p w:rsidR="00630820" w:rsidRDefault="009F35F0">
      <w:pPr>
        <w:spacing w:line="360" w:lineRule="auto"/>
        <w:rPr>
          <w:color w:val="000000"/>
        </w:rPr>
      </w:pPr>
      <w:r>
        <w:rPr>
          <w:color w:val="000000"/>
        </w:rPr>
        <w:t>4</w:t>
      </w:r>
      <w:r>
        <w:rPr>
          <w:color w:val="000000"/>
        </w:rPr>
        <w:t>、《中银尊享半年定期开放债券型证券投资基金招募说明书》；</w:t>
      </w:r>
    </w:p>
    <w:p w:rsidR="00630820" w:rsidRDefault="009F35F0">
      <w:pPr>
        <w:spacing w:line="360" w:lineRule="auto"/>
        <w:rPr>
          <w:color w:val="000000"/>
        </w:rPr>
      </w:pPr>
      <w:r>
        <w:rPr>
          <w:color w:val="000000"/>
        </w:rPr>
        <w:t>5</w:t>
      </w:r>
      <w:r>
        <w:rPr>
          <w:color w:val="000000"/>
        </w:rPr>
        <w:t>、法律意见书；</w:t>
      </w:r>
    </w:p>
    <w:p w:rsidR="00630820" w:rsidRDefault="009F35F0">
      <w:pPr>
        <w:spacing w:line="360" w:lineRule="auto"/>
        <w:rPr>
          <w:color w:val="000000"/>
        </w:rPr>
      </w:pPr>
      <w:r>
        <w:rPr>
          <w:color w:val="000000"/>
        </w:rPr>
        <w:t>6</w:t>
      </w:r>
      <w:r>
        <w:rPr>
          <w:color w:val="000000"/>
        </w:rPr>
        <w:t>、基金管理人业务资格批件、营业执照；</w:t>
      </w:r>
    </w:p>
    <w:p w:rsidR="00630820" w:rsidRDefault="009F35F0">
      <w:pPr>
        <w:spacing w:line="360" w:lineRule="auto"/>
        <w:rPr>
          <w:color w:val="000000"/>
        </w:rPr>
      </w:pPr>
      <w:r>
        <w:rPr>
          <w:color w:val="000000"/>
        </w:rPr>
        <w:t>7</w:t>
      </w:r>
      <w:r>
        <w:rPr>
          <w:color w:val="000000"/>
        </w:rPr>
        <w:t>、基金托管人业务资格批件、营业执照；</w:t>
      </w:r>
    </w:p>
    <w:p w:rsidR="00630820" w:rsidRDefault="009F35F0">
      <w:pPr>
        <w:spacing w:line="360" w:lineRule="auto"/>
        <w:rPr>
          <w:color w:val="000000"/>
        </w:rPr>
      </w:pPr>
      <w:r>
        <w:rPr>
          <w:color w:val="000000"/>
        </w:rPr>
        <w:t>8</w:t>
      </w:r>
      <w:r>
        <w:rPr>
          <w:color w:val="000000"/>
        </w:rPr>
        <w:t>、报告期内在指定报刊上披露的各项公告；</w:t>
      </w:r>
    </w:p>
    <w:p w:rsidR="00630820" w:rsidRDefault="009F35F0">
      <w:pPr>
        <w:spacing w:line="360" w:lineRule="auto"/>
        <w:rPr>
          <w:color w:val="000000"/>
        </w:rPr>
      </w:pPr>
      <w:r>
        <w:rPr>
          <w:color w:val="000000"/>
        </w:rPr>
        <w:t>9</w:t>
      </w:r>
      <w:r>
        <w:rPr>
          <w:color w:val="000000"/>
        </w:rPr>
        <w:t>、中国证监会要求的其他文件。</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9.2 </w:t>
      </w:r>
      <w:r>
        <w:rPr>
          <w:b/>
          <w:bCs/>
          <w:color w:val="000000"/>
          <w:kern w:val="0"/>
        </w:rPr>
        <w:t>存放地点</w:t>
      </w:r>
    </w:p>
    <w:p w:rsidR="00630820" w:rsidRDefault="009F35F0">
      <w:pPr>
        <w:spacing w:line="360" w:lineRule="auto"/>
        <w:rPr>
          <w:color w:val="000000"/>
        </w:rPr>
      </w:pPr>
      <w:r>
        <w:rPr>
          <w:color w:val="000000"/>
        </w:rPr>
        <w:t>以上备查文件存放在基金管理人、基金托管人处，供公众查阅。</w:t>
      </w:r>
    </w:p>
    <w:p w:rsidR="00630820" w:rsidRDefault="009F35F0">
      <w:pPr>
        <w:autoSpaceDE w:val="0"/>
        <w:autoSpaceDN w:val="0"/>
        <w:adjustRightInd w:val="0"/>
        <w:spacing w:line="360" w:lineRule="auto"/>
        <w:jc w:val="left"/>
        <w:rPr>
          <w:b/>
          <w:bCs/>
          <w:color w:val="000000"/>
          <w:kern w:val="0"/>
        </w:rPr>
      </w:pPr>
      <w:r>
        <w:rPr>
          <w:b/>
          <w:bCs/>
          <w:color w:val="000000"/>
          <w:kern w:val="0"/>
        </w:rPr>
        <w:t xml:space="preserve">9.3 </w:t>
      </w:r>
      <w:r>
        <w:rPr>
          <w:b/>
          <w:bCs/>
          <w:color w:val="000000"/>
          <w:kern w:val="0"/>
        </w:rPr>
        <w:t>查阅方式</w:t>
      </w:r>
    </w:p>
    <w:p w:rsidR="00630820" w:rsidRDefault="009F35F0">
      <w:pPr>
        <w:spacing w:line="360" w:lineRule="auto"/>
        <w:rPr>
          <w:color w:val="000000"/>
        </w:rPr>
      </w:pPr>
      <w:r>
        <w:rPr>
          <w:color w:val="000000"/>
        </w:rPr>
        <w:t>投资人在支付工本费后，可在合理时间内取得上述文件复制件或复印件。</w:t>
      </w:r>
    </w:p>
    <w:p w:rsidR="00630820" w:rsidRDefault="00630820">
      <w:pPr>
        <w:spacing w:line="360" w:lineRule="auto"/>
        <w:rPr>
          <w:color w:val="000000"/>
          <w:sz w:val="24"/>
          <w:szCs w:val="24"/>
        </w:rPr>
      </w:pPr>
    </w:p>
    <w:p w:rsidR="00630820" w:rsidRDefault="00630820">
      <w:pPr>
        <w:spacing w:line="360" w:lineRule="auto"/>
        <w:ind w:left="840"/>
        <w:jc w:val="right"/>
        <w:rPr>
          <w:color w:val="000000"/>
          <w:sz w:val="24"/>
          <w:szCs w:val="24"/>
        </w:rPr>
      </w:pPr>
    </w:p>
    <w:p w:rsidR="00630820" w:rsidRDefault="00630820">
      <w:pPr>
        <w:spacing w:line="360" w:lineRule="auto"/>
        <w:ind w:left="840"/>
        <w:jc w:val="right"/>
        <w:rPr>
          <w:color w:val="000000"/>
          <w:sz w:val="24"/>
          <w:szCs w:val="24"/>
        </w:rPr>
      </w:pPr>
    </w:p>
    <w:p w:rsidR="00630820" w:rsidRDefault="00630820">
      <w:pPr>
        <w:spacing w:line="360" w:lineRule="auto"/>
        <w:ind w:left="840"/>
        <w:jc w:val="right"/>
        <w:rPr>
          <w:color w:val="000000"/>
          <w:sz w:val="24"/>
          <w:szCs w:val="24"/>
        </w:rPr>
      </w:pPr>
    </w:p>
    <w:p w:rsidR="00630820" w:rsidRDefault="00630820">
      <w:pPr>
        <w:spacing w:line="360" w:lineRule="auto"/>
        <w:ind w:left="840"/>
        <w:jc w:val="right"/>
        <w:rPr>
          <w:color w:val="000000"/>
          <w:sz w:val="24"/>
          <w:szCs w:val="24"/>
        </w:rPr>
      </w:pPr>
    </w:p>
    <w:p w:rsidR="00630820" w:rsidRDefault="009F35F0">
      <w:pPr>
        <w:spacing w:line="360" w:lineRule="auto"/>
        <w:jc w:val="right"/>
        <w:rPr>
          <w:b/>
          <w:bCs/>
          <w:sz w:val="24"/>
          <w:szCs w:val="24"/>
        </w:rPr>
      </w:pPr>
      <w:r>
        <w:rPr>
          <w:b/>
          <w:bCs/>
          <w:sz w:val="24"/>
          <w:szCs w:val="24"/>
        </w:rPr>
        <w:t>中银基金管理有限公司</w:t>
      </w:r>
    </w:p>
    <w:p w:rsidR="00630820" w:rsidRDefault="009F35F0">
      <w:pPr>
        <w:spacing w:line="360" w:lineRule="auto"/>
        <w:jc w:val="right"/>
        <w:rPr>
          <w:b/>
          <w:bCs/>
          <w:sz w:val="24"/>
          <w:szCs w:val="24"/>
        </w:rPr>
      </w:pPr>
      <w:r>
        <w:rPr>
          <w:b/>
          <w:bCs/>
          <w:sz w:val="24"/>
          <w:szCs w:val="24"/>
        </w:rPr>
        <w:t>二〇一八年七月十九日</w:t>
      </w:r>
    </w:p>
    <w:p w:rsidR="00630820" w:rsidRDefault="00630820">
      <w:pPr>
        <w:spacing w:line="360" w:lineRule="auto"/>
        <w:ind w:left="840"/>
        <w:jc w:val="right"/>
        <w:rPr>
          <w:b/>
          <w:bCs/>
          <w:sz w:val="24"/>
          <w:szCs w:val="24"/>
        </w:rPr>
      </w:pPr>
    </w:p>
    <w:p w:rsidR="00630820" w:rsidRDefault="00630820">
      <w:pPr>
        <w:rPr>
          <w:sz w:val="24"/>
          <w:szCs w:val="24"/>
        </w:rPr>
      </w:pPr>
    </w:p>
    <w:sectPr w:rsidR="00630820" w:rsidSect="00630820">
      <w:footerReference w:type="default" r:id="rId10"/>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820" w:rsidRDefault="00630820" w:rsidP="00630820">
      <w:r>
        <w:separator/>
      </w:r>
    </w:p>
  </w:endnote>
  <w:endnote w:type="continuationSeparator" w:id="1">
    <w:p w:rsidR="00630820" w:rsidRDefault="00630820" w:rsidP="006308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仿宋">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20" w:rsidRDefault="00630820">
    <w:pPr>
      <w:pStyle w:val="ac"/>
      <w:tabs>
        <w:tab w:val="left" w:pos="4215"/>
        <w:tab w:val="center" w:pos="4545"/>
      </w:tabs>
    </w:pPr>
    <w:r w:rsidRPr="00630820">
      <w:fldChar w:fldCharType="begin"/>
    </w:r>
    <w:r w:rsidR="009F35F0">
      <w:instrText xml:space="preserve"> PAGE   \* MERGEFORMAT </w:instrText>
    </w:r>
    <w:r w:rsidRPr="00630820">
      <w:fldChar w:fldCharType="separate"/>
    </w:r>
    <w:r w:rsidR="009F35F0" w:rsidRPr="009F35F0">
      <w:rPr>
        <w:noProof/>
        <w:lang w:val="zh-CN"/>
      </w:rPr>
      <w:t>1</w:t>
    </w:r>
    <w:r>
      <w:rPr>
        <w:lang w:val="zh-C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20" w:rsidRDefault="00630820">
    <w:pPr>
      <w:pStyle w:val="ac"/>
      <w:framePr w:wrap="around" w:vAnchor="text" w:hAnchor="margin" w:xAlign="center" w:y="1"/>
      <w:rPr>
        <w:rStyle w:val="af2"/>
      </w:rPr>
    </w:pPr>
    <w:r>
      <w:rPr>
        <w:rStyle w:val="af2"/>
      </w:rPr>
      <w:fldChar w:fldCharType="begin"/>
    </w:r>
    <w:r w:rsidR="009F35F0">
      <w:rPr>
        <w:rStyle w:val="af2"/>
      </w:rPr>
      <w:instrText xml:space="preserve">PAGE  </w:instrText>
    </w:r>
    <w:r>
      <w:rPr>
        <w:rStyle w:val="af2"/>
      </w:rPr>
      <w:fldChar w:fldCharType="separate"/>
    </w:r>
    <w:r w:rsidR="009F35F0">
      <w:rPr>
        <w:rStyle w:val="af2"/>
        <w:noProof/>
      </w:rPr>
      <w:t>2</w:t>
    </w:r>
    <w:r>
      <w:rPr>
        <w:rStyle w:val="af2"/>
      </w:rPr>
      <w:fldChar w:fldCharType="end"/>
    </w:r>
  </w:p>
  <w:p w:rsidR="00630820" w:rsidRDefault="0063082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820" w:rsidRDefault="00630820" w:rsidP="00630820">
      <w:r>
        <w:separator/>
      </w:r>
    </w:p>
  </w:footnote>
  <w:footnote w:type="continuationSeparator" w:id="1">
    <w:p w:rsidR="00630820" w:rsidRDefault="00630820" w:rsidP="006308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20" w:rsidRDefault="009F35F0">
    <w:pPr>
      <w:pStyle w:val="ad"/>
      <w:pBdr>
        <w:bottom w:val="single" w:sz="6" w:space="0" w:color="auto"/>
      </w:pBdr>
      <w:jc w:val="right"/>
    </w:pPr>
    <w:r>
      <w:rPr>
        <w:rFonts w:hint="eastAsia"/>
        <w:sz w:val="21"/>
        <w:szCs w:val="21"/>
      </w:rPr>
      <w:t>中银尊享半年定期开放债券型证券投资基金</w:t>
    </w:r>
    <w:r>
      <w:rPr>
        <w:rFonts w:hint="eastAsia"/>
        <w:sz w:val="21"/>
        <w:szCs w:val="21"/>
      </w:rPr>
      <w:t>2018</w:t>
    </w:r>
    <w:r>
      <w:rPr>
        <w:rFonts w:hint="eastAsia"/>
        <w:sz w:val="21"/>
        <w:szCs w:val="21"/>
      </w:rPr>
      <w:t>年第</w:t>
    </w:r>
    <w:r>
      <w:rPr>
        <w:rFonts w:hint="eastAsia"/>
        <w:sz w:val="21"/>
        <w:szCs w:val="21"/>
      </w:rPr>
      <w:t>2</w:t>
    </w:r>
    <w:r>
      <w:rPr>
        <w:rFonts w:hint="eastAsia"/>
        <w:sz w:val="21"/>
        <w:szCs w:val="21"/>
      </w:rPr>
      <w:t>季度报告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C13BB"/>
    <w:rsid w:val="00002C62"/>
    <w:rsid w:val="000110A9"/>
    <w:rsid w:val="00016E30"/>
    <w:rsid w:val="000171A7"/>
    <w:rsid w:val="00074792"/>
    <w:rsid w:val="000823CE"/>
    <w:rsid w:val="00082E03"/>
    <w:rsid w:val="000C79BE"/>
    <w:rsid w:val="000D4210"/>
    <w:rsid w:val="000E02C1"/>
    <w:rsid w:val="000F3E1E"/>
    <w:rsid w:val="00101533"/>
    <w:rsid w:val="00101766"/>
    <w:rsid w:val="00180203"/>
    <w:rsid w:val="001B1657"/>
    <w:rsid w:val="001F3203"/>
    <w:rsid w:val="002153EB"/>
    <w:rsid w:val="002233A4"/>
    <w:rsid w:val="00265F00"/>
    <w:rsid w:val="002A0049"/>
    <w:rsid w:val="002D616D"/>
    <w:rsid w:val="00317B94"/>
    <w:rsid w:val="00323BBB"/>
    <w:rsid w:val="00341FA7"/>
    <w:rsid w:val="00346F65"/>
    <w:rsid w:val="00350323"/>
    <w:rsid w:val="004313D2"/>
    <w:rsid w:val="00491394"/>
    <w:rsid w:val="004C2E34"/>
    <w:rsid w:val="00504FE1"/>
    <w:rsid w:val="0050764C"/>
    <w:rsid w:val="0051395B"/>
    <w:rsid w:val="00553D3F"/>
    <w:rsid w:val="00595DE8"/>
    <w:rsid w:val="005E3BFA"/>
    <w:rsid w:val="005E53C3"/>
    <w:rsid w:val="005F299E"/>
    <w:rsid w:val="00603BA7"/>
    <w:rsid w:val="00630820"/>
    <w:rsid w:val="006422A5"/>
    <w:rsid w:val="006B6A14"/>
    <w:rsid w:val="006D04FC"/>
    <w:rsid w:val="006D089E"/>
    <w:rsid w:val="00753629"/>
    <w:rsid w:val="007626E4"/>
    <w:rsid w:val="007A3684"/>
    <w:rsid w:val="007D211F"/>
    <w:rsid w:val="007D7CE0"/>
    <w:rsid w:val="007F59EC"/>
    <w:rsid w:val="00853871"/>
    <w:rsid w:val="0085431B"/>
    <w:rsid w:val="008759B7"/>
    <w:rsid w:val="00882B4F"/>
    <w:rsid w:val="00890A0F"/>
    <w:rsid w:val="00910E1E"/>
    <w:rsid w:val="0093110E"/>
    <w:rsid w:val="00936EFD"/>
    <w:rsid w:val="009837E3"/>
    <w:rsid w:val="009947F0"/>
    <w:rsid w:val="009F35F0"/>
    <w:rsid w:val="00A039AB"/>
    <w:rsid w:val="00A160D4"/>
    <w:rsid w:val="00A925E1"/>
    <w:rsid w:val="00AA6717"/>
    <w:rsid w:val="00B05811"/>
    <w:rsid w:val="00B240BB"/>
    <w:rsid w:val="00B308C9"/>
    <w:rsid w:val="00B35BF3"/>
    <w:rsid w:val="00B53943"/>
    <w:rsid w:val="00B6628E"/>
    <w:rsid w:val="00BA1B49"/>
    <w:rsid w:val="00BA24E4"/>
    <w:rsid w:val="00BA706F"/>
    <w:rsid w:val="00BB1B9D"/>
    <w:rsid w:val="00BD3D4E"/>
    <w:rsid w:val="00BF199E"/>
    <w:rsid w:val="00BF729D"/>
    <w:rsid w:val="00C10F06"/>
    <w:rsid w:val="00C27C02"/>
    <w:rsid w:val="00C53802"/>
    <w:rsid w:val="00C7447F"/>
    <w:rsid w:val="00CC13BB"/>
    <w:rsid w:val="00CD7C11"/>
    <w:rsid w:val="00D23CF7"/>
    <w:rsid w:val="00D31353"/>
    <w:rsid w:val="00E141FB"/>
    <w:rsid w:val="00E15154"/>
    <w:rsid w:val="00E22E16"/>
    <w:rsid w:val="00E6739B"/>
    <w:rsid w:val="00EB048E"/>
    <w:rsid w:val="00EE2697"/>
    <w:rsid w:val="00EF6308"/>
    <w:rsid w:val="00F33B14"/>
    <w:rsid w:val="00F371EC"/>
    <w:rsid w:val="00F372EF"/>
    <w:rsid w:val="00F503E7"/>
    <w:rsid w:val="00F63D75"/>
    <w:rsid w:val="00F814F7"/>
    <w:rsid w:val="00F85F94"/>
    <w:rsid w:val="00F91F0D"/>
    <w:rsid w:val="00FA0507"/>
    <w:rsid w:val="14560D76"/>
    <w:rsid w:val="3A260FBD"/>
    <w:rsid w:val="787303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qFormat="1"/>
    <w:lsdException w:name="index 2" w:uiPriority="0" w:unhideWhenUsed="1"/>
    <w:lsdException w:name="index 3" w:uiPriority="0" w:unhideWhenUsed="1"/>
    <w:lsdException w:name="index 4" w:uiPriority="0" w:unhideWhenUsed="1"/>
    <w:lsdException w:name="index 5" w:uiPriority="0" w:unhideWhenUsed="1"/>
    <w:lsdException w:name="index 6" w:uiPriority="0" w:unhideWhenUsed="1"/>
    <w:lsdException w:name="index 7" w:uiPriority="0" w:unhideWhenUsed="1"/>
    <w:lsdException w:name="index 8" w:uiPriority="0" w:unhideWhenUsed="1"/>
    <w:lsdException w:name="index 9" w:uiPriority="0"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lsdException w:name="footnote text" w:semiHidden="0" w:uiPriority="0" w:qFormat="1"/>
    <w:lsdException w:name="header" w:semiHidden="0" w:qFormat="1"/>
    <w:lsdException w:name="footer" w:semiHidden="0" w:qFormat="1"/>
    <w:lsdException w:name="index heading" w:uiPriority="0" w:unhideWhenUsed="1"/>
    <w:lsdException w:name="caption" w:uiPriority="35" w:unhideWhenUsed="1" w:qFormat="1"/>
    <w:lsdException w:name="table of figures" w:uiPriority="0" w:unhideWhenUsed="1"/>
    <w:lsdException w:name="envelope address" w:uiPriority="0" w:unhideWhenUsed="1"/>
    <w:lsdException w:name="envelope return" w:uiPriority="0" w:unhideWhenUsed="1"/>
    <w:lsdException w:name="footnote reference" w:semiHidden="0" w:uiPriority="0" w:qFormat="1"/>
    <w:lsdException w:name="line number" w:uiPriority="0" w:unhideWhenUsed="1"/>
    <w:lsdException w:name="page number" w:semiHidden="0" w:qFormat="1"/>
    <w:lsdException w:name="endnote reference" w:uiPriority="0" w:unhideWhenUsed="1"/>
    <w:lsdException w:name="endnote text" w:uiPriority="0" w:unhideWhenUsed="1"/>
    <w:lsdException w:name="table of authorities" w:uiPriority="0" w:unhideWhenUsed="1"/>
    <w:lsdException w:name="macro" w:uiPriority="0" w:unhideWhenUsed="1"/>
    <w:lsdException w:name="toa heading" w:uiPriority="0" w:unhideWhenUsed="1"/>
    <w:lsdException w:name="List" w:semiHidden="0" w:qFormat="1"/>
    <w:lsdException w:name="List Bullet" w:uiPriority="0" w:unhideWhenUsed="1"/>
    <w:lsdException w:name="List Number" w:uiPriority="0" w:unhideWhenUsed="1"/>
    <w:lsdException w:name="List 2" w:uiPriority="0" w:unhideWhenUsed="1"/>
    <w:lsdException w:name="List 3" w:uiPriority="0" w:unhideWhenUsed="1"/>
    <w:lsdException w:name="List 4" w:uiPriority="0" w:unhideWhenUsed="1"/>
    <w:lsdException w:name="List 5" w:uiPriority="0" w:unhideWhenUsed="1"/>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unhideWhenUsed="1"/>
    <w:lsdException w:name="List Number 3" w:uiPriority="0" w:unhideWhenUsed="1"/>
    <w:lsdException w:name="List Number 4" w:uiPriority="0" w:unhideWhenUsed="1"/>
    <w:lsdException w:name="List Number 5" w:uiPriority="0" w:unhideWhenUsed="1"/>
    <w:lsdException w:name="Title" w:semiHidden="0" w:qFormat="1"/>
    <w:lsdException w:name="Closing" w:uiPriority="0" w:unhideWhenUsed="1"/>
    <w:lsdException w:name="Signature" w:uiPriority="0" w:unhideWhenUsed="1"/>
    <w:lsdException w:name="Default Paragraph Font" w:semiHidden="0" w:uiPriority="1" w:unhideWhenUsed="1" w:qFormat="1"/>
    <w:lsdException w:name="Body Text" w:semiHidden="0" w:qFormat="1"/>
    <w:lsdException w:name="Body Text Indent" w:semiHidden="0"/>
    <w:lsdException w:name="List Continue" w:uiPriority="0" w:unhideWhenUsed="1"/>
    <w:lsdException w:name="List Continue 2" w:uiPriority="0" w:unhideWhenUsed="1"/>
    <w:lsdException w:name="List Continue 3" w:uiPriority="0" w:unhideWhenUsed="1"/>
    <w:lsdException w:name="List Continue 4" w:uiPriority="0" w:unhideWhenUsed="1"/>
    <w:lsdException w:name="List Continue 5" w:uiPriority="0" w:unhideWhenUsed="1"/>
    <w:lsdException w:name="Message Header" w:uiPriority="0" w:unhideWhenUsed="1"/>
    <w:lsdException w:name="Subtitle" w:semiHidden="0" w:uiPriority="11" w:qFormat="1"/>
    <w:lsdException w:name="Salutation" w:uiPriority="0" w:unhideWhenUsed="1"/>
    <w:lsdException w:name="Date" w:semiHidden="0" w:uiPriority="0" w:qFormat="1"/>
    <w:lsdException w:name="Body Text First Indent" w:uiPriority="0" w:unhideWhenUsed="1"/>
    <w:lsdException w:name="Body Text First Indent 2" w:uiPriority="0" w:unhideWhenUsed="1"/>
    <w:lsdException w:name="Note Heading" w:uiPriority="0" w:unhideWhenUsed="1"/>
    <w:lsdException w:name="Body Text 2" w:uiPriority="0" w:unhideWhenUsed="1"/>
    <w:lsdException w:name="Body Text 3" w:uiPriority="0" w:unhideWhenUsed="1"/>
    <w:lsdException w:name="Body Text Indent 2" w:semiHidden="0" w:qFormat="1"/>
    <w:lsdException w:name="Body Text Indent 3" w:semiHidden="0"/>
    <w:lsdException w:name="Block Text" w:uiPriority="0" w:unhideWhenUsed="1"/>
    <w:lsdException w:name="Hyperlink" w:semiHidden="0" w:qFormat="1"/>
    <w:lsdException w:name="FollowedHyperlink" w:semiHidden="0" w:qFormat="1"/>
    <w:lsdException w:name="Strong" w:semiHidden="0" w:uiPriority="22" w:qFormat="1"/>
    <w:lsdException w:name="Emphasis" w:semiHidden="0" w:uiPriority="20" w:qFormat="1"/>
    <w:lsdException w:name="Document Map" w:qFormat="1"/>
    <w:lsdException w:name="Plain Text" w:semiHidden="0" w:qFormat="1"/>
    <w:lsdException w:name="E-mail Signature" w:uiPriority="0" w:unhideWhenUsed="1"/>
    <w:lsdException w:name="HTML Top of Form" w:unhideWhenUsed="1"/>
    <w:lsdException w:name="HTML Bottom of Form" w:unhideWhenUsed="1"/>
    <w:lsdException w:name="Normal (Web)" w:semiHidden="0" w:qFormat="1"/>
    <w:lsdException w:name="HTML Acronym" w:uiPriority="0" w:unhideWhenUsed="1"/>
    <w:lsdException w:name="HTML Address" w:uiPriority="0" w:unhideWhenUsed="1"/>
    <w:lsdException w:name="HTML Cite" w:uiPriority="0" w:unhideWhenUsed="1"/>
    <w:lsdException w:name="HTML Code" w:uiPriority="0" w:unhideWhenUsed="1"/>
    <w:lsdException w:name="HTML Definition" w:uiPriority="0" w:unhideWhenUsed="1"/>
    <w:lsdException w:name="HTML Keyboard" w:uiPriority="0" w:unhideWhenUsed="1"/>
    <w:lsdException w:name="HTML Preformatted" w:uiPriority="0" w:unhideWhenUsed="1"/>
    <w:lsdException w:name="HTML Sample" w:uiPriority="0" w:unhideWhenUsed="1"/>
    <w:lsdException w:name="HTML Typewriter" w:uiPriority="0" w:unhideWhenUsed="1"/>
    <w:lsdException w:name="HTML Variable" w:uiPriority="0" w:unhideWhenUsed="1"/>
    <w:lsdException w:name="Normal Table" w:semiHidden="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30820"/>
    <w:pPr>
      <w:widowControl w:val="0"/>
      <w:jc w:val="both"/>
    </w:pPr>
    <w:rPr>
      <w:kern w:val="2"/>
      <w:sz w:val="21"/>
      <w:szCs w:val="21"/>
    </w:rPr>
  </w:style>
  <w:style w:type="paragraph" w:styleId="1">
    <w:name w:val="heading 1"/>
    <w:basedOn w:val="a"/>
    <w:next w:val="a"/>
    <w:link w:val="1Char"/>
    <w:uiPriority w:val="99"/>
    <w:qFormat/>
    <w:rsid w:val="00630820"/>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30820"/>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630820"/>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30820"/>
    <w:pPr>
      <w:ind w:firstLineChars="200" w:firstLine="420"/>
    </w:pPr>
  </w:style>
  <w:style w:type="paragraph" w:styleId="a4">
    <w:name w:val="annotation subject"/>
    <w:basedOn w:val="a5"/>
    <w:next w:val="a5"/>
    <w:link w:val="Char"/>
    <w:uiPriority w:val="99"/>
    <w:semiHidden/>
    <w:rsid w:val="00630820"/>
    <w:rPr>
      <w:b/>
      <w:bCs/>
    </w:rPr>
  </w:style>
  <w:style w:type="paragraph" w:styleId="a5">
    <w:name w:val="annotation text"/>
    <w:basedOn w:val="a"/>
    <w:link w:val="Char0"/>
    <w:uiPriority w:val="99"/>
    <w:semiHidden/>
    <w:rsid w:val="00630820"/>
    <w:pPr>
      <w:jc w:val="left"/>
    </w:pPr>
  </w:style>
  <w:style w:type="paragraph" w:styleId="a6">
    <w:name w:val="Document Map"/>
    <w:basedOn w:val="a"/>
    <w:link w:val="Char1"/>
    <w:uiPriority w:val="99"/>
    <w:semiHidden/>
    <w:qFormat/>
    <w:rsid w:val="00630820"/>
    <w:pPr>
      <w:shd w:val="clear" w:color="auto" w:fill="000080"/>
    </w:pPr>
  </w:style>
  <w:style w:type="paragraph" w:styleId="a7">
    <w:name w:val="Body Text"/>
    <w:basedOn w:val="a"/>
    <w:link w:val="Char2"/>
    <w:uiPriority w:val="99"/>
    <w:qFormat/>
    <w:rsid w:val="00630820"/>
    <w:pPr>
      <w:spacing w:after="120"/>
    </w:pPr>
  </w:style>
  <w:style w:type="paragraph" w:styleId="a8">
    <w:name w:val="Body Text Indent"/>
    <w:basedOn w:val="a"/>
    <w:link w:val="Char3"/>
    <w:uiPriority w:val="99"/>
    <w:rsid w:val="00630820"/>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9">
    <w:name w:val="Plain Text"/>
    <w:basedOn w:val="a"/>
    <w:link w:val="Char4"/>
    <w:uiPriority w:val="99"/>
    <w:qFormat/>
    <w:rsid w:val="00630820"/>
    <w:rPr>
      <w:rFonts w:ascii="宋体" w:hAnsi="Courier New" w:cs="宋体"/>
    </w:rPr>
  </w:style>
  <w:style w:type="paragraph" w:styleId="aa">
    <w:name w:val="Date"/>
    <w:basedOn w:val="a"/>
    <w:next w:val="a"/>
    <w:link w:val="Char5"/>
    <w:qFormat/>
    <w:rsid w:val="00630820"/>
    <w:rPr>
      <w:sz w:val="24"/>
      <w:szCs w:val="24"/>
    </w:rPr>
  </w:style>
  <w:style w:type="paragraph" w:styleId="20">
    <w:name w:val="Body Text Indent 2"/>
    <w:basedOn w:val="a"/>
    <w:link w:val="2Char0"/>
    <w:uiPriority w:val="99"/>
    <w:qFormat/>
    <w:rsid w:val="00630820"/>
    <w:pPr>
      <w:spacing w:line="560" w:lineRule="exact"/>
      <w:ind w:firstLineChars="200" w:firstLine="480"/>
    </w:pPr>
    <w:rPr>
      <w:rFonts w:ascii="宋体" w:hAnsi="宋体" w:cs="宋体"/>
      <w:color w:val="FF0000"/>
      <w:sz w:val="24"/>
      <w:szCs w:val="24"/>
    </w:rPr>
  </w:style>
  <w:style w:type="paragraph" w:styleId="ab">
    <w:name w:val="Balloon Text"/>
    <w:basedOn w:val="a"/>
    <w:link w:val="Char6"/>
    <w:uiPriority w:val="99"/>
    <w:semiHidden/>
    <w:rsid w:val="00630820"/>
    <w:rPr>
      <w:sz w:val="18"/>
      <w:szCs w:val="18"/>
    </w:rPr>
  </w:style>
  <w:style w:type="paragraph" w:styleId="ac">
    <w:name w:val="footer"/>
    <w:basedOn w:val="a"/>
    <w:link w:val="Char7"/>
    <w:uiPriority w:val="99"/>
    <w:qFormat/>
    <w:rsid w:val="00630820"/>
    <w:pPr>
      <w:tabs>
        <w:tab w:val="center" w:pos="4153"/>
        <w:tab w:val="right" w:pos="8306"/>
      </w:tabs>
      <w:snapToGrid w:val="0"/>
      <w:jc w:val="left"/>
    </w:pPr>
    <w:rPr>
      <w:sz w:val="18"/>
      <w:szCs w:val="18"/>
    </w:rPr>
  </w:style>
  <w:style w:type="paragraph" w:styleId="ad">
    <w:name w:val="header"/>
    <w:basedOn w:val="a"/>
    <w:link w:val="Char8"/>
    <w:uiPriority w:val="99"/>
    <w:qFormat/>
    <w:rsid w:val="00630820"/>
    <w:pPr>
      <w:pBdr>
        <w:bottom w:val="single" w:sz="6" w:space="1" w:color="auto"/>
      </w:pBdr>
      <w:tabs>
        <w:tab w:val="center" w:pos="4153"/>
        <w:tab w:val="right" w:pos="8306"/>
      </w:tabs>
      <w:snapToGrid w:val="0"/>
      <w:jc w:val="center"/>
    </w:pPr>
    <w:rPr>
      <w:sz w:val="18"/>
      <w:szCs w:val="18"/>
    </w:rPr>
  </w:style>
  <w:style w:type="paragraph" w:styleId="ae">
    <w:name w:val="List"/>
    <w:basedOn w:val="a7"/>
    <w:uiPriority w:val="99"/>
    <w:qFormat/>
    <w:rsid w:val="00630820"/>
    <w:pPr>
      <w:spacing w:after="220" w:line="220" w:lineRule="atLeast"/>
      <w:ind w:left="1440" w:hanging="360"/>
    </w:pPr>
  </w:style>
  <w:style w:type="paragraph" w:styleId="af">
    <w:name w:val="footnote text"/>
    <w:basedOn w:val="a"/>
    <w:link w:val="Char9"/>
    <w:qFormat/>
    <w:rsid w:val="00630820"/>
    <w:pPr>
      <w:snapToGrid w:val="0"/>
      <w:jc w:val="left"/>
    </w:pPr>
    <w:rPr>
      <w:sz w:val="18"/>
      <w:szCs w:val="18"/>
    </w:rPr>
  </w:style>
  <w:style w:type="paragraph" w:styleId="30">
    <w:name w:val="Body Text Indent 3"/>
    <w:basedOn w:val="a"/>
    <w:link w:val="3Char0"/>
    <w:uiPriority w:val="99"/>
    <w:rsid w:val="00630820"/>
    <w:pPr>
      <w:spacing w:line="560" w:lineRule="exact"/>
      <w:ind w:firstLineChars="200" w:firstLine="420"/>
    </w:pPr>
    <w:rPr>
      <w:rFonts w:ascii="Arial" w:hAnsi="Arial" w:cs="Arial"/>
      <w:color w:val="FF0000"/>
    </w:rPr>
  </w:style>
  <w:style w:type="paragraph" w:styleId="af0">
    <w:name w:val="Normal (Web)"/>
    <w:basedOn w:val="a"/>
    <w:uiPriority w:val="99"/>
    <w:qFormat/>
    <w:rsid w:val="00630820"/>
    <w:pPr>
      <w:widowControl/>
      <w:spacing w:before="100" w:beforeAutospacing="1" w:after="100" w:afterAutospacing="1"/>
      <w:jc w:val="left"/>
    </w:pPr>
    <w:rPr>
      <w:rFonts w:ascii="宋体" w:hAnsi="宋体" w:cs="宋体"/>
      <w:kern w:val="0"/>
      <w:sz w:val="24"/>
      <w:szCs w:val="24"/>
    </w:rPr>
  </w:style>
  <w:style w:type="paragraph" w:styleId="10">
    <w:name w:val="index 1"/>
    <w:basedOn w:val="a"/>
    <w:next w:val="a"/>
    <w:uiPriority w:val="99"/>
    <w:semiHidden/>
    <w:qFormat/>
    <w:rsid w:val="00630820"/>
    <w:pPr>
      <w:jc w:val="right"/>
    </w:pPr>
    <w:rPr>
      <w:color w:val="008000"/>
    </w:rPr>
  </w:style>
  <w:style w:type="paragraph" w:styleId="af1">
    <w:name w:val="Title"/>
    <w:basedOn w:val="a"/>
    <w:next w:val="a"/>
    <w:link w:val="Chara"/>
    <w:uiPriority w:val="99"/>
    <w:qFormat/>
    <w:rsid w:val="00630820"/>
    <w:pPr>
      <w:spacing w:before="240" w:after="60"/>
      <w:jc w:val="center"/>
      <w:outlineLvl w:val="0"/>
    </w:pPr>
    <w:rPr>
      <w:rFonts w:ascii="Cambria" w:hAnsi="Cambria" w:cs="Cambria"/>
      <w:b/>
      <w:bCs/>
      <w:sz w:val="32"/>
      <w:szCs w:val="32"/>
    </w:rPr>
  </w:style>
  <w:style w:type="character" w:styleId="af2">
    <w:name w:val="page number"/>
    <w:basedOn w:val="a1"/>
    <w:uiPriority w:val="99"/>
    <w:qFormat/>
    <w:rsid w:val="00630820"/>
  </w:style>
  <w:style w:type="character" w:styleId="af3">
    <w:name w:val="FollowedHyperlink"/>
    <w:uiPriority w:val="99"/>
    <w:qFormat/>
    <w:rsid w:val="00630820"/>
    <w:rPr>
      <w:color w:val="800080"/>
      <w:u w:val="single"/>
    </w:rPr>
  </w:style>
  <w:style w:type="character" w:styleId="af4">
    <w:name w:val="Hyperlink"/>
    <w:uiPriority w:val="99"/>
    <w:qFormat/>
    <w:rsid w:val="00630820"/>
    <w:rPr>
      <w:color w:val="0000FF"/>
      <w:u w:val="single"/>
    </w:rPr>
  </w:style>
  <w:style w:type="character" w:styleId="af5">
    <w:name w:val="annotation reference"/>
    <w:uiPriority w:val="99"/>
    <w:semiHidden/>
    <w:rsid w:val="00630820"/>
    <w:rPr>
      <w:sz w:val="21"/>
      <w:szCs w:val="21"/>
    </w:rPr>
  </w:style>
  <w:style w:type="character" w:styleId="af6">
    <w:name w:val="footnote reference"/>
    <w:qFormat/>
    <w:rsid w:val="00630820"/>
    <w:rPr>
      <w:vertAlign w:val="superscript"/>
    </w:rPr>
  </w:style>
  <w:style w:type="table" w:styleId="af7">
    <w:name w:val="Table Grid"/>
    <w:basedOn w:val="a2"/>
    <w:qFormat/>
    <w:rsid w:val="006308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uiPriority w:val="99"/>
    <w:qFormat/>
    <w:rsid w:val="00630820"/>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qFormat/>
    <w:rsid w:val="00630820"/>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qFormat/>
    <w:rsid w:val="00630820"/>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qFormat/>
    <w:rsid w:val="0063082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qFormat/>
    <w:rsid w:val="0063082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qFormat/>
    <w:rsid w:val="00630820"/>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qFormat/>
    <w:rsid w:val="0063082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qFormat/>
    <w:rsid w:val="0063082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qFormat/>
    <w:rsid w:val="00630820"/>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qFormat/>
    <w:rsid w:val="0063082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qFormat/>
    <w:rsid w:val="0063082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qFormat/>
    <w:rsid w:val="00630820"/>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qFormat/>
    <w:rsid w:val="00630820"/>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qFormat/>
    <w:rsid w:val="0063082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qFormat/>
    <w:rsid w:val="0063082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qFormat/>
    <w:rsid w:val="00630820"/>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Charb">
    <w:name w:val="Char"/>
    <w:basedOn w:val="a"/>
    <w:uiPriority w:val="99"/>
    <w:qFormat/>
    <w:rsid w:val="00630820"/>
  </w:style>
  <w:style w:type="paragraph" w:customStyle="1" w:styleId="af8">
    <w:name w:val="正文 + (符号) 宋体"/>
    <w:basedOn w:val="a"/>
    <w:uiPriority w:val="99"/>
    <w:qFormat/>
    <w:rsid w:val="00630820"/>
    <w:pPr>
      <w:autoSpaceDE w:val="0"/>
      <w:autoSpaceDN w:val="0"/>
      <w:adjustRightInd w:val="0"/>
      <w:ind w:rightChars="671" w:right="1409" w:firstLineChars="512" w:firstLine="1229"/>
      <w:jc w:val="distribute"/>
    </w:pPr>
    <w:rPr>
      <w:sz w:val="24"/>
      <w:szCs w:val="24"/>
    </w:rPr>
  </w:style>
  <w:style w:type="paragraph" w:customStyle="1" w:styleId="Char10">
    <w:name w:val="Char1"/>
    <w:basedOn w:val="a"/>
    <w:uiPriority w:val="99"/>
    <w:qFormat/>
    <w:rsid w:val="00630820"/>
  </w:style>
  <w:style w:type="paragraph" w:customStyle="1" w:styleId="CharCharCharCharCharChar1CharCharChar">
    <w:name w:val="Char Char Char Char Char Char1 Char Char Char"/>
    <w:basedOn w:val="a"/>
    <w:uiPriority w:val="99"/>
    <w:qFormat/>
    <w:rsid w:val="00630820"/>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630820"/>
    <w:pPr>
      <w:autoSpaceDE w:val="0"/>
      <w:autoSpaceDN w:val="0"/>
      <w:adjustRightInd w:val="0"/>
      <w:jc w:val="left"/>
      <w:textAlignment w:val="baseline"/>
    </w:pPr>
    <w:rPr>
      <w:rFonts w:ascii="宋体" w:cs="宋体"/>
      <w:kern w:val="0"/>
      <w:sz w:val="34"/>
      <w:szCs w:val="34"/>
    </w:rPr>
  </w:style>
  <w:style w:type="paragraph" w:customStyle="1" w:styleId="CharCharCharCharCharChar1CharCharChar1">
    <w:name w:val="Char Char Char Char Char Char1 Char Char Char1"/>
    <w:basedOn w:val="a"/>
    <w:uiPriority w:val="99"/>
    <w:rsid w:val="00630820"/>
    <w:pPr>
      <w:autoSpaceDE w:val="0"/>
      <w:autoSpaceDN w:val="0"/>
      <w:adjustRightInd w:val="0"/>
      <w:jc w:val="left"/>
      <w:textAlignment w:val="baseline"/>
    </w:pPr>
    <w:rPr>
      <w:rFonts w:ascii="宋体" w:cs="宋体"/>
      <w:kern w:val="0"/>
      <w:sz w:val="34"/>
      <w:szCs w:val="34"/>
    </w:rPr>
  </w:style>
  <w:style w:type="paragraph" w:customStyle="1" w:styleId="11">
    <w:name w:val="无间隔1"/>
    <w:link w:val="Charc"/>
    <w:uiPriority w:val="1"/>
    <w:qFormat/>
    <w:rsid w:val="00630820"/>
    <w:rPr>
      <w:rFonts w:ascii="Calibri" w:hAnsi="Calibri" w:cs="Calibri"/>
      <w:sz w:val="22"/>
      <w:szCs w:val="22"/>
    </w:rPr>
  </w:style>
  <w:style w:type="paragraph" w:customStyle="1" w:styleId="12">
    <w:name w:val="列出段落1"/>
    <w:basedOn w:val="a"/>
    <w:uiPriority w:val="34"/>
    <w:qFormat/>
    <w:rsid w:val="00630820"/>
    <w:pPr>
      <w:ind w:firstLineChars="200" w:firstLine="420"/>
    </w:pPr>
  </w:style>
  <w:style w:type="paragraph" w:customStyle="1" w:styleId="Default">
    <w:name w:val="Default"/>
    <w:qFormat/>
    <w:rsid w:val="00630820"/>
    <w:pPr>
      <w:widowControl w:val="0"/>
      <w:autoSpaceDE w:val="0"/>
      <w:autoSpaceDN w:val="0"/>
      <w:adjustRightInd w:val="0"/>
    </w:pPr>
    <w:rPr>
      <w:rFonts w:ascii="仿宋" w:hAnsi="仿宋" w:cs="仿宋"/>
      <w:color w:val="000000"/>
      <w:sz w:val="24"/>
      <w:szCs w:val="24"/>
    </w:rPr>
  </w:style>
  <w:style w:type="character" w:customStyle="1" w:styleId="1Char">
    <w:name w:val="标题 1 Char"/>
    <w:link w:val="1"/>
    <w:uiPriority w:val="99"/>
    <w:qFormat/>
    <w:rsid w:val="00630820"/>
    <w:rPr>
      <w:rFonts w:ascii="Times New Roman" w:eastAsia="宋体" w:hAnsi="Times New Roman" w:cs="Times New Roman"/>
      <w:b/>
      <w:bCs/>
      <w:kern w:val="44"/>
      <w:sz w:val="44"/>
      <w:szCs w:val="44"/>
    </w:rPr>
  </w:style>
  <w:style w:type="character" w:customStyle="1" w:styleId="2Char">
    <w:name w:val="标题 2 Char"/>
    <w:link w:val="2"/>
    <w:uiPriority w:val="99"/>
    <w:qFormat/>
    <w:rsid w:val="00630820"/>
    <w:rPr>
      <w:rFonts w:ascii="Arial" w:eastAsia="宋体" w:hAnsi="Arial" w:cs="Arial"/>
      <w:b/>
      <w:bCs/>
      <w:sz w:val="24"/>
      <w:szCs w:val="24"/>
    </w:rPr>
  </w:style>
  <w:style w:type="character" w:customStyle="1" w:styleId="3Char">
    <w:name w:val="标题 3 Char"/>
    <w:link w:val="3"/>
    <w:uiPriority w:val="99"/>
    <w:qFormat/>
    <w:rsid w:val="00630820"/>
    <w:rPr>
      <w:rFonts w:ascii="Times New Roman" w:eastAsia="宋体" w:hAnsi="Times New Roman" w:cs="Times New Roman"/>
      <w:b/>
      <w:bCs/>
      <w:sz w:val="32"/>
      <w:szCs w:val="32"/>
    </w:rPr>
  </w:style>
  <w:style w:type="character" w:customStyle="1" w:styleId="Char3">
    <w:name w:val="正文文本缩进 Char"/>
    <w:link w:val="a8"/>
    <w:uiPriority w:val="99"/>
    <w:qFormat/>
    <w:rsid w:val="00630820"/>
    <w:rPr>
      <w:rFonts w:ascii="Arial Unicode MS" w:eastAsia="Arial Unicode MS" w:hAnsi="Arial Unicode MS" w:cs="Arial Unicode MS"/>
      <w:kern w:val="0"/>
      <w:sz w:val="24"/>
      <w:szCs w:val="24"/>
    </w:rPr>
  </w:style>
  <w:style w:type="character" w:customStyle="1" w:styleId="Char4">
    <w:name w:val="纯文本 Char"/>
    <w:link w:val="a9"/>
    <w:uiPriority w:val="99"/>
    <w:qFormat/>
    <w:rsid w:val="00630820"/>
    <w:rPr>
      <w:rFonts w:ascii="宋体" w:eastAsia="宋体" w:hAnsi="Courier New" w:cs="宋体"/>
      <w:szCs w:val="21"/>
    </w:rPr>
  </w:style>
  <w:style w:type="character" w:customStyle="1" w:styleId="2Char0">
    <w:name w:val="正文文本缩进 2 Char"/>
    <w:link w:val="20"/>
    <w:uiPriority w:val="99"/>
    <w:qFormat/>
    <w:rsid w:val="00630820"/>
    <w:rPr>
      <w:rFonts w:ascii="宋体" w:eastAsia="宋体" w:hAnsi="宋体" w:cs="宋体"/>
      <w:color w:val="FF0000"/>
      <w:sz w:val="24"/>
      <w:szCs w:val="24"/>
    </w:rPr>
  </w:style>
  <w:style w:type="character" w:customStyle="1" w:styleId="Char7">
    <w:name w:val="页脚 Char"/>
    <w:link w:val="ac"/>
    <w:uiPriority w:val="99"/>
    <w:qFormat/>
    <w:rsid w:val="00630820"/>
    <w:rPr>
      <w:rFonts w:ascii="Times New Roman" w:eastAsia="宋体" w:hAnsi="Times New Roman" w:cs="Times New Roman"/>
      <w:sz w:val="18"/>
      <w:szCs w:val="18"/>
    </w:rPr>
  </w:style>
  <w:style w:type="character" w:customStyle="1" w:styleId="3Char0">
    <w:name w:val="正文文本缩进 3 Char"/>
    <w:link w:val="30"/>
    <w:uiPriority w:val="99"/>
    <w:qFormat/>
    <w:rsid w:val="00630820"/>
    <w:rPr>
      <w:rFonts w:ascii="Arial" w:eastAsia="宋体" w:hAnsi="Arial" w:cs="Arial"/>
      <w:color w:val="FF0000"/>
      <w:szCs w:val="21"/>
    </w:rPr>
  </w:style>
  <w:style w:type="character" w:customStyle="1" w:styleId="Char8">
    <w:name w:val="页眉 Char"/>
    <w:link w:val="ad"/>
    <w:uiPriority w:val="99"/>
    <w:qFormat/>
    <w:rsid w:val="00630820"/>
    <w:rPr>
      <w:rFonts w:ascii="Times New Roman" w:eastAsia="宋体" w:hAnsi="Times New Roman" w:cs="Times New Roman"/>
      <w:sz w:val="18"/>
      <w:szCs w:val="18"/>
    </w:rPr>
  </w:style>
  <w:style w:type="character" w:customStyle="1" w:styleId="Char2">
    <w:name w:val="正文文本 Char"/>
    <w:link w:val="a7"/>
    <w:uiPriority w:val="99"/>
    <w:qFormat/>
    <w:rsid w:val="00630820"/>
    <w:rPr>
      <w:rFonts w:ascii="Times New Roman" w:eastAsia="宋体" w:hAnsi="Times New Roman" w:cs="Times New Roman"/>
      <w:szCs w:val="21"/>
    </w:rPr>
  </w:style>
  <w:style w:type="character" w:customStyle="1" w:styleId="Char5">
    <w:name w:val="日期 Char"/>
    <w:link w:val="aa"/>
    <w:qFormat/>
    <w:rsid w:val="00630820"/>
    <w:rPr>
      <w:rFonts w:ascii="Times New Roman" w:eastAsia="宋体" w:hAnsi="Times New Roman" w:cs="Times New Roman"/>
      <w:sz w:val="24"/>
      <w:szCs w:val="24"/>
    </w:rPr>
  </w:style>
  <w:style w:type="character" w:customStyle="1" w:styleId="c1">
    <w:name w:val="c1"/>
    <w:uiPriority w:val="99"/>
    <w:qFormat/>
    <w:rsid w:val="00630820"/>
    <w:rPr>
      <w:color w:val="000000"/>
      <w:sz w:val="18"/>
      <w:szCs w:val="18"/>
    </w:rPr>
  </w:style>
  <w:style w:type="character" w:customStyle="1" w:styleId="Char6">
    <w:name w:val="批注框文本 Char"/>
    <w:link w:val="ab"/>
    <w:uiPriority w:val="99"/>
    <w:semiHidden/>
    <w:qFormat/>
    <w:rsid w:val="00630820"/>
    <w:rPr>
      <w:rFonts w:ascii="Times New Roman" w:eastAsia="宋体" w:hAnsi="Times New Roman" w:cs="Times New Roman"/>
      <w:sz w:val="18"/>
      <w:szCs w:val="18"/>
    </w:rPr>
  </w:style>
  <w:style w:type="character" w:customStyle="1" w:styleId="Char0">
    <w:name w:val="批注文字 Char"/>
    <w:link w:val="a5"/>
    <w:uiPriority w:val="99"/>
    <w:semiHidden/>
    <w:qFormat/>
    <w:rsid w:val="00630820"/>
    <w:rPr>
      <w:rFonts w:ascii="Times New Roman" w:eastAsia="宋体" w:hAnsi="Times New Roman" w:cs="Times New Roman"/>
      <w:szCs w:val="21"/>
    </w:rPr>
  </w:style>
  <w:style w:type="character" w:customStyle="1" w:styleId="Char">
    <w:name w:val="批注主题 Char"/>
    <w:link w:val="a4"/>
    <w:uiPriority w:val="99"/>
    <w:semiHidden/>
    <w:qFormat/>
    <w:rsid w:val="00630820"/>
    <w:rPr>
      <w:rFonts w:ascii="Times New Roman" w:eastAsia="宋体" w:hAnsi="Times New Roman" w:cs="Times New Roman"/>
      <w:b/>
      <w:bCs/>
      <w:szCs w:val="21"/>
    </w:rPr>
  </w:style>
  <w:style w:type="character" w:customStyle="1" w:styleId="Char1">
    <w:name w:val="文档结构图 Char"/>
    <w:link w:val="a6"/>
    <w:uiPriority w:val="99"/>
    <w:semiHidden/>
    <w:qFormat/>
    <w:rsid w:val="00630820"/>
    <w:rPr>
      <w:rFonts w:ascii="Times New Roman" w:eastAsia="宋体" w:hAnsi="Times New Roman" w:cs="Times New Roman"/>
      <w:szCs w:val="21"/>
      <w:shd w:val="clear" w:color="auto" w:fill="000080"/>
    </w:rPr>
  </w:style>
  <w:style w:type="character" w:customStyle="1" w:styleId="Char9">
    <w:name w:val="脚注文本 Char"/>
    <w:link w:val="af"/>
    <w:qFormat/>
    <w:rsid w:val="00630820"/>
    <w:rPr>
      <w:rFonts w:ascii="Times New Roman" w:eastAsia="宋体" w:hAnsi="Times New Roman" w:cs="Times New Roman"/>
      <w:sz w:val="18"/>
      <w:szCs w:val="18"/>
    </w:rPr>
  </w:style>
  <w:style w:type="character" w:customStyle="1" w:styleId="Chara">
    <w:name w:val="标题 Char"/>
    <w:link w:val="af1"/>
    <w:uiPriority w:val="99"/>
    <w:qFormat/>
    <w:rsid w:val="00630820"/>
    <w:rPr>
      <w:rFonts w:ascii="Cambria" w:eastAsia="宋体" w:hAnsi="Cambria" w:cs="Cambria"/>
      <w:b/>
      <w:bCs/>
      <w:sz w:val="32"/>
      <w:szCs w:val="32"/>
    </w:rPr>
  </w:style>
  <w:style w:type="character" w:customStyle="1" w:styleId="Charc">
    <w:name w:val="无间隔 Char"/>
    <w:link w:val="11"/>
    <w:uiPriority w:val="1"/>
    <w:qFormat/>
    <w:locked/>
    <w:rsid w:val="00630820"/>
    <w:rPr>
      <w:rFonts w:ascii="Calibri" w:eastAsia="宋体" w:hAnsi="Calibri" w:cs="Calibri"/>
      <w:kern w:val="0"/>
      <w:sz w:val="22"/>
    </w:rPr>
  </w:style>
  <w:style w:type="character" w:customStyle="1" w:styleId="t1">
    <w:name w:val="t1"/>
    <w:uiPriority w:val="99"/>
    <w:qFormat/>
    <w:rsid w:val="00630820"/>
    <w:rPr>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1260</Words>
  <Characters>7184</Characters>
  <Application>Microsoft Office Word</Application>
  <DocSecurity>4</DocSecurity>
  <Lines>59</Lines>
  <Paragraphs>16</Paragraphs>
  <ScaleCrop>false</ScaleCrop>
  <Company>微软中国</Company>
  <LinksUpToDate>false</LinksUpToDate>
  <CharactersWithSpaces>8428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{cfid-fgi_JiJinMingCheng}</dc:title>
  <dc:creator>Administrator</dc:creator>
  <cp:lastModifiedBy>ZHONGM</cp:lastModifiedBy>
  <cp:revision>2</cp:revision>
  <dcterms:created xsi:type="dcterms:W3CDTF">2018-07-18T17:07:00Z</dcterms:created>
  <dcterms:modified xsi:type="dcterms:W3CDTF">2018-07-18T17:07:00Z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