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17D8" w:rsidRDefault="00EF17D8">
      <w:pPr>
        <w:autoSpaceDE w:val="0"/>
        <w:autoSpaceDN w:val="0"/>
        <w:adjustRightInd w:val="0"/>
        <w:spacing w:line="360" w:lineRule="auto"/>
        <w:jc w:val="left"/>
        <w:rPr>
          <w:rFonts w:eastAsiaTheme="minorEastAsia"/>
          <w:color w:val="000000" w:themeColor="text1"/>
          <w:kern w:val="0"/>
          <w:szCs w:val="21"/>
        </w:rPr>
      </w:pPr>
      <w:bookmarkStart w:id="0" w:name="_GoBack"/>
      <w:bookmarkEnd w:id="0"/>
    </w:p>
    <w:p w:rsidR="00EF17D8" w:rsidRDefault="00EF17D8">
      <w:pPr>
        <w:autoSpaceDE w:val="0"/>
        <w:autoSpaceDN w:val="0"/>
        <w:adjustRightInd w:val="0"/>
        <w:spacing w:line="360" w:lineRule="auto"/>
        <w:jc w:val="left"/>
        <w:rPr>
          <w:rFonts w:eastAsiaTheme="minorEastAsia"/>
          <w:color w:val="000000" w:themeColor="text1"/>
          <w:kern w:val="0"/>
          <w:szCs w:val="21"/>
        </w:rPr>
      </w:pPr>
    </w:p>
    <w:p w:rsidR="00EF17D8" w:rsidRDefault="00EF17D8">
      <w:pPr>
        <w:autoSpaceDE w:val="0"/>
        <w:autoSpaceDN w:val="0"/>
        <w:adjustRightInd w:val="0"/>
        <w:spacing w:line="360" w:lineRule="auto"/>
        <w:jc w:val="left"/>
        <w:rPr>
          <w:rFonts w:eastAsiaTheme="minorEastAsia"/>
          <w:color w:val="000000" w:themeColor="text1"/>
          <w:kern w:val="0"/>
          <w:szCs w:val="21"/>
        </w:rPr>
      </w:pPr>
    </w:p>
    <w:p w:rsidR="00EF17D8" w:rsidRDefault="00EF17D8">
      <w:pPr>
        <w:autoSpaceDE w:val="0"/>
        <w:autoSpaceDN w:val="0"/>
        <w:adjustRightInd w:val="0"/>
        <w:spacing w:line="360" w:lineRule="auto"/>
        <w:jc w:val="left"/>
        <w:rPr>
          <w:rFonts w:eastAsiaTheme="minorEastAsia"/>
          <w:color w:val="000000" w:themeColor="text1"/>
          <w:kern w:val="0"/>
          <w:szCs w:val="21"/>
        </w:rPr>
      </w:pPr>
    </w:p>
    <w:p w:rsidR="00EF17D8" w:rsidRDefault="00EF17D8">
      <w:pPr>
        <w:autoSpaceDE w:val="0"/>
        <w:autoSpaceDN w:val="0"/>
        <w:adjustRightInd w:val="0"/>
        <w:spacing w:line="360" w:lineRule="auto"/>
        <w:jc w:val="left"/>
        <w:rPr>
          <w:rFonts w:eastAsiaTheme="minorEastAsia"/>
          <w:color w:val="000000" w:themeColor="text1"/>
          <w:kern w:val="0"/>
          <w:szCs w:val="21"/>
        </w:rPr>
      </w:pPr>
    </w:p>
    <w:p w:rsidR="00EF17D8" w:rsidRDefault="005E6346">
      <w:pPr>
        <w:spacing w:line="360" w:lineRule="auto"/>
        <w:jc w:val="center"/>
        <w:rPr>
          <w:rFonts w:eastAsiaTheme="minorEastAsia"/>
          <w:b/>
          <w:color w:val="000000" w:themeColor="text1"/>
          <w:sz w:val="36"/>
          <w:szCs w:val="36"/>
        </w:rPr>
      </w:pPr>
      <w:r>
        <w:rPr>
          <w:rFonts w:eastAsiaTheme="minorEastAsia"/>
          <w:b/>
          <w:color w:val="000000" w:themeColor="text1"/>
          <w:sz w:val="36"/>
          <w:szCs w:val="36"/>
        </w:rPr>
        <w:t>上投摩根安腾回报混合型证券投资基金</w:t>
      </w:r>
    </w:p>
    <w:p w:rsidR="00EF17D8" w:rsidRDefault="005E6346">
      <w:pPr>
        <w:spacing w:line="360" w:lineRule="auto"/>
        <w:jc w:val="center"/>
        <w:rPr>
          <w:rFonts w:eastAsiaTheme="minorEastAsia"/>
          <w:b/>
          <w:color w:val="000000" w:themeColor="text1"/>
          <w:sz w:val="36"/>
          <w:szCs w:val="36"/>
        </w:rPr>
      </w:pPr>
      <w:r>
        <w:rPr>
          <w:rFonts w:eastAsiaTheme="minorEastAsia"/>
          <w:b/>
          <w:color w:val="000000" w:themeColor="text1"/>
          <w:sz w:val="36"/>
          <w:szCs w:val="36"/>
        </w:rPr>
        <w:t>2018</w:t>
      </w:r>
      <w:r>
        <w:rPr>
          <w:rFonts w:eastAsiaTheme="minorEastAsia"/>
          <w:b/>
          <w:color w:val="000000" w:themeColor="text1"/>
          <w:sz w:val="36"/>
          <w:szCs w:val="36"/>
        </w:rPr>
        <w:t>年第</w:t>
      </w:r>
      <w:r>
        <w:rPr>
          <w:rFonts w:eastAsiaTheme="minorEastAsia"/>
          <w:b/>
          <w:color w:val="000000" w:themeColor="text1"/>
          <w:sz w:val="36"/>
          <w:szCs w:val="36"/>
        </w:rPr>
        <w:t>2</w:t>
      </w:r>
      <w:r>
        <w:rPr>
          <w:rFonts w:eastAsiaTheme="minorEastAsia"/>
          <w:b/>
          <w:color w:val="000000" w:themeColor="text1"/>
          <w:sz w:val="36"/>
          <w:szCs w:val="36"/>
        </w:rPr>
        <w:t>季度报告</w:t>
      </w:r>
    </w:p>
    <w:p w:rsidR="00EF17D8" w:rsidRDefault="005E6346">
      <w:pPr>
        <w:spacing w:line="360" w:lineRule="auto"/>
        <w:jc w:val="center"/>
        <w:rPr>
          <w:rFonts w:eastAsiaTheme="minorEastAsia"/>
          <w:b/>
          <w:color w:val="000000" w:themeColor="text1"/>
          <w:szCs w:val="21"/>
        </w:rPr>
      </w:pPr>
      <w:r>
        <w:rPr>
          <w:rFonts w:eastAsiaTheme="minorEastAsia"/>
          <w:b/>
          <w:color w:val="000000" w:themeColor="text1"/>
          <w:sz w:val="36"/>
          <w:szCs w:val="36"/>
        </w:rPr>
        <w:t>2018</w:t>
      </w:r>
      <w:r>
        <w:rPr>
          <w:rFonts w:eastAsiaTheme="minorEastAsia"/>
          <w:b/>
          <w:color w:val="000000" w:themeColor="text1"/>
          <w:sz w:val="36"/>
          <w:szCs w:val="36"/>
        </w:rPr>
        <w:t>年</w:t>
      </w:r>
      <w:r>
        <w:rPr>
          <w:rFonts w:eastAsiaTheme="minorEastAsia"/>
          <w:b/>
          <w:color w:val="000000" w:themeColor="text1"/>
          <w:sz w:val="36"/>
          <w:szCs w:val="36"/>
        </w:rPr>
        <w:t>6</w:t>
      </w:r>
      <w:r>
        <w:rPr>
          <w:rFonts w:eastAsiaTheme="minorEastAsia"/>
          <w:b/>
          <w:color w:val="000000" w:themeColor="text1"/>
          <w:sz w:val="36"/>
          <w:szCs w:val="36"/>
        </w:rPr>
        <w:t>月</w:t>
      </w:r>
      <w:r>
        <w:rPr>
          <w:rFonts w:eastAsiaTheme="minorEastAsia"/>
          <w:b/>
          <w:color w:val="000000" w:themeColor="text1"/>
          <w:sz w:val="36"/>
          <w:szCs w:val="36"/>
        </w:rPr>
        <w:t>30</w:t>
      </w:r>
      <w:r>
        <w:rPr>
          <w:rFonts w:eastAsiaTheme="minorEastAsia"/>
          <w:b/>
          <w:color w:val="000000" w:themeColor="text1"/>
          <w:sz w:val="36"/>
          <w:szCs w:val="36"/>
        </w:rPr>
        <w:t>日</w:t>
      </w: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jc w:val="center"/>
        <w:rPr>
          <w:rFonts w:eastAsiaTheme="minorEastAsia"/>
          <w:b/>
          <w:color w:val="000000" w:themeColor="text1"/>
          <w:szCs w:val="21"/>
        </w:rPr>
      </w:pPr>
    </w:p>
    <w:p w:rsidR="00EF17D8" w:rsidRDefault="00EF17D8">
      <w:pPr>
        <w:spacing w:line="360" w:lineRule="auto"/>
        <w:rPr>
          <w:rFonts w:eastAsiaTheme="minorEastAsia"/>
          <w:b/>
          <w:color w:val="000000" w:themeColor="text1"/>
          <w:szCs w:val="21"/>
        </w:rPr>
      </w:pPr>
    </w:p>
    <w:p w:rsidR="00EF17D8" w:rsidRDefault="005E6346">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基金管理人：上投摩根基金管理有限公司</w:t>
      </w:r>
    </w:p>
    <w:p w:rsidR="00EF17D8" w:rsidRDefault="005E6346">
      <w:pPr>
        <w:spacing w:line="360" w:lineRule="auto"/>
        <w:ind w:firstLineChars="900" w:firstLine="2168"/>
        <w:rPr>
          <w:rFonts w:eastAsiaTheme="minorEastAsia"/>
          <w:b/>
          <w:color w:val="000000" w:themeColor="text1"/>
          <w:sz w:val="24"/>
        </w:rPr>
      </w:pPr>
      <w:r>
        <w:rPr>
          <w:rFonts w:eastAsiaTheme="minorEastAsia"/>
          <w:b/>
          <w:color w:val="000000" w:themeColor="text1"/>
          <w:sz w:val="24"/>
        </w:rPr>
        <w:t>基金托管人：北京银行股份有限公司</w:t>
      </w:r>
    </w:p>
    <w:p w:rsidR="00EF17D8" w:rsidRDefault="005E6346">
      <w:pPr>
        <w:spacing w:line="360" w:lineRule="auto"/>
        <w:ind w:firstLineChars="900" w:firstLine="2168"/>
        <w:rPr>
          <w:rFonts w:eastAsiaTheme="minorEastAsia"/>
          <w:color w:val="000000" w:themeColor="text1"/>
          <w:szCs w:val="21"/>
        </w:rPr>
        <w:sectPr w:rsidR="00EF17D8">
          <w:headerReference w:type="default" r:id="rId8"/>
          <w:footerReference w:type="default" r:id="rId9"/>
          <w:pgSz w:w="11926" w:h="15840"/>
          <w:pgMar w:top="1418" w:right="1418" w:bottom="851" w:left="1418" w:header="851" w:footer="992" w:gutter="0"/>
          <w:cols w:space="720"/>
        </w:sectPr>
      </w:pPr>
      <w:r>
        <w:rPr>
          <w:rFonts w:eastAsiaTheme="minorEastAsia"/>
          <w:b/>
          <w:color w:val="000000" w:themeColor="text1"/>
          <w:sz w:val="24"/>
        </w:rPr>
        <w:t>报告送出日期：二〇一八年七月</w:t>
      </w:r>
      <w:r>
        <w:rPr>
          <w:rFonts w:asciiTheme="minorEastAsia" w:eastAsiaTheme="minorEastAsia" w:hAnsiTheme="minorEastAsia" w:hint="eastAsia"/>
          <w:b/>
          <w:color w:val="000000" w:themeColor="text1"/>
          <w:sz w:val="24"/>
        </w:rPr>
        <w:t>十九</w:t>
      </w:r>
      <w:r>
        <w:rPr>
          <w:rFonts w:eastAsiaTheme="minorEastAsia"/>
          <w:b/>
          <w:color w:val="000000" w:themeColor="text1"/>
          <w:sz w:val="24"/>
        </w:rPr>
        <w:t>日</w:t>
      </w:r>
    </w:p>
    <w:p w:rsidR="00EF17D8" w:rsidRDefault="005E6346" w:rsidP="00A06338">
      <w:pPr>
        <w:pStyle w:val="1"/>
        <w:spacing w:beforeLines="100" w:afterLines="100" w:line="360" w:lineRule="auto"/>
        <w:jc w:val="center"/>
        <w:rPr>
          <w:rFonts w:eastAsiaTheme="minorEastAsia"/>
          <w:b w:val="0"/>
          <w:color w:val="000000" w:themeColor="text1"/>
          <w:kern w:val="0"/>
          <w:sz w:val="21"/>
          <w:szCs w:val="21"/>
        </w:rPr>
      </w:pPr>
      <w:r>
        <w:rPr>
          <w:rFonts w:eastAsiaTheme="minorEastAsia"/>
          <w:color w:val="000000" w:themeColor="text1"/>
          <w:kern w:val="0"/>
          <w:sz w:val="21"/>
          <w:szCs w:val="21"/>
        </w:rPr>
        <w:lastRenderedPageBreak/>
        <w:t xml:space="preserve">§1  </w:t>
      </w:r>
      <w:r>
        <w:rPr>
          <w:rFonts w:eastAsiaTheme="minorEastAsia"/>
          <w:color w:val="000000" w:themeColor="text1"/>
          <w:kern w:val="0"/>
          <w:sz w:val="21"/>
          <w:szCs w:val="21"/>
        </w:rPr>
        <w:t>重要提示</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基金管理人的董事会及董事保证本报告所载资料不存在虚假记载、误导性陈述或重大遗漏，并对其内容的真实性、准确性和完整性承担个别及连带责任。</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基金托管人北京银行股份有限公司根据本基金合同规定，于</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w:t>
      </w:r>
      <w:r>
        <w:rPr>
          <w:rFonts w:eastAsiaTheme="minorEastAsia"/>
          <w:color w:val="000000" w:themeColor="text1"/>
          <w:szCs w:val="21"/>
        </w:rPr>
        <w:t>1</w:t>
      </w:r>
      <w:r>
        <w:rPr>
          <w:rFonts w:eastAsiaTheme="minorEastAsia" w:hint="eastAsia"/>
          <w:color w:val="000000" w:themeColor="text1"/>
          <w:szCs w:val="21"/>
        </w:rPr>
        <w:t>8</w:t>
      </w:r>
      <w:r>
        <w:rPr>
          <w:rFonts w:eastAsiaTheme="minorEastAsia"/>
          <w:color w:val="000000" w:themeColor="text1"/>
          <w:szCs w:val="21"/>
        </w:rPr>
        <w:t>日复核了本报告中的财务指标、净值表现和投资组合报告等内容，保证复核内容不存在虚假记载、误导性陈述或者重大遗漏。</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基金管理人承诺以诚实信用、勤勉尽责的原则管理和运用基金资产，但不保证基金一定盈利。</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基金的过往业绩并不代表其未来表现。投资有风险，投资者在作出投资决策前应仔细阅读本基金的招募说明书。</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本报告中财务资料未经审计。</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日起至</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日止。</w:t>
      </w:r>
    </w:p>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§2  </w:t>
      </w:r>
      <w:r>
        <w:rPr>
          <w:rFonts w:eastAsiaTheme="minorEastAsia"/>
          <w:color w:val="000000" w:themeColor="text1"/>
          <w:kern w:val="0"/>
          <w:sz w:val="21"/>
          <w:szCs w:val="21"/>
        </w:rPr>
        <w:t>基金产品概况</w:t>
      </w:r>
    </w:p>
    <w:tbl>
      <w:tblPr>
        <w:tblW w:w="83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5"/>
        <w:gridCol w:w="2739"/>
        <w:gridCol w:w="2740"/>
      </w:tblGrid>
      <w:tr w:rsidR="00EF17D8">
        <w:tc>
          <w:tcPr>
            <w:tcW w:w="2835"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基金简称</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上投摩根安腾回报混合</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基金主代码</w:t>
            </w:r>
          </w:p>
        </w:tc>
        <w:tc>
          <w:tcPr>
            <w:tcW w:w="5479" w:type="dxa"/>
            <w:gridSpan w:val="2"/>
            <w:tcBorders>
              <w:bottom w:val="single" w:sz="4" w:space="0" w:color="auto"/>
            </w:tcBorders>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004778</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基金运作方式</w:t>
            </w:r>
          </w:p>
        </w:tc>
        <w:tc>
          <w:tcPr>
            <w:tcW w:w="5479" w:type="dxa"/>
            <w:gridSpan w:val="2"/>
            <w:tcBorders>
              <w:top w:val="single" w:sz="4" w:space="0" w:color="auto"/>
            </w:tcBorders>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契约型开放式</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基金合同生效日</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2</w:t>
            </w:r>
            <w:r>
              <w:rPr>
                <w:rFonts w:eastAsiaTheme="minorEastAsia"/>
                <w:color w:val="000000" w:themeColor="text1"/>
                <w:kern w:val="0"/>
                <w:szCs w:val="21"/>
              </w:rPr>
              <w:t>月</w:t>
            </w:r>
            <w:r>
              <w:rPr>
                <w:rFonts w:eastAsiaTheme="minorEastAsia"/>
                <w:color w:val="000000" w:themeColor="text1"/>
                <w:kern w:val="0"/>
                <w:szCs w:val="21"/>
              </w:rPr>
              <w:t>27</w:t>
            </w:r>
            <w:r>
              <w:rPr>
                <w:rFonts w:eastAsiaTheme="minorEastAsia"/>
                <w:color w:val="000000" w:themeColor="text1"/>
                <w:kern w:val="0"/>
                <w:szCs w:val="21"/>
              </w:rPr>
              <w:t>日</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报告期末基金份额总额</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1,769,656.01</w:t>
            </w:r>
            <w:r>
              <w:rPr>
                <w:rFonts w:eastAsiaTheme="minorEastAsia"/>
                <w:color w:val="000000" w:themeColor="text1"/>
                <w:kern w:val="0"/>
                <w:szCs w:val="21"/>
              </w:rPr>
              <w:t>份</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投资目标</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以追求稳健收益作为基金的投资目标，通过严格的风险控制，力争实现基金资产的稳健增值。</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投资策略</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1</w:t>
            </w:r>
            <w:r>
              <w:rPr>
                <w:rFonts w:eastAsiaTheme="minorEastAsia"/>
                <w:color w:val="000000" w:themeColor="text1"/>
                <w:kern w:val="0"/>
                <w:szCs w:val="21"/>
              </w:rPr>
              <w:t>、资产配置策略</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通过对宏观经济、国家政策、资金面、市场估值水平和市场情绪等影响证券市场的重要因素进行综合分析，评估股票、债券等各类资产风险收益特征，预测不同类别资产表现，确定合适的资产配置比例。同时采用严格的仓位控制策略，根据基金单位净值的变化和对未来市场的判断，灵活控制股票仓位，控制下行风险。</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2</w:t>
            </w:r>
            <w:r>
              <w:rPr>
                <w:rFonts w:eastAsiaTheme="minorEastAsia"/>
                <w:color w:val="000000" w:themeColor="text1"/>
                <w:kern w:val="0"/>
                <w:szCs w:val="21"/>
              </w:rPr>
              <w:t>、债券投资策略</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根据对财政政策、货币政策的分析以及对宏观经济的持续跟踪，结合不同债券品种的到期收益率、流动性、市场规模等情况，灵活运用久期策略、期限结构配置策略、信用债策略、可转债策略、中小企业私募债策略、证券公司短期债等多种投资策略，实施积极主动的组合管理，并根据对债券收益率曲线形态、息差变化的预测，对债券组合进行动态调整。</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3</w:t>
            </w:r>
            <w:r>
              <w:rPr>
                <w:rFonts w:eastAsiaTheme="minorEastAsia"/>
                <w:color w:val="000000" w:themeColor="text1"/>
                <w:kern w:val="0"/>
                <w:szCs w:val="21"/>
              </w:rPr>
              <w:t>、股票投资策略</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本基金将采用自下而上的分析方法，根据上市公司财务分析、盈利预期、治理结构等因素，结合股票的价值评估，以及对公司经营有实质性影响的事件，精选个股，构建投资组合。</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4</w:t>
            </w:r>
            <w:r>
              <w:rPr>
                <w:rFonts w:eastAsiaTheme="minorEastAsia"/>
                <w:color w:val="000000" w:themeColor="text1"/>
                <w:kern w:val="0"/>
                <w:szCs w:val="21"/>
              </w:rPr>
              <w:t>、股指期货投资策略</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本基金在进行股指期货投资时，将通过对证券市场和期货市场运行趋势的研究，并结合股指期货的定价模型寻求其合理的估值水平。</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5</w:t>
            </w:r>
            <w:r>
              <w:rPr>
                <w:rFonts w:eastAsiaTheme="minorEastAsia"/>
                <w:color w:val="000000" w:themeColor="text1"/>
                <w:kern w:val="0"/>
                <w:szCs w:val="21"/>
              </w:rPr>
              <w:t>、股票期权投资策略</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本基金将基于对证券市场的预判，并结合股指期权定价模型，选择估值合理的期权合约。</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6</w:t>
            </w:r>
            <w:r>
              <w:rPr>
                <w:rFonts w:eastAsiaTheme="minorEastAsia"/>
                <w:color w:val="000000" w:themeColor="text1"/>
                <w:kern w:val="0"/>
                <w:szCs w:val="21"/>
              </w:rPr>
              <w:t>、资产支持证券投资策略</w:t>
            </w:r>
          </w:p>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本基金主要从资产池信用状况、违约相关性、历史违约记录和损失比例、证券的信用增强方式、利差补偿程度等方面对资产支持证券的风险与收益状况进行评估，确定资产合理配置比例。</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lastRenderedPageBreak/>
              <w:t>业绩比较基准</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沪深</w:t>
            </w:r>
            <w:r>
              <w:rPr>
                <w:rFonts w:eastAsiaTheme="minorEastAsia"/>
                <w:color w:val="000000" w:themeColor="text1"/>
                <w:kern w:val="0"/>
                <w:szCs w:val="21"/>
              </w:rPr>
              <w:t>300</w:t>
            </w:r>
            <w:r>
              <w:rPr>
                <w:rFonts w:eastAsiaTheme="minorEastAsia"/>
                <w:color w:val="000000" w:themeColor="text1"/>
                <w:kern w:val="0"/>
                <w:szCs w:val="21"/>
              </w:rPr>
              <w:t>指数收益率</w:t>
            </w:r>
            <w:r>
              <w:rPr>
                <w:rFonts w:eastAsiaTheme="minorEastAsia"/>
                <w:color w:val="000000" w:themeColor="text1"/>
                <w:kern w:val="0"/>
                <w:szCs w:val="21"/>
              </w:rPr>
              <w:t>×30%+</w:t>
            </w:r>
            <w:r>
              <w:rPr>
                <w:rFonts w:eastAsiaTheme="minorEastAsia"/>
                <w:color w:val="000000" w:themeColor="text1"/>
                <w:kern w:val="0"/>
                <w:szCs w:val="21"/>
              </w:rPr>
              <w:t>中证综合债券指数收益率</w:t>
            </w:r>
            <w:r>
              <w:rPr>
                <w:rFonts w:eastAsiaTheme="minorEastAsia"/>
                <w:color w:val="000000" w:themeColor="text1"/>
                <w:kern w:val="0"/>
                <w:szCs w:val="21"/>
              </w:rPr>
              <w:t>×70%</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风险收益特征</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本基金属于混合型基金产品，预期风险和收益水平高于债券型基金和货币市场基金，低于股票型基金，属于中等风险收益水平的基金产品。本基金风险收益特征会定期评估并在公司网站发布，请投资者关注。</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基金管理人</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上投摩根基金管理有限公司</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基金托管人</w:t>
            </w:r>
          </w:p>
        </w:tc>
        <w:tc>
          <w:tcPr>
            <w:tcW w:w="5479" w:type="dxa"/>
            <w:gridSpan w:val="2"/>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kern w:val="0"/>
                <w:szCs w:val="21"/>
              </w:rPr>
              <w:t>北京银行股份有限公司</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hint="eastAsia"/>
                <w:color w:val="000000" w:themeColor="text1"/>
                <w:szCs w:val="21"/>
              </w:rPr>
              <w:t>下属分级</w:t>
            </w:r>
            <w:r>
              <w:rPr>
                <w:rFonts w:eastAsiaTheme="minorEastAsia"/>
                <w:color w:val="000000" w:themeColor="text1"/>
                <w:szCs w:val="21"/>
              </w:rPr>
              <w:t>基金的基金简称</w:t>
            </w:r>
          </w:p>
        </w:tc>
        <w:tc>
          <w:tcPr>
            <w:tcW w:w="2739" w:type="dxa"/>
            <w:vAlign w:val="center"/>
          </w:tcPr>
          <w:p w:rsidR="00EF17D8" w:rsidRDefault="005E6346">
            <w:pPr>
              <w:rPr>
                <w:rFonts w:eastAsiaTheme="minorEastAsia"/>
                <w:color w:val="000000" w:themeColor="text1"/>
                <w:szCs w:val="21"/>
              </w:rPr>
            </w:pPr>
            <w:r>
              <w:rPr>
                <w:rFonts w:eastAsiaTheme="minorEastAsia"/>
                <w:color w:val="000000" w:themeColor="text1"/>
                <w:szCs w:val="21"/>
              </w:rPr>
              <w:t>上投摩根安腾回报混合</w:t>
            </w:r>
            <w:r>
              <w:rPr>
                <w:rFonts w:eastAsiaTheme="minorEastAsia"/>
                <w:color w:val="000000" w:themeColor="text1"/>
                <w:szCs w:val="21"/>
              </w:rPr>
              <w:t>A</w:t>
            </w:r>
          </w:p>
        </w:tc>
        <w:tc>
          <w:tcPr>
            <w:tcW w:w="2740" w:type="dxa"/>
            <w:vAlign w:val="center"/>
          </w:tcPr>
          <w:p w:rsidR="00EF17D8" w:rsidRDefault="005E6346">
            <w:pPr>
              <w:rPr>
                <w:rFonts w:eastAsiaTheme="minorEastAsia"/>
                <w:color w:val="000000" w:themeColor="text1"/>
                <w:szCs w:val="21"/>
              </w:rPr>
            </w:pPr>
            <w:r>
              <w:rPr>
                <w:rFonts w:eastAsiaTheme="minorEastAsia"/>
                <w:color w:val="000000" w:themeColor="text1"/>
                <w:szCs w:val="21"/>
              </w:rPr>
              <w:t>上投摩根安腾回报混合</w:t>
            </w:r>
            <w:r>
              <w:rPr>
                <w:rFonts w:eastAsiaTheme="minorEastAsia"/>
                <w:color w:val="000000" w:themeColor="text1"/>
                <w:szCs w:val="21"/>
              </w:rPr>
              <w:t>C</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下属</w:t>
            </w:r>
            <w:r>
              <w:rPr>
                <w:rFonts w:eastAsiaTheme="minorEastAsia" w:hint="eastAsia"/>
                <w:color w:val="000000" w:themeColor="text1"/>
                <w:szCs w:val="21"/>
              </w:rPr>
              <w:t>分</w:t>
            </w:r>
            <w:r>
              <w:rPr>
                <w:rFonts w:eastAsiaTheme="minorEastAsia"/>
                <w:color w:val="000000" w:themeColor="text1"/>
                <w:szCs w:val="21"/>
              </w:rPr>
              <w:t>级基金的交易代码</w:t>
            </w:r>
          </w:p>
        </w:tc>
        <w:tc>
          <w:tcPr>
            <w:tcW w:w="2739" w:type="dxa"/>
            <w:vAlign w:val="center"/>
          </w:tcPr>
          <w:p w:rsidR="00EF17D8" w:rsidRDefault="005E6346">
            <w:pPr>
              <w:rPr>
                <w:rFonts w:eastAsiaTheme="minorEastAsia"/>
                <w:color w:val="000000" w:themeColor="text1"/>
                <w:szCs w:val="21"/>
              </w:rPr>
            </w:pPr>
            <w:r>
              <w:rPr>
                <w:rFonts w:eastAsiaTheme="minorEastAsia"/>
                <w:color w:val="000000" w:themeColor="text1"/>
                <w:szCs w:val="21"/>
              </w:rPr>
              <w:t>004778</w:t>
            </w:r>
          </w:p>
        </w:tc>
        <w:tc>
          <w:tcPr>
            <w:tcW w:w="2740" w:type="dxa"/>
            <w:vAlign w:val="center"/>
          </w:tcPr>
          <w:p w:rsidR="00EF17D8" w:rsidRDefault="005E6346">
            <w:pPr>
              <w:rPr>
                <w:rFonts w:eastAsiaTheme="minorEastAsia"/>
                <w:color w:val="000000" w:themeColor="text1"/>
                <w:szCs w:val="21"/>
              </w:rPr>
            </w:pPr>
            <w:r>
              <w:rPr>
                <w:rFonts w:eastAsiaTheme="minorEastAsia"/>
                <w:color w:val="000000" w:themeColor="text1"/>
                <w:szCs w:val="21"/>
              </w:rPr>
              <w:t>004779</w:t>
            </w:r>
          </w:p>
        </w:tc>
      </w:tr>
      <w:tr w:rsidR="00EF17D8">
        <w:tc>
          <w:tcPr>
            <w:tcW w:w="2835" w:type="dxa"/>
            <w:vAlign w:val="center"/>
          </w:tcPr>
          <w:p w:rsidR="00EF17D8" w:rsidRDefault="005E6346">
            <w:pPr>
              <w:adjustRightInd w:val="0"/>
              <w:spacing w:before="29" w:line="360" w:lineRule="auto"/>
              <w:ind w:left="17"/>
              <w:rPr>
                <w:rFonts w:eastAsiaTheme="minorEastAsia"/>
                <w:color w:val="000000" w:themeColor="text1"/>
                <w:szCs w:val="21"/>
              </w:rPr>
            </w:pPr>
            <w:r>
              <w:rPr>
                <w:rFonts w:eastAsiaTheme="minorEastAsia"/>
                <w:color w:val="000000" w:themeColor="text1"/>
                <w:szCs w:val="21"/>
              </w:rPr>
              <w:t>报告期末下属</w:t>
            </w:r>
            <w:r>
              <w:rPr>
                <w:rFonts w:eastAsiaTheme="minorEastAsia" w:hint="eastAsia"/>
                <w:color w:val="000000" w:themeColor="text1"/>
                <w:szCs w:val="21"/>
              </w:rPr>
              <w:t>分</w:t>
            </w:r>
            <w:r>
              <w:rPr>
                <w:rFonts w:eastAsiaTheme="minorEastAsia"/>
                <w:color w:val="000000" w:themeColor="text1"/>
                <w:szCs w:val="21"/>
              </w:rPr>
              <w:t>级基金的份额总额</w:t>
            </w:r>
          </w:p>
        </w:tc>
        <w:tc>
          <w:tcPr>
            <w:tcW w:w="2739" w:type="dxa"/>
            <w:vAlign w:val="center"/>
          </w:tcPr>
          <w:p w:rsidR="00EF17D8" w:rsidRDefault="005E6346">
            <w:pPr>
              <w:rPr>
                <w:rFonts w:eastAsiaTheme="minorEastAsia"/>
                <w:color w:val="000000" w:themeColor="text1"/>
                <w:szCs w:val="21"/>
              </w:rPr>
            </w:pPr>
            <w:r>
              <w:rPr>
                <w:rFonts w:eastAsiaTheme="minorEastAsia"/>
                <w:color w:val="000000" w:themeColor="text1"/>
                <w:szCs w:val="21"/>
              </w:rPr>
              <w:t>1,042,874.01</w:t>
            </w:r>
            <w:r>
              <w:rPr>
                <w:rFonts w:eastAsiaTheme="minorEastAsia"/>
                <w:color w:val="000000" w:themeColor="text1"/>
                <w:kern w:val="0"/>
                <w:szCs w:val="21"/>
              </w:rPr>
              <w:t>份</w:t>
            </w:r>
          </w:p>
        </w:tc>
        <w:tc>
          <w:tcPr>
            <w:tcW w:w="2740" w:type="dxa"/>
            <w:vAlign w:val="center"/>
          </w:tcPr>
          <w:p w:rsidR="00EF17D8" w:rsidRDefault="005E6346">
            <w:pPr>
              <w:rPr>
                <w:rFonts w:eastAsiaTheme="minorEastAsia"/>
                <w:color w:val="000000" w:themeColor="text1"/>
                <w:szCs w:val="21"/>
              </w:rPr>
            </w:pPr>
            <w:r>
              <w:rPr>
                <w:rFonts w:eastAsiaTheme="minorEastAsia"/>
                <w:color w:val="000000" w:themeColor="text1"/>
                <w:szCs w:val="21"/>
              </w:rPr>
              <w:t>726,782.00</w:t>
            </w:r>
            <w:r>
              <w:rPr>
                <w:rFonts w:eastAsiaTheme="minorEastAsia"/>
                <w:color w:val="000000" w:themeColor="text1"/>
                <w:kern w:val="0"/>
                <w:szCs w:val="21"/>
              </w:rPr>
              <w:t>份</w:t>
            </w:r>
          </w:p>
        </w:tc>
      </w:tr>
    </w:tbl>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§3  </w:t>
      </w:r>
      <w:r>
        <w:rPr>
          <w:rFonts w:eastAsiaTheme="minorEastAsia"/>
          <w:color w:val="000000" w:themeColor="text1"/>
          <w:kern w:val="0"/>
          <w:sz w:val="21"/>
          <w:szCs w:val="21"/>
        </w:rPr>
        <w:t>主要财务指标和基金净值表现</w:t>
      </w:r>
    </w:p>
    <w:p w:rsidR="00EF17D8" w:rsidRDefault="005E634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3.1 </w:t>
      </w:r>
      <w:r>
        <w:rPr>
          <w:rFonts w:eastAsiaTheme="minorEastAsia"/>
          <w:b/>
          <w:color w:val="000000" w:themeColor="text1"/>
          <w:kern w:val="0"/>
          <w:szCs w:val="21"/>
        </w:rPr>
        <w:t>主要财务指标</w:t>
      </w:r>
    </w:p>
    <w:p w:rsidR="00EF17D8" w:rsidRDefault="005E6346">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单位：人民币元</w:t>
      </w: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402"/>
        <w:gridCol w:w="2481"/>
        <w:gridCol w:w="2481"/>
      </w:tblGrid>
      <w:tr w:rsidR="00EF17D8">
        <w:tc>
          <w:tcPr>
            <w:tcW w:w="3402" w:type="dxa"/>
            <w:vMerge w:val="restart"/>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主要财务指标</w:t>
            </w:r>
          </w:p>
        </w:tc>
        <w:tc>
          <w:tcPr>
            <w:tcW w:w="4962" w:type="dxa"/>
            <w:gridSpan w:val="2"/>
            <w:vAlign w:val="center"/>
          </w:tcPr>
          <w:p w:rsidR="00EF17D8" w:rsidRDefault="005E634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报告期</w:t>
            </w:r>
          </w:p>
          <w:p w:rsidR="00EF17D8" w:rsidRDefault="005E634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w:t>
            </w:r>
            <w:r>
              <w:rPr>
                <w:rFonts w:eastAsiaTheme="minorEastAsia"/>
                <w:color w:val="000000" w:themeColor="text1"/>
                <w:szCs w:val="21"/>
              </w:rPr>
              <w:t>1</w:t>
            </w:r>
            <w:r>
              <w:rPr>
                <w:rFonts w:eastAsiaTheme="minorEastAsia"/>
                <w:color w:val="000000" w:themeColor="text1"/>
                <w:szCs w:val="21"/>
              </w:rPr>
              <w:t>日</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w:t>
            </w:r>
            <w:r>
              <w:rPr>
                <w:rFonts w:eastAsiaTheme="minorEastAsia"/>
                <w:color w:val="000000" w:themeColor="text1"/>
                <w:szCs w:val="21"/>
              </w:rPr>
              <w:t>30</w:t>
            </w:r>
            <w:r>
              <w:rPr>
                <w:rFonts w:eastAsiaTheme="minorEastAsia"/>
                <w:color w:val="000000" w:themeColor="text1"/>
                <w:szCs w:val="21"/>
              </w:rPr>
              <w:t>日</w:t>
            </w:r>
            <w:r>
              <w:rPr>
                <w:rFonts w:eastAsiaTheme="minorEastAsia"/>
                <w:color w:val="000000" w:themeColor="text1"/>
                <w:szCs w:val="21"/>
              </w:rPr>
              <w:t>)</w:t>
            </w:r>
          </w:p>
        </w:tc>
      </w:tr>
      <w:tr w:rsidR="00EF17D8">
        <w:tc>
          <w:tcPr>
            <w:tcW w:w="3402" w:type="dxa"/>
            <w:vMerge/>
            <w:vAlign w:val="center"/>
          </w:tcPr>
          <w:p w:rsidR="00EF17D8" w:rsidRDefault="00EF17D8">
            <w:pPr>
              <w:adjustRightInd w:val="0"/>
              <w:spacing w:before="29" w:line="360" w:lineRule="auto"/>
              <w:ind w:left="17"/>
              <w:rPr>
                <w:rFonts w:eastAsiaTheme="minorEastAsia"/>
                <w:color w:val="000000" w:themeColor="text1"/>
                <w:kern w:val="0"/>
                <w:szCs w:val="21"/>
              </w:rPr>
            </w:pPr>
          </w:p>
        </w:tc>
        <w:tc>
          <w:tcPr>
            <w:tcW w:w="2481" w:type="dxa"/>
            <w:vAlign w:val="center"/>
          </w:tcPr>
          <w:p w:rsidR="00EF17D8" w:rsidRDefault="005E634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上投摩根安腾回报混合</w:t>
            </w:r>
            <w:r>
              <w:rPr>
                <w:rFonts w:eastAsiaTheme="minorEastAsia"/>
                <w:color w:val="000000" w:themeColor="text1"/>
                <w:szCs w:val="21"/>
              </w:rPr>
              <w:t>A</w:t>
            </w:r>
          </w:p>
        </w:tc>
        <w:tc>
          <w:tcPr>
            <w:tcW w:w="2481" w:type="dxa"/>
            <w:vAlign w:val="center"/>
          </w:tcPr>
          <w:p w:rsidR="00EF17D8" w:rsidRDefault="005E6346">
            <w:pPr>
              <w:adjustRightInd w:val="0"/>
              <w:spacing w:before="29" w:line="360" w:lineRule="auto"/>
              <w:ind w:left="17"/>
              <w:jc w:val="center"/>
              <w:rPr>
                <w:rFonts w:eastAsiaTheme="minorEastAsia"/>
                <w:color w:val="000000" w:themeColor="text1"/>
                <w:szCs w:val="21"/>
              </w:rPr>
            </w:pPr>
            <w:r>
              <w:rPr>
                <w:rFonts w:eastAsiaTheme="minorEastAsia"/>
                <w:color w:val="000000" w:themeColor="text1"/>
                <w:szCs w:val="21"/>
              </w:rPr>
              <w:t>上投摩根安腾回报混合</w:t>
            </w:r>
            <w:r>
              <w:rPr>
                <w:rFonts w:eastAsiaTheme="minorEastAsia"/>
                <w:color w:val="000000" w:themeColor="text1"/>
                <w:szCs w:val="21"/>
              </w:rPr>
              <w:t>C</w:t>
            </w:r>
          </w:p>
        </w:tc>
      </w:tr>
      <w:tr w:rsidR="00EF17D8">
        <w:tc>
          <w:tcPr>
            <w:tcW w:w="3402"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1.</w:t>
            </w:r>
            <w:r>
              <w:rPr>
                <w:rFonts w:eastAsiaTheme="minorEastAsia"/>
                <w:color w:val="000000" w:themeColor="text1"/>
                <w:kern w:val="0"/>
                <w:szCs w:val="21"/>
              </w:rPr>
              <w:t>本期已实现收益</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6,807.24</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59,385.77</w:t>
            </w:r>
          </w:p>
        </w:tc>
      </w:tr>
      <w:tr w:rsidR="00EF17D8">
        <w:tc>
          <w:tcPr>
            <w:tcW w:w="3402"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2.</w:t>
            </w:r>
            <w:r>
              <w:rPr>
                <w:rFonts w:eastAsiaTheme="minorEastAsia"/>
                <w:color w:val="000000" w:themeColor="text1"/>
                <w:kern w:val="0"/>
                <w:szCs w:val="21"/>
              </w:rPr>
              <w:t>本期利润</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5,894.73</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60,298.28</w:t>
            </w:r>
          </w:p>
        </w:tc>
      </w:tr>
      <w:tr w:rsidR="00EF17D8">
        <w:tc>
          <w:tcPr>
            <w:tcW w:w="3402"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3.</w:t>
            </w:r>
            <w:r>
              <w:rPr>
                <w:rFonts w:eastAsiaTheme="minorEastAsia"/>
                <w:color w:val="000000" w:themeColor="text1"/>
                <w:kern w:val="0"/>
                <w:szCs w:val="21"/>
              </w:rPr>
              <w:t>加权平均基金份额本期利润</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0.0043</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0.0029</w:t>
            </w:r>
          </w:p>
        </w:tc>
      </w:tr>
      <w:tr w:rsidR="00EF17D8">
        <w:tc>
          <w:tcPr>
            <w:tcW w:w="3402"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4.</w:t>
            </w:r>
            <w:r>
              <w:rPr>
                <w:rFonts w:eastAsiaTheme="minorEastAsia"/>
                <w:color w:val="000000" w:themeColor="text1"/>
                <w:kern w:val="0"/>
                <w:szCs w:val="21"/>
              </w:rPr>
              <w:t>期末基金资产净值</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1,049,347.21</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728,187.14</w:t>
            </w:r>
          </w:p>
        </w:tc>
      </w:tr>
      <w:tr w:rsidR="00EF17D8">
        <w:trPr>
          <w:trHeight w:val="158"/>
        </w:trPr>
        <w:tc>
          <w:tcPr>
            <w:tcW w:w="3402" w:type="dxa"/>
            <w:vAlign w:val="center"/>
          </w:tcPr>
          <w:p w:rsidR="00EF17D8" w:rsidRDefault="005E6346">
            <w:pPr>
              <w:adjustRightInd w:val="0"/>
              <w:spacing w:before="29" w:line="360" w:lineRule="auto"/>
              <w:ind w:left="17"/>
              <w:rPr>
                <w:rFonts w:eastAsiaTheme="minorEastAsia"/>
                <w:color w:val="000000" w:themeColor="text1"/>
                <w:kern w:val="0"/>
                <w:szCs w:val="21"/>
              </w:rPr>
            </w:pPr>
            <w:r>
              <w:rPr>
                <w:rFonts w:eastAsiaTheme="minorEastAsia"/>
                <w:color w:val="000000" w:themeColor="text1"/>
                <w:kern w:val="0"/>
                <w:szCs w:val="21"/>
              </w:rPr>
              <w:t>5.</w:t>
            </w:r>
            <w:r>
              <w:rPr>
                <w:rFonts w:eastAsiaTheme="minorEastAsia"/>
                <w:color w:val="000000" w:themeColor="text1"/>
                <w:kern w:val="0"/>
                <w:szCs w:val="21"/>
              </w:rPr>
              <w:t>期末基金份额净值</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1.0062</w:t>
            </w:r>
          </w:p>
        </w:tc>
        <w:tc>
          <w:tcPr>
            <w:tcW w:w="2481" w:type="dxa"/>
            <w:vAlign w:val="center"/>
          </w:tcPr>
          <w:p w:rsidR="00EF17D8" w:rsidRDefault="005E6346">
            <w:pPr>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1.0019</w:t>
            </w:r>
          </w:p>
        </w:tc>
      </w:tr>
    </w:tbl>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注：本期已实现收益指基金本期利息收入、投资收益、其他收入</w:t>
      </w:r>
      <w:r>
        <w:rPr>
          <w:rFonts w:eastAsiaTheme="minorEastAsia"/>
          <w:color w:val="000000" w:themeColor="text1"/>
          <w:szCs w:val="21"/>
        </w:rPr>
        <w:t>(</w:t>
      </w:r>
      <w:r>
        <w:rPr>
          <w:rFonts w:eastAsiaTheme="minorEastAsia"/>
          <w:color w:val="000000" w:themeColor="text1"/>
          <w:szCs w:val="21"/>
        </w:rPr>
        <w:t>不含公允价值变动收益</w:t>
      </w:r>
      <w:r>
        <w:rPr>
          <w:rFonts w:eastAsiaTheme="minorEastAsia"/>
          <w:color w:val="000000" w:themeColor="text1"/>
          <w:szCs w:val="21"/>
        </w:rPr>
        <w:t>)</w:t>
      </w:r>
      <w:r>
        <w:rPr>
          <w:rFonts w:eastAsiaTheme="minorEastAsia"/>
          <w:color w:val="000000" w:themeColor="text1"/>
          <w:szCs w:val="21"/>
        </w:rPr>
        <w:t>扣除相关费用后的余额，本期利润为本期已实现收益加上本期公允价值变动收益。</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上述基金业绩指标不包括持有人认购或交易基金的各项费用（例如，开放式基金的申购赎回费、红利再投资费、基金转换费等），计入费用后实际收益水平要低于所列数字。</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3.2 </w:t>
      </w:r>
      <w:r>
        <w:rPr>
          <w:rFonts w:eastAsiaTheme="minorEastAsia"/>
          <w:b/>
          <w:color w:val="000000" w:themeColor="text1"/>
          <w:kern w:val="0"/>
          <w:szCs w:val="21"/>
        </w:rPr>
        <w:t>基金净值表现</w:t>
      </w:r>
    </w:p>
    <w:p w:rsidR="00EF17D8" w:rsidRDefault="005E634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3.2.1</w:t>
      </w:r>
      <w:r>
        <w:rPr>
          <w:rFonts w:eastAsiaTheme="minorEastAsia"/>
          <w:b/>
          <w:color w:val="000000" w:themeColor="text1"/>
          <w:kern w:val="0"/>
          <w:szCs w:val="21"/>
        </w:rPr>
        <w:t>本报告期基金份额净值增长率及其与同期业绩比较基准收益率的比较</w:t>
      </w:r>
    </w:p>
    <w:p w:rsidR="00EF17D8" w:rsidRDefault="005E6346">
      <w:pPr>
        <w:spacing w:line="360" w:lineRule="auto"/>
        <w:rPr>
          <w:rFonts w:eastAsiaTheme="minorEastAsia"/>
          <w:b/>
          <w:color w:val="000000" w:themeColor="text1"/>
          <w:szCs w:val="21"/>
        </w:rPr>
      </w:pPr>
      <w:r>
        <w:rPr>
          <w:rFonts w:eastAsiaTheme="minorEastAsia"/>
          <w:b/>
          <w:color w:val="000000" w:themeColor="text1"/>
          <w:szCs w:val="21"/>
        </w:rPr>
        <w:t>1</w:t>
      </w:r>
      <w:r>
        <w:rPr>
          <w:rFonts w:eastAsiaTheme="minorEastAsia"/>
          <w:b/>
          <w:color w:val="000000" w:themeColor="text1"/>
          <w:szCs w:val="21"/>
        </w:rPr>
        <w:t>、</w:t>
      </w:r>
      <w:r>
        <w:rPr>
          <w:rFonts w:eastAsiaTheme="minorEastAsia"/>
          <w:b/>
          <w:color w:val="000000" w:themeColor="text1"/>
          <w:kern w:val="0"/>
          <w:szCs w:val="21"/>
        </w:rPr>
        <w:t>上投摩根安腾回报混合</w:t>
      </w:r>
      <w:r>
        <w:rPr>
          <w:rFonts w:eastAsiaTheme="minorEastAsia"/>
          <w:b/>
          <w:color w:val="000000" w:themeColor="text1"/>
          <w:kern w:val="0"/>
          <w:szCs w:val="21"/>
        </w:rPr>
        <w:t>A</w:t>
      </w:r>
      <w:r>
        <w:rPr>
          <w:rFonts w:eastAsiaTheme="minorEastAsia"/>
          <w:b/>
          <w:color w:val="000000" w:themeColor="text1"/>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EF17D8">
        <w:tc>
          <w:tcPr>
            <w:tcW w:w="1290"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F17D8">
        <w:tc>
          <w:tcPr>
            <w:tcW w:w="1290" w:type="dxa"/>
            <w:vAlign w:val="center"/>
          </w:tcPr>
          <w:p w:rsidR="00EF17D8" w:rsidRDefault="005E6346">
            <w:pPr>
              <w:jc w:val="left"/>
            </w:pPr>
            <w:r>
              <w:rPr>
                <w:rFonts w:eastAsiaTheme="minorEastAsia"/>
                <w:color w:val="000000" w:themeColor="text1"/>
                <w:szCs w:val="21"/>
              </w:rPr>
              <w:t>过去三个月</w:t>
            </w:r>
          </w:p>
        </w:tc>
        <w:tc>
          <w:tcPr>
            <w:tcW w:w="1291" w:type="dxa"/>
            <w:vAlign w:val="center"/>
          </w:tcPr>
          <w:p w:rsidR="00EF17D8" w:rsidRDefault="005E6346">
            <w:pPr>
              <w:jc w:val="right"/>
            </w:pPr>
            <w:r>
              <w:rPr>
                <w:rFonts w:eastAsiaTheme="minorEastAsia"/>
                <w:color w:val="000000" w:themeColor="text1"/>
                <w:szCs w:val="21"/>
              </w:rPr>
              <w:t>0.35%</w:t>
            </w:r>
          </w:p>
        </w:tc>
        <w:tc>
          <w:tcPr>
            <w:tcW w:w="1291" w:type="dxa"/>
            <w:vAlign w:val="center"/>
          </w:tcPr>
          <w:p w:rsidR="00EF17D8" w:rsidRDefault="005E6346">
            <w:pPr>
              <w:jc w:val="right"/>
            </w:pPr>
            <w:r>
              <w:rPr>
                <w:rFonts w:eastAsiaTheme="minorEastAsia"/>
                <w:color w:val="000000" w:themeColor="text1"/>
                <w:szCs w:val="21"/>
              </w:rPr>
              <w:t>0.04%</w:t>
            </w:r>
          </w:p>
        </w:tc>
        <w:tc>
          <w:tcPr>
            <w:tcW w:w="1291" w:type="dxa"/>
            <w:vAlign w:val="center"/>
          </w:tcPr>
          <w:p w:rsidR="00EF17D8" w:rsidRDefault="005E6346">
            <w:pPr>
              <w:jc w:val="right"/>
            </w:pPr>
            <w:r>
              <w:rPr>
                <w:rFonts w:eastAsiaTheme="minorEastAsia"/>
                <w:color w:val="000000" w:themeColor="text1"/>
                <w:szCs w:val="21"/>
              </w:rPr>
              <w:t>-1.60%</w:t>
            </w:r>
          </w:p>
        </w:tc>
        <w:tc>
          <w:tcPr>
            <w:tcW w:w="1291" w:type="dxa"/>
            <w:vAlign w:val="center"/>
          </w:tcPr>
          <w:p w:rsidR="00EF17D8" w:rsidRDefault="005E6346">
            <w:pPr>
              <w:jc w:val="right"/>
            </w:pPr>
            <w:r>
              <w:rPr>
                <w:rFonts w:eastAsiaTheme="minorEastAsia"/>
                <w:color w:val="000000" w:themeColor="text1"/>
                <w:szCs w:val="21"/>
              </w:rPr>
              <w:t>0.34%</w:t>
            </w:r>
          </w:p>
        </w:tc>
        <w:tc>
          <w:tcPr>
            <w:tcW w:w="1291" w:type="dxa"/>
            <w:vAlign w:val="center"/>
          </w:tcPr>
          <w:p w:rsidR="00EF17D8" w:rsidRDefault="005E6346">
            <w:pPr>
              <w:jc w:val="right"/>
            </w:pPr>
            <w:r>
              <w:rPr>
                <w:rFonts w:eastAsiaTheme="minorEastAsia"/>
                <w:color w:val="000000" w:themeColor="text1"/>
                <w:szCs w:val="21"/>
              </w:rPr>
              <w:t>1.95%</w:t>
            </w:r>
          </w:p>
        </w:tc>
        <w:tc>
          <w:tcPr>
            <w:tcW w:w="1291" w:type="dxa"/>
            <w:vAlign w:val="center"/>
          </w:tcPr>
          <w:p w:rsidR="00EF17D8" w:rsidRDefault="005E6346">
            <w:pPr>
              <w:jc w:val="right"/>
            </w:pPr>
            <w:r>
              <w:rPr>
                <w:rFonts w:eastAsiaTheme="minorEastAsia"/>
                <w:color w:val="000000" w:themeColor="text1"/>
                <w:szCs w:val="21"/>
              </w:rPr>
              <w:t>-0.30%</w:t>
            </w:r>
          </w:p>
        </w:tc>
      </w:tr>
    </w:tbl>
    <w:p w:rsidR="00EF17D8" w:rsidRDefault="005E6346" w:rsidP="00A06338">
      <w:pPr>
        <w:adjustRightInd w:val="0"/>
        <w:spacing w:beforeLines="100" w:line="360" w:lineRule="auto"/>
        <w:rPr>
          <w:rFonts w:eastAsiaTheme="minorEastAsia"/>
          <w:b/>
          <w:color w:val="000000" w:themeColor="text1"/>
          <w:kern w:val="0"/>
          <w:szCs w:val="21"/>
        </w:rPr>
      </w:pPr>
      <w:r>
        <w:rPr>
          <w:rFonts w:eastAsiaTheme="minorEastAsia"/>
          <w:b/>
          <w:color w:val="000000" w:themeColor="text1"/>
          <w:szCs w:val="21"/>
        </w:rPr>
        <w:t>2</w:t>
      </w:r>
      <w:r>
        <w:rPr>
          <w:rFonts w:eastAsiaTheme="minorEastAsia"/>
          <w:b/>
          <w:color w:val="000000" w:themeColor="text1"/>
          <w:szCs w:val="21"/>
        </w:rPr>
        <w:t>、</w:t>
      </w:r>
      <w:r>
        <w:rPr>
          <w:rFonts w:eastAsiaTheme="minorEastAsia"/>
          <w:b/>
          <w:color w:val="000000" w:themeColor="text1"/>
          <w:kern w:val="0"/>
          <w:szCs w:val="21"/>
        </w:rPr>
        <w:t>上投摩根安腾回报混合</w:t>
      </w:r>
      <w:r>
        <w:rPr>
          <w:rFonts w:eastAsiaTheme="minorEastAsia"/>
          <w:b/>
          <w:color w:val="000000" w:themeColor="text1"/>
          <w:kern w:val="0"/>
          <w:szCs w:val="21"/>
        </w:rPr>
        <w:t>C</w:t>
      </w:r>
      <w:r>
        <w:rPr>
          <w:rFonts w:eastAsiaTheme="minorEastAsia"/>
          <w:b/>
          <w:color w:val="000000" w:themeColor="text1"/>
          <w:kern w:val="0"/>
          <w:szCs w:val="21"/>
        </w:rPr>
        <w:t>：</w:t>
      </w:r>
    </w:p>
    <w:tbl>
      <w:tblPr>
        <w:tblStyle w:val="af6"/>
        <w:tblW w:w="9036" w:type="dxa"/>
        <w:tblInd w:w="108" w:type="dxa"/>
        <w:tblLayout w:type="fixed"/>
        <w:tblLook w:val="04A0"/>
      </w:tblPr>
      <w:tblGrid>
        <w:gridCol w:w="1290"/>
        <w:gridCol w:w="1291"/>
        <w:gridCol w:w="1291"/>
        <w:gridCol w:w="1291"/>
        <w:gridCol w:w="1291"/>
        <w:gridCol w:w="1291"/>
        <w:gridCol w:w="1291"/>
      </w:tblGrid>
      <w:tr w:rsidR="00EF17D8">
        <w:tc>
          <w:tcPr>
            <w:tcW w:w="1290"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阶段</w:t>
            </w:r>
          </w:p>
        </w:tc>
        <w:tc>
          <w:tcPr>
            <w:tcW w:w="1291" w:type="dxa"/>
            <w:vAlign w:val="center"/>
          </w:tcPr>
          <w:p w:rsidR="00EF17D8" w:rsidRDefault="005E6346">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w:t>
            </w:r>
            <w:r>
              <w:rPr>
                <w:rFonts w:ascii="宋体" w:hAnsi="宋体" w:cs="宋体" w:hint="eastAsia"/>
                <w:color w:val="000000" w:themeColor="text1"/>
                <w:szCs w:val="21"/>
              </w:rPr>
              <w:t>①</w:t>
            </w:r>
          </w:p>
        </w:tc>
        <w:tc>
          <w:tcPr>
            <w:tcW w:w="1291" w:type="dxa"/>
            <w:vAlign w:val="center"/>
          </w:tcPr>
          <w:p w:rsidR="00EF17D8" w:rsidRDefault="005E6346">
            <w:pPr>
              <w:snapToGrid w:val="0"/>
              <w:spacing w:line="288" w:lineRule="auto"/>
              <w:jc w:val="center"/>
              <w:rPr>
                <w:rFonts w:eastAsiaTheme="minorEastAsia"/>
                <w:color w:val="000000" w:themeColor="text1"/>
                <w:szCs w:val="21"/>
                <w:highlight w:val="green"/>
              </w:rPr>
            </w:pPr>
            <w:r>
              <w:rPr>
                <w:rFonts w:eastAsiaTheme="minorEastAsia"/>
                <w:color w:val="000000" w:themeColor="text1"/>
                <w:szCs w:val="21"/>
              </w:rPr>
              <w:t>净值增长率标准差</w:t>
            </w:r>
            <w:r>
              <w:rPr>
                <w:rFonts w:ascii="宋体" w:hAnsi="宋体" w:cs="宋体" w:hint="eastAsia"/>
                <w:color w:val="000000" w:themeColor="text1"/>
                <w:szCs w:val="21"/>
              </w:rPr>
              <w:t>②</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w:t>
            </w:r>
            <w:r>
              <w:rPr>
                <w:rFonts w:ascii="宋体" w:hAnsi="宋体" w:cs="宋体" w:hint="eastAsia"/>
                <w:color w:val="000000" w:themeColor="text1"/>
                <w:szCs w:val="21"/>
              </w:rPr>
              <w:t>③</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eastAsiaTheme="minorEastAsia"/>
                <w:color w:val="000000" w:themeColor="text1"/>
                <w:szCs w:val="21"/>
              </w:rPr>
              <w:t>业绩比较基准收益率标准差</w:t>
            </w:r>
            <w:r>
              <w:rPr>
                <w:rFonts w:ascii="宋体" w:hAnsi="宋体" w:cs="宋体" w:hint="eastAsia"/>
                <w:color w:val="000000" w:themeColor="text1"/>
                <w:szCs w:val="21"/>
              </w:rPr>
              <w:t>④</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①</w:t>
            </w:r>
            <w:r>
              <w:rPr>
                <w:rFonts w:eastAsiaTheme="minorEastAsia"/>
                <w:color w:val="000000" w:themeColor="text1"/>
                <w:szCs w:val="21"/>
              </w:rPr>
              <w:t>－</w:t>
            </w:r>
            <w:r>
              <w:rPr>
                <w:rFonts w:ascii="宋体" w:hAnsi="宋体" w:cs="宋体" w:hint="eastAsia"/>
                <w:color w:val="000000" w:themeColor="text1"/>
                <w:szCs w:val="21"/>
              </w:rPr>
              <w:t>③</w:t>
            </w:r>
          </w:p>
        </w:tc>
        <w:tc>
          <w:tcPr>
            <w:tcW w:w="1291" w:type="dxa"/>
            <w:vAlign w:val="center"/>
          </w:tcPr>
          <w:p w:rsidR="00EF17D8" w:rsidRDefault="005E6346">
            <w:pPr>
              <w:snapToGrid w:val="0"/>
              <w:spacing w:line="288" w:lineRule="auto"/>
              <w:jc w:val="center"/>
              <w:rPr>
                <w:rFonts w:eastAsiaTheme="minorEastAsia"/>
                <w:color w:val="000000" w:themeColor="text1"/>
                <w:szCs w:val="21"/>
              </w:rPr>
            </w:pPr>
            <w:r>
              <w:rPr>
                <w:rFonts w:ascii="宋体" w:hAnsi="宋体" w:cs="宋体" w:hint="eastAsia"/>
                <w:color w:val="000000" w:themeColor="text1"/>
                <w:szCs w:val="21"/>
              </w:rPr>
              <w:t>②</w:t>
            </w:r>
            <w:r>
              <w:rPr>
                <w:rFonts w:eastAsiaTheme="minorEastAsia"/>
                <w:color w:val="000000" w:themeColor="text1"/>
                <w:szCs w:val="21"/>
              </w:rPr>
              <w:t>－</w:t>
            </w:r>
            <w:r>
              <w:rPr>
                <w:rFonts w:ascii="宋体" w:hAnsi="宋体" w:cs="宋体" w:hint="eastAsia"/>
                <w:color w:val="000000" w:themeColor="text1"/>
                <w:szCs w:val="21"/>
              </w:rPr>
              <w:t>④</w:t>
            </w:r>
          </w:p>
        </w:tc>
      </w:tr>
      <w:tr w:rsidR="00EF17D8">
        <w:tc>
          <w:tcPr>
            <w:tcW w:w="1290" w:type="dxa"/>
            <w:vAlign w:val="center"/>
          </w:tcPr>
          <w:p w:rsidR="00EF17D8" w:rsidRDefault="005E6346">
            <w:pPr>
              <w:jc w:val="left"/>
            </w:pPr>
            <w:r>
              <w:rPr>
                <w:rFonts w:eastAsiaTheme="minorEastAsia"/>
                <w:color w:val="000000" w:themeColor="text1"/>
                <w:szCs w:val="21"/>
              </w:rPr>
              <w:t>过去三个月</w:t>
            </w:r>
          </w:p>
        </w:tc>
        <w:tc>
          <w:tcPr>
            <w:tcW w:w="1291" w:type="dxa"/>
            <w:vAlign w:val="center"/>
          </w:tcPr>
          <w:p w:rsidR="00EF17D8" w:rsidRDefault="005E6346">
            <w:pPr>
              <w:jc w:val="right"/>
            </w:pPr>
            <w:r>
              <w:rPr>
                <w:rFonts w:eastAsiaTheme="minorEastAsia"/>
                <w:color w:val="000000" w:themeColor="text1"/>
                <w:szCs w:val="21"/>
              </w:rPr>
              <w:t>-0.05%</w:t>
            </w:r>
          </w:p>
        </w:tc>
        <w:tc>
          <w:tcPr>
            <w:tcW w:w="1291" w:type="dxa"/>
            <w:vAlign w:val="center"/>
          </w:tcPr>
          <w:p w:rsidR="00EF17D8" w:rsidRDefault="005E6346">
            <w:pPr>
              <w:jc w:val="right"/>
            </w:pPr>
            <w:r>
              <w:rPr>
                <w:rFonts w:eastAsiaTheme="minorEastAsia"/>
                <w:color w:val="000000" w:themeColor="text1"/>
                <w:szCs w:val="21"/>
              </w:rPr>
              <w:t>0.03%</w:t>
            </w:r>
          </w:p>
        </w:tc>
        <w:tc>
          <w:tcPr>
            <w:tcW w:w="1291" w:type="dxa"/>
            <w:vAlign w:val="center"/>
          </w:tcPr>
          <w:p w:rsidR="00EF17D8" w:rsidRDefault="005E6346">
            <w:pPr>
              <w:jc w:val="right"/>
            </w:pPr>
            <w:r>
              <w:rPr>
                <w:rFonts w:eastAsiaTheme="minorEastAsia"/>
                <w:color w:val="000000" w:themeColor="text1"/>
                <w:szCs w:val="21"/>
              </w:rPr>
              <w:t>-1.60%</w:t>
            </w:r>
          </w:p>
        </w:tc>
        <w:tc>
          <w:tcPr>
            <w:tcW w:w="1291" w:type="dxa"/>
            <w:vAlign w:val="center"/>
          </w:tcPr>
          <w:p w:rsidR="00EF17D8" w:rsidRDefault="005E6346">
            <w:pPr>
              <w:jc w:val="right"/>
            </w:pPr>
            <w:r>
              <w:rPr>
                <w:rFonts w:eastAsiaTheme="minorEastAsia"/>
                <w:color w:val="000000" w:themeColor="text1"/>
                <w:szCs w:val="21"/>
              </w:rPr>
              <w:t>0.34%</w:t>
            </w:r>
          </w:p>
        </w:tc>
        <w:tc>
          <w:tcPr>
            <w:tcW w:w="1291" w:type="dxa"/>
            <w:vAlign w:val="center"/>
          </w:tcPr>
          <w:p w:rsidR="00EF17D8" w:rsidRDefault="005E6346">
            <w:pPr>
              <w:jc w:val="right"/>
            </w:pPr>
            <w:r>
              <w:rPr>
                <w:rFonts w:eastAsiaTheme="minorEastAsia"/>
                <w:color w:val="000000" w:themeColor="text1"/>
                <w:szCs w:val="21"/>
              </w:rPr>
              <w:t>1.55%</w:t>
            </w:r>
          </w:p>
        </w:tc>
        <w:tc>
          <w:tcPr>
            <w:tcW w:w="1291" w:type="dxa"/>
            <w:vAlign w:val="center"/>
          </w:tcPr>
          <w:p w:rsidR="00EF17D8" w:rsidRDefault="005E6346">
            <w:pPr>
              <w:jc w:val="right"/>
            </w:pPr>
            <w:r>
              <w:rPr>
                <w:rFonts w:eastAsiaTheme="minorEastAsia"/>
                <w:color w:val="000000" w:themeColor="text1"/>
                <w:szCs w:val="21"/>
              </w:rPr>
              <w:t>-0.31%</w:t>
            </w:r>
          </w:p>
        </w:tc>
      </w:tr>
    </w:tbl>
    <w:p w:rsidR="00EF17D8" w:rsidRDefault="005E6346" w:rsidP="00A06338">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3.2.2</w:t>
      </w:r>
      <w:r>
        <w:rPr>
          <w:rFonts w:eastAsiaTheme="minorEastAsia"/>
          <w:b/>
          <w:color w:val="000000" w:themeColor="text1"/>
          <w:kern w:val="0"/>
          <w:szCs w:val="21"/>
        </w:rPr>
        <w:t xml:space="preserve">　</w:t>
      </w:r>
      <w:r>
        <w:rPr>
          <w:rStyle w:val="af1"/>
          <w:color w:val="000000" w:themeColor="text1"/>
          <w:szCs w:val="21"/>
          <w:shd w:val="clear" w:color="auto" w:fill="FFFFFF"/>
        </w:rPr>
        <w:t>自基金合同生效以来</w:t>
      </w:r>
      <w:r>
        <w:rPr>
          <w:rFonts w:eastAsiaTheme="minorEastAsia"/>
          <w:b/>
          <w:color w:val="000000" w:themeColor="text1"/>
          <w:szCs w:val="21"/>
        </w:rPr>
        <w:t>基金累计净值增长率变动及其与同期业绩比较基准收益率变动的比较</w:t>
      </w:r>
    </w:p>
    <w:p w:rsidR="00EF17D8" w:rsidRDefault="005E6346">
      <w:pPr>
        <w:spacing w:line="360" w:lineRule="auto"/>
        <w:jc w:val="center"/>
        <w:rPr>
          <w:rFonts w:eastAsiaTheme="minorEastAsia"/>
          <w:color w:val="000000" w:themeColor="text1"/>
          <w:szCs w:val="21"/>
        </w:rPr>
      </w:pPr>
      <w:r>
        <w:rPr>
          <w:rFonts w:eastAsiaTheme="minorEastAsia"/>
          <w:color w:val="000000" w:themeColor="text1"/>
          <w:szCs w:val="21"/>
        </w:rPr>
        <w:t>上投摩根安腾回报混合型证券投资基金</w:t>
      </w:r>
    </w:p>
    <w:p w:rsidR="00EF17D8" w:rsidRDefault="005E6346">
      <w:pPr>
        <w:pStyle w:val="a9"/>
        <w:snapToGrid w:val="0"/>
        <w:spacing w:line="360" w:lineRule="auto"/>
        <w:jc w:val="center"/>
        <w:rPr>
          <w:rFonts w:ascii="Times New Roman" w:eastAsiaTheme="minorEastAsia" w:hAnsi="Times New Roman"/>
          <w:color w:val="000000" w:themeColor="text1"/>
        </w:rPr>
      </w:pPr>
      <w:r>
        <w:rPr>
          <w:rFonts w:ascii="Times New Roman" w:eastAsiaTheme="minorEastAsia" w:hAnsi="Times New Roman"/>
          <w:color w:val="000000" w:themeColor="text1"/>
        </w:rPr>
        <w:t>累计净值增长率与业绩比较基准收益率的历史走势对比图</w:t>
      </w:r>
    </w:p>
    <w:p w:rsidR="00EF17D8" w:rsidRDefault="005E6346">
      <w:pPr>
        <w:pStyle w:val="a9"/>
        <w:snapToGrid w:val="0"/>
        <w:spacing w:line="360" w:lineRule="auto"/>
        <w:ind w:firstLine="480"/>
        <w:jc w:val="center"/>
        <w:rPr>
          <w:rFonts w:ascii="Times New Roman" w:eastAsiaTheme="minorEastAsia" w:hAnsi="Times New Roman"/>
          <w:color w:val="000000" w:themeColor="text1"/>
        </w:rPr>
      </w:pP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2</w:t>
      </w:r>
      <w:r>
        <w:rPr>
          <w:rFonts w:ascii="Times New Roman" w:eastAsiaTheme="minorEastAsia" w:hAnsi="Times New Roman"/>
          <w:color w:val="000000" w:themeColor="text1"/>
        </w:rPr>
        <w:t>月</w:t>
      </w:r>
      <w:r>
        <w:rPr>
          <w:rFonts w:ascii="Times New Roman" w:eastAsiaTheme="minorEastAsia" w:hAnsi="Times New Roman"/>
          <w:color w:val="000000" w:themeColor="text1"/>
        </w:rPr>
        <w:t>27</w:t>
      </w:r>
      <w:r>
        <w:rPr>
          <w:rFonts w:ascii="Times New Roman" w:eastAsiaTheme="minorEastAsia" w:hAnsi="Times New Roman"/>
          <w:color w:val="000000" w:themeColor="text1"/>
        </w:rPr>
        <w:t>日至</w:t>
      </w:r>
      <w:r>
        <w:rPr>
          <w:rFonts w:ascii="Times New Roman" w:eastAsiaTheme="minorEastAsia" w:hAnsi="Times New Roman"/>
          <w:color w:val="000000" w:themeColor="text1"/>
        </w:rPr>
        <w:t>2018</w:t>
      </w:r>
      <w:r>
        <w:rPr>
          <w:rFonts w:ascii="Times New Roman" w:eastAsiaTheme="minorEastAsia" w:hAnsi="Times New Roman"/>
          <w:color w:val="000000" w:themeColor="text1"/>
        </w:rPr>
        <w:t>年</w:t>
      </w:r>
      <w:r>
        <w:rPr>
          <w:rFonts w:ascii="Times New Roman" w:eastAsiaTheme="minorEastAsia" w:hAnsi="Times New Roman"/>
          <w:color w:val="000000" w:themeColor="text1"/>
        </w:rPr>
        <w:t>6</w:t>
      </w:r>
      <w:r>
        <w:rPr>
          <w:rFonts w:ascii="Times New Roman" w:eastAsiaTheme="minorEastAsia" w:hAnsi="Times New Roman"/>
          <w:color w:val="000000" w:themeColor="text1"/>
        </w:rPr>
        <w:t>月</w:t>
      </w:r>
      <w:r>
        <w:rPr>
          <w:rFonts w:ascii="Times New Roman" w:eastAsiaTheme="minorEastAsia" w:hAnsi="Times New Roman"/>
          <w:color w:val="000000" w:themeColor="text1"/>
        </w:rPr>
        <w:t>30</w:t>
      </w:r>
      <w:r>
        <w:rPr>
          <w:rFonts w:ascii="Times New Roman" w:eastAsiaTheme="minorEastAsia" w:hAnsi="Times New Roman"/>
          <w:color w:val="000000" w:themeColor="text1"/>
        </w:rPr>
        <w:t>日</w:t>
      </w:r>
      <w:r>
        <w:rPr>
          <w:rFonts w:ascii="Times New Roman" w:eastAsiaTheme="minorEastAsia" w:hAnsi="Times New Roman"/>
          <w:color w:val="000000" w:themeColor="text1"/>
        </w:rPr>
        <w:t>)</w:t>
      </w:r>
    </w:p>
    <w:p w:rsidR="00EF17D8" w:rsidRDefault="005E6346">
      <w:pPr>
        <w:snapToGrid w:val="0"/>
        <w:spacing w:line="360" w:lineRule="auto"/>
        <w:rPr>
          <w:rFonts w:eastAsiaTheme="minorEastAsia"/>
          <w:color w:val="000000" w:themeColor="text1"/>
          <w:szCs w:val="21"/>
        </w:rPr>
      </w:pPr>
      <w:r>
        <w:rPr>
          <w:rFonts w:eastAsiaTheme="minorEastAsia"/>
          <w:color w:val="000000" w:themeColor="text1"/>
          <w:szCs w:val="21"/>
        </w:rPr>
        <w:t>1</w:t>
      </w:r>
      <w:r>
        <w:rPr>
          <w:rFonts w:eastAsiaTheme="minorEastAsia"/>
          <w:color w:val="000000" w:themeColor="text1"/>
          <w:szCs w:val="21"/>
        </w:rPr>
        <w:t>．上投摩根安腾回报混合</w:t>
      </w:r>
      <w:r>
        <w:rPr>
          <w:rFonts w:eastAsiaTheme="minorEastAsia"/>
          <w:color w:val="000000" w:themeColor="text1"/>
          <w:szCs w:val="21"/>
        </w:rPr>
        <w:t>A</w:t>
      </w:r>
      <w:r>
        <w:rPr>
          <w:rFonts w:eastAsiaTheme="minorEastAsia"/>
          <w:color w:val="000000" w:themeColor="text1"/>
          <w:szCs w:val="21"/>
        </w:rPr>
        <w:t>：</w:t>
      </w:r>
    </w:p>
    <w:p w:rsidR="00EF17D8" w:rsidRDefault="005E6346">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2" name="图片 2" descr="D:\浏览器下载\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D:\浏览器下载\走势图柱状图\走势图1.jpg"/>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日，截至报告期末本基金合同生效未满一年。</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日，本基金报告期内仍处于建仓期。</w:t>
      </w:r>
    </w:p>
    <w:p w:rsidR="00EF17D8" w:rsidRDefault="005E6346" w:rsidP="00A06338">
      <w:pPr>
        <w:snapToGrid w:val="0"/>
        <w:spacing w:beforeLines="100" w:line="360" w:lineRule="auto"/>
        <w:rPr>
          <w:rFonts w:eastAsiaTheme="minorEastAsia"/>
          <w:color w:val="000000" w:themeColor="text1"/>
          <w:szCs w:val="21"/>
        </w:rPr>
      </w:pPr>
      <w:r>
        <w:rPr>
          <w:rFonts w:eastAsiaTheme="minorEastAsia"/>
          <w:color w:val="000000" w:themeColor="text1"/>
          <w:szCs w:val="21"/>
        </w:rPr>
        <w:t>2</w:t>
      </w:r>
      <w:r>
        <w:rPr>
          <w:rFonts w:eastAsiaTheme="minorEastAsia"/>
          <w:color w:val="000000" w:themeColor="text1"/>
          <w:szCs w:val="21"/>
        </w:rPr>
        <w:t>．上投摩根安腾回报混合</w:t>
      </w:r>
      <w:r>
        <w:rPr>
          <w:rFonts w:eastAsiaTheme="minorEastAsia"/>
          <w:color w:val="000000" w:themeColor="text1"/>
          <w:szCs w:val="21"/>
        </w:rPr>
        <w:t>C</w:t>
      </w:r>
      <w:r>
        <w:rPr>
          <w:rFonts w:eastAsiaTheme="minorEastAsia"/>
          <w:color w:val="000000" w:themeColor="text1"/>
          <w:szCs w:val="21"/>
        </w:rPr>
        <w:t>：</w:t>
      </w:r>
    </w:p>
    <w:p w:rsidR="00EF17D8" w:rsidRDefault="005E6346">
      <w:pPr>
        <w:pStyle w:val="20"/>
        <w:spacing w:line="288" w:lineRule="auto"/>
        <w:ind w:firstLineChars="0" w:firstLine="0"/>
        <w:jc w:val="center"/>
        <w:rPr>
          <w:rFonts w:ascii="Times New Roman" w:eastAsiaTheme="minorEastAsia" w:hAnsi="Times New Roman"/>
          <w:color w:val="000000" w:themeColor="text1"/>
          <w:sz w:val="21"/>
          <w:szCs w:val="21"/>
        </w:rPr>
      </w:pPr>
      <w:r>
        <w:rPr>
          <w:rFonts w:ascii="Times New Roman" w:eastAsiaTheme="minorEastAsia" w:hAnsi="Times New Roman"/>
          <w:noProof/>
          <w:color w:val="000000" w:themeColor="text1"/>
          <w:sz w:val="21"/>
          <w:szCs w:val="21"/>
        </w:rPr>
        <w:drawing>
          <wp:inline distT="0" distB="0" distL="0" distR="0">
            <wp:extent cx="5591175" cy="3276600"/>
            <wp:effectExtent l="0" t="0" r="0" b="0"/>
            <wp:docPr id="3" name="图片 3" descr="D:\浏览器下载\走势图柱状图\走势图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D:\浏览器下载\走势图柱状图\走势图2.jpg"/>
                    <pic:cNvPicPr>
                      <a:picLocks noChangeAspect="1" noChangeArrowheads="1"/>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a:xfrm>
                      <a:off x="0" y="0"/>
                      <a:ext cx="5591175" cy="3276600"/>
                    </a:xfrm>
                    <a:prstGeom prst="rect">
                      <a:avLst/>
                    </a:prstGeom>
                    <a:noFill/>
                    <a:ln>
                      <a:noFill/>
                    </a:ln>
                  </pic:spPr>
                </pic:pic>
              </a:graphicData>
            </a:graphic>
          </wp:inline>
        </w:drawing>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注：本基金合同生效日为</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日，截至报告期末本基金合同生效未满一年。</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本基金建仓期自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w:t>
      </w:r>
      <w:r>
        <w:rPr>
          <w:rFonts w:eastAsiaTheme="minorEastAsia"/>
          <w:color w:val="000000" w:themeColor="text1"/>
          <w:szCs w:val="21"/>
        </w:rPr>
        <w:t>27</w:t>
      </w:r>
      <w:r>
        <w:rPr>
          <w:rFonts w:eastAsiaTheme="minorEastAsia"/>
          <w:color w:val="000000" w:themeColor="text1"/>
          <w:szCs w:val="21"/>
        </w:rPr>
        <w:t>日至</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w:t>
      </w:r>
      <w:r>
        <w:rPr>
          <w:rFonts w:eastAsiaTheme="minorEastAsia"/>
          <w:color w:val="000000" w:themeColor="text1"/>
          <w:szCs w:val="21"/>
        </w:rPr>
        <w:t>24</w:t>
      </w:r>
      <w:r>
        <w:rPr>
          <w:rFonts w:eastAsiaTheme="minorEastAsia"/>
          <w:color w:val="000000" w:themeColor="text1"/>
          <w:szCs w:val="21"/>
        </w:rPr>
        <w:t>日，本基金报告期内仍处于建仓期。</w:t>
      </w:r>
    </w:p>
    <w:p w:rsidR="00EF17D8" w:rsidRDefault="00EF17D8">
      <w:pPr>
        <w:spacing w:line="360" w:lineRule="auto"/>
        <w:ind w:firstLineChars="200" w:firstLine="420"/>
        <w:rPr>
          <w:rFonts w:eastAsiaTheme="minorEastAsia"/>
          <w:color w:val="000000" w:themeColor="text1"/>
          <w:szCs w:val="21"/>
        </w:rPr>
      </w:pPr>
    </w:p>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§4  </w:t>
      </w:r>
      <w:r>
        <w:rPr>
          <w:rFonts w:eastAsiaTheme="minorEastAsia"/>
          <w:color w:val="000000" w:themeColor="text1"/>
          <w:kern w:val="0"/>
          <w:sz w:val="21"/>
          <w:szCs w:val="21"/>
        </w:rPr>
        <w:t>管理人报告</w:t>
      </w:r>
    </w:p>
    <w:p w:rsidR="00EF17D8" w:rsidRDefault="005E634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4.1 </w:t>
      </w:r>
      <w:r>
        <w:rPr>
          <w:rFonts w:eastAsiaTheme="minorEastAsia"/>
          <w:b/>
          <w:color w:val="000000" w:themeColor="text1"/>
          <w:kern w:val="0"/>
          <w:szCs w:val="21"/>
        </w:rPr>
        <w:t>基金经理（或基金经理小组）简介</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52"/>
        <w:gridCol w:w="930"/>
        <w:gridCol w:w="1210"/>
        <w:gridCol w:w="1309"/>
        <w:gridCol w:w="1254"/>
        <w:gridCol w:w="3276"/>
      </w:tblGrid>
      <w:tr w:rsidR="00EF17D8">
        <w:tc>
          <w:tcPr>
            <w:tcW w:w="952" w:type="dxa"/>
            <w:vMerge w:val="restart"/>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姓名</w:t>
            </w:r>
          </w:p>
        </w:tc>
        <w:tc>
          <w:tcPr>
            <w:tcW w:w="930" w:type="dxa"/>
            <w:vMerge w:val="restart"/>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职务</w:t>
            </w:r>
          </w:p>
        </w:tc>
        <w:tc>
          <w:tcPr>
            <w:tcW w:w="2519" w:type="dxa"/>
            <w:gridSpan w:val="2"/>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任本基金的基金经理期限</w:t>
            </w:r>
          </w:p>
        </w:tc>
        <w:tc>
          <w:tcPr>
            <w:tcW w:w="1254" w:type="dxa"/>
            <w:vMerge w:val="restart"/>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证券从业年限</w:t>
            </w:r>
          </w:p>
        </w:tc>
        <w:tc>
          <w:tcPr>
            <w:tcW w:w="3276" w:type="dxa"/>
            <w:vMerge w:val="restart"/>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说明</w:t>
            </w:r>
          </w:p>
        </w:tc>
      </w:tr>
      <w:tr w:rsidR="00EF17D8">
        <w:tc>
          <w:tcPr>
            <w:tcW w:w="952" w:type="dxa"/>
            <w:vMerge/>
            <w:vAlign w:val="center"/>
          </w:tcPr>
          <w:p w:rsidR="00EF17D8" w:rsidRDefault="00EF17D8">
            <w:pPr>
              <w:autoSpaceDE w:val="0"/>
              <w:autoSpaceDN w:val="0"/>
              <w:adjustRightInd w:val="0"/>
              <w:spacing w:before="29" w:line="288" w:lineRule="auto"/>
              <w:ind w:left="15"/>
              <w:jc w:val="center"/>
              <w:rPr>
                <w:rFonts w:eastAsiaTheme="minorEastAsia"/>
                <w:color w:val="000000" w:themeColor="text1"/>
                <w:kern w:val="0"/>
                <w:szCs w:val="21"/>
              </w:rPr>
            </w:pPr>
          </w:p>
        </w:tc>
        <w:tc>
          <w:tcPr>
            <w:tcW w:w="930" w:type="dxa"/>
            <w:vMerge/>
          </w:tcPr>
          <w:p w:rsidR="00EF17D8" w:rsidRDefault="00EF17D8">
            <w:pPr>
              <w:autoSpaceDE w:val="0"/>
              <w:autoSpaceDN w:val="0"/>
              <w:adjustRightInd w:val="0"/>
              <w:spacing w:before="29" w:line="288" w:lineRule="auto"/>
              <w:ind w:left="15"/>
              <w:jc w:val="center"/>
              <w:rPr>
                <w:rFonts w:eastAsiaTheme="minorEastAsia"/>
                <w:color w:val="000000" w:themeColor="text1"/>
                <w:kern w:val="0"/>
                <w:szCs w:val="21"/>
              </w:rPr>
            </w:pPr>
          </w:p>
        </w:tc>
        <w:tc>
          <w:tcPr>
            <w:tcW w:w="1210" w:type="dxa"/>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任职日期</w:t>
            </w:r>
          </w:p>
        </w:tc>
        <w:tc>
          <w:tcPr>
            <w:tcW w:w="1309" w:type="dxa"/>
            <w:vAlign w:val="center"/>
          </w:tcPr>
          <w:p w:rsidR="00EF17D8" w:rsidRDefault="005E6346">
            <w:pPr>
              <w:autoSpaceDE w:val="0"/>
              <w:autoSpaceDN w:val="0"/>
              <w:adjustRightInd w:val="0"/>
              <w:spacing w:before="29" w:line="288" w:lineRule="auto"/>
              <w:ind w:left="15"/>
              <w:jc w:val="center"/>
              <w:rPr>
                <w:rFonts w:eastAsiaTheme="minorEastAsia"/>
                <w:color w:val="000000" w:themeColor="text1"/>
                <w:kern w:val="0"/>
                <w:szCs w:val="21"/>
              </w:rPr>
            </w:pPr>
            <w:r>
              <w:rPr>
                <w:rFonts w:eastAsiaTheme="minorEastAsia"/>
                <w:color w:val="000000" w:themeColor="text1"/>
                <w:kern w:val="0"/>
                <w:szCs w:val="21"/>
              </w:rPr>
              <w:t>离任日期</w:t>
            </w:r>
          </w:p>
        </w:tc>
        <w:tc>
          <w:tcPr>
            <w:tcW w:w="1254" w:type="dxa"/>
            <w:vMerge/>
            <w:vAlign w:val="center"/>
          </w:tcPr>
          <w:p w:rsidR="00EF17D8" w:rsidRDefault="00EF17D8">
            <w:pPr>
              <w:autoSpaceDE w:val="0"/>
              <w:autoSpaceDN w:val="0"/>
              <w:adjustRightInd w:val="0"/>
              <w:spacing w:before="29" w:line="288" w:lineRule="auto"/>
              <w:ind w:left="15"/>
              <w:jc w:val="center"/>
              <w:rPr>
                <w:rFonts w:eastAsiaTheme="minorEastAsia"/>
                <w:color w:val="000000" w:themeColor="text1"/>
                <w:kern w:val="0"/>
                <w:szCs w:val="21"/>
              </w:rPr>
            </w:pPr>
          </w:p>
        </w:tc>
        <w:tc>
          <w:tcPr>
            <w:tcW w:w="3276" w:type="dxa"/>
            <w:vMerge/>
            <w:vAlign w:val="center"/>
          </w:tcPr>
          <w:p w:rsidR="00EF17D8" w:rsidRDefault="00EF17D8">
            <w:pPr>
              <w:autoSpaceDE w:val="0"/>
              <w:autoSpaceDN w:val="0"/>
              <w:adjustRightInd w:val="0"/>
              <w:spacing w:before="29" w:line="288" w:lineRule="auto"/>
              <w:ind w:left="15"/>
              <w:jc w:val="center"/>
              <w:rPr>
                <w:rFonts w:eastAsiaTheme="minorEastAsia"/>
                <w:color w:val="000000" w:themeColor="text1"/>
                <w:kern w:val="0"/>
                <w:szCs w:val="21"/>
              </w:rPr>
            </w:pPr>
          </w:p>
        </w:tc>
      </w:tr>
      <w:tr w:rsidR="00EF17D8">
        <w:tc>
          <w:tcPr>
            <w:tcW w:w="952" w:type="dxa"/>
            <w:vAlign w:val="center"/>
          </w:tcPr>
          <w:p w:rsidR="00EF17D8" w:rsidRDefault="005E6346">
            <w:pPr>
              <w:jc w:val="center"/>
            </w:pPr>
            <w:r>
              <w:rPr>
                <w:rFonts w:eastAsiaTheme="minorEastAsia"/>
                <w:color w:val="000000" w:themeColor="text1"/>
                <w:szCs w:val="21"/>
              </w:rPr>
              <w:t>唐瑭</w:t>
            </w:r>
          </w:p>
        </w:tc>
        <w:tc>
          <w:tcPr>
            <w:tcW w:w="930" w:type="dxa"/>
            <w:vAlign w:val="center"/>
          </w:tcPr>
          <w:p w:rsidR="00EF17D8" w:rsidRDefault="005E6346">
            <w:pPr>
              <w:jc w:val="center"/>
            </w:pPr>
            <w:r>
              <w:rPr>
                <w:rFonts w:eastAsiaTheme="minorEastAsia"/>
                <w:color w:val="000000" w:themeColor="text1"/>
                <w:szCs w:val="21"/>
              </w:rPr>
              <w:t>本基金基金经理</w:t>
            </w:r>
          </w:p>
        </w:tc>
        <w:tc>
          <w:tcPr>
            <w:tcW w:w="1210" w:type="dxa"/>
            <w:vAlign w:val="center"/>
          </w:tcPr>
          <w:p w:rsidR="00EF17D8" w:rsidRDefault="005E6346">
            <w:pPr>
              <w:jc w:val="center"/>
            </w:pPr>
            <w:r>
              <w:rPr>
                <w:rFonts w:eastAsiaTheme="minorEastAsia"/>
                <w:color w:val="000000" w:themeColor="text1"/>
                <w:szCs w:val="21"/>
              </w:rPr>
              <w:t>2018-02-27</w:t>
            </w:r>
          </w:p>
        </w:tc>
        <w:tc>
          <w:tcPr>
            <w:tcW w:w="1309" w:type="dxa"/>
            <w:vAlign w:val="center"/>
          </w:tcPr>
          <w:p w:rsidR="00EF17D8" w:rsidRDefault="005E6346">
            <w:pPr>
              <w:jc w:val="center"/>
            </w:pPr>
            <w:r>
              <w:rPr>
                <w:rFonts w:eastAsiaTheme="minorEastAsia"/>
                <w:color w:val="000000" w:themeColor="text1"/>
                <w:szCs w:val="21"/>
              </w:rPr>
              <w:t>-</w:t>
            </w:r>
          </w:p>
        </w:tc>
        <w:tc>
          <w:tcPr>
            <w:tcW w:w="1254" w:type="dxa"/>
            <w:vAlign w:val="center"/>
          </w:tcPr>
          <w:p w:rsidR="00EF17D8" w:rsidRDefault="005E6346">
            <w:pPr>
              <w:jc w:val="center"/>
            </w:pPr>
            <w:r>
              <w:rPr>
                <w:rFonts w:eastAsiaTheme="minorEastAsia"/>
                <w:color w:val="000000" w:themeColor="text1"/>
                <w:szCs w:val="21"/>
              </w:rPr>
              <w:t>10</w:t>
            </w:r>
            <w:r>
              <w:rPr>
                <w:rFonts w:eastAsiaTheme="minorEastAsia"/>
                <w:color w:val="000000" w:themeColor="text1"/>
                <w:szCs w:val="21"/>
              </w:rPr>
              <w:t>年</w:t>
            </w:r>
          </w:p>
        </w:tc>
        <w:tc>
          <w:tcPr>
            <w:tcW w:w="3276" w:type="dxa"/>
            <w:vAlign w:val="center"/>
          </w:tcPr>
          <w:p w:rsidR="00EF17D8" w:rsidRDefault="005E6346">
            <w:r>
              <w:rPr>
                <w:rFonts w:eastAsiaTheme="minorEastAsia"/>
                <w:color w:val="000000" w:themeColor="text1"/>
                <w:szCs w:val="21"/>
              </w:rPr>
              <w:t>唐瑭女士，英国爱丁堡大学硕士，</w:t>
            </w:r>
            <w:r>
              <w:rPr>
                <w:rFonts w:eastAsiaTheme="minorEastAsia"/>
                <w:color w:val="000000" w:themeColor="text1"/>
                <w:szCs w:val="21"/>
              </w:rPr>
              <w:t>2008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月至</w:t>
            </w:r>
            <w:r>
              <w:rPr>
                <w:rFonts w:eastAsiaTheme="minorEastAsia"/>
                <w:color w:val="000000" w:themeColor="text1"/>
                <w:szCs w:val="21"/>
              </w:rPr>
              <w:t>2010</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月任</w:t>
            </w:r>
            <w:r>
              <w:rPr>
                <w:rFonts w:eastAsiaTheme="minorEastAsia"/>
                <w:color w:val="000000" w:themeColor="text1"/>
                <w:szCs w:val="21"/>
              </w:rPr>
              <w:t>JPMorgan(EMEA)</w:t>
            </w:r>
            <w:r>
              <w:rPr>
                <w:rFonts w:eastAsiaTheme="minorEastAsia"/>
                <w:color w:val="000000" w:themeColor="text1"/>
                <w:szCs w:val="21"/>
              </w:rPr>
              <w:t>分析师，</w:t>
            </w:r>
            <w:r>
              <w:rPr>
                <w:rFonts w:eastAsiaTheme="minorEastAsia"/>
                <w:color w:val="000000" w:themeColor="text1"/>
                <w:szCs w:val="21"/>
              </w:rPr>
              <w:t>2011</w:t>
            </w:r>
            <w:r>
              <w:rPr>
                <w:rFonts w:eastAsiaTheme="minorEastAsia"/>
                <w:color w:val="000000" w:themeColor="text1"/>
                <w:szCs w:val="21"/>
              </w:rPr>
              <w:t>年</w:t>
            </w:r>
            <w:r>
              <w:rPr>
                <w:rFonts w:eastAsiaTheme="minorEastAsia"/>
                <w:color w:val="000000" w:themeColor="text1"/>
                <w:szCs w:val="21"/>
              </w:rPr>
              <w:t>3</w:t>
            </w:r>
            <w:r>
              <w:rPr>
                <w:rFonts w:eastAsiaTheme="minorEastAsia"/>
                <w:color w:val="000000" w:themeColor="text1"/>
                <w:szCs w:val="21"/>
              </w:rPr>
              <w:t>月加入上投摩根基金管理有限公司，先后担任研究员及基金经理助理，自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月起担任上投摩根岁岁盈定期开放债券型证券投资基金基金经理，自</w:t>
            </w:r>
            <w:r>
              <w:rPr>
                <w:rFonts w:eastAsiaTheme="minorEastAsia"/>
                <w:color w:val="000000" w:themeColor="text1"/>
                <w:szCs w:val="21"/>
              </w:rPr>
              <w:t>2015</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月起同时担任上投摩根强化回报债券型证券投资基金和上投摩根轮动添利债券型证券投资基金基金经理，自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5</w:t>
            </w:r>
            <w:r>
              <w:rPr>
                <w:rFonts w:eastAsiaTheme="minorEastAsia"/>
                <w:color w:val="000000" w:themeColor="text1"/>
                <w:szCs w:val="21"/>
              </w:rPr>
              <w:t>月起同时担任上投摩根双债增利债券型证券投资基金基金经理，自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6</w:t>
            </w:r>
            <w:r>
              <w:rPr>
                <w:rFonts w:eastAsiaTheme="minorEastAsia"/>
                <w:color w:val="000000" w:themeColor="text1"/>
                <w:szCs w:val="21"/>
              </w:rPr>
              <w:t>月起同时担任上投摩根分红添利债券型证券投资基金及上投摩根纯债添利债券型证券投资基金基金经理，自</w:t>
            </w:r>
            <w:r>
              <w:rPr>
                <w:rFonts w:eastAsiaTheme="minorEastAsia"/>
                <w:color w:val="000000" w:themeColor="text1"/>
                <w:szCs w:val="21"/>
              </w:rPr>
              <w:t>2016</w:t>
            </w:r>
            <w:r>
              <w:rPr>
                <w:rFonts w:eastAsiaTheme="minorEastAsia"/>
                <w:color w:val="000000" w:themeColor="text1"/>
                <w:szCs w:val="21"/>
              </w:rPr>
              <w:t>年</w:t>
            </w:r>
            <w:r>
              <w:rPr>
                <w:rFonts w:eastAsiaTheme="minorEastAsia"/>
                <w:color w:val="000000" w:themeColor="text1"/>
                <w:szCs w:val="21"/>
              </w:rPr>
              <w:t>8</w:t>
            </w:r>
            <w:r>
              <w:rPr>
                <w:rFonts w:eastAsiaTheme="minorEastAsia"/>
                <w:color w:val="000000" w:themeColor="text1"/>
                <w:szCs w:val="21"/>
              </w:rPr>
              <w:t>月起同时担任上投摩根岁岁丰定期开放债券型证券投资基金基金经理，自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月起同时担任上投摩根安丰回报混合型证券投资基金基金经理及上投摩根安泽回报混合型证券投资基金基金经理，自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月起同时担任上投摩根安隆回报混合型证券投资基金和上投摩根安腾回报混合型证券投资基金基金经理。</w:t>
            </w:r>
          </w:p>
        </w:tc>
      </w:tr>
      <w:tr w:rsidR="00EF17D8">
        <w:tc>
          <w:tcPr>
            <w:tcW w:w="952" w:type="dxa"/>
            <w:vAlign w:val="center"/>
          </w:tcPr>
          <w:p w:rsidR="00EF17D8" w:rsidRDefault="005E6346">
            <w:pPr>
              <w:jc w:val="center"/>
            </w:pPr>
            <w:r>
              <w:rPr>
                <w:rFonts w:eastAsiaTheme="minorEastAsia"/>
                <w:color w:val="000000" w:themeColor="text1"/>
                <w:szCs w:val="21"/>
              </w:rPr>
              <w:t>施虓文</w:t>
            </w:r>
          </w:p>
        </w:tc>
        <w:tc>
          <w:tcPr>
            <w:tcW w:w="930" w:type="dxa"/>
            <w:vAlign w:val="center"/>
          </w:tcPr>
          <w:p w:rsidR="00EF17D8" w:rsidRDefault="005E6346">
            <w:pPr>
              <w:jc w:val="center"/>
            </w:pPr>
            <w:r>
              <w:rPr>
                <w:rFonts w:eastAsiaTheme="minorEastAsia"/>
                <w:color w:val="000000" w:themeColor="text1"/>
                <w:szCs w:val="21"/>
              </w:rPr>
              <w:t>本基金基金经理</w:t>
            </w:r>
          </w:p>
        </w:tc>
        <w:tc>
          <w:tcPr>
            <w:tcW w:w="1210" w:type="dxa"/>
            <w:vAlign w:val="center"/>
          </w:tcPr>
          <w:p w:rsidR="00EF17D8" w:rsidRDefault="005E6346">
            <w:pPr>
              <w:jc w:val="center"/>
            </w:pPr>
            <w:r>
              <w:rPr>
                <w:rFonts w:eastAsiaTheme="minorEastAsia"/>
                <w:color w:val="000000" w:themeColor="text1"/>
                <w:szCs w:val="21"/>
              </w:rPr>
              <w:t>2018-02-27</w:t>
            </w:r>
          </w:p>
        </w:tc>
        <w:tc>
          <w:tcPr>
            <w:tcW w:w="1309" w:type="dxa"/>
            <w:vAlign w:val="center"/>
          </w:tcPr>
          <w:p w:rsidR="00EF17D8" w:rsidRDefault="005E6346">
            <w:pPr>
              <w:jc w:val="center"/>
            </w:pPr>
            <w:r>
              <w:rPr>
                <w:rFonts w:eastAsiaTheme="minorEastAsia"/>
                <w:color w:val="000000" w:themeColor="text1"/>
                <w:szCs w:val="21"/>
              </w:rPr>
              <w:t>-</w:t>
            </w:r>
          </w:p>
        </w:tc>
        <w:tc>
          <w:tcPr>
            <w:tcW w:w="1254" w:type="dxa"/>
            <w:vAlign w:val="center"/>
          </w:tcPr>
          <w:p w:rsidR="00EF17D8" w:rsidRDefault="005E6346">
            <w:pPr>
              <w:jc w:val="center"/>
            </w:pPr>
            <w:r>
              <w:rPr>
                <w:rFonts w:eastAsiaTheme="minorEastAsia"/>
                <w:color w:val="000000" w:themeColor="text1"/>
                <w:szCs w:val="21"/>
              </w:rPr>
              <w:t>6</w:t>
            </w:r>
            <w:r>
              <w:rPr>
                <w:rFonts w:eastAsiaTheme="minorEastAsia"/>
                <w:color w:val="000000" w:themeColor="text1"/>
                <w:szCs w:val="21"/>
              </w:rPr>
              <w:t>年</w:t>
            </w:r>
          </w:p>
        </w:tc>
        <w:tc>
          <w:tcPr>
            <w:tcW w:w="3276" w:type="dxa"/>
            <w:vAlign w:val="center"/>
          </w:tcPr>
          <w:p w:rsidR="00EF17D8" w:rsidRDefault="005E6346">
            <w:r>
              <w:rPr>
                <w:rFonts w:eastAsiaTheme="minorEastAsia"/>
                <w:color w:val="000000" w:themeColor="text1"/>
                <w:szCs w:val="21"/>
              </w:rPr>
              <w:t>基金经理施虓文先生，北京大学经济学硕士，</w:t>
            </w:r>
            <w:r>
              <w:rPr>
                <w:rFonts w:eastAsiaTheme="minorEastAsia"/>
                <w:color w:val="000000" w:themeColor="text1"/>
                <w:szCs w:val="21"/>
              </w:rPr>
              <w:t>2012</w:t>
            </w:r>
            <w:r>
              <w:rPr>
                <w:rFonts w:eastAsiaTheme="minorEastAsia"/>
                <w:color w:val="000000" w:themeColor="text1"/>
                <w:szCs w:val="21"/>
              </w:rPr>
              <w:t>年</w:t>
            </w:r>
            <w:r>
              <w:rPr>
                <w:rFonts w:eastAsiaTheme="minorEastAsia"/>
                <w:color w:val="000000" w:themeColor="text1"/>
                <w:szCs w:val="21"/>
              </w:rPr>
              <w:t>7</w:t>
            </w:r>
            <w:r>
              <w:rPr>
                <w:rFonts w:eastAsiaTheme="minorEastAsia"/>
                <w:color w:val="000000" w:themeColor="text1"/>
                <w:szCs w:val="21"/>
              </w:rPr>
              <w:t>月起加入上投摩根基金管理有限公司，在研究部任助理研究员、研究员，主要承担量化支持方面的工作。自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w:t>
            </w:r>
            <w:r>
              <w:rPr>
                <w:rFonts w:eastAsiaTheme="minorEastAsia"/>
                <w:color w:val="000000" w:themeColor="text1"/>
                <w:szCs w:val="21"/>
              </w:rPr>
              <w:t>月起同时担任上投摩根安丰回报混合型证券投资基金基金经理及上投摩根安泽回报混合型证券投资基金基金经理，自</w:t>
            </w:r>
            <w:r>
              <w:rPr>
                <w:rFonts w:eastAsiaTheme="minorEastAsia"/>
                <w:color w:val="000000" w:themeColor="text1"/>
                <w:szCs w:val="21"/>
              </w:rPr>
              <w:t>2017</w:t>
            </w:r>
            <w:r>
              <w:rPr>
                <w:rFonts w:eastAsiaTheme="minorEastAsia"/>
                <w:color w:val="000000" w:themeColor="text1"/>
                <w:szCs w:val="21"/>
              </w:rPr>
              <w:t>年</w:t>
            </w:r>
            <w:r>
              <w:rPr>
                <w:rFonts w:eastAsiaTheme="minorEastAsia"/>
                <w:color w:val="000000" w:themeColor="text1"/>
                <w:szCs w:val="21"/>
              </w:rPr>
              <w:t>12</w:t>
            </w:r>
            <w:r>
              <w:rPr>
                <w:rFonts w:eastAsiaTheme="minorEastAsia"/>
                <w:color w:val="000000" w:themeColor="text1"/>
                <w:szCs w:val="21"/>
              </w:rPr>
              <w:t>月起同时担任上投摩根标普港股通低波红利指数型证券投资基金基金经理，自</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2</w:t>
            </w:r>
            <w:r>
              <w:rPr>
                <w:rFonts w:eastAsiaTheme="minorEastAsia"/>
                <w:color w:val="000000" w:themeColor="text1"/>
                <w:szCs w:val="21"/>
              </w:rPr>
              <w:t>月起同时担任上投摩根安隆回报混合型证券投资基金和上投摩根安腾回报混合型证券投资基金基金经理，</w:t>
            </w:r>
            <w:r>
              <w:rPr>
                <w:rFonts w:eastAsiaTheme="minorEastAsia"/>
                <w:color w:val="000000" w:themeColor="text1"/>
                <w:szCs w:val="21"/>
              </w:rPr>
              <w:t>2018</w:t>
            </w:r>
            <w:r>
              <w:rPr>
                <w:rFonts w:eastAsiaTheme="minorEastAsia"/>
                <w:color w:val="000000" w:themeColor="text1"/>
                <w:szCs w:val="21"/>
              </w:rPr>
              <w:t>年</w:t>
            </w:r>
            <w:r>
              <w:rPr>
                <w:rFonts w:eastAsiaTheme="minorEastAsia"/>
                <w:color w:val="000000" w:themeColor="text1"/>
                <w:szCs w:val="21"/>
              </w:rPr>
              <w:t>4</w:t>
            </w:r>
            <w:r>
              <w:rPr>
                <w:rFonts w:eastAsiaTheme="minorEastAsia"/>
                <w:color w:val="000000" w:themeColor="text1"/>
                <w:szCs w:val="21"/>
              </w:rPr>
              <w:t>月起同时担任上投摩根富时发达市场</w:t>
            </w:r>
            <w:r>
              <w:rPr>
                <w:rFonts w:eastAsiaTheme="minorEastAsia"/>
                <w:color w:val="000000" w:themeColor="text1"/>
                <w:szCs w:val="21"/>
              </w:rPr>
              <w:t>REITs</w:t>
            </w:r>
            <w:r>
              <w:rPr>
                <w:rFonts w:eastAsiaTheme="minorEastAsia"/>
                <w:color w:val="000000" w:themeColor="text1"/>
                <w:szCs w:val="21"/>
              </w:rPr>
              <w:t>指数型证券投资基金（</w:t>
            </w:r>
            <w:r>
              <w:rPr>
                <w:rFonts w:eastAsiaTheme="minorEastAsia"/>
                <w:color w:val="000000" w:themeColor="text1"/>
                <w:szCs w:val="21"/>
              </w:rPr>
              <w:t>QDII</w:t>
            </w:r>
            <w:r>
              <w:rPr>
                <w:rFonts w:eastAsiaTheme="minorEastAsia"/>
                <w:color w:val="000000" w:themeColor="text1"/>
                <w:szCs w:val="21"/>
              </w:rPr>
              <w:t>）基金经理。</w:t>
            </w:r>
          </w:p>
        </w:tc>
      </w:tr>
    </w:tbl>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注：</w:t>
      </w:r>
      <w:r>
        <w:rPr>
          <w:rFonts w:eastAsiaTheme="minorEastAsia"/>
          <w:color w:val="000000" w:themeColor="text1"/>
          <w:szCs w:val="21"/>
        </w:rPr>
        <w:t xml:space="preserve">1. </w:t>
      </w:r>
      <w:r>
        <w:rPr>
          <w:rFonts w:eastAsiaTheme="minorEastAsia"/>
          <w:color w:val="000000" w:themeColor="text1"/>
          <w:szCs w:val="21"/>
        </w:rPr>
        <w:t>任职日期和离任日期均指根据公司决定确定的聘任日期和解聘日期。</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唐瑭女士、施虓文先生为本基金首任基金经理，其任职日期为本基金基金合同生效之日；</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证券从业的含义遵从行业协会《证券业从业人员资格管理办法》的相关规定。</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4.2</w:t>
      </w:r>
      <w:r>
        <w:rPr>
          <w:rFonts w:eastAsiaTheme="minorEastAsia" w:hint="eastAsia"/>
          <w:b/>
          <w:color w:val="000000" w:themeColor="text1"/>
          <w:kern w:val="0"/>
          <w:szCs w:val="21"/>
        </w:rPr>
        <w:t>管理人对报告期内本基金运作遵规守信情况的说明</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在本报告期内，基金管理人不存在损害基金份额持有人利益的行为，勤勉尽责地为基金份额持有人谋求利益。基金管理人遵守了《证券投资基金法》及其他有关法律法规、《上投摩根安腾回报混合型证券投资基金基金合同》的规定。基金经理对个股和投资组合的比例遵循了投资决策委员会的授权限制，基金投资比例符合基金合同和法律法规的要求。</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4.3 </w:t>
      </w:r>
      <w:r>
        <w:rPr>
          <w:rFonts w:eastAsiaTheme="minorEastAsia"/>
          <w:b/>
          <w:color w:val="000000" w:themeColor="text1"/>
          <w:kern w:val="0"/>
          <w:szCs w:val="21"/>
        </w:rPr>
        <w:t>公平交易专项说明</w:t>
      </w:r>
    </w:p>
    <w:p w:rsidR="00EF17D8" w:rsidRDefault="005E6346">
      <w:pPr>
        <w:spacing w:line="360" w:lineRule="auto"/>
        <w:rPr>
          <w:rFonts w:eastAsiaTheme="minorEastAsia"/>
          <w:color w:val="000000" w:themeColor="text1"/>
          <w:szCs w:val="21"/>
        </w:rPr>
      </w:pPr>
      <w:r>
        <w:rPr>
          <w:rFonts w:eastAsiaTheme="minorEastAsia"/>
          <w:color w:val="000000" w:themeColor="text1"/>
          <w:szCs w:val="21"/>
        </w:rPr>
        <w:t xml:space="preserve">4.3.1 </w:t>
      </w:r>
      <w:r>
        <w:rPr>
          <w:rFonts w:eastAsiaTheme="minorEastAsia"/>
          <w:color w:val="000000" w:themeColor="text1"/>
          <w:szCs w:val="21"/>
        </w:rPr>
        <w:t>公平交易制度的执行情况</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投资组合在授权、研究分析、投资决策、交易执行、业绩评估等投资管理活动相关的环节均得到公平对待。</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报告期内，通过对不同投资组合之间的收益率差异比较、对同向交易和反向交易的交易时机和交易价差监控分析，未发现整体公平交易执行出现异常的情况。</w:t>
      </w:r>
    </w:p>
    <w:p w:rsidR="00EF17D8" w:rsidRDefault="005E6346">
      <w:pPr>
        <w:spacing w:line="360" w:lineRule="auto"/>
        <w:rPr>
          <w:rFonts w:eastAsiaTheme="minorEastAsia"/>
          <w:color w:val="000000" w:themeColor="text1"/>
          <w:szCs w:val="21"/>
        </w:rPr>
      </w:pPr>
      <w:r>
        <w:rPr>
          <w:rFonts w:eastAsiaTheme="minorEastAsia"/>
          <w:color w:val="000000" w:themeColor="text1"/>
          <w:szCs w:val="21"/>
        </w:rPr>
        <w:t xml:space="preserve">4.3.2 </w:t>
      </w:r>
      <w:r>
        <w:rPr>
          <w:rFonts w:eastAsiaTheme="minorEastAsia"/>
          <w:color w:val="000000" w:themeColor="text1"/>
          <w:szCs w:val="21"/>
        </w:rPr>
        <w:t>异常交易行为的专项说明</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报告期内，通过对交易价格、交易时间、交易方向等的分析，未发现有可能导致不公平交易和利益输送的异常交易行为。</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所有投资组合参与的交易所公开竞价同日反向交易成交较少的单边交易量超过该证券当日成交量的</w:t>
      </w:r>
      <w:r>
        <w:rPr>
          <w:rFonts w:eastAsiaTheme="minorEastAsia"/>
          <w:color w:val="000000" w:themeColor="text1"/>
          <w:szCs w:val="21"/>
        </w:rPr>
        <w:t>5%</w:t>
      </w:r>
      <w:r>
        <w:rPr>
          <w:rFonts w:eastAsiaTheme="minorEastAsia"/>
          <w:color w:val="000000" w:themeColor="text1"/>
          <w:szCs w:val="21"/>
        </w:rPr>
        <w:t>的情形：无。</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4.4 </w:t>
      </w:r>
      <w:r>
        <w:rPr>
          <w:rFonts w:eastAsiaTheme="minorEastAsia"/>
          <w:b/>
          <w:color w:val="000000" w:themeColor="text1"/>
          <w:kern w:val="0"/>
          <w:szCs w:val="21"/>
        </w:rPr>
        <w:t>报告期内基金的投资策略和业绩表现说明</w:t>
      </w:r>
    </w:p>
    <w:p w:rsidR="00EF17D8" w:rsidRDefault="005E6346">
      <w:pPr>
        <w:spacing w:line="360" w:lineRule="auto"/>
        <w:rPr>
          <w:rFonts w:eastAsiaTheme="minorEastAsia"/>
          <w:color w:val="000000" w:themeColor="text1"/>
          <w:szCs w:val="21"/>
        </w:rPr>
      </w:pPr>
      <w:r>
        <w:rPr>
          <w:rFonts w:eastAsiaTheme="minorEastAsia"/>
          <w:color w:val="000000" w:themeColor="text1"/>
          <w:szCs w:val="21"/>
        </w:rPr>
        <w:t>4.4.1</w:t>
      </w:r>
      <w:r>
        <w:rPr>
          <w:rFonts w:eastAsiaTheme="minorEastAsia"/>
          <w:color w:val="000000" w:themeColor="text1"/>
          <w:szCs w:val="21"/>
        </w:rPr>
        <w:t>报告期内基金投资策略和运作分析</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2018</w:t>
      </w:r>
      <w:r>
        <w:rPr>
          <w:rFonts w:eastAsiaTheme="minorEastAsia"/>
          <w:color w:val="000000" w:themeColor="text1"/>
          <w:szCs w:val="21"/>
        </w:rPr>
        <w:t>年二季度，上证综指呈现单边下跌趋势，市场情绪逐步陷入低谷，成交量不断萎缩。</w:t>
      </w:r>
      <w:r>
        <w:rPr>
          <w:rFonts w:eastAsiaTheme="minorEastAsia"/>
          <w:color w:val="000000" w:themeColor="text1"/>
          <w:szCs w:val="21"/>
        </w:rPr>
        <w:t>2</w:t>
      </w:r>
      <w:r>
        <w:rPr>
          <w:rFonts w:eastAsiaTheme="minorEastAsia"/>
          <w:color w:val="000000" w:themeColor="text1"/>
          <w:szCs w:val="21"/>
        </w:rPr>
        <w:t>、</w:t>
      </w:r>
      <w:r>
        <w:rPr>
          <w:rFonts w:eastAsiaTheme="minorEastAsia"/>
          <w:color w:val="000000" w:themeColor="text1"/>
          <w:szCs w:val="21"/>
        </w:rPr>
        <w:t>3</w:t>
      </w:r>
      <w:r>
        <w:rPr>
          <w:rFonts w:eastAsiaTheme="minorEastAsia"/>
          <w:color w:val="000000" w:themeColor="text1"/>
          <w:szCs w:val="21"/>
        </w:rPr>
        <w:t>月创业板曾走出相对独立行情，然而二季度再度跑输以沪深</w:t>
      </w:r>
      <w:r>
        <w:rPr>
          <w:rFonts w:eastAsiaTheme="minorEastAsia"/>
          <w:color w:val="000000" w:themeColor="text1"/>
          <w:szCs w:val="21"/>
        </w:rPr>
        <w:t>300</w:t>
      </w:r>
      <w:r>
        <w:rPr>
          <w:rFonts w:eastAsiaTheme="minorEastAsia"/>
          <w:color w:val="000000" w:themeColor="text1"/>
          <w:szCs w:val="21"/>
        </w:rPr>
        <w:t>为代表的大盘蓝筹指数。除个别消费板块行业如白酒、餐饮旅游外，全市场各行业普跌，通信、军工、电力设备、传媒等行业跌幅居前。市场的持续弱势源于相对不利的内外环境，而屡创新低的指数点位也冲击着投资者脆弱的情绪。债券方面，市场走势出现分化，一方面，社融规模收缩，资金需求放缓，基建投资受制于城投债务收缩，地产投资面临政策收紧，出口受到中美贸易摩擦带来的不确定性影响，经济基本面承压，使得利率债，尤其是长期利率债，走出了慢牛的行情，高等级信用债也受其带动收益下行。另一方面，受到民营企业信用负面事件影响，市场对于中低等级、民营企业债券普遍规避，信用债流动性快速下降，信用利差扩大明显。本基金规模缩小过快，操作难度加大，结合基金自身情况和市场情况，保持了投资的稳健性。</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展望</w:t>
      </w:r>
      <w:r>
        <w:rPr>
          <w:rFonts w:eastAsiaTheme="minorEastAsia"/>
          <w:color w:val="000000" w:themeColor="text1"/>
          <w:szCs w:val="21"/>
        </w:rPr>
        <w:t>3</w:t>
      </w:r>
      <w:r>
        <w:rPr>
          <w:rFonts w:eastAsiaTheme="minorEastAsia"/>
          <w:color w:val="000000" w:themeColor="text1"/>
          <w:szCs w:val="21"/>
        </w:rPr>
        <w:t>季度乃至整个下半年，仍然需要重视市场面临的风险因素。从外部环境看，近期中美贸易摩擦持续升温，短期内看不到缓和的迹象，预计与美国的贸易摩擦将长期化；另一方面，在</w:t>
      </w:r>
      <w:r>
        <w:rPr>
          <w:rFonts w:eastAsiaTheme="minorEastAsia"/>
          <w:color w:val="000000" w:themeColor="text1"/>
          <w:szCs w:val="21"/>
        </w:rPr>
        <w:t>6</w:t>
      </w:r>
      <w:r>
        <w:rPr>
          <w:rFonts w:eastAsiaTheme="minorEastAsia"/>
          <w:color w:val="000000" w:themeColor="text1"/>
          <w:szCs w:val="21"/>
        </w:rPr>
        <w:t>月的加息落地后，市场对联储加快加息步伐的预期有所升温，美元指数持续走强，新兴市场承受资本流出压力。从内部环境看，基建投资增速、社会融资规模超预期下滑，信用利差显著上升，部分民营企业出现信用风险，在股票市场则体现为中小市值个股闪崩频现。</w:t>
      </w:r>
    </w:p>
    <w:p w:rsidR="00EF17D8" w:rsidRDefault="005E6346">
      <w:pPr>
        <w:spacing w:line="360" w:lineRule="auto"/>
        <w:rPr>
          <w:rFonts w:eastAsiaTheme="minorEastAsia"/>
          <w:color w:val="000000" w:themeColor="text1"/>
          <w:szCs w:val="21"/>
        </w:rPr>
      </w:pPr>
      <w:r>
        <w:rPr>
          <w:rFonts w:eastAsiaTheme="minorEastAsia"/>
          <w:color w:val="000000" w:themeColor="text1"/>
          <w:szCs w:val="21"/>
        </w:rPr>
        <w:t>4.4.2</w:t>
      </w:r>
      <w:r>
        <w:rPr>
          <w:rFonts w:eastAsiaTheme="minorEastAsia"/>
          <w:color w:val="000000" w:themeColor="text1"/>
          <w:szCs w:val="21"/>
        </w:rPr>
        <w:t>报告期内基金的业绩表现</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本报告期本基金</w:t>
      </w:r>
      <w:r>
        <w:rPr>
          <w:rFonts w:eastAsiaTheme="minorEastAsia"/>
          <w:color w:val="000000" w:themeColor="text1"/>
          <w:szCs w:val="21"/>
        </w:rPr>
        <w:t>A</w:t>
      </w:r>
      <w:r>
        <w:rPr>
          <w:rFonts w:eastAsiaTheme="minorEastAsia"/>
          <w:color w:val="000000" w:themeColor="text1"/>
          <w:szCs w:val="21"/>
        </w:rPr>
        <w:t>类份额净值增长率为</w:t>
      </w:r>
      <w:r>
        <w:rPr>
          <w:rFonts w:eastAsiaTheme="minorEastAsia"/>
          <w:color w:val="000000" w:themeColor="text1"/>
          <w:szCs w:val="21"/>
        </w:rPr>
        <w:t>0.35%,</w:t>
      </w:r>
      <w:r>
        <w:rPr>
          <w:rFonts w:eastAsiaTheme="minorEastAsia"/>
          <w:color w:val="000000" w:themeColor="text1"/>
          <w:szCs w:val="21"/>
        </w:rPr>
        <w:t>本基金</w:t>
      </w:r>
      <w:r>
        <w:rPr>
          <w:rFonts w:eastAsiaTheme="minorEastAsia"/>
          <w:color w:val="000000" w:themeColor="text1"/>
          <w:szCs w:val="21"/>
        </w:rPr>
        <w:t>C</w:t>
      </w:r>
      <w:r>
        <w:rPr>
          <w:rFonts w:eastAsiaTheme="minorEastAsia"/>
          <w:color w:val="000000" w:themeColor="text1"/>
          <w:szCs w:val="21"/>
        </w:rPr>
        <w:t>类基金份额净值增长率为</w:t>
      </w:r>
      <w:r>
        <w:rPr>
          <w:rFonts w:eastAsiaTheme="minorEastAsia"/>
          <w:color w:val="000000" w:themeColor="text1"/>
          <w:szCs w:val="21"/>
        </w:rPr>
        <w:t>-0.05%</w:t>
      </w:r>
      <w:r>
        <w:rPr>
          <w:rFonts w:eastAsiaTheme="minorEastAsia"/>
          <w:color w:val="000000" w:themeColor="text1"/>
          <w:szCs w:val="21"/>
        </w:rPr>
        <w:t>，同期业绩比较基准收益率为</w:t>
      </w:r>
      <w:r>
        <w:rPr>
          <w:rFonts w:eastAsiaTheme="minorEastAsia"/>
          <w:color w:val="000000" w:themeColor="text1"/>
          <w:szCs w:val="21"/>
        </w:rPr>
        <w:t>-1.60%</w:t>
      </w:r>
      <w:r>
        <w:rPr>
          <w:rFonts w:eastAsiaTheme="minorEastAsia"/>
          <w:color w:val="000000" w:themeColor="text1"/>
          <w:szCs w:val="21"/>
        </w:rPr>
        <w:t>。</w:t>
      </w:r>
    </w:p>
    <w:p w:rsidR="00EF17D8" w:rsidRDefault="00EF17D8">
      <w:pPr>
        <w:spacing w:line="360" w:lineRule="auto"/>
        <w:ind w:firstLineChars="200" w:firstLine="420"/>
        <w:rPr>
          <w:rFonts w:eastAsiaTheme="minorEastAsia"/>
          <w:color w:val="000000" w:themeColor="text1"/>
          <w:szCs w:val="21"/>
        </w:rPr>
      </w:pPr>
    </w:p>
    <w:p w:rsidR="00EF17D8" w:rsidRDefault="005E6346">
      <w:pPr>
        <w:spacing w:line="360" w:lineRule="auto"/>
        <w:rPr>
          <w:rFonts w:eastAsiaTheme="minorEastAsia"/>
          <w:color w:val="000000" w:themeColor="text1"/>
          <w:szCs w:val="21"/>
        </w:rPr>
      </w:pPr>
      <w:r>
        <w:rPr>
          <w:rFonts w:eastAsiaTheme="minorEastAsia"/>
          <w:b/>
          <w:color w:val="000000" w:themeColor="text1"/>
          <w:kern w:val="0"/>
          <w:szCs w:val="21"/>
        </w:rPr>
        <w:t>4</w:t>
      </w:r>
      <w:r>
        <w:rPr>
          <w:rFonts w:eastAsiaTheme="minorEastAsia" w:hint="eastAsia"/>
          <w:b/>
          <w:color w:val="000000" w:themeColor="text1"/>
          <w:kern w:val="0"/>
          <w:szCs w:val="21"/>
        </w:rPr>
        <w:t>.5</w:t>
      </w:r>
      <w:r>
        <w:rPr>
          <w:rFonts w:asciiTheme="minorEastAsia" w:eastAsiaTheme="minorEastAsia" w:hAnsiTheme="minorEastAsia" w:hint="eastAsia"/>
          <w:b/>
          <w:color w:val="000000" w:themeColor="text1"/>
          <w:kern w:val="0"/>
          <w:szCs w:val="21"/>
        </w:rPr>
        <w:t>报告期内基金持有人数或基金资产净值预警说明</w:t>
      </w:r>
    </w:p>
    <w:p w:rsidR="00EF17D8" w:rsidRDefault="005E634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报告期内，本基金存在连续二十个工作日基金资产净值低于五千万元的情况，出现该情况的时间范围为</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4</w:t>
      </w:r>
      <w:r>
        <w:rPr>
          <w:rFonts w:eastAsiaTheme="minorEastAsia"/>
          <w:color w:val="000000" w:themeColor="text1"/>
          <w:kern w:val="0"/>
          <w:szCs w:val="21"/>
        </w:rPr>
        <w:t>月</w:t>
      </w:r>
      <w:r>
        <w:rPr>
          <w:rFonts w:eastAsiaTheme="minorEastAsia"/>
          <w:color w:val="000000" w:themeColor="text1"/>
          <w:kern w:val="0"/>
          <w:szCs w:val="21"/>
        </w:rPr>
        <w:t>23</w:t>
      </w:r>
      <w:r>
        <w:rPr>
          <w:rFonts w:eastAsiaTheme="minorEastAsia"/>
          <w:color w:val="000000" w:themeColor="text1"/>
          <w:kern w:val="0"/>
          <w:szCs w:val="21"/>
        </w:rPr>
        <w:t>日至</w:t>
      </w:r>
      <w:r>
        <w:rPr>
          <w:rFonts w:eastAsiaTheme="minorEastAsia"/>
          <w:color w:val="000000" w:themeColor="text1"/>
          <w:kern w:val="0"/>
          <w:szCs w:val="21"/>
        </w:rPr>
        <w:t>2018</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w:t>
      </w:r>
    </w:p>
    <w:p w:rsidR="00EF17D8" w:rsidRDefault="005E6346">
      <w:pPr>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基金管理人拟调整本基金运作方式，加大营销力度，提升基金规模，方案已报监管机关。</w:t>
      </w:r>
    </w:p>
    <w:p w:rsidR="00EF17D8" w:rsidRDefault="00EF17D8">
      <w:pPr>
        <w:spacing w:line="360" w:lineRule="auto"/>
        <w:ind w:firstLineChars="200" w:firstLine="420"/>
        <w:rPr>
          <w:rFonts w:asciiTheme="minorEastAsia" w:eastAsiaTheme="minorEastAsia" w:hAnsiTheme="minorEastAsia"/>
          <w:color w:val="000000" w:themeColor="text1"/>
          <w:szCs w:val="21"/>
        </w:rPr>
      </w:pPr>
    </w:p>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§5  </w:t>
      </w:r>
      <w:r>
        <w:rPr>
          <w:rFonts w:eastAsiaTheme="minorEastAsia"/>
          <w:color w:val="000000" w:themeColor="text1"/>
          <w:kern w:val="0"/>
          <w:sz w:val="21"/>
          <w:szCs w:val="21"/>
        </w:rPr>
        <w:t>投资组合报告</w:t>
      </w:r>
    </w:p>
    <w:p w:rsidR="00EF17D8" w:rsidRDefault="005E6346">
      <w:pPr>
        <w:autoSpaceDE w:val="0"/>
        <w:autoSpaceDN w:val="0"/>
        <w:adjustRightInd w:val="0"/>
        <w:spacing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5.1 </w:t>
      </w:r>
      <w:r>
        <w:rPr>
          <w:rFonts w:eastAsiaTheme="minorEastAsia"/>
          <w:b/>
          <w:color w:val="000000" w:themeColor="text1"/>
          <w:kern w:val="0"/>
          <w:szCs w:val="21"/>
        </w:rPr>
        <w:t>报告期末基金资产组合情况</w:t>
      </w:r>
    </w:p>
    <w:tbl>
      <w:tblPr>
        <w:tblStyle w:val="af6"/>
        <w:tblW w:w="8897" w:type="dxa"/>
        <w:tblInd w:w="108" w:type="dxa"/>
        <w:tblLayout w:type="fixed"/>
        <w:tblLook w:val="04A0"/>
      </w:tblPr>
      <w:tblGrid>
        <w:gridCol w:w="720"/>
        <w:gridCol w:w="3357"/>
        <w:gridCol w:w="2977"/>
        <w:gridCol w:w="1843"/>
      </w:tblGrid>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序号</w:t>
            </w:r>
          </w:p>
        </w:tc>
        <w:tc>
          <w:tcPr>
            <w:tcW w:w="3357"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项目</w:t>
            </w:r>
          </w:p>
        </w:tc>
        <w:tc>
          <w:tcPr>
            <w:tcW w:w="2977"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金额</w:t>
            </w:r>
            <w:r>
              <w:rPr>
                <w:rFonts w:eastAsiaTheme="minorEastAsia"/>
                <w:color w:val="000000" w:themeColor="text1"/>
                <w:szCs w:val="21"/>
              </w:rPr>
              <w:t>(</w:t>
            </w:r>
            <w:r>
              <w:rPr>
                <w:rFonts w:eastAsiaTheme="minorEastAsia"/>
                <w:color w:val="000000" w:themeColor="text1"/>
                <w:szCs w:val="21"/>
              </w:rPr>
              <w:t>元</w:t>
            </w:r>
            <w:r>
              <w:rPr>
                <w:rFonts w:eastAsiaTheme="minorEastAsia"/>
                <w:color w:val="000000" w:themeColor="text1"/>
                <w:szCs w:val="21"/>
              </w:rPr>
              <w:t>)</w:t>
            </w:r>
          </w:p>
        </w:tc>
        <w:tc>
          <w:tcPr>
            <w:tcW w:w="1843"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占基金总资产的比例</w:t>
            </w:r>
            <w:r>
              <w:rPr>
                <w:rFonts w:eastAsiaTheme="minorEastAsia"/>
                <w:color w:val="000000" w:themeColor="text1"/>
                <w:szCs w:val="21"/>
              </w:rPr>
              <w:t>(%)</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1</w:t>
            </w: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权益投资</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EF17D8">
            <w:pPr>
              <w:spacing w:before="29" w:line="360" w:lineRule="auto"/>
              <w:ind w:left="17"/>
              <w:jc w:val="center"/>
              <w:rPr>
                <w:rFonts w:eastAsiaTheme="minorEastAsia"/>
                <w:color w:val="000000" w:themeColor="text1"/>
                <w:szCs w:val="21"/>
              </w:rPr>
            </w:pP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其中：股票</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2</w:t>
            </w: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固定收益投资</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EF17D8">
            <w:pPr>
              <w:spacing w:before="29" w:line="360" w:lineRule="auto"/>
              <w:ind w:left="17"/>
              <w:jc w:val="center"/>
              <w:rPr>
                <w:rFonts w:eastAsiaTheme="minorEastAsia"/>
                <w:color w:val="000000" w:themeColor="text1"/>
                <w:szCs w:val="21"/>
              </w:rPr>
            </w:pP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其中：债券</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EF17D8">
            <w:pPr>
              <w:spacing w:before="29" w:line="360" w:lineRule="auto"/>
              <w:ind w:left="17"/>
              <w:jc w:val="center"/>
              <w:rPr>
                <w:rFonts w:eastAsiaTheme="minorEastAsia"/>
                <w:color w:val="000000" w:themeColor="text1"/>
                <w:szCs w:val="21"/>
              </w:rPr>
            </w:pPr>
          </w:p>
        </w:tc>
        <w:tc>
          <w:tcPr>
            <w:tcW w:w="3357" w:type="dxa"/>
            <w:vAlign w:val="center"/>
          </w:tcPr>
          <w:p w:rsidR="00EF17D8" w:rsidRDefault="005E6346">
            <w:pPr>
              <w:autoSpaceDE w:val="0"/>
              <w:autoSpaceDN w:val="0"/>
              <w:adjustRightInd w:val="0"/>
              <w:spacing w:before="29" w:line="360" w:lineRule="auto"/>
              <w:ind w:left="17" w:firstLineChars="300" w:firstLine="630"/>
              <w:jc w:val="left"/>
              <w:rPr>
                <w:rFonts w:eastAsiaTheme="minorEastAsia"/>
                <w:color w:val="000000" w:themeColor="text1"/>
                <w:szCs w:val="21"/>
              </w:rPr>
            </w:pPr>
            <w:r>
              <w:rPr>
                <w:rFonts w:eastAsiaTheme="minorEastAsia"/>
                <w:color w:val="000000" w:themeColor="text1"/>
                <w:szCs w:val="21"/>
              </w:rPr>
              <w:t>资产支持证券</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3</w:t>
            </w:r>
          </w:p>
        </w:tc>
        <w:tc>
          <w:tcPr>
            <w:tcW w:w="3357" w:type="dxa"/>
          </w:tcPr>
          <w:p w:rsidR="00EF17D8" w:rsidRDefault="005E6346">
            <w:pPr>
              <w:spacing w:before="29" w:line="360" w:lineRule="auto"/>
              <w:ind w:leftChars="50" w:left="105"/>
              <w:rPr>
                <w:rFonts w:eastAsiaTheme="minorEastAsia"/>
                <w:color w:val="000000" w:themeColor="text1"/>
                <w:szCs w:val="21"/>
              </w:rPr>
            </w:pPr>
            <w:r>
              <w:rPr>
                <w:rFonts w:eastAsiaTheme="minorEastAsia"/>
                <w:color w:val="000000" w:themeColor="text1"/>
                <w:szCs w:val="21"/>
              </w:rPr>
              <w:t>贵金属投资</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4</w:t>
            </w: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金融衍生品投资</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5</w:t>
            </w: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买入返售金融资产</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700,000.00</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27.79</w:t>
            </w:r>
          </w:p>
        </w:tc>
      </w:tr>
      <w:tr w:rsidR="00EF17D8">
        <w:tc>
          <w:tcPr>
            <w:tcW w:w="720" w:type="dxa"/>
            <w:vAlign w:val="center"/>
          </w:tcPr>
          <w:p w:rsidR="00EF17D8" w:rsidRDefault="00EF17D8">
            <w:pPr>
              <w:spacing w:before="29" w:line="360" w:lineRule="auto"/>
              <w:ind w:left="17"/>
              <w:jc w:val="center"/>
              <w:rPr>
                <w:rFonts w:eastAsiaTheme="minorEastAsia"/>
                <w:color w:val="000000" w:themeColor="text1"/>
                <w:szCs w:val="21"/>
              </w:rPr>
            </w:pP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其中：买断式回购的买入返售金融资产</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6</w:t>
            </w:r>
          </w:p>
        </w:tc>
        <w:tc>
          <w:tcPr>
            <w:tcW w:w="3357" w:type="dxa"/>
            <w:vAlign w:val="center"/>
          </w:tcPr>
          <w:p w:rsidR="00EF17D8" w:rsidRDefault="005E6346">
            <w:pPr>
              <w:spacing w:before="29" w:line="360" w:lineRule="auto"/>
              <w:ind w:left="17"/>
              <w:jc w:val="left"/>
              <w:rPr>
                <w:rFonts w:eastAsiaTheme="minorEastAsia"/>
                <w:color w:val="000000" w:themeColor="text1"/>
                <w:szCs w:val="21"/>
              </w:rPr>
            </w:pPr>
            <w:r>
              <w:rPr>
                <w:rFonts w:eastAsiaTheme="minorEastAsia"/>
                <w:color w:val="000000" w:themeColor="text1"/>
                <w:szCs w:val="21"/>
              </w:rPr>
              <w:t>银行存款和结算备付金合计</w:t>
            </w:r>
          </w:p>
        </w:tc>
        <w:tc>
          <w:tcPr>
            <w:tcW w:w="2977"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1,818,293.92</w:t>
            </w:r>
          </w:p>
        </w:tc>
        <w:tc>
          <w:tcPr>
            <w:tcW w:w="1843" w:type="dxa"/>
            <w:vAlign w:val="center"/>
          </w:tcPr>
          <w:p w:rsidR="00EF17D8" w:rsidRDefault="005E6346">
            <w:pPr>
              <w:spacing w:before="29" w:line="360" w:lineRule="auto"/>
              <w:ind w:left="17"/>
              <w:jc w:val="right"/>
              <w:rPr>
                <w:rFonts w:eastAsiaTheme="minorEastAsia"/>
                <w:color w:val="000000" w:themeColor="text1"/>
                <w:szCs w:val="21"/>
              </w:rPr>
            </w:pPr>
            <w:r>
              <w:rPr>
                <w:rFonts w:eastAsiaTheme="minorEastAsia"/>
                <w:color w:val="000000" w:themeColor="text1"/>
                <w:szCs w:val="21"/>
              </w:rPr>
              <w:t>72.19</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7</w:t>
            </w:r>
          </w:p>
        </w:tc>
        <w:tc>
          <w:tcPr>
            <w:tcW w:w="3357" w:type="dxa"/>
            <w:vAlign w:val="center"/>
          </w:tcPr>
          <w:p w:rsidR="00EF17D8" w:rsidRDefault="005E6346">
            <w:pPr>
              <w:rPr>
                <w:rFonts w:eastAsiaTheme="minorEastAsia"/>
                <w:color w:val="000000" w:themeColor="text1"/>
                <w:szCs w:val="21"/>
              </w:rPr>
            </w:pPr>
            <w:r>
              <w:rPr>
                <w:rFonts w:eastAsiaTheme="minorEastAsia"/>
                <w:color w:val="000000" w:themeColor="text1"/>
                <w:szCs w:val="21"/>
              </w:rPr>
              <w:t>其他各项资产</w:t>
            </w:r>
          </w:p>
        </w:tc>
        <w:tc>
          <w:tcPr>
            <w:tcW w:w="2977" w:type="dxa"/>
            <w:vAlign w:val="center"/>
          </w:tcPr>
          <w:p w:rsidR="00EF17D8" w:rsidRDefault="005E6346">
            <w:pPr>
              <w:jc w:val="right"/>
              <w:rPr>
                <w:rFonts w:eastAsiaTheme="minorEastAsia"/>
                <w:color w:val="000000" w:themeColor="text1"/>
                <w:szCs w:val="21"/>
              </w:rPr>
            </w:pPr>
            <w:r>
              <w:rPr>
                <w:rFonts w:eastAsiaTheme="minorEastAsia"/>
                <w:color w:val="000000" w:themeColor="text1"/>
                <w:szCs w:val="21"/>
              </w:rPr>
              <w:t>376.98</w:t>
            </w:r>
          </w:p>
        </w:tc>
        <w:tc>
          <w:tcPr>
            <w:tcW w:w="1843" w:type="dxa"/>
            <w:vAlign w:val="center"/>
          </w:tcPr>
          <w:p w:rsidR="00EF17D8" w:rsidRDefault="005E6346">
            <w:pPr>
              <w:jc w:val="right"/>
              <w:rPr>
                <w:rFonts w:eastAsiaTheme="minorEastAsia"/>
                <w:color w:val="000000" w:themeColor="text1"/>
                <w:szCs w:val="21"/>
              </w:rPr>
            </w:pPr>
            <w:r>
              <w:rPr>
                <w:rFonts w:eastAsiaTheme="minorEastAsia"/>
                <w:color w:val="000000" w:themeColor="text1"/>
                <w:szCs w:val="21"/>
              </w:rPr>
              <w:t>0.01</w:t>
            </w:r>
          </w:p>
        </w:tc>
      </w:tr>
      <w:tr w:rsidR="00EF17D8">
        <w:tc>
          <w:tcPr>
            <w:tcW w:w="720" w:type="dxa"/>
            <w:vAlign w:val="center"/>
          </w:tcPr>
          <w:p w:rsidR="00EF17D8" w:rsidRDefault="005E6346">
            <w:pPr>
              <w:spacing w:before="29" w:line="360" w:lineRule="auto"/>
              <w:ind w:left="17"/>
              <w:jc w:val="center"/>
              <w:rPr>
                <w:rFonts w:eastAsiaTheme="minorEastAsia"/>
                <w:color w:val="000000" w:themeColor="text1"/>
                <w:szCs w:val="21"/>
              </w:rPr>
            </w:pPr>
            <w:r>
              <w:rPr>
                <w:rFonts w:eastAsiaTheme="minorEastAsia"/>
                <w:color w:val="000000" w:themeColor="text1"/>
                <w:szCs w:val="21"/>
              </w:rPr>
              <w:t>8</w:t>
            </w:r>
          </w:p>
        </w:tc>
        <w:tc>
          <w:tcPr>
            <w:tcW w:w="3357" w:type="dxa"/>
            <w:vAlign w:val="center"/>
          </w:tcPr>
          <w:p w:rsidR="00EF17D8" w:rsidRDefault="005E6346">
            <w:pPr>
              <w:rPr>
                <w:rFonts w:eastAsiaTheme="minorEastAsia"/>
                <w:color w:val="000000" w:themeColor="text1"/>
                <w:szCs w:val="21"/>
              </w:rPr>
            </w:pPr>
            <w:r>
              <w:rPr>
                <w:rFonts w:eastAsiaTheme="minorEastAsia"/>
                <w:color w:val="000000" w:themeColor="text1"/>
                <w:szCs w:val="21"/>
              </w:rPr>
              <w:t>合计</w:t>
            </w:r>
          </w:p>
        </w:tc>
        <w:tc>
          <w:tcPr>
            <w:tcW w:w="2977" w:type="dxa"/>
            <w:vAlign w:val="center"/>
          </w:tcPr>
          <w:p w:rsidR="00EF17D8" w:rsidRDefault="005E6346">
            <w:pPr>
              <w:jc w:val="right"/>
              <w:rPr>
                <w:rFonts w:eastAsiaTheme="minorEastAsia"/>
                <w:color w:val="000000" w:themeColor="text1"/>
                <w:szCs w:val="21"/>
              </w:rPr>
            </w:pPr>
            <w:r>
              <w:rPr>
                <w:rFonts w:eastAsiaTheme="minorEastAsia"/>
                <w:color w:val="000000" w:themeColor="text1"/>
                <w:szCs w:val="21"/>
              </w:rPr>
              <w:t>2,518,670.90</w:t>
            </w:r>
          </w:p>
        </w:tc>
        <w:tc>
          <w:tcPr>
            <w:tcW w:w="1843" w:type="dxa"/>
            <w:vAlign w:val="center"/>
          </w:tcPr>
          <w:p w:rsidR="00EF17D8" w:rsidRDefault="005E6346">
            <w:pPr>
              <w:jc w:val="right"/>
              <w:rPr>
                <w:rFonts w:eastAsiaTheme="minorEastAsia"/>
                <w:color w:val="000000" w:themeColor="text1"/>
                <w:szCs w:val="21"/>
              </w:rPr>
            </w:pPr>
            <w:r>
              <w:rPr>
                <w:rFonts w:eastAsiaTheme="minorEastAsia"/>
                <w:color w:val="000000" w:themeColor="text1"/>
                <w:szCs w:val="21"/>
              </w:rPr>
              <w:t>100.00</w:t>
            </w:r>
          </w:p>
        </w:tc>
      </w:tr>
    </w:tbl>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5.2 </w:t>
      </w:r>
      <w:r>
        <w:rPr>
          <w:rFonts w:eastAsiaTheme="minorEastAsia"/>
          <w:b/>
          <w:color w:val="000000" w:themeColor="text1"/>
          <w:kern w:val="0"/>
          <w:szCs w:val="21"/>
        </w:rPr>
        <w:t>报告期末按行业分类的股票投资组合</w:t>
      </w:r>
    </w:p>
    <w:p w:rsidR="00EF17D8" w:rsidRDefault="005E6346">
      <w:pPr>
        <w:rPr>
          <w:b/>
        </w:rPr>
      </w:pPr>
      <w:r>
        <w:rPr>
          <w:rFonts w:eastAsiaTheme="minorEastAsia" w:hint="eastAsia"/>
          <w:b/>
          <w:color w:val="000000" w:themeColor="text1"/>
          <w:kern w:val="0"/>
          <w:szCs w:val="21"/>
        </w:rPr>
        <w:t>5.2.1</w:t>
      </w:r>
      <w:r>
        <w:rPr>
          <w:rFonts w:eastAsiaTheme="minorEastAsia" w:hint="eastAsia"/>
          <w:b/>
          <w:color w:val="000000" w:themeColor="text1"/>
          <w:kern w:val="0"/>
          <w:szCs w:val="21"/>
        </w:rPr>
        <w:t>报告期末按行业分类的境内股票投资组合</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5.3 </w:t>
      </w:r>
      <w:r>
        <w:rPr>
          <w:rFonts w:eastAsiaTheme="minorEastAsia"/>
          <w:b/>
          <w:color w:val="000000" w:themeColor="text1"/>
          <w:kern w:val="0"/>
          <w:szCs w:val="21"/>
        </w:rPr>
        <w:t>报告期末按公允价值占基金资产净值比例大小排序的前十名股票投资明细</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本基金本报告期末未持有股票。</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5.4 </w:t>
      </w:r>
      <w:r>
        <w:rPr>
          <w:rFonts w:eastAsiaTheme="minorEastAsia"/>
          <w:b/>
          <w:color w:val="000000" w:themeColor="text1"/>
          <w:kern w:val="0"/>
          <w:szCs w:val="21"/>
        </w:rPr>
        <w:t>报告期末按债券品种分类的债券投资组合</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 xml:space="preserve">5.5 </w:t>
      </w:r>
      <w:r>
        <w:rPr>
          <w:rFonts w:eastAsiaTheme="minorEastAsia"/>
          <w:b/>
          <w:color w:val="000000" w:themeColor="text1"/>
          <w:kern w:val="0"/>
          <w:szCs w:val="21"/>
        </w:rPr>
        <w:t>报告期末按公允价值占基金资产净值比例大小排序的前五名债券投资明细</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本基金本报告期末未持有债券。</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5.6</w:t>
      </w:r>
      <w:r>
        <w:rPr>
          <w:rFonts w:eastAsiaTheme="minorEastAsia"/>
          <w:b/>
          <w:color w:val="000000" w:themeColor="text1"/>
          <w:kern w:val="0"/>
          <w:szCs w:val="21"/>
        </w:rPr>
        <w:t xml:space="preserve">　报告期末按公允价值占基金资产净值比例大小排序的前十名资产支持证券投资明细</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本基金本报告期末未持有资产支持证券。</w:t>
      </w:r>
    </w:p>
    <w:p w:rsidR="00EF17D8" w:rsidRDefault="005E6346" w:rsidP="00A06338">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 xml:space="preserve">5.7 </w:t>
      </w:r>
      <w:r>
        <w:rPr>
          <w:rFonts w:eastAsiaTheme="minorEastAsia"/>
          <w:b/>
          <w:bCs/>
          <w:color w:val="000000" w:themeColor="text1"/>
          <w:kern w:val="0"/>
          <w:szCs w:val="21"/>
        </w:rPr>
        <w:t>报告期末按公允价值占基金资产净值比例大小排序的前五名贵金属投资明细</w:t>
      </w:r>
    </w:p>
    <w:p w:rsidR="00EF17D8" w:rsidRDefault="005E6346">
      <w:pPr>
        <w:widowControl/>
        <w:spacing w:line="360" w:lineRule="auto"/>
        <w:ind w:firstLineChars="200" w:firstLine="420"/>
        <w:jc w:val="left"/>
        <w:rPr>
          <w:color w:val="000000" w:themeColor="text1"/>
          <w:szCs w:val="21"/>
        </w:rPr>
      </w:pPr>
      <w:r>
        <w:rPr>
          <w:color w:val="000000" w:themeColor="text1"/>
          <w:szCs w:val="21"/>
        </w:rPr>
        <w:t>本基金本报告期末未持有贵金属。</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5.8</w:t>
      </w:r>
      <w:r>
        <w:rPr>
          <w:rFonts w:eastAsiaTheme="minorEastAsia"/>
          <w:b/>
          <w:color w:val="000000" w:themeColor="text1"/>
          <w:kern w:val="0"/>
          <w:szCs w:val="21"/>
        </w:rPr>
        <w:t>报告期末按公允价值占基金资产净值比例大小排序的前五名权证投资明细</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本基金本报告期末未持有权证。</w:t>
      </w:r>
    </w:p>
    <w:p w:rsidR="00EF17D8" w:rsidRDefault="005E6346" w:rsidP="00A06338">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 xml:space="preserve">5.9 </w:t>
      </w:r>
      <w:r>
        <w:rPr>
          <w:rFonts w:eastAsiaTheme="minorEastAsia"/>
          <w:b/>
          <w:color w:val="000000" w:themeColor="text1"/>
          <w:szCs w:val="21"/>
        </w:rPr>
        <w:t>报告期末本基金投资的股指期货交易情况说明</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本基金本报告期末未持有股指期货。</w:t>
      </w:r>
    </w:p>
    <w:p w:rsidR="00EF17D8" w:rsidRDefault="005E6346" w:rsidP="00A06338">
      <w:pPr>
        <w:adjustRightInd w:val="0"/>
        <w:snapToGrid w:val="0"/>
        <w:spacing w:beforeLines="100" w:line="360" w:lineRule="auto"/>
        <w:rPr>
          <w:rFonts w:eastAsiaTheme="minorEastAsia"/>
          <w:b/>
          <w:color w:val="000000" w:themeColor="text1"/>
          <w:szCs w:val="21"/>
        </w:rPr>
      </w:pPr>
      <w:r>
        <w:rPr>
          <w:rFonts w:eastAsiaTheme="minorEastAsia"/>
          <w:b/>
          <w:color w:val="000000" w:themeColor="text1"/>
          <w:szCs w:val="21"/>
        </w:rPr>
        <w:t>5.10</w:t>
      </w:r>
      <w:r>
        <w:rPr>
          <w:rFonts w:eastAsiaTheme="minorEastAsia"/>
          <w:b/>
          <w:color w:val="000000" w:themeColor="text1"/>
          <w:szCs w:val="21"/>
        </w:rPr>
        <w:t>报告期末本基金投资的国债期货交易情况说明</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本基金本报告期末未持有国债期货。</w:t>
      </w:r>
    </w:p>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w:t>
      </w:r>
      <w:r>
        <w:rPr>
          <w:rFonts w:eastAsiaTheme="minorEastAsia"/>
          <w:b/>
          <w:color w:val="000000" w:themeColor="text1"/>
          <w:kern w:val="0"/>
          <w:szCs w:val="21"/>
        </w:rPr>
        <w:t>投资组合报告附注</w:t>
      </w:r>
    </w:p>
    <w:p w:rsidR="00EF17D8" w:rsidRDefault="005E6346">
      <w:pPr>
        <w:widowControl/>
        <w:spacing w:line="360" w:lineRule="auto"/>
        <w:rPr>
          <w:rFonts w:eastAsiaTheme="minorEastAsia"/>
          <w:color w:val="000000" w:themeColor="text1"/>
          <w:szCs w:val="21"/>
        </w:rPr>
      </w:pPr>
      <w:r>
        <w:rPr>
          <w:rFonts w:eastAsiaTheme="minorEastAsia"/>
          <w:color w:val="000000" w:themeColor="text1"/>
          <w:szCs w:val="21"/>
        </w:rPr>
        <w:t>5.11.1</w:t>
      </w:r>
      <w:r>
        <w:rPr>
          <w:rFonts w:eastAsiaTheme="minorEastAsia"/>
          <w:color w:val="000000" w:themeColor="text1"/>
          <w:szCs w:val="21"/>
        </w:rPr>
        <w:t>报告期内本基金投资的前十名证券的发行主体本期没有出现被监管部门立案调查，或在报告编制日前一年内受到公开谴责、处罚的情形。</w:t>
      </w:r>
    </w:p>
    <w:p w:rsidR="00EF17D8" w:rsidRDefault="005E6346">
      <w:pPr>
        <w:widowControl/>
        <w:spacing w:line="360" w:lineRule="auto"/>
        <w:rPr>
          <w:rFonts w:eastAsiaTheme="minorEastAsia"/>
          <w:color w:val="000000" w:themeColor="text1"/>
          <w:szCs w:val="21"/>
        </w:rPr>
      </w:pPr>
      <w:r>
        <w:rPr>
          <w:rFonts w:eastAsiaTheme="minorEastAsia"/>
          <w:color w:val="000000" w:themeColor="text1"/>
          <w:szCs w:val="21"/>
        </w:rPr>
        <w:t>5.11.2</w:t>
      </w:r>
      <w:r>
        <w:rPr>
          <w:rFonts w:eastAsiaTheme="minorEastAsia"/>
          <w:color w:val="000000" w:themeColor="text1"/>
          <w:szCs w:val="21"/>
        </w:rPr>
        <w:t>报告期内本基金投资的前十名股票中没有在基金合同规定备选股票库之外的股票。</w:t>
      </w:r>
    </w:p>
    <w:p w:rsidR="00EF17D8" w:rsidRDefault="005E6346">
      <w:pPr>
        <w:autoSpaceDE w:val="0"/>
        <w:autoSpaceDN w:val="0"/>
        <w:adjustRightInd w:val="0"/>
        <w:spacing w:line="360" w:lineRule="auto"/>
        <w:rPr>
          <w:rFonts w:eastAsiaTheme="minorEastAsia"/>
          <w:b/>
          <w:color w:val="000000" w:themeColor="text1"/>
          <w:kern w:val="0"/>
          <w:szCs w:val="21"/>
        </w:rPr>
      </w:pPr>
      <w:r>
        <w:rPr>
          <w:rFonts w:eastAsiaTheme="minorEastAsia"/>
          <w:b/>
          <w:color w:val="000000" w:themeColor="text1"/>
          <w:kern w:val="0"/>
          <w:szCs w:val="21"/>
        </w:rPr>
        <w:t>5.11.3</w:t>
      </w:r>
      <w:r>
        <w:rPr>
          <w:rFonts w:eastAsiaTheme="minorEastAsia" w:hint="eastAsia"/>
          <w:b/>
          <w:color w:val="000000" w:themeColor="text1"/>
          <w:kern w:val="0"/>
          <w:szCs w:val="21"/>
        </w:rPr>
        <w:t>其他资产构成</w:t>
      </w:r>
    </w:p>
    <w:tbl>
      <w:tblPr>
        <w:tblStyle w:val="af6"/>
        <w:tblW w:w="8679" w:type="dxa"/>
        <w:tblInd w:w="108" w:type="dxa"/>
        <w:tblLayout w:type="fixed"/>
        <w:tblLook w:val="04A0"/>
      </w:tblPr>
      <w:tblGrid>
        <w:gridCol w:w="1110"/>
        <w:gridCol w:w="2761"/>
        <w:gridCol w:w="4808"/>
      </w:tblGrid>
      <w:tr w:rsidR="00EF17D8">
        <w:tc>
          <w:tcPr>
            <w:tcW w:w="1110" w:type="dxa"/>
            <w:vAlign w:val="center"/>
          </w:tcPr>
          <w:p w:rsidR="00EF17D8" w:rsidRDefault="005E634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序号</w:t>
            </w:r>
          </w:p>
        </w:tc>
        <w:tc>
          <w:tcPr>
            <w:tcW w:w="2761" w:type="dxa"/>
            <w:vAlign w:val="center"/>
          </w:tcPr>
          <w:p w:rsidR="00EF17D8" w:rsidRDefault="005E634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名称</w:t>
            </w:r>
          </w:p>
        </w:tc>
        <w:tc>
          <w:tcPr>
            <w:tcW w:w="4808" w:type="dxa"/>
            <w:vAlign w:val="center"/>
          </w:tcPr>
          <w:p w:rsidR="00EF17D8" w:rsidRDefault="005E634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金额</w:t>
            </w:r>
            <w:r>
              <w:rPr>
                <w:rFonts w:eastAsiaTheme="minorEastAsia"/>
                <w:color w:val="000000" w:themeColor="text1"/>
                <w:kern w:val="0"/>
                <w:szCs w:val="21"/>
              </w:rPr>
              <w:t>(</w:t>
            </w:r>
            <w:r>
              <w:rPr>
                <w:rFonts w:eastAsiaTheme="minorEastAsia"/>
                <w:color w:val="000000" w:themeColor="text1"/>
                <w:kern w:val="0"/>
                <w:szCs w:val="21"/>
              </w:rPr>
              <w:t>元</w:t>
            </w:r>
            <w:r>
              <w:rPr>
                <w:rFonts w:eastAsiaTheme="minorEastAsia"/>
                <w:color w:val="000000" w:themeColor="text1"/>
                <w:kern w:val="0"/>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kern w:val="0"/>
                <w:szCs w:val="21"/>
              </w:rPr>
            </w:pPr>
            <w:r>
              <w:rPr>
                <w:rFonts w:eastAsiaTheme="minorEastAsia"/>
                <w:color w:val="000000" w:themeColor="text1"/>
                <w:szCs w:val="21"/>
              </w:rPr>
              <w:t>1</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存出保证金</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42.18</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2</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应收证券清算款</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3</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应收股利</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4</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应收利息</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334.80</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5</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应收申购款</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6</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其他应收款</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7</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szCs w:val="21"/>
              </w:rPr>
            </w:pPr>
            <w:r>
              <w:rPr>
                <w:rFonts w:eastAsiaTheme="minorEastAsia"/>
                <w:color w:val="000000" w:themeColor="text1"/>
                <w:szCs w:val="21"/>
              </w:rPr>
              <w:t>待摊费用</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szCs w:val="21"/>
              </w:rPr>
            </w:pPr>
            <w:r>
              <w:rPr>
                <w:rFonts w:eastAsiaTheme="minorEastAsia"/>
                <w:color w:val="000000" w:themeColor="text1"/>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8</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其他</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w:t>
            </w:r>
          </w:p>
        </w:tc>
      </w:tr>
      <w:tr w:rsidR="00EF17D8">
        <w:tc>
          <w:tcPr>
            <w:tcW w:w="1110" w:type="dxa"/>
            <w:vAlign w:val="center"/>
          </w:tcPr>
          <w:p w:rsidR="00EF17D8" w:rsidRDefault="005E6346">
            <w:pPr>
              <w:autoSpaceDE w:val="0"/>
              <w:autoSpaceDN w:val="0"/>
              <w:adjustRightInd w:val="0"/>
              <w:spacing w:before="29" w:line="360" w:lineRule="auto"/>
              <w:ind w:left="15"/>
              <w:jc w:val="center"/>
              <w:rPr>
                <w:rFonts w:eastAsiaTheme="minorEastAsia"/>
                <w:color w:val="000000" w:themeColor="text1"/>
                <w:szCs w:val="21"/>
              </w:rPr>
            </w:pPr>
            <w:r>
              <w:rPr>
                <w:rFonts w:eastAsiaTheme="minorEastAsia"/>
                <w:color w:val="000000" w:themeColor="text1"/>
                <w:szCs w:val="21"/>
              </w:rPr>
              <w:t>9</w:t>
            </w:r>
          </w:p>
        </w:tc>
        <w:tc>
          <w:tcPr>
            <w:tcW w:w="2761" w:type="dxa"/>
            <w:vAlign w:val="center"/>
          </w:tcPr>
          <w:p w:rsidR="00EF17D8" w:rsidRDefault="005E6346">
            <w:pPr>
              <w:autoSpaceDE w:val="0"/>
              <w:autoSpaceDN w:val="0"/>
              <w:adjustRightInd w:val="0"/>
              <w:spacing w:before="29" w:line="360" w:lineRule="auto"/>
              <w:ind w:left="15"/>
              <w:jc w:val="left"/>
              <w:rPr>
                <w:rFonts w:eastAsiaTheme="minorEastAsia"/>
                <w:color w:val="000000" w:themeColor="text1"/>
                <w:kern w:val="0"/>
                <w:szCs w:val="21"/>
              </w:rPr>
            </w:pPr>
            <w:r>
              <w:rPr>
                <w:rFonts w:eastAsiaTheme="minorEastAsia"/>
                <w:color w:val="000000" w:themeColor="text1"/>
                <w:kern w:val="0"/>
                <w:szCs w:val="21"/>
              </w:rPr>
              <w:t>合计</w:t>
            </w:r>
          </w:p>
        </w:tc>
        <w:tc>
          <w:tcPr>
            <w:tcW w:w="4808" w:type="dxa"/>
            <w:vAlign w:val="center"/>
          </w:tcPr>
          <w:p w:rsidR="00EF17D8" w:rsidRDefault="005E6346">
            <w:pPr>
              <w:autoSpaceDE w:val="0"/>
              <w:autoSpaceDN w:val="0"/>
              <w:adjustRightInd w:val="0"/>
              <w:spacing w:before="29" w:line="360" w:lineRule="auto"/>
              <w:ind w:left="15"/>
              <w:jc w:val="right"/>
              <w:rPr>
                <w:rFonts w:eastAsiaTheme="minorEastAsia"/>
                <w:color w:val="000000" w:themeColor="text1"/>
                <w:kern w:val="0"/>
                <w:szCs w:val="21"/>
              </w:rPr>
            </w:pPr>
            <w:r>
              <w:rPr>
                <w:rFonts w:eastAsiaTheme="minorEastAsia"/>
                <w:color w:val="000000" w:themeColor="text1"/>
                <w:kern w:val="0"/>
                <w:szCs w:val="21"/>
              </w:rPr>
              <w:t>376.98</w:t>
            </w:r>
          </w:p>
        </w:tc>
      </w:tr>
    </w:tbl>
    <w:p w:rsidR="00EF17D8" w:rsidRDefault="005E6346" w:rsidP="00A06338">
      <w:pPr>
        <w:autoSpaceDE w:val="0"/>
        <w:autoSpaceDN w:val="0"/>
        <w:adjustRightInd w:val="0"/>
        <w:spacing w:beforeLines="100" w:line="360" w:lineRule="auto"/>
        <w:jc w:val="left"/>
        <w:rPr>
          <w:rFonts w:eastAsiaTheme="minorEastAsia"/>
          <w:b/>
          <w:color w:val="000000" w:themeColor="text1"/>
          <w:kern w:val="0"/>
          <w:szCs w:val="21"/>
        </w:rPr>
      </w:pPr>
      <w:r>
        <w:rPr>
          <w:rFonts w:eastAsiaTheme="minorEastAsia"/>
          <w:b/>
          <w:color w:val="000000" w:themeColor="text1"/>
          <w:kern w:val="0"/>
          <w:szCs w:val="21"/>
        </w:rPr>
        <w:t>5.11.4</w:t>
      </w:r>
      <w:r>
        <w:rPr>
          <w:rFonts w:eastAsiaTheme="minorEastAsia"/>
          <w:b/>
          <w:color w:val="000000" w:themeColor="text1"/>
          <w:kern w:val="0"/>
          <w:szCs w:val="21"/>
        </w:rPr>
        <w:t>报告期末持有的处于转股期的可转换债券明细</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本基金本报告期末未持有处于转股期的可转换债券。</w:t>
      </w:r>
    </w:p>
    <w:p w:rsidR="00EF17D8" w:rsidRDefault="005E6346" w:rsidP="00A06338">
      <w:pPr>
        <w:autoSpaceDE w:val="0"/>
        <w:autoSpaceDN w:val="0"/>
        <w:adjustRightInd w:val="0"/>
        <w:spacing w:beforeLines="100" w:line="360" w:lineRule="auto"/>
        <w:jc w:val="left"/>
        <w:rPr>
          <w:rFonts w:eastAsiaTheme="minorEastAsia"/>
          <w:b/>
          <w:bCs/>
          <w:color w:val="000000" w:themeColor="text1"/>
          <w:szCs w:val="21"/>
        </w:rPr>
      </w:pPr>
      <w:r>
        <w:rPr>
          <w:rFonts w:eastAsiaTheme="minorEastAsia"/>
          <w:b/>
          <w:color w:val="000000" w:themeColor="text1"/>
          <w:kern w:val="0"/>
          <w:szCs w:val="21"/>
        </w:rPr>
        <w:t>5.11.5</w:t>
      </w:r>
      <w:r>
        <w:rPr>
          <w:rFonts w:eastAsiaTheme="minorEastAsia"/>
          <w:b/>
          <w:bCs/>
          <w:color w:val="000000" w:themeColor="text1"/>
          <w:szCs w:val="21"/>
        </w:rPr>
        <w:t>报告期末前十名股票中存在流通受限情况的说明</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本基金本报告期末前十名股票中不存在流通受限情况。</w:t>
      </w:r>
    </w:p>
    <w:p w:rsidR="00EF17D8" w:rsidRDefault="005E6346" w:rsidP="00A06338">
      <w:pPr>
        <w:spacing w:beforeLines="100" w:line="360" w:lineRule="auto"/>
        <w:rPr>
          <w:rFonts w:eastAsiaTheme="minorEastAsia"/>
          <w:b/>
          <w:color w:val="000000" w:themeColor="text1"/>
          <w:kern w:val="0"/>
          <w:szCs w:val="21"/>
        </w:rPr>
      </w:pPr>
      <w:r>
        <w:rPr>
          <w:rFonts w:eastAsiaTheme="minorEastAsia"/>
          <w:b/>
          <w:color w:val="000000" w:themeColor="text1"/>
          <w:kern w:val="0"/>
          <w:szCs w:val="21"/>
        </w:rPr>
        <w:t>5.11.6</w:t>
      </w:r>
      <w:r>
        <w:rPr>
          <w:rFonts w:eastAsiaTheme="minorEastAsia"/>
          <w:b/>
          <w:color w:val="000000" w:themeColor="text1"/>
          <w:kern w:val="0"/>
          <w:szCs w:val="21"/>
        </w:rPr>
        <w:t>投资组合报告附注的其他文字描述部分</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因四舍五入原因</w:t>
      </w:r>
      <w:r>
        <w:rPr>
          <w:rFonts w:eastAsiaTheme="minorEastAsia"/>
          <w:color w:val="000000" w:themeColor="text1"/>
          <w:szCs w:val="21"/>
        </w:rPr>
        <w:t>,</w:t>
      </w:r>
      <w:r>
        <w:rPr>
          <w:rFonts w:eastAsiaTheme="minorEastAsia"/>
          <w:color w:val="000000" w:themeColor="text1"/>
          <w:szCs w:val="21"/>
        </w:rPr>
        <w:t>投资组合报告中分项之和与合计可能存在尾差。</w:t>
      </w:r>
    </w:p>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§6  </w:t>
      </w:r>
      <w:r>
        <w:rPr>
          <w:rFonts w:eastAsiaTheme="minorEastAsia"/>
          <w:color w:val="000000" w:themeColor="text1"/>
          <w:kern w:val="0"/>
          <w:sz w:val="21"/>
          <w:szCs w:val="21"/>
        </w:rPr>
        <w:t>开放式基金份额变动</w:t>
      </w:r>
    </w:p>
    <w:p w:rsidR="00EF17D8" w:rsidRDefault="005E6346">
      <w:pPr>
        <w:autoSpaceDE w:val="0"/>
        <w:autoSpaceDN w:val="0"/>
        <w:adjustRightInd w:val="0"/>
        <w:spacing w:before="29" w:line="288" w:lineRule="auto"/>
        <w:ind w:left="15" w:right="480"/>
        <w:jc w:val="right"/>
        <w:rPr>
          <w:rFonts w:eastAsiaTheme="minorEastAsia"/>
          <w:color w:val="000000" w:themeColor="text1"/>
          <w:kern w:val="0"/>
          <w:szCs w:val="21"/>
        </w:rPr>
      </w:pPr>
      <w:r>
        <w:rPr>
          <w:rFonts w:eastAsiaTheme="minorEastAsia"/>
          <w:color w:val="000000" w:themeColor="text1"/>
          <w:kern w:val="0"/>
          <w:szCs w:val="21"/>
        </w:rPr>
        <w:t>单位：份</w:t>
      </w:r>
    </w:p>
    <w:tbl>
      <w:tblPr>
        <w:tblW w:w="8634" w:type="dxa"/>
        <w:tblInd w:w="108" w:type="dxa"/>
        <w:tblLayout w:type="fixed"/>
        <w:tblLook w:val="04A0"/>
      </w:tblPr>
      <w:tblGrid>
        <w:gridCol w:w="3900"/>
        <w:gridCol w:w="2367"/>
        <w:gridCol w:w="2367"/>
      </w:tblGrid>
      <w:tr w:rsidR="00EF17D8">
        <w:tc>
          <w:tcPr>
            <w:tcW w:w="3900"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center"/>
              <w:rPr>
                <w:rFonts w:eastAsiaTheme="minorEastAsia"/>
                <w:color w:val="000000" w:themeColor="text1"/>
                <w:kern w:val="0"/>
                <w:szCs w:val="21"/>
              </w:rPr>
            </w:pPr>
            <w:r>
              <w:rPr>
                <w:rFonts w:eastAsiaTheme="minorEastAsia"/>
                <w:color w:val="000000" w:themeColor="text1"/>
                <w:kern w:val="0"/>
                <w:szCs w:val="21"/>
              </w:rPr>
              <w:t>项目</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上投摩根安腾回报混合</w:t>
            </w:r>
            <w:r>
              <w:rPr>
                <w:rFonts w:eastAsiaTheme="minorEastAsia"/>
                <w:color w:val="000000" w:themeColor="text1"/>
                <w:szCs w:val="21"/>
              </w:rPr>
              <w:t>A</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上投摩根安腾回报混合</w:t>
            </w:r>
            <w:r>
              <w:rPr>
                <w:rFonts w:eastAsiaTheme="minorEastAsia"/>
                <w:color w:val="000000" w:themeColor="text1"/>
                <w:szCs w:val="21"/>
              </w:rPr>
              <w:t>C</w:t>
            </w:r>
          </w:p>
        </w:tc>
      </w:tr>
      <w:tr w:rsidR="00EF17D8">
        <w:tc>
          <w:tcPr>
            <w:tcW w:w="3900"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本报告期期初基金份额总额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2,398,856.50</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204,498,960.43</w:t>
            </w:r>
          </w:p>
        </w:tc>
      </w:tr>
      <w:tr w:rsidR="00EF17D8">
        <w:tc>
          <w:tcPr>
            <w:tcW w:w="3900"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报告期基金总申购份额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2,350.55</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997.41</w:t>
            </w:r>
          </w:p>
        </w:tc>
      </w:tr>
      <w:tr w:rsidR="00EF17D8">
        <w:tc>
          <w:tcPr>
            <w:tcW w:w="3900"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减：报告期基金总赎回份额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1,358,333.04</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203,773,175.84</w:t>
            </w:r>
          </w:p>
        </w:tc>
      </w:tr>
      <w:tr w:rsidR="00EF17D8">
        <w:tc>
          <w:tcPr>
            <w:tcW w:w="3900"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报告期基金拆分变动份额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w:t>
            </w:r>
          </w:p>
        </w:tc>
      </w:tr>
      <w:tr w:rsidR="00EF17D8">
        <w:tc>
          <w:tcPr>
            <w:tcW w:w="3900"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left"/>
              <w:rPr>
                <w:rFonts w:eastAsiaTheme="minorEastAsia"/>
                <w:color w:val="000000" w:themeColor="text1"/>
                <w:kern w:val="0"/>
                <w:szCs w:val="21"/>
              </w:rPr>
            </w:pPr>
            <w:r>
              <w:rPr>
                <w:rFonts w:eastAsiaTheme="minorEastAsia"/>
                <w:color w:val="000000" w:themeColor="text1"/>
                <w:kern w:val="0"/>
                <w:szCs w:val="21"/>
              </w:rPr>
              <w:t>本报告期期末基金份额总额</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1,042,874.01</w:t>
            </w:r>
          </w:p>
        </w:tc>
        <w:tc>
          <w:tcPr>
            <w:tcW w:w="2367" w:type="dxa"/>
            <w:tcBorders>
              <w:top w:val="single" w:sz="8" w:space="0" w:color="000000"/>
              <w:left w:val="single" w:sz="8" w:space="0" w:color="000000"/>
              <w:bottom w:val="single" w:sz="8" w:space="0" w:color="000000"/>
              <w:right w:val="single" w:sz="8" w:space="0" w:color="000000"/>
            </w:tcBorders>
            <w:vAlign w:val="center"/>
          </w:tcPr>
          <w:p w:rsidR="00EF17D8" w:rsidRDefault="005E6346">
            <w:pPr>
              <w:autoSpaceDE w:val="0"/>
              <w:autoSpaceDN w:val="0"/>
              <w:adjustRightInd w:val="0"/>
              <w:spacing w:before="29" w:line="360" w:lineRule="auto"/>
              <w:ind w:left="17"/>
              <w:jc w:val="right"/>
              <w:rPr>
                <w:rFonts w:eastAsiaTheme="minorEastAsia"/>
                <w:color w:val="000000" w:themeColor="text1"/>
                <w:szCs w:val="21"/>
              </w:rPr>
            </w:pPr>
            <w:r>
              <w:rPr>
                <w:rFonts w:eastAsiaTheme="minorEastAsia"/>
                <w:color w:val="000000" w:themeColor="text1"/>
                <w:szCs w:val="21"/>
              </w:rPr>
              <w:t>726,782.00</w:t>
            </w:r>
          </w:p>
        </w:tc>
      </w:tr>
    </w:tbl>
    <w:p w:rsidR="00EF17D8" w:rsidRDefault="005E6346" w:rsidP="00A06338">
      <w:pPr>
        <w:pStyle w:val="1"/>
        <w:tabs>
          <w:tab w:val="center" w:pos="4156"/>
          <w:tab w:val="right" w:pos="8312"/>
        </w:tabs>
        <w:spacing w:beforeLines="100" w:afterLines="100" w:line="360" w:lineRule="auto"/>
        <w:jc w:val="center"/>
        <w:rPr>
          <w:color w:val="000000" w:themeColor="text1"/>
          <w:sz w:val="21"/>
          <w:szCs w:val="21"/>
        </w:rPr>
      </w:pPr>
      <w:r>
        <w:rPr>
          <w:rFonts w:eastAsiaTheme="minorEastAsia"/>
          <w:color w:val="000000" w:themeColor="text1"/>
          <w:kern w:val="0"/>
          <w:sz w:val="21"/>
          <w:szCs w:val="21"/>
        </w:rPr>
        <w:t>§7</w:t>
      </w:r>
      <w:r>
        <w:rPr>
          <w:rFonts w:hint="eastAsia"/>
          <w:color w:val="000000"/>
          <w:sz w:val="21"/>
          <w:szCs w:val="21"/>
          <w:shd w:val="clear" w:color="auto" w:fill="FFFFFF"/>
        </w:rPr>
        <w:t>基金管理人运用固有资金投资本基金情况</w:t>
      </w:r>
    </w:p>
    <w:p w:rsidR="00EF17D8" w:rsidRDefault="005E6346">
      <w:pPr>
        <w:spacing w:line="360" w:lineRule="auto"/>
        <w:jc w:val="left"/>
        <w:rPr>
          <w:color w:val="000000" w:themeColor="text1"/>
          <w:szCs w:val="21"/>
        </w:rPr>
      </w:pPr>
      <w:r>
        <w:rPr>
          <w:b/>
          <w:color w:val="000000" w:themeColor="text1"/>
          <w:szCs w:val="21"/>
        </w:rPr>
        <w:t>7.1</w:t>
      </w:r>
      <w:r>
        <w:rPr>
          <w:rFonts w:eastAsiaTheme="minorEastAsia" w:hint="eastAsia"/>
          <w:b/>
          <w:bCs/>
          <w:color w:val="000000" w:themeColor="text1"/>
          <w:kern w:val="44"/>
          <w:szCs w:val="21"/>
        </w:rPr>
        <w:t>基金管理人持有本基金份额变动情况</w:t>
      </w:r>
    </w:p>
    <w:p w:rsidR="00EF17D8" w:rsidRDefault="005E6346">
      <w:pPr>
        <w:autoSpaceDE w:val="0"/>
        <w:autoSpaceDN w:val="0"/>
        <w:adjustRightInd w:val="0"/>
        <w:spacing w:line="360" w:lineRule="auto"/>
        <w:ind w:firstLineChars="200" w:firstLine="420"/>
        <w:jc w:val="left"/>
        <w:rPr>
          <w:rFonts w:eastAsiaTheme="minorEastAsia"/>
          <w:color w:val="000000" w:themeColor="text1"/>
          <w:szCs w:val="21"/>
        </w:rPr>
      </w:pPr>
      <w:r>
        <w:rPr>
          <w:rFonts w:eastAsiaTheme="minorEastAsia"/>
          <w:color w:val="000000" w:themeColor="text1"/>
          <w:szCs w:val="21"/>
        </w:rPr>
        <w:t>无。</w:t>
      </w:r>
    </w:p>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§8 </w:t>
      </w:r>
      <w:r>
        <w:rPr>
          <w:rFonts w:eastAsiaTheme="minorEastAsia"/>
          <w:color w:val="000000" w:themeColor="text1"/>
          <w:kern w:val="0"/>
          <w:sz w:val="21"/>
          <w:szCs w:val="21"/>
        </w:rPr>
        <w:t>影响投资者决策的其他重要信息</w:t>
      </w:r>
    </w:p>
    <w:p w:rsidR="00EF17D8" w:rsidRDefault="005E6346">
      <w:pPr>
        <w:autoSpaceDE w:val="0"/>
        <w:autoSpaceDN w:val="0"/>
        <w:adjustRightInd w:val="0"/>
        <w:spacing w:line="360" w:lineRule="auto"/>
        <w:jc w:val="left"/>
        <w:rPr>
          <w:rFonts w:ascii="宋体" w:hAnsi="宋体"/>
          <w:b/>
          <w:bCs/>
          <w:color w:val="000000"/>
          <w:kern w:val="0"/>
          <w:szCs w:val="21"/>
        </w:rPr>
      </w:pPr>
      <w:r>
        <w:rPr>
          <w:rFonts w:ascii="宋体" w:hAnsi="宋体"/>
          <w:b/>
          <w:bCs/>
          <w:color w:val="000000"/>
          <w:kern w:val="0"/>
          <w:szCs w:val="21"/>
        </w:rPr>
        <w:t>8.</w:t>
      </w:r>
      <w:r>
        <w:rPr>
          <w:rFonts w:ascii="宋体" w:hAnsi="宋体" w:hint="eastAsia"/>
          <w:b/>
          <w:bCs/>
          <w:color w:val="000000"/>
          <w:kern w:val="0"/>
          <w:szCs w:val="21"/>
        </w:rPr>
        <w:t>1 报告期内单一投资者持有基金份额比例达到或超过20%的情况</w:t>
      </w:r>
    </w:p>
    <w:tbl>
      <w:tblPr>
        <w:tblW w:w="921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3"/>
        <w:gridCol w:w="992"/>
        <w:gridCol w:w="1843"/>
        <w:gridCol w:w="851"/>
        <w:gridCol w:w="850"/>
        <w:gridCol w:w="1134"/>
        <w:gridCol w:w="1419"/>
        <w:gridCol w:w="1130"/>
      </w:tblGrid>
      <w:tr w:rsidR="00EF17D8">
        <w:tc>
          <w:tcPr>
            <w:tcW w:w="993" w:type="dxa"/>
            <w:vMerge w:val="restart"/>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投资者类别</w:t>
            </w:r>
          </w:p>
        </w:tc>
        <w:tc>
          <w:tcPr>
            <w:tcW w:w="5670" w:type="dxa"/>
            <w:gridSpan w:val="5"/>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报告期内持有基金份额变化情况</w:t>
            </w:r>
          </w:p>
        </w:tc>
        <w:tc>
          <w:tcPr>
            <w:tcW w:w="2549" w:type="dxa"/>
            <w:gridSpan w:val="2"/>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报告期末持有基金情况</w:t>
            </w:r>
          </w:p>
        </w:tc>
      </w:tr>
      <w:tr w:rsidR="00EF17D8">
        <w:tc>
          <w:tcPr>
            <w:tcW w:w="993" w:type="dxa"/>
            <w:vMerge/>
            <w:vAlign w:val="center"/>
          </w:tcPr>
          <w:p w:rsidR="00EF17D8" w:rsidRDefault="00EF17D8">
            <w:pPr>
              <w:autoSpaceDE w:val="0"/>
              <w:autoSpaceDN w:val="0"/>
              <w:adjustRightInd w:val="0"/>
              <w:jc w:val="center"/>
              <w:rPr>
                <w:rFonts w:ascii="宋体" w:hAnsi="宋体"/>
                <w:b/>
                <w:bCs/>
                <w:color w:val="000000"/>
                <w:kern w:val="0"/>
                <w:szCs w:val="21"/>
              </w:rPr>
            </w:pPr>
          </w:p>
        </w:tc>
        <w:tc>
          <w:tcPr>
            <w:tcW w:w="992" w:type="dxa"/>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序号</w:t>
            </w:r>
          </w:p>
        </w:tc>
        <w:tc>
          <w:tcPr>
            <w:tcW w:w="1843" w:type="dxa"/>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持有基金份额比例达到或者超过20%的时间区间</w:t>
            </w:r>
          </w:p>
        </w:tc>
        <w:tc>
          <w:tcPr>
            <w:tcW w:w="851" w:type="dxa"/>
            <w:vAlign w:val="center"/>
          </w:tcPr>
          <w:p w:rsidR="00EF17D8" w:rsidRDefault="005E6346">
            <w:pPr>
              <w:widowControl/>
              <w:jc w:val="center"/>
              <w:rPr>
                <w:rFonts w:ascii="宋体" w:hAnsi="宋体"/>
                <w:b/>
                <w:bCs/>
                <w:color w:val="000000"/>
                <w:kern w:val="0"/>
                <w:szCs w:val="21"/>
              </w:rPr>
            </w:pPr>
            <w:r>
              <w:rPr>
                <w:rFonts w:ascii="宋体" w:hAnsi="宋体" w:hint="eastAsia"/>
                <w:color w:val="000000"/>
                <w:kern w:val="0"/>
                <w:szCs w:val="21"/>
              </w:rPr>
              <w:t>期初份额</w:t>
            </w:r>
          </w:p>
        </w:tc>
        <w:tc>
          <w:tcPr>
            <w:tcW w:w="850" w:type="dxa"/>
            <w:vAlign w:val="center"/>
          </w:tcPr>
          <w:p w:rsidR="00EF17D8" w:rsidRDefault="005E6346">
            <w:pPr>
              <w:widowControl/>
              <w:jc w:val="center"/>
              <w:rPr>
                <w:rFonts w:ascii="宋体" w:hAnsi="宋体"/>
                <w:b/>
                <w:bCs/>
                <w:color w:val="000000"/>
                <w:kern w:val="0"/>
                <w:szCs w:val="21"/>
              </w:rPr>
            </w:pPr>
            <w:r>
              <w:rPr>
                <w:rFonts w:ascii="宋体" w:hAnsi="宋体" w:hint="eastAsia"/>
                <w:color w:val="000000"/>
                <w:kern w:val="0"/>
                <w:szCs w:val="21"/>
              </w:rPr>
              <w:t>申购份额</w:t>
            </w:r>
          </w:p>
        </w:tc>
        <w:tc>
          <w:tcPr>
            <w:tcW w:w="1134" w:type="dxa"/>
            <w:vAlign w:val="center"/>
          </w:tcPr>
          <w:p w:rsidR="00EF17D8" w:rsidRDefault="005E6346">
            <w:pPr>
              <w:widowControl/>
              <w:jc w:val="center"/>
              <w:rPr>
                <w:rFonts w:ascii="宋体" w:hAnsi="宋体"/>
                <w:b/>
                <w:bCs/>
                <w:color w:val="000000"/>
                <w:kern w:val="0"/>
                <w:szCs w:val="21"/>
              </w:rPr>
            </w:pPr>
            <w:r>
              <w:rPr>
                <w:rFonts w:ascii="宋体" w:hAnsi="宋体" w:hint="eastAsia"/>
                <w:color w:val="000000"/>
                <w:kern w:val="0"/>
                <w:szCs w:val="21"/>
              </w:rPr>
              <w:t>赎回份额</w:t>
            </w:r>
          </w:p>
        </w:tc>
        <w:tc>
          <w:tcPr>
            <w:tcW w:w="1419" w:type="dxa"/>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持有份额</w:t>
            </w:r>
          </w:p>
        </w:tc>
        <w:tc>
          <w:tcPr>
            <w:tcW w:w="1130" w:type="dxa"/>
            <w:vAlign w:val="center"/>
          </w:tcPr>
          <w:p w:rsidR="00EF17D8" w:rsidRDefault="005E6346">
            <w:pPr>
              <w:autoSpaceDE w:val="0"/>
              <w:autoSpaceDN w:val="0"/>
              <w:adjustRightInd w:val="0"/>
              <w:jc w:val="center"/>
              <w:rPr>
                <w:rFonts w:ascii="宋体" w:hAnsi="宋体"/>
                <w:b/>
                <w:bCs/>
                <w:color w:val="000000"/>
                <w:kern w:val="0"/>
                <w:szCs w:val="21"/>
              </w:rPr>
            </w:pPr>
            <w:r>
              <w:rPr>
                <w:rFonts w:ascii="宋体" w:hAnsi="宋体" w:hint="eastAsia"/>
                <w:color w:val="000000"/>
                <w:kern w:val="0"/>
                <w:szCs w:val="21"/>
              </w:rPr>
              <w:t>份额占比</w:t>
            </w:r>
          </w:p>
        </w:tc>
      </w:tr>
      <w:tr w:rsidR="00EF17D8">
        <w:tc>
          <w:tcPr>
            <w:tcW w:w="993" w:type="dxa"/>
            <w:vMerge w:val="restart"/>
          </w:tcPr>
          <w:p w:rsidR="00EF17D8" w:rsidRDefault="00EF17D8"/>
          <w:p w:rsidR="00EF17D8" w:rsidRDefault="005E6346">
            <w:r>
              <w:rPr>
                <w:rFonts w:ascii="宋体" w:hAnsi="宋体" w:hint="eastAsia"/>
                <w:bCs/>
                <w:color w:val="000000"/>
                <w:kern w:val="0"/>
                <w:szCs w:val="21"/>
              </w:rPr>
              <w:t>机构</w:t>
            </w:r>
          </w:p>
        </w:tc>
        <w:tc>
          <w:tcPr>
            <w:tcW w:w="992" w:type="dxa"/>
            <w:vAlign w:val="center"/>
          </w:tcPr>
          <w:p w:rsidR="00EF17D8" w:rsidRDefault="005E6346">
            <w:pPr>
              <w:jc w:val="center"/>
            </w:pPr>
            <w:r>
              <w:rPr>
                <w:rFonts w:ascii="宋体" w:hAnsi="宋体"/>
                <w:color w:val="000000"/>
                <w:kern w:val="0"/>
                <w:szCs w:val="21"/>
              </w:rPr>
              <w:t>1</w:t>
            </w:r>
          </w:p>
        </w:tc>
        <w:tc>
          <w:tcPr>
            <w:tcW w:w="1843" w:type="dxa"/>
            <w:vAlign w:val="center"/>
          </w:tcPr>
          <w:p w:rsidR="00EF17D8" w:rsidRDefault="005E6346">
            <w:pPr>
              <w:jc w:val="center"/>
            </w:pPr>
            <w:r>
              <w:rPr>
                <w:rFonts w:ascii="宋体" w:hAnsi="宋体"/>
                <w:color w:val="000000"/>
                <w:kern w:val="0"/>
                <w:szCs w:val="21"/>
              </w:rPr>
              <w:t>20180502-20180603</w:t>
            </w:r>
          </w:p>
        </w:tc>
        <w:tc>
          <w:tcPr>
            <w:tcW w:w="851" w:type="dxa"/>
            <w:vAlign w:val="center"/>
          </w:tcPr>
          <w:p w:rsidR="00EF17D8" w:rsidRDefault="005E6346">
            <w:pPr>
              <w:jc w:val="center"/>
            </w:pPr>
            <w:r>
              <w:rPr>
                <w:rFonts w:ascii="宋体" w:hAnsi="宋体"/>
                <w:color w:val="000000"/>
                <w:kern w:val="0"/>
                <w:szCs w:val="21"/>
              </w:rPr>
              <w:t>2,020,567.84</w:t>
            </w:r>
          </w:p>
        </w:tc>
        <w:tc>
          <w:tcPr>
            <w:tcW w:w="850" w:type="dxa"/>
            <w:vAlign w:val="center"/>
          </w:tcPr>
          <w:p w:rsidR="00EF17D8" w:rsidRDefault="005E6346">
            <w:pPr>
              <w:jc w:val="center"/>
            </w:pPr>
            <w:r>
              <w:rPr>
                <w:rFonts w:ascii="宋体" w:hAnsi="宋体"/>
                <w:color w:val="000000"/>
                <w:kern w:val="0"/>
                <w:szCs w:val="21"/>
              </w:rPr>
              <w:t>0.00</w:t>
            </w:r>
          </w:p>
        </w:tc>
        <w:tc>
          <w:tcPr>
            <w:tcW w:w="1134" w:type="dxa"/>
            <w:vAlign w:val="center"/>
          </w:tcPr>
          <w:p w:rsidR="00EF17D8" w:rsidRDefault="005E6346">
            <w:pPr>
              <w:jc w:val="center"/>
            </w:pPr>
            <w:r>
              <w:rPr>
                <w:rFonts w:ascii="宋体" w:hAnsi="宋体"/>
                <w:color w:val="000000"/>
                <w:kern w:val="0"/>
                <w:szCs w:val="21"/>
              </w:rPr>
              <w:t>2,020,567.84</w:t>
            </w:r>
          </w:p>
        </w:tc>
        <w:tc>
          <w:tcPr>
            <w:tcW w:w="1419" w:type="dxa"/>
            <w:vAlign w:val="center"/>
          </w:tcPr>
          <w:p w:rsidR="00EF17D8" w:rsidRDefault="005E6346">
            <w:pPr>
              <w:jc w:val="center"/>
            </w:pPr>
            <w:r>
              <w:rPr>
                <w:rFonts w:ascii="宋体" w:hAnsi="宋体"/>
                <w:color w:val="000000"/>
                <w:kern w:val="0"/>
                <w:szCs w:val="21"/>
              </w:rPr>
              <w:t>0.00</w:t>
            </w:r>
          </w:p>
        </w:tc>
        <w:tc>
          <w:tcPr>
            <w:tcW w:w="1130" w:type="dxa"/>
            <w:vAlign w:val="center"/>
          </w:tcPr>
          <w:p w:rsidR="00EF17D8" w:rsidRDefault="005E6346">
            <w:pPr>
              <w:jc w:val="center"/>
            </w:pPr>
            <w:r>
              <w:rPr>
                <w:rFonts w:ascii="宋体" w:hAnsi="宋体"/>
                <w:color w:val="000000"/>
                <w:kern w:val="0"/>
                <w:szCs w:val="21"/>
              </w:rPr>
              <w:t>0.00%</w:t>
            </w:r>
          </w:p>
        </w:tc>
      </w:tr>
      <w:tr w:rsidR="00EF17D8">
        <w:tc>
          <w:tcPr>
            <w:tcW w:w="993" w:type="dxa"/>
            <w:vMerge/>
          </w:tcPr>
          <w:p w:rsidR="00EF17D8" w:rsidRDefault="00EF17D8"/>
        </w:tc>
        <w:tc>
          <w:tcPr>
            <w:tcW w:w="992" w:type="dxa"/>
            <w:vAlign w:val="center"/>
          </w:tcPr>
          <w:p w:rsidR="00EF17D8" w:rsidRDefault="005E6346">
            <w:pPr>
              <w:jc w:val="center"/>
            </w:pPr>
            <w:r>
              <w:rPr>
                <w:rFonts w:ascii="宋体" w:hAnsi="宋体"/>
                <w:color w:val="000000"/>
                <w:kern w:val="0"/>
                <w:szCs w:val="21"/>
              </w:rPr>
              <w:t>2</w:t>
            </w:r>
          </w:p>
        </w:tc>
        <w:tc>
          <w:tcPr>
            <w:tcW w:w="1843" w:type="dxa"/>
            <w:vAlign w:val="center"/>
          </w:tcPr>
          <w:p w:rsidR="00EF17D8" w:rsidRDefault="005E6346">
            <w:pPr>
              <w:jc w:val="center"/>
            </w:pPr>
            <w:r>
              <w:rPr>
                <w:rFonts w:ascii="宋体" w:hAnsi="宋体"/>
                <w:color w:val="000000"/>
                <w:kern w:val="0"/>
                <w:szCs w:val="21"/>
              </w:rPr>
              <w:t>20180401-20180501</w:t>
            </w:r>
          </w:p>
        </w:tc>
        <w:tc>
          <w:tcPr>
            <w:tcW w:w="851" w:type="dxa"/>
            <w:vAlign w:val="center"/>
          </w:tcPr>
          <w:p w:rsidR="00EF17D8" w:rsidRDefault="005E6346">
            <w:pPr>
              <w:jc w:val="center"/>
            </w:pPr>
            <w:r>
              <w:rPr>
                <w:rFonts w:ascii="宋体" w:hAnsi="宋体"/>
                <w:color w:val="000000"/>
                <w:kern w:val="0"/>
                <w:szCs w:val="21"/>
              </w:rPr>
              <w:t>50,003,000.00</w:t>
            </w:r>
          </w:p>
        </w:tc>
        <w:tc>
          <w:tcPr>
            <w:tcW w:w="850" w:type="dxa"/>
            <w:vAlign w:val="center"/>
          </w:tcPr>
          <w:p w:rsidR="00EF17D8" w:rsidRDefault="005E6346">
            <w:pPr>
              <w:jc w:val="center"/>
            </w:pPr>
            <w:r>
              <w:rPr>
                <w:rFonts w:ascii="宋体" w:hAnsi="宋体"/>
                <w:color w:val="000000"/>
                <w:kern w:val="0"/>
                <w:szCs w:val="21"/>
              </w:rPr>
              <w:t>0.00</w:t>
            </w:r>
          </w:p>
        </w:tc>
        <w:tc>
          <w:tcPr>
            <w:tcW w:w="1134" w:type="dxa"/>
            <w:vAlign w:val="center"/>
          </w:tcPr>
          <w:p w:rsidR="00EF17D8" w:rsidRDefault="005E6346">
            <w:pPr>
              <w:jc w:val="center"/>
            </w:pPr>
            <w:r>
              <w:rPr>
                <w:rFonts w:ascii="宋体" w:hAnsi="宋体"/>
                <w:color w:val="000000"/>
                <w:kern w:val="0"/>
                <w:szCs w:val="21"/>
              </w:rPr>
              <w:t>50,003,000.00</w:t>
            </w:r>
          </w:p>
        </w:tc>
        <w:tc>
          <w:tcPr>
            <w:tcW w:w="1419" w:type="dxa"/>
            <w:vAlign w:val="center"/>
          </w:tcPr>
          <w:p w:rsidR="00EF17D8" w:rsidRDefault="005E6346">
            <w:pPr>
              <w:jc w:val="center"/>
            </w:pPr>
            <w:r>
              <w:rPr>
                <w:rFonts w:ascii="宋体" w:hAnsi="宋体"/>
                <w:color w:val="000000"/>
                <w:kern w:val="0"/>
                <w:szCs w:val="21"/>
              </w:rPr>
              <w:t>0.00</w:t>
            </w:r>
          </w:p>
        </w:tc>
        <w:tc>
          <w:tcPr>
            <w:tcW w:w="1130" w:type="dxa"/>
            <w:vAlign w:val="center"/>
          </w:tcPr>
          <w:p w:rsidR="00EF17D8" w:rsidRDefault="005E6346">
            <w:pPr>
              <w:jc w:val="center"/>
            </w:pPr>
            <w:r>
              <w:rPr>
                <w:rFonts w:ascii="宋体" w:hAnsi="宋体"/>
                <w:color w:val="000000"/>
                <w:kern w:val="0"/>
                <w:szCs w:val="21"/>
              </w:rPr>
              <w:t>0.00%</w:t>
            </w:r>
          </w:p>
        </w:tc>
      </w:tr>
      <w:tr w:rsidR="00EF17D8">
        <w:tc>
          <w:tcPr>
            <w:tcW w:w="993" w:type="dxa"/>
            <w:vMerge w:val="restart"/>
          </w:tcPr>
          <w:p w:rsidR="00EF17D8" w:rsidRDefault="00EF17D8"/>
          <w:p w:rsidR="00EF17D8" w:rsidRDefault="005E6346">
            <w:r>
              <w:rPr>
                <w:rFonts w:ascii="宋体" w:hAnsi="宋体" w:hint="eastAsia"/>
                <w:bCs/>
                <w:color w:val="000000"/>
                <w:kern w:val="0"/>
                <w:szCs w:val="21"/>
              </w:rPr>
              <w:t>个人</w:t>
            </w:r>
          </w:p>
        </w:tc>
        <w:tc>
          <w:tcPr>
            <w:tcW w:w="992" w:type="dxa"/>
            <w:vAlign w:val="center"/>
          </w:tcPr>
          <w:p w:rsidR="00EF17D8" w:rsidRDefault="005E6346">
            <w:pPr>
              <w:jc w:val="center"/>
            </w:pPr>
            <w:r>
              <w:rPr>
                <w:rFonts w:ascii="宋体" w:hAnsi="宋体"/>
                <w:kern w:val="0"/>
                <w:szCs w:val="21"/>
              </w:rPr>
              <w:t>1</w:t>
            </w:r>
          </w:p>
        </w:tc>
        <w:tc>
          <w:tcPr>
            <w:tcW w:w="1843" w:type="dxa"/>
            <w:vAlign w:val="center"/>
          </w:tcPr>
          <w:p w:rsidR="00EF17D8" w:rsidRDefault="005E6346">
            <w:pPr>
              <w:jc w:val="center"/>
            </w:pPr>
            <w:r>
              <w:rPr>
                <w:rFonts w:ascii="宋体" w:hAnsi="宋体"/>
                <w:kern w:val="0"/>
                <w:szCs w:val="21"/>
              </w:rPr>
              <w:t>20180502-20180527</w:t>
            </w:r>
          </w:p>
        </w:tc>
        <w:tc>
          <w:tcPr>
            <w:tcW w:w="851" w:type="dxa"/>
            <w:vAlign w:val="center"/>
          </w:tcPr>
          <w:p w:rsidR="00EF17D8" w:rsidRDefault="005E6346">
            <w:pPr>
              <w:jc w:val="center"/>
            </w:pPr>
            <w:r>
              <w:rPr>
                <w:rFonts w:ascii="宋体" w:hAnsi="宋体"/>
                <w:kern w:val="0"/>
                <w:szCs w:val="21"/>
              </w:rPr>
              <w:t>996,275.94</w:t>
            </w:r>
          </w:p>
        </w:tc>
        <w:tc>
          <w:tcPr>
            <w:tcW w:w="850" w:type="dxa"/>
            <w:vAlign w:val="center"/>
          </w:tcPr>
          <w:p w:rsidR="00EF17D8" w:rsidRDefault="005E6346">
            <w:pPr>
              <w:jc w:val="center"/>
            </w:pPr>
            <w:r>
              <w:rPr>
                <w:rFonts w:ascii="宋体" w:hAnsi="宋体"/>
                <w:kern w:val="0"/>
                <w:szCs w:val="21"/>
              </w:rPr>
              <w:t>0.00</w:t>
            </w:r>
          </w:p>
        </w:tc>
        <w:tc>
          <w:tcPr>
            <w:tcW w:w="1134" w:type="dxa"/>
            <w:vAlign w:val="center"/>
          </w:tcPr>
          <w:p w:rsidR="00EF17D8" w:rsidRDefault="005E6346">
            <w:pPr>
              <w:jc w:val="center"/>
            </w:pPr>
            <w:r>
              <w:rPr>
                <w:rFonts w:ascii="宋体" w:hAnsi="宋体"/>
                <w:kern w:val="0"/>
                <w:szCs w:val="21"/>
              </w:rPr>
              <w:t>500,000.00</w:t>
            </w:r>
          </w:p>
        </w:tc>
        <w:tc>
          <w:tcPr>
            <w:tcW w:w="1419" w:type="dxa"/>
            <w:vAlign w:val="center"/>
          </w:tcPr>
          <w:p w:rsidR="00EF17D8" w:rsidRDefault="005E6346">
            <w:pPr>
              <w:jc w:val="center"/>
            </w:pPr>
            <w:r>
              <w:rPr>
                <w:rFonts w:ascii="宋体" w:hAnsi="宋体"/>
                <w:kern w:val="0"/>
                <w:szCs w:val="21"/>
              </w:rPr>
              <w:t>496,275.94</w:t>
            </w:r>
          </w:p>
        </w:tc>
        <w:tc>
          <w:tcPr>
            <w:tcW w:w="1130" w:type="dxa"/>
            <w:vAlign w:val="center"/>
          </w:tcPr>
          <w:p w:rsidR="00EF17D8" w:rsidRDefault="005E6346">
            <w:pPr>
              <w:jc w:val="center"/>
            </w:pPr>
            <w:r>
              <w:rPr>
                <w:rFonts w:ascii="宋体" w:hAnsi="宋体"/>
                <w:kern w:val="0"/>
                <w:szCs w:val="21"/>
              </w:rPr>
              <w:t>28.04%</w:t>
            </w:r>
          </w:p>
        </w:tc>
      </w:tr>
      <w:tr w:rsidR="00EF17D8">
        <w:tc>
          <w:tcPr>
            <w:tcW w:w="993" w:type="dxa"/>
            <w:vMerge/>
          </w:tcPr>
          <w:p w:rsidR="00EF17D8" w:rsidRDefault="00EF17D8"/>
        </w:tc>
        <w:tc>
          <w:tcPr>
            <w:tcW w:w="992" w:type="dxa"/>
            <w:vAlign w:val="center"/>
          </w:tcPr>
          <w:p w:rsidR="00EF17D8" w:rsidRDefault="005E6346">
            <w:pPr>
              <w:jc w:val="center"/>
            </w:pPr>
            <w:r>
              <w:rPr>
                <w:rFonts w:ascii="宋体" w:hAnsi="宋体"/>
                <w:kern w:val="0"/>
                <w:szCs w:val="21"/>
              </w:rPr>
              <w:t>2</w:t>
            </w:r>
          </w:p>
        </w:tc>
        <w:tc>
          <w:tcPr>
            <w:tcW w:w="1843" w:type="dxa"/>
            <w:vAlign w:val="center"/>
          </w:tcPr>
          <w:p w:rsidR="00EF17D8" w:rsidRDefault="005E6346">
            <w:pPr>
              <w:jc w:val="center"/>
            </w:pPr>
            <w:r>
              <w:rPr>
                <w:rFonts w:ascii="宋体" w:hAnsi="宋体"/>
                <w:kern w:val="0"/>
                <w:szCs w:val="21"/>
              </w:rPr>
              <w:t>20180604-20180630</w:t>
            </w:r>
          </w:p>
        </w:tc>
        <w:tc>
          <w:tcPr>
            <w:tcW w:w="851" w:type="dxa"/>
            <w:vAlign w:val="center"/>
          </w:tcPr>
          <w:p w:rsidR="00EF17D8" w:rsidRDefault="005E6346">
            <w:pPr>
              <w:jc w:val="center"/>
            </w:pPr>
            <w:r>
              <w:rPr>
                <w:rFonts w:ascii="宋体" w:hAnsi="宋体"/>
                <w:kern w:val="0"/>
                <w:szCs w:val="21"/>
              </w:rPr>
              <w:t>996,275.94</w:t>
            </w:r>
          </w:p>
        </w:tc>
        <w:tc>
          <w:tcPr>
            <w:tcW w:w="850" w:type="dxa"/>
            <w:vAlign w:val="center"/>
          </w:tcPr>
          <w:p w:rsidR="00EF17D8" w:rsidRDefault="005E6346">
            <w:pPr>
              <w:jc w:val="center"/>
            </w:pPr>
            <w:r>
              <w:rPr>
                <w:rFonts w:ascii="宋体" w:hAnsi="宋体"/>
                <w:kern w:val="0"/>
                <w:szCs w:val="21"/>
              </w:rPr>
              <w:t>0.00</w:t>
            </w:r>
          </w:p>
        </w:tc>
        <w:tc>
          <w:tcPr>
            <w:tcW w:w="1134" w:type="dxa"/>
            <w:vAlign w:val="center"/>
          </w:tcPr>
          <w:p w:rsidR="00EF17D8" w:rsidRDefault="005E6346">
            <w:pPr>
              <w:jc w:val="center"/>
            </w:pPr>
            <w:r>
              <w:rPr>
                <w:rFonts w:ascii="宋体" w:hAnsi="宋体"/>
                <w:kern w:val="0"/>
                <w:szCs w:val="21"/>
              </w:rPr>
              <w:t>500,000.00</w:t>
            </w:r>
          </w:p>
        </w:tc>
        <w:tc>
          <w:tcPr>
            <w:tcW w:w="1419" w:type="dxa"/>
            <w:vAlign w:val="center"/>
          </w:tcPr>
          <w:p w:rsidR="00EF17D8" w:rsidRDefault="005E6346">
            <w:pPr>
              <w:jc w:val="center"/>
            </w:pPr>
            <w:r>
              <w:rPr>
                <w:rFonts w:ascii="宋体" w:hAnsi="宋体"/>
                <w:kern w:val="0"/>
                <w:szCs w:val="21"/>
              </w:rPr>
              <w:t>496,275.94</w:t>
            </w:r>
          </w:p>
        </w:tc>
        <w:tc>
          <w:tcPr>
            <w:tcW w:w="1130" w:type="dxa"/>
            <w:vAlign w:val="center"/>
          </w:tcPr>
          <w:p w:rsidR="00EF17D8" w:rsidRDefault="005E6346">
            <w:pPr>
              <w:jc w:val="center"/>
            </w:pPr>
            <w:r>
              <w:rPr>
                <w:rFonts w:ascii="宋体" w:hAnsi="宋体"/>
                <w:kern w:val="0"/>
                <w:szCs w:val="21"/>
              </w:rPr>
              <w:t>28.04%</w:t>
            </w:r>
          </w:p>
        </w:tc>
      </w:tr>
      <w:tr w:rsidR="00EF17D8">
        <w:tc>
          <w:tcPr>
            <w:tcW w:w="9212" w:type="dxa"/>
            <w:gridSpan w:val="8"/>
            <w:vAlign w:val="center"/>
          </w:tcPr>
          <w:p w:rsidR="00EF17D8" w:rsidRDefault="005E6346">
            <w:pPr>
              <w:autoSpaceDE w:val="0"/>
              <w:autoSpaceDN w:val="0"/>
              <w:adjustRightInd w:val="0"/>
              <w:jc w:val="center"/>
              <w:rPr>
                <w:rFonts w:ascii="宋体" w:hAnsi="宋体"/>
                <w:kern w:val="0"/>
                <w:szCs w:val="21"/>
              </w:rPr>
            </w:pPr>
            <w:r>
              <w:rPr>
                <w:rFonts w:ascii="宋体" w:hAnsi="宋体"/>
                <w:color w:val="000000"/>
                <w:kern w:val="0"/>
                <w:szCs w:val="21"/>
              </w:rPr>
              <w:t>产品特有风险</w:t>
            </w:r>
          </w:p>
        </w:tc>
      </w:tr>
      <w:tr w:rsidR="00EF17D8">
        <w:tc>
          <w:tcPr>
            <w:tcW w:w="9212" w:type="dxa"/>
            <w:gridSpan w:val="8"/>
            <w:vAlign w:val="center"/>
          </w:tcPr>
          <w:p w:rsidR="00EF17D8" w:rsidRDefault="005E6346">
            <w:pPr>
              <w:autoSpaceDE w:val="0"/>
              <w:autoSpaceDN w:val="0"/>
              <w:adjustRightInd w:val="0"/>
              <w:jc w:val="left"/>
              <w:rPr>
                <w:rFonts w:ascii="宋体" w:hAnsi="宋体"/>
                <w:kern w:val="0"/>
                <w:szCs w:val="21"/>
              </w:rPr>
            </w:pPr>
            <w:r>
              <w:rPr>
                <w:rFonts w:ascii="宋体" w:hAnsi="宋体" w:hint="eastAsia"/>
                <w:kern w:val="0"/>
                <w:szCs w:val="21"/>
              </w:rPr>
              <w:t>本基金的集中度风险主要体现在有单一投资者持有基金份额比例达到或者超过20%，如果投资者发生大额赎回，可能出现基金可变现资产无法满足投资者赎回需要以及因为资产变现成本过高导致投资者的利益受到损害的风险。</w:t>
            </w:r>
          </w:p>
        </w:tc>
      </w:tr>
    </w:tbl>
    <w:p w:rsidR="00EF17D8" w:rsidRDefault="005E6346" w:rsidP="00A06338">
      <w:pPr>
        <w:pStyle w:val="1"/>
        <w:spacing w:beforeLines="100" w:afterLines="100" w:line="360" w:lineRule="auto"/>
        <w:jc w:val="center"/>
        <w:rPr>
          <w:rFonts w:eastAsiaTheme="minorEastAsia"/>
          <w:color w:val="000000" w:themeColor="text1"/>
          <w:kern w:val="0"/>
          <w:sz w:val="21"/>
          <w:szCs w:val="21"/>
        </w:rPr>
      </w:pPr>
      <w:r>
        <w:rPr>
          <w:rFonts w:eastAsiaTheme="minorEastAsia"/>
          <w:color w:val="000000" w:themeColor="text1"/>
          <w:kern w:val="0"/>
          <w:sz w:val="21"/>
          <w:szCs w:val="21"/>
        </w:rPr>
        <w:t xml:space="preserve">§9 </w:t>
      </w:r>
      <w:r>
        <w:rPr>
          <w:rFonts w:eastAsiaTheme="minorEastAsia"/>
          <w:color w:val="000000" w:themeColor="text1"/>
          <w:kern w:val="0"/>
          <w:sz w:val="21"/>
          <w:szCs w:val="21"/>
        </w:rPr>
        <w:t>备查文件目录</w:t>
      </w:r>
    </w:p>
    <w:p w:rsidR="00EF17D8" w:rsidRDefault="005E6346">
      <w:pPr>
        <w:autoSpaceDE w:val="0"/>
        <w:autoSpaceDN w:val="0"/>
        <w:adjustRightInd w:val="0"/>
        <w:spacing w:line="360" w:lineRule="auto"/>
        <w:jc w:val="left"/>
        <w:rPr>
          <w:rFonts w:eastAsiaTheme="minorEastAsia"/>
          <w:b/>
          <w:bCs/>
          <w:color w:val="000000" w:themeColor="text1"/>
          <w:kern w:val="0"/>
          <w:szCs w:val="21"/>
        </w:rPr>
      </w:pPr>
      <w:r>
        <w:rPr>
          <w:rFonts w:eastAsiaTheme="minorEastAsia"/>
          <w:b/>
          <w:bCs/>
          <w:color w:val="000000" w:themeColor="text1"/>
          <w:kern w:val="0"/>
          <w:szCs w:val="21"/>
        </w:rPr>
        <w:t>9.1</w:t>
      </w:r>
      <w:r>
        <w:rPr>
          <w:rFonts w:eastAsiaTheme="minorEastAsia"/>
          <w:b/>
          <w:bCs/>
          <w:color w:val="000000" w:themeColor="text1"/>
          <w:kern w:val="0"/>
          <w:szCs w:val="21"/>
        </w:rPr>
        <w:t>备查文件目录</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1. </w:t>
      </w:r>
      <w:r>
        <w:rPr>
          <w:rFonts w:eastAsiaTheme="minorEastAsia"/>
          <w:color w:val="000000" w:themeColor="text1"/>
          <w:szCs w:val="21"/>
        </w:rPr>
        <w:t>中国证监会批准上投摩根安腾回报混合型证券投资基金设立的文件；</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2. </w:t>
      </w:r>
      <w:r>
        <w:rPr>
          <w:rFonts w:eastAsiaTheme="minorEastAsia"/>
          <w:color w:val="000000" w:themeColor="text1"/>
          <w:szCs w:val="21"/>
        </w:rPr>
        <w:t>《上投摩根安腾回报混合型证券投资基金基金合同》；</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3. </w:t>
      </w:r>
      <w:r>
        <w:rPr>
          <w:rFonts w:eastAsiaTheme="minorEastAsia"/>
          <w:color w:val="000000" w:themeColor="text1"/>
          <w:szCs w:val="21"/>
        </w:rPr>
        <w:t>《上投摩根安腾回报混合型证券投资基金托管协议》；</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4. </w:t>
      </w:r>
      <w:r>
        <w:rPr>
          <w:rFonts w:eastAsiaTheme="minorEastAsia"/>
          <w:color w:val="000000" w:themeColor="text1"/>
          <w:szCs w:val="21"/>
        </w:rPr>
        <w:t>《上投摩根开放式基金业务规则》；</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5. </w:t>
      </w:r>
      <w:r>
        <w:rPr>
          <w:rFonts w:eastAsiaTheme="minorEastAsia"/>
          <w:color w:val="000000" w:themeColor="text1"/>
          <w:szCs w:val="21"/>
        </w:rPr>
        <w:t>基金管理人业务资格批件、营业执照；</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 xml:space="preserve">6. </w:t>
      </w:r>
      <w:r>
        <w:rPr>
          <w:rFonts w:eastAsiaTheme="minorEastAsia"/>
          <w:color w:val="000000" w:themeColor="text1"/>
          <w:szCs w:val="21"/>
        </w:rPr>
        <w:t>基金托管人业务资格批件和营业执照。</w:t>
      </w:r>
    </w:p>
    <w:p w:rsidR="00EF17D8" w:rsidRDefault="005E6346" w:rsidP="00A06338">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9.2</w:t>
      </w:r>
      <w:r>
        <w:rPr>
          <w:rFonts w:eastAsiaTheme="minorEastAsia"/>
          <w:b/>
          <w:bCs/>
          <w:color w:val="000000" w:themeColor="text1"/>
          <w:kern w:val="0"/>
          <w:szCs w:val="21"/>
        </w:rPr>
        <w:t>存放地点</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基金管理人或基金托管人住所。</w:t>
      </w:r>
    </w:p>
    <w:p w:rsidR="00EF17D8" w:rsidRDefault="005E6346" w:rsidP="00A06338">
      <w:pPr>
        <w:autoSpaceDE w:val="0"/>
        <w:autoSpaceDN w:val="0"/>
        <w:adjustRightInd w:val="0"/>
        <w:spacing w:beforeLines="100" w:line="360" w:lineRule="auto"/>
        <w:jc w:val="left"/>
        <w:rPr>
          <w:rFonts w:eastAsiaTheme="minorEastAsia"/>
          <w:b/>
          <w:bCs/>
          <w:color w:val="000000" w:themeColor="text1"/>
          <w:kern w:val="0"/>
          <w:szCs w:val="21"/>
        </w:rPr>
      </w:pPr>
      <w:r>
        <w:rPr>
          <w:rFonts w:eastAsiaTheme="minorEastAsia"/>
          <w:b/>
          <w:bCs/>
          <w:color w:val="000000" w:themeColor="text1"/>
          <w:kern w:val="0"/>
          <w:szCs w:val="21"/>
        </w:rPr>
        <w:t>9.3</w:t>
      </w:r>
      <w:r>
        <w:rPr>
          <w:rFonts w:eastAsiaTheme="minorEastAsia"/>
          <w:b/>
          <w:bCs/>
          <w:color w:val="000000" w:themeColor="text1"/>
          <w:kern w:val="0"/>
          <w:szCs w:val="21"/>
        </w:rPr>
        <w:t>查阅方式</w:t>
      </w:r>
    </w:p>
    <w:p w:rsidR="00EF17D8" w:rsidRDefault="005E6346">
      <w:pPr>
        <w:spacing w:line="360" w:lineRule="auto"/>
        <w:ind w:firstLineChars="200" w:firstLine="420"/>
        <w:rPr>
          <w:rFonts w:eastAsiaTheme="minorEastAsia"/>
          <w:color w:val="000000" w:themeColor="text1"/>
          <w:szCs w:val="21"/>
        </w:rPr>
      </w:pPr>
      <w:r>
        <w:rPr>
          <w:rFonts w:eastAsiaTheme="minorEastAsia"/>
          <w:color w:val="000000" w:themeColor="text1"/>
          <w:szCs w:val="21"/>
        </w:rPr>
        <w:t>投资者可在营业时间免费查阅，也可按工本费购买复印件。</w:t>
      </w:r>
    </w:p>
    <w:p w:rsidR="00EF17D8" w:rsidRDefault="00EF17D8">
      <w:pPr>
        <w:spacing w:line="360" w:lineRule="auto"/>
        <w:ind w:left="840"/>
        <w:jc w:val="right"/>
        <w:rPr>
          <w:rFonts w:eastAsiaTheme="minorEastAsia"/>
          <w:color w:val="000000" w:themeColor="text1"/>
          <w:szCs w:val="21"/>
        </w:rPr>
      </w:pPr>
    </w:p>
    <w:p w:rsidR="00EF17D8" w:rsidRDefault="00EF17D8">
      <w:pPr>
        <w:spacing w:line="360" w:lineRule="auto"/>
        <w:ind w:left="840"/>
        <w:jc w:val="center"/>
        <w:rPr>
          <w:rFonts w:eastAsiaTheme="minorEastAsia"/>
          <w:b/>
          <w:color w:val="000000" w:themeColor="text1"/>
          <w:szCs w:val="21"/>
        </w:rPr>
      </w:pPr>
    </w:p>
    <w:p w:rsidR="00EF17D8" w:rsidRDefault="005E6346">
      <w:pPr>
        <w:spacing w:line="360" w:lineRule="auto"/>
        <w:jc w:val="right"/>
        <w:rPr>
          <w:rFonts w:eastAsiaTheme="minorEastAsia"/>
          <w:b/>
          <w:bCs/>
          <w:color w:val="000000" w:themeColor="text1"/>
          <w:szCs w:val="21"/>
        </w:rPr>
      </w:pPr>
      <w:r>
        <w:rPr>
          <w:rFonts w:eastAsiaTheme="minorEastAsia"/>
          <w:b/>
          <w:bCs/>
          <w:color w:val="000000" w:themeColor="text1"/>
          <w:szCs w:val="21"/>
        </w:rPr>
        <w:t>上投摩根基金管理有限公司</w:t>
      </w:r>
    </w:p>
    <w:p w:rsidR="00EF17D8" w:rsidRDefault="005E6346">
      <w:pPr>
        <w:spacing w:line="360" w:lineRule="auto"/>
        <w:jc w:val="right"/>
        <w:rPr>
          <w:rFonts w:eastAsiaTheme="minorEastAsia"/>
          <w:b/>
          <w:bCs/>
          <w:color w:val="000000" w:themeColor="text1"/>
          <w:szCs w:val="21"/>
        </w:rPr>
      </w:pPr>
      <w:r>
        <w:rPr>
          <w:rFonts w:eastAsiaTheme="minorEastAsia"/>
          <w:b/>
          <w:bCs/>
          <w:color w:val="000000" w:themeColor="text1"/>
          <w:szCs w:val="21"/>
        </w:rPr>
        <w:t>二〇一八年七月</w:t>
      </w:r>
      <w:r>
        <w:rPr>
          <w:rFonts w:asciiTheme="minorEastAsia" w:eastAsiaTheme="minorEastAsia" w:hAnsiTheme="minorEastAsia" w:hint="eastAsia"/>
          <w:b/>
          <w:color w:val="000000" w:themeColor="text1"/>
          <w:sz w:val="24"/>
        </w:rPr>
        <w:t>十九</w:t>
      </w:r>
      <w:r>
        <w:rPr>
          <w:rFonts w:eastAsiaTheme="minorEastAsia"/>
          <w:b/>
          <w:bCs/>
          <w:color w:val="000000" w:themeColor="text1"/>
          <w:szCs w:val="21"/>
        </w:rPr>
        <w:t>日</w:t>
      </w:r>
    </w:p>
    <w:sectPr w:rsidR="00EF17D8" w:rsidSect="00B2146B">
      <w:footerReference w:type="even" r:id="rId12"/>
      <w:footerReference w:type="default" r:id="rId13"/>
      <w:pgSz w:w="11906" w:h="16838"/>
      <w:pgMar w:top="1440" w:right="1286"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E09B8" w:rsidRDefault="005E6346">
      <w:r>
        <w:separator/>
      </w:r>
    </w:p>
  </w:endnote>
  <w:endnote w:type="continuationSeparator" w:id="1">
    <w:p w:rsidR="008E09B8" w:rsidRDefault="005E634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charset w:val="86"/>
    <w:family w:val="auto"/>
    <w:pitch w:val="default"/>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8" w:rsidRDefault="005E6346">
    <w:pPr>
      <w:pStyle w:val="ac"/>
      <w:jc w:val="center"/>
    </w:pPr>
    <w:r>
      <w:rPr>
        <w:rFonts w:hint="eastAsia"/>
        <w:kern w:val="0"/>
        <w:szCs w:val="21"/>
      </w:rPr>
      <w:t>第</w:t>
    </w:r>
    <w:r w:rsidR="00B2146B">
      <w:rPr>
        <w:kern w:val="0"/>
        <w:szCs w:val="21"/>
      </w:rPr>
      <w:fldChar w:fldCharType="begin"/>
    </w:r>
    <w:r>
      <w:rPr>
        <w:kern w:val="0"/>
        <w:szCs w:val="21"/>
      </w:rPr>
      <w:instrText xml:space="preserve"> PAGE </w:instrText>
    </w:r>
    <w:r w:rsidR="00B2146B">
      <w:rPr>
        <w:kern w:val="0"/>
        <w:szCs w:val="21"/>
      </w:rPr>
      <w:fldChar w:fldCharType="separate"/>
    </w:r>
    <w:r w:rsidR="00A06338">
      <w:rPr>
        <w:noProof/>
        <w:kern w:val="0"/>
        <w:szCs w:val="21"/>
      </w:rPr>
      <w:t>1</w:t>
    </w:r>
    <w:r w:rsidR="00B2146B">
      <w:rPr>
        <w:kern w:val="0"/>
        <w:szCs w:val="21"/>
      </w:rPr>
      <w:fldChar w:fldCharType="end"/>
    </w:r>
    <w:r>
      <w:rPr>
        <w:rFonts w:hint="eastAsia"/>
        <w:kern w:val="0"/>
        <w:szCs w:val="21"/>
      </w:rPr>
      <w:t>页共</w:t>
    </w:r>
    <w:r w:rsidR="00B2146B">
      <w:rPr>
        <w:kern w:val="0"/>
        <w:szCs w:val="21"/>
      </w:rPr>
      <w:fldChar w:fldCharType="begin"/>
    </w:r>
    <w:r>
      <w:rPr>
        <w:kern w:val="0"/>
        <w:szCs w:val="21"/>
      </w:rPr>
      <w:instrText xml:space="preserve"> NUMPAGES </w:instrText>
    </w:r>
    <w:r w:rsidR="00B2146B">
      <w:rPr>
        <w:kern w:val="0"/>
        <w:szCs w:val="21"/>
      </w:rPr>
      <w:fldChar w:fldCharType="separate"/>
    </w:r>
    <w:r w:rsidR="00A06338">
      <w:rPr>
        <w:noProof/>
        <w:kern w:val="0"/>
        <w:szCs w:val="21"/>
      </w:rPr>
      <w:t>3</w:t>
    </w:r>
    <w:r w:rsidR="00B2146B">
      <w:rPr>
        <w:kern w:val="0"/>
        <w:szCs w:val="21"/>
      </w:rPr>
      <w:fldChar w:fldCharType="end"/>
    </w:r>
    <w:r>
      <w:rPr>
        <w:rFonts w:hint="eastAsia"/>
        <w:kern w:val="0"/>
        <w:szCs w:val="21"/>
      </w:rPr>
      <w:t>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8" w:rsidRDefault="00B2146B">
    <w:pPr>
      <w:pStyle w:val="ac"/>
      <w:framePr w:wrap="around" w:vAnchor="text" w:hAnchor="margin" w:xAlign="center" w:y="1"/>
      <w:rPr>
        <w:rStyle w:val="af2"/>
      </w:rPr>
    </w:pPr>
    <w:r>
      <w:rPr>
        <w:rStyle w:val="af2"/>
      </w:rPr>
      <w:fldChar w:fldCharType="begin"/>
    </w:r>
    <w:r w:rsidR="005E6346">
      <w:rPr>
        <w:rStyle w:val="af2"/>
      </w:rPr>
      <w:instrText xml:space="preserve">PAGE  </w:instrText>
    </w:r>
    <w:r>
      <w:rPr>
        <w:rStyle w:val="af2"/>
      </w:rPr>
      <w:fldChar w:fldCharType="end"/>
    </w:r>
  </w:p>
  <w:p w:rsidR="00EF17D8" w:rsidRDefault="00EF17D8">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8" w:rsidRDefault="00B2146B">
    <w:pPr>
      <w:pStyle w:val="ac"/>
      <w:framePr w:wrap="around" w:vAnchor="text" w:hAnchor="margin" w:xAlign="center" w:y="1"/>
      <w:rPr>
        <w:rStyle w:val="af2"/>
      </w:rPr>
    </w:pPr>
    <w:r>
      <w:rPr>
        <w:rStyle w:val="af2"/>
      </w:rPr>
      <w:fldChar w:fldCharType="begin"/>
    </w:r>
    <w:r w:rsidR="005E6346">
      <w:rPr>
        <w:rStyle w:val="af2"/>
      </w:rPr>
      <w:instrText xml:space="preserve">PAGE  </w:instrText>
    </w:r>
    <w:r>
      <w:rPr>
        <w:rStyle w:val="af2"/>
      </w:rPr>
      <w:fldChar w:fldCharType="separate"/>
    </w:r>
    <w:r w:rsidR="00A06338">
      <w:rPr>
        <w:rStyle w:val="af2"/>
        <w:noProof/>
      </w:rPr>
      <w:t>2</w:t>
    </w:r>
    <w:r>
      <w:rPr>
        <w:rStyle w:val="af2"/>
      </w:rPr>
      <w:fldChar w:fldCharType="end"/>
    </w:r>
  </w:p>
  <w:p w:rsidR="00EF17D8" w:rsidRDefault="00EF17D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E09B8" w:rsidRDefault="005E6346">
      <w:r>
        <w:separator/>
      </w:r>
    </w:p>
  </w:footnote>
  <w:footnote w:type="continuationSeparator" w:id="1">
    <w:p w:rsidR="008E09B8" w:rsidRDefault="005E634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17D8" w:rsidRDefault="005E6346">
    <w:pPr>
      <w:pStyle w:val="ad"/>
      <w:pBdr>
        <w:bottom w:val="single" w:sz="6" w:space="0" w:color="auto"/>
      </w:pBdr>
      <w:jc w:val="right"/>
    </w:pPr>
    <w:r>
      <w:t>上投摩根安腾回报混合型证券投资基金</w:t>
    </w:r>
    <w:r>
      <w:t>2018</w:t>
    </w:r>
    <w:r>
      <w:t>年第</w:t>
    </w:r>
    <w:r>
      <w:t>2</w:t>
    </w:r>
    <w:r>
      <w:t>季度报告</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PostScriptOverText/>
  <w:bordersDoNotSurroundHeader/>
  <w:bordersDoNotSurroundFooter/>
  <w:attachedTemplate r:id="rId1"/>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02187"/>
    <w:rsid w:val="0000059C"/>
    <w:rsid w:val="000008B1"/>
    <w:rsid w:val="0000403B"/>
    <w:rsid w:val="00007441"/>
    <w:rsid w:val="00007F1F"/>
    <w:rsid w:val="00010A83"/>
    <w:rsid w:val="000137C1"/>
    <w:rsid w:val="0001579C"/>
    <w:rsid w:val="00016551"/>
    <w:rsid w:val="00020737"/>
    <w:rsid w:val="00020C27"/>
    <w:rsid w:val="00020EB3"/>
    <w:rsid w:val="000219D5"/>
    <w:rsid w:val="00022396"/>
    <w:rsid w:val="00022662"/>
    <w:rsid w:val="00023073"/>
    <w:rsid w:val="00023B97"/>
    <w:rsid w:val="00024836"/>
    <w:rsid w:val="000252D8"/>
    <w:rsid w:val="0003564A"/>
    <w:rsid w:val="00037B55"/>
    <w:rsid w:val="00037C73"/>
    <w:rsid w:val="00042065"/>
    <w:rsid w:val="00043FD2"/>
    <w:rsid w:val="00045476"/>
    <w:rsid w:val="00045558"/>
    <w:rsid w:val="00045BA9"/>
    <w:rsid w:val="00047D87"/>
    <w:rsid w:val="00047DC8"/>
    <w:rsid w:val="000510AB"/>
    <w:rsid w:val="00053FFD"/>
    <w:rsid w:val="00056D5C"/>
    <w:rsid w:val="00061B0B"/>
    <w:rsid w:val="00061E09"/>
    <w:rsid w:val="00062C69"/>
    <w:rsid w:val="00062E1F"/>
    <w:rsid w:val="00064601"/>
    <w:rsid w:val="00064AE3"/>
    <w:rsid w:val="0006750A"/>
    <w:rsid w:val="000739C3"/>
    <w:rsid w:val="000776C0"/>
    <w:rsid w:val="00077849"/>
    <w:rsid w:val="000803AD"/>
    <w:rsid w:val="000813D6"/>
    <w:rsid w:val="00081D05"/>
    <w:rsid w:val="000827CC"/>
    <w:rsid w:val="000871DB"/>
    <w:rsid w:val="00087C69"/>
    <w:rsid w:val="00090834"/>
    <w:rsid w:val="000922C5"/>
    <w:rsid w:val="0009314F"/>
    <w:rsid w:val="00093A23"/>
    <w:rsid w:val="000A08FC"/>
    <w:rsid w:val="000A15F1"/>
    <w:rsid w:val="000A1617"/>
    <w:rsid w:val="000A40A5"/>
    <w:rsid w:val="000A457E"/>
    <w:rsid w:val="000A549A"/>
    <w:rsid w:val="000A5A81"/>
    <w:rsid w:val="000A72F2"/>
    <w:rsid w:val="000A7BFD"/>
    <w:rsid w:val="000B000E"/>
    <w:rsid w:val="000B1CB9"/>
    <w:rsid w:val="000B24AF"/>
    <w:rsid w:val="000B251E"/>
    <w:rsid w:val="000B3E43"/>
    <w:rsid w:val="000B4E99"/>
    <w:rsid w:val="000B648A"/>
    <w:rsid w:val="000C45E7"/>
    <w:rsid w:val="000C5956"/>
    <w:rsid w:val="000C757F"/>
    <w:rsid w:val="000C7DD4"/>
    <w:rsid w:val="000D0474"/>
    <w:rsid w:val="000D1164"/>
    <w:rsid w:val="000D1BBE"/>
    <w:rsid w:val="000D3773"/>
    <w:rsid w:val="000D4DE9"/>
    <w:rsid w:val="000D6660"/>
    <w:rsid w:val="000D6BA0"/>
    <w:rsid w:val="000D7ECA"/>
    <w:rsid w:val="000E0D84"/>
    <w:rsid w:val="000E2F81"/>
    <w:rsid w:val="000E3726"/>
    <w:rsid w:val="000E39DB"/>
    <w:rsid w:val="000F0558"/>
    <w:rsid w:val="000F0AC3"/>
    <w:rsid w:val="000F125F"/>
    <w:rsid w:val="000F175F"/>
    <w:rsid w:val="000F17D1"/>
    <w:rsid w:val="000F1CC9"/>
    <w:rsid w:val="000F5ABD"/>
    <w:rsid w:val="000F60FF"/>
    <w:rsid w:val="000F6F7C"/>
    <w:rsid w:val="001005BB"/>
    <w:rsid w:val="00103B0E"/>
    <w:rsid w:val="001040EA"/>
    <w:rsid w:val="0011283B"/>
    <w:rsid w:val="00112BCF"/>
    <w:rsid w:val="00114E7E"/>
    <w:rsid w:val="00117465"/>
    <w:rsid w:val="00117F22"/>
    <w:rsid w:val="00120280"/>
    <w:rsid w:val="001207F2"/>
    <w:rsid w:val="00121533"/>
    <w:rsid w:val="0012304E"/>
    <w:rsid w:val="00123051"/>
    <w:rsid w:val="001257C7"/>
    <w:rsid w:val="00125E66"/>
    <w:rsid w:val="001263E1"/>
    <w:rsid w:val="00126AC0"/>
    <w:rsid w:val="00126C2B"/>
    <w:rsid w:val="00127A01"/>
    <w:rsid w:val="00130D77"/>
    <w:rsid w:val="00131EF6"/>
    <w:rsid w:val="0013251D"/>
    <w:rsid w:val="00134734"/>
    <w:rsid w:val="00134CBE"/>
    <w:rsid w:val="001405D3"/>
    <w:rsid w:val="00140C30"/>
    <w:rsid w:val="00142C74"/>
    <w:rsid w:val="00145E5B"/>
    <w:rsid w:val="00147319"/>
    <w:rsid w:val="00147551"/>
    <w:rsid w:val="0015012F"/>
    <w:rsid w:val="00150C2E"/>
    <w:rsid w:val="0015170D"/>
    <w:rsid w:val="001517AE"/>
    <w:rsid w:val="00154FA5"/>
    <w:rsid w:val="0015531A"/>
    <w:rsid w:val="00156F9D"/>
    <w:rsid w:val="001602E3"/>
    <w:rsid w:val="00160539"/>
    <w:rsid w:val="00161548"/>
    <w:rsid w:val="0017176A"/>
    <w:rsid w:val="00172B54"/>
    <w:rsid w:val="001763D8"/>
    <w:rsid w:val="00176874"/>
    <w:rsid w:val="0017725A"/>
    <w:rsid w:val="0018052A"/>
    <w:rsid w:val="00180952"/>
    <w:rsid w:val="0018191A"/>
    <w:rsid w:val="00184F7E"/>
    <w:rsid w:val="00185B68"/>
    <w:rsid w:val="00186199"/>
    <w:rsid w:val="001874E3"/>
    <w:rsid w:val="00194155"/>
    <w:rsid w:val="001A0417"/>
    <w:rsid w:val="001A0B71"/>
    <w:rsid w:val="001A1389"/>
    <w:rsid w:val="001A3016"/>
    <w:rsid w:val="001A3914"/>
    <w:rsid w:val="001A5FA6"/>
    <w:rsid w:val="001A68D9"/>
    <w:rsid w:val="001B053A"/>
    <w:rsid w:val="001B0C78"/>
    <w:rsid w:val="001B151C"/>
    <w:rsid w:val="001B1A13"/>
    <w:rsid w:val="001B1A6E"/>
    <w:rsid w:val="001B22BA"/>
    <w:rsid w:val="001C2045"/>
    <w:rsid w:val="001C5040"/>
    <w:rsid w:val="001C715A"/>
    <w:rsid w:val="001C7B5E"/>
    <w:rsid w:val="001D0F6A"/>
    <w:rsid w:val="001D2FA5"/>
    <w:rsid w:val="001D3394"/>
    <w:rsid w:val="001D3D57"/>
    <w:rsid w:val="001D4980"/>
    <w:rsid w:val="001D5045"/>
    <w:rsid w:val="001D5A44"/>
    <w:rsid w:val="001D5CD0"/>
    <w:rsid w:val="001D724B"/>
    <w:rsid w:val="001E023C"/>
    <w:rsid w:val="001E0BA5"/>
    <w:rsid w:val="001F03E1"/>
    <w:rsid w:val="001F1F19"/>
    <w:rsid w:val="001F2BD1"/>
    <w:rsid w:val="001F3080"/>
    <w:rsid w:val="001F3CC6"/>
    <w:rsid w:val="001F5F5F"/>
    <w:rsid w:val="00205064"/>
    <w:rsid w:val="0020548A"/>
    <w:rsid w:val="00211668"/>
    <w:rsid w:val="002118A6"/>
    <w:rsid w:val="002122FF"/>
    <w:rsid w:val="002125F7"/>
    <w:rsid w:val="0021288A"/>
    <w:rsid w:val="002150AC"/>
    <w:rsid w:val="0021650B"/>
    <w:rsid w:val="002170FF"/>
    <w:rsid w:val="00221938"/>
    <w:rsid w:val="00222262"/>
    <w:rsid w:val="00222ABD"/>
    <w:rsid w:val="002230A8"/>
    <w:rsid w:val="00227D20"/>
    <w:rsid w:val="00231BCE"/>
    <w:rsid w:val="0023336A"/>
    <w:rsid w:val="00233D00"/>
    <w:rsid w:val="002359EB"/>
    <w:rsid w:val="0023649E"/>
    <w:rsid w:val="00241222"/>
    <w:rsid w:val="00241740"/>
    <w:rsid w:val="00241BA9"/>
    <w:rsid w:val="002424E4"/>
    <w:rsid w:val="00243122"/>
    <w:rsid w:val="002437F5"/>
    <w:rsid w:val="00244DB1"/>
    <w:rsid w:val="00245012"/>
    <w:rsid w:val="0024504E"/>
    <w:rsid w:val="0024651F"/>
    <w:rsid w:val="00246874"/>
    <w:rsid w:val="00246D81"/>
    <w:rsid w:val="00250869"/>
    <w:rsid w:val="00251920"/>
    <w:rsid w:val="00251CC4"/>
    <w:rsid w:val="00253D3C"/>
    <w:rsid w:val="00254A7E"/>
    <w:rsid w:val="00255292"/>
    <w:rsid w:val="002553A9"/>
    <w:rsid w:val="00256047"/>
    <w:rsid w:val="0025722F"/>
    <w:rsid w:val="00257E84"/>
    <w:rsid w:val="00260200"/>
    <w:rsid w:val="00263106"/>
    <w:rsid w:val="002642F2"/>
    <w:rsid w:val="00264AE1"/>
    <w:rsid w:val="00266645"/>
    <w:rsid w:val="00267386"/>
    <w:rsid w:val="00267C2E"/>
    <w:rsid w:val="00267DA9"/>
    <w:rsid w:val="00273E5C"/>
    <w:rsid w:val="00275FD0"/>
    <w:rsid w:val="00280514"/>
    <w:rsid w:val="002819E7"/>
    <w:rsid w:val="00282FF2"/>
    <w:rsid w:val="00283483"/>
    <w:rsid w:val="002844B5"/>
    <w:rsid w:val="0028459B"/>
    <w:rsid w:val="00285618"/>
    <w:rsid w:val="002872F8"/>
    <w:rsid w:val="00290EEA"/>
    <w:rsid w:val="00291E9A"/>
    <w:rsid w:val="002935BF"/>
    <w:rsid w:val="00296E4A"/>
    <w:rsid w:val="002976E5"/>
    <w:rsid w:val="002A1F14"/>
    <w:rsid w:val="002A2678"/>
    <w:rsid w:val="002A3369"/>
    <w:rsid w:val="002A4B8A"/>
    <w:rsid w:val="002A5161"/>
    <w:rsid w:val="002A5C0F"/>
    <w:rsid w:val="002A6385"/>
    <w:rsid w:val="002A7929"/>
    <w:rsid w:val="002B41D7"/>
    <w:rsid w:val="002B5240"/>
    <w:rsid w:val="002B6A13"/>
    <w:rsid w:val="002C0904"/>
    <w:rsid w:val="002C0F67"/>
    <w:rsid w:val="002C1E84"/>
    <w:rsid w:val="002C36C3"/>
    <w:rsid w:val="002C41B1"/>
    <w:rsid w:val="002C77CC"/>
    <w:rsid w:val="002D2A00"/>
    <w:rsid w:val="002D5199"/>
    <w:rsid w:val="002E2862"/>
    <w:rsid w:val="002E356A"/>
    <w:rsid w:val="002E4C01"/>
    <w:rsid w:val="002F0516"/>
    <w:rsid w:val="002F22D2"/>
    <w:rsid w:val="002F2863"/>
    <w:rsid w:val="002F778A"/>
    <w:rsid w:val="00302187"/>
    <w:rsid w:val="00302293"/>
    <w:rsid w:val="003028D8"/>
    <w:rsid w:val="0030290F"/>
    <w:rsid w:val="00302DE9"/>
    <w:rsid w:val="00303869"/>
    <w:rsid w:val="00303F1D"/>
    <w:rsid w:val="00305084"/>
    <w:rsid w:val="003052C5"/>
    <w:rsid w:val="00311ABF"/>
    <w:rsid w:val="00314A81"/>
    <w:rsid w:val="00314DD2"/>
    <w:rsid w:val="00315A7C"/>
    <w:rsid w:val="00317705"/>
    <w:rsid w:val="003204E9"/>
    <w:rsid w:val="003232AA"/>
    <w:rsid w:val="00323A10"/>
    <w:rsid w:val="00323E6A"/>
    <w:rsid w:val="00323F25"/>
    <w:rsid w:val="00324A71"/>
    <w:rsid w:val="003303E3"/>
    <w:rsid w:val="00334656"/>
    <w:rsid w:val="00337A86"/>
    <w:rsid w:val="00337C2E"/>
    <w:rsid w:val="0034147B"/>
    <w:rsid w:val="00341889"/>
    <w:rsid w:val="003426CE"/>
    <w:rsid w:val="00343016"/>
    <w:rsid w:val="0034447B"/>
    <w:rsid w:val="00351704"/>
    <w:rsid w:val="003570C8"/>
    <w:rsid w:val="00360D91"/>
    <w:rsid w:val="00367770"/>
    <w:rsid w:val="00370BEA"/>
    <w:rsid w:val="00371424"/>
    <w:rsid w:val="00371FF4"/>
    <w:rsid w:val="00372209"/>
    <w:rsid w:val="00374C4E"/>
    <w:rsid w:val="003771ED"/>
    <w:rsid w:val="0037768B"/>
    <w:rsid w:val="00381791"/>
    <w:rsid w:val="00382E6F"/>
    <w:rsid w:val="00387C00"/>
    <w:rsid w:val="0039032E"/>
    <w:rsid w:val="003968CD"/>
    <w:rsid w:val="00397960"/>
    <w:rsid w:val="00397F75"/>
    <w:rsid w:val="003A2008"/>
    <w:rsid w:val="003A3BC4"/>
    <w:rsid w:val="003A4AA3"/>
    <w:rsid w:val="003B405E"/>
    <w:rsid w:val="003B4843"/>
    <w:rsid w:val="003B494E"/>
    <w:rsid w:val="003C3C8C"/>
    <w:rsid w:val="003C6E9E"/>
    <w:rsid w:val="003C792F"/>
    <w:rsid w:val="003D117A"/>
    <w:rsid w:val="003D36B2"/>
    <w:rsid w:val="003D42D5"/>
    <w:rsid w:val="003D656E"/>
    <w:rsid w:val="003D78B5"/>
    <w:rsid w:val="003E0BD4"/>
    <w:rsid w:val="003E45B9"/>
    <w:rsid w:val="003E654C"/>
    <w:rsid w:val="003F0DE5"/>
    <w:rsid w:val="003F46FC"/>
    <w:rsid w:val="003F4AA5"/>
    <w:rsid w:val="003F61CF"/>
    <w:rsid w:val="003F697D"/>
    <w:rsid w:val="003F7026"/>
    <w:rsid w:val="003F7C45"/>
    <w:rsid w:val="00400500"/>
    <w:rsid w:val="0040132C"/>
    <w:rsid w:val="00404257"/>
    <w:rsid w:val="00407F66"/>
    <w:rsid w:val="004113B4"/>
    <w:rsid w:val="0041220A"/>
    <w:rsid w:val="00413B96"/>
    <w:rsid w:val="00413C2C"/>
    <w:rsid w:val="00415168"/>
    <w:rsid w:val="00415B04"/>
    <w:rsid w:val="00416A6B"/>
    <w:rsid w:val="0042044C"/>
    <w:rsid w:val="00421624"/>
    <w:rsid w:val="00424151"/>
    <w:rsid w:val="00425A5A"/>
    <w:rsid w:val="00425FB6"/>
    <w:rsid w:val="004264FD"/>
    <w:rsid w:val="004268BB"/>
    <w:rsid w:val="0042785F"/>
    <w:rsid w:val="004314FF"/>
    <w:rsid w:val="004408EC"/>
    <w:rsid w:val="00440F74"/>
    <w:rsid w:val="00441A6E"/>
    <w:rsid w:val="00441FEC"/>
    <w:rsid w:val="004425E8"/>
    <w:rsid w:val="00443C8F"/>
    <w:rsid w:val="00447BC6"/>
    <w:rsid w:val="004501CE"/>
    <w:rsid w:val="00452481"/>
    <w:rsid w:val="00453832"/>
    <w:rsid w:val="00454A0F"/>
    <w:rsid w:val="0046335D"/>
    <w:rsid w:val="00463C2C"/>
    <w:rsid w:val="00466BBC"/>
    <w:rsid w:val="004733AC"/>
    <w:rsid w:val="004734F0"/>
    <w:rsid w:val="00483271"/>
    <w:rsid w:val="00490043"/>
    <w:rsid w:val="0049210E"/>
    <w:rsid w:val="0049297D"/>
    <w:rsid w:val="0049327D"/>
    <w:rsid w:val="0049405D"/>
    <w:rsid w:val="0049455C"/>
    <w:rsid w:val="00495A03"/>
    <w:rsid w:val="004A135B"/>
    <w:rsid w:val="004A1BE1"/>
    <w:rsid w:val="004A4980"/>
    <w:rsid w:val="004A4F68"/>
    <w:rsid w:val="004A63CB"/>
    <w:rsid w:val="004A67B0"/>
    <w:rsid w:val="004A6FB2"/>
    <w:rsid w:val="004B0847"/>
    <w:rsid w:val="004B0E6D"/>
    <w:rsid w:val="004B16E8"/>
    <w:rsid w:val="004C0541"/>
    <w:rsid w:val="004C3A16"/>
    <w:rsid w:val="004C634A"/>
    <w:rsid w:val="004C660B"/>
    <w:rsid w:val="004D050C"/>
    <w:rsid w:val="004D23D9"/>
    <w:rsid w:val="004D29A9"/>
    <w:rsid w:val="004D3537"/>
    <w:rsid w:val="004D4D4E"/>
    <w:rsid w:val="004D5974"/>
    <w:rsid w:val="004D614E"/>
    <w:rsid w:val="004D650F"/>
    <w:rsid w:val="004E2133"/>
    <w:rsid w:val="004E4E04"/>
    <w:rsid w:val="004E6CBA"/>
    <w:rsid w:val="004F521C"/>
    <w:rsid w:val="00502CD8"/>
    <w:rsid w:val="0050361C"/>
    <w:rsid w:val="00503ABF"/>
    <w:rsid w:val="00506A40"/>
    <w:rsid w:val="00506D4F"/>
    <w:rsid w:val="0051064F"/>
    <w:rsid w:val="00513A0E"/>
    <w:rsid w:val="00515D7B"/>
    <w:rsid w:val="00515F29"/>
    <w:rsid w:val="0052009E"/>
    <w:rsid w:val="0052306A"/>
    <w:rsid w:val="00530161"/>
    <w:rsid w:val="005450F7"/>
    <w:rsid w:val="00545A0B"/>
    <w:rsid w:val="0054672F"/>
    <w:rsid w:val="00547FA4"/>
    <w:rsid w:val="005536D4"/>
    <w:rsid w:val="00553EC8"/>
    <w:rsid w:val="005564EE"/>
    <w:rsid w:val="00557D4A"/>
    <w:rsid w:val="0056176B"/>
    <w:rsid w:val="00561889"/>
    <w:rsid w:val="005621F6"/>
    <w:rsid w:val="0056291C"/>
    <w:rsid w:val="005668D3"/>
    <w:rsid w:val="00566EBD"/>
    <w:rsid w:val="0057154B"/>
    <w:rsid w:val="005742DB"/>
    <w:rsid w:val="00576A51"/>
    <w:rsid w:val="00577209"/>
    <w:rsid w:val="005800A9"/>
    <w:rsid w:val="00581139"/>
    <w:rsid w:val="00581645"/>
    <w:rsid w:val="00585D10"/>
    <w:rsid w:val="0058694E"/>
    <w:rsid w:val="005875F9"/>
    <w:rsid w:val="00593A35"/>
    <w:rsid w:val="00593C74"/>
    <w:rsid w:val="00597D8B"/>
    <w:rsid w:val="005A46FF"/>
    <w:rsid w:val="005A557E"/>
    <w:rsid w:val="005A63FD"/>
    <w:rsid w:val="005B462A"/>
    <w:rsid w:val="005B5137"/>
    <w:rsid w:val="005B6047"/>
    <w:rsid w:val="005C0ED7"/>
    <w:rsid w:val="005C5409"/>
    <w:rsid w:val="005C62A5"/>
    <w:rsid w:val="005C6FF7"/>
    <w:rsid w:val="005C7C75"/>
    <w:rsid w:val="005C7D00"/>
    <w:rsid w:val="005D01A4"/>
    <w:rsid w:val="005D0BAB"/>
    <w:rsid w:val="005D1893"/>
    <w:rsid w:val="005D26E9"/>
    <w:rsid w:val="005D2CAA"/>
    <w:rsid w:val="005D4CBA"/>
    <w:rsid w:val="005E01A3"/>
    <w:rsid w:val="005E0354"/>
    <w:rsid w:val="005E6346"/>
    <w:rsid w:val="005E6C62"/>
    <w:rsid w:val="005E6F13"/>
    <w:rsid w:val="005E726C"/>
    <w:rsid w:val="005F293E"/>
    <w:rsid w:val="005F43B9"/>
    <w:rsid w:val="005F458B"/>
    <w:rsid w:val="005F4A6A"/>
    <w:rsid w:val="005F4E28"/>
    <w:rsid w:val="005F56BA"/>
    <w:rsid w:val="0060008E"/>
    <w:rsid w:val="006016F2"/>
    <w:rsid w:val="00602321"/>
    <w:rsid w:val="006033E3"/>
    <w:rsid w:val="00606B29"/>
    <w:rsid w:val="0060758A"/>
    <w:rsid w:val="00607D0E"/>
    <w:rsid w:val="006101F5"/>
    <w:rsid w:val="00610DA5"/>
    <w:rsid w:val="00611663"/>
    <w:rsid w:val="0061321C"/>
    <w:rsid w:val="00613C20"/>
    <w:rsid w:val="00613F44"/>
    <w:rsid w:val="006149D4"/>
    <w:rsid w:val="00615A56"/>
    <w:rsid w:val="006160BD"/>
    <w:rsid w:val="00620EDB"/>
    <w:rsid w:val="0062386E"/>
    <w:rsid w:val="006253EF"/>
    <w:rsid w:val="00626075"/>
    <w:rsid w:val="0062680E"/>
    <w:rsid w:val="00631158"/>
    <w:rsid w:val="00632923"/>
    <w:rsid w:val="006341E6"/>
    <w:rsid w:val="00634439"/>
    <w:rsid w:val="00634B21"/>
    <w:rsid w:val="006366C6"/>
    <w:rsid w:val="0063693D"/>
    <w:rsid w:val="00636B55"/>
    <w:rsid w:val="00636EB1"/>
    <w:rsid w:val="006373D6"/>
    <w:rsid w:val="006403D4"/>
    <w:rsid w:val="00642CBC"/>
    <w:rsid w:val="0064454A"/>
    <w:rsid w:val="00645293"/>
    <w:rsid w:val="006456D3"/>
    <w:rsid w:val="006464C1"/>
    <w:rsid w:val="00651B78"/>
    <w:rsid w:val="0065237A"/>
    <w:rsid w:val="00652FF5"/>
    <w:rsid w:val="0065303C"/>
    <w:rsid w:val="00653246"/>
    <w:rsid w:val="00654382"/>
    <w:rsid w:val="00661244"/>
    <w:rsid w:val="006640DF"/>
    <w:rsid w:val="00666A3C"/>
    <w:rsid w:val="00667519"/>
    <w:rsid w:val="006676A0"/>
    <w:rsid w:val="00670857"/>
    <w:rsid w:val="00670868"/>
    <w:rsid w:val="006721BC"/>
    <w:rsid w:val="00673D69"/>
    <w:rsid w:val="00676431"/>
    <w:rsid w:val="00677A9C"/>
    <w:rsid w:val="0068050D"/>
    <w:rsid w:val="00685FFC"/>
    <w:rsid w:val="00686943"/>
    <w:rsid w:val="00686EDE"/>
    <w:rsid w:val="00687AD5"/>
    <w:rsid w:val="00690A31"/>
    <w:rsid w:val="006911CE"/>
    <w:rsid w:val="00692002"/>
    <w:rsid w:val="00695251"/>
    <w:rsid w:val="00695B58"/>
    <w:rsid w:val="006979FE"/>
    <w:rsid w:val="006A4828"/>
    <w:rsid w:val="006A7C09"/>
    <w:rsid w:val="006B046C"/>
    <w:rsid w:val="006B252F"/>
    <w:rsid w:val="006B3940"/>
    <w:rsid w:val="006C168D"/>
    <w:rsid w:val="006C4033"/>
    <w:rsid w:val="006C5BC9"/>
    <w:rsid w:val="006C642C"/>
    <w:rsid w:val="006D462B"/>
    <w:rsid w:val="006D7386"/>
    <w:rsid w:val="006E0DAD"/>
    <w:rsid w:val="006E313F"/>
    <w:rsid w:val="006F1F1A"/>
    <w:rsid w:val="006F5AC2"/>
    <w:rsid w:val="006F6C28"/>
    <w:rsid w:val="007007EB"/>
    <w:rsid w:val="00701F57"/>
    <w:rsid w:val="00703E8A"/>
    <w:rsid w:val="00706046"/>
    <w:rsid w:val="007112F0"/>
    <w:rsid w:val="00711343"/>
    <w:rsid w:val="00714309"/>
    <w:rsid w:val="0071450F"/>
    <w:rsid w:val="00717772"/>
    <w:rsid w:val="00721DBE"/>
    <w:rsid w:val="007226EC"/>
    <w:rsid w:val="00722B5E"/>
    <w:rsid w:val="00724F6D"/>
    <w:rsid w:val="0072678C"/>
    <w:rsid w:val="00732D1D"/>
    <w:rsid w:val="007350D4"/>
    <w:rsid w:val="00736034"/>
    <w:rsid w:val="00737E79"/>
    <w:rsid w:val="00740707"/>
    <w:rsid w:val="0074120F"/>
    <w:rsid w:val="00743764"/>
    <w:rsid w:val="00743B2D"/>
    <w:rsid w:val="00747930"/>
    <w:rsid w:val="0075060E"/>
    <w:rsid w:val="00752E8B"/>
    <w:rsid w:val="007541BB"/>
    <w:rsid w:val="00754D62"/>
    <w:rsid w:val="00756CFF"/>
    <w:rsid w:val="00757FD7"/>
    <w:rsid w:val="00761B7A"/>
    <w:rsid w:val="007651E5"/>
    <w:rsid w:val="00765256"/>
    <w:rsid w:val="007661D4"/>
    <w:rsid w:val="007661FD"/>
    <w:rsid w:val="00766A7C"/>
    <w:rsid w:val="00767A27"/>
    <w:rsid w:val="0077111A"/>
    <w:rsid w:val="00775419"/>
    <w:rsid w:val="007763A5"/>
    <w:rsid w:val="0078105B"/>
    <w:rsid w:val="00782B50"/>
    <w:rsid w:val="00784FE0"/>
    <w:rsid w:val="007858B1"/>
    <w:rsid w:val="0078648E"/>
    <w:rsid w:val="00791A3A"/>
    <w:rsid w:val="00791D9C"/>
    <w:rsid w:val="007A391B"/>
    <w:rsid w:val="007A4409"/>
    <w:rsid w:val="007A4F37"/>
    <w:rsid w:val="007A5241"/>
    <w:rsid w:val="007A59B8"/>
    <w:rsid w:val="007B06C7"/>
    <w:rsid w:val="007B3D06"/>
    <w:rsid w:val="007B42F5"/>
    <w:rsid w:val="007B5157"/>
    <w:rsid w:val="007B5CD8"/>
    <w:rsid w:val="007C1122"/>
    <w:rsid w:val="007C19EC"/>
    <w:rsid w:val="007C364E"/>
    <w:rsid w:val="007C5359"/>
    <w:rsid w:val="007C6701"/>
    <w:rsid w:val="007D16ED"/>
    <w:rsid w:val="007D2398"/>
    <w:rsid w:val="007D440B"/>
    <w:rsid w:val="007D62F9"/>
    <w:rsid w:val="007D63A4"/>
    <w:rsid w:val="007D732D"/>
    <w:rsid w:val="007E0F19"/>
    <w:rsid w:val="007E2A84"/>
    <w:rsid w:val="007E5ECB"/>
    <w:rsid w:val="007F063D"/>
    <w:rsid w:val="007F0D73"/>
    <w:rsid w:val="007F153F"/>
    <w:rsid w:val="007F3137"/>
    <w:rsid w:val="007F432A"/>
    <w:rsid w:val="007F63AA"/>
    <w:rsid w:val="008006B7"/>
    <w:rsid w:val="008032FD"/>
    <w:rsid w:val="00806461"/>
    <w:rsid w:val="008064CE"/>
    <w:rsid w:val="0080673A"/>
    <w:rsid w:val="00807A94"/>
    <w:rsid w:val="00810B79"/>
    <w:rsid w:val="00810EAD"/>
    <w:rsid w:val="00814530"/>
    <w:rsid w:val="00815386"/>
    <w:rsid w:val="00821F9C"/>
    <w:rsid w:val="00825570"/>
    <w:rsid w:val="00826403"/>
    <w:rsid w:val="00827990"/>
    <w:rsid w:val="00834CA6"/>
    <w:rsid w:val="0083623B"/>
    <w:rsid w:val="00836C5A"/>
    <w:rsid w:val="00837E59"/>
    <w:rsid w:val="00842100"/>
    <w:rsid w:val="008428A9"/>
    <w:rsid w:val="0084308F"/>
    <w:rsid w:val="00846C2B"/>
    <w:rsid w:val="008473F2"/>
    <w:rsid w:val="0085139A"/>
    <w:rsid w:val="008524F6"/>
    <w:rsid w:val="008532F3"/>
    <w:rsid w:val="00854B3F"/>
    <w:rsid w:val="00861C2C"/>
    <w:rsid w:val="00863744"/>
    <w:rsid w:val="008668B8"/>
    <w:rsid w:val="0086748F"/>
    <w:rsid w:val="0086758B"/>
    <w:rsid w:val="00867B4D"/>
    <w:rsid w:val="00867CF3"/>
    <w:rsid w:val="00874AB5"/>
    <w:rsid w:val="00877671"/>
    <w:rsid w:val="00877A13"/>
    <w:rsid w:val="0088020A"/>
    <w:rsid w:val="008869BC"/>
    <w:rsid w:val="00887DDD"/>
    <w:rsid w:val="00887DE6"/>
    <w:rsid w:val="00887E9F"/>
    <w:rsid w:val="008908AA"/>
    <w:rsid w:val="00890E08"/>
    <w:rsid w:val="008926E3"/>
    <w:rsid w:val="00894DCA"/>
    <w:rsid w:val="00897D88"/>
    <w:rsid w:val="008A00BE"/>
    <w:rsid w:val="008A1539"/>
    <w:rsid w:val="008A2C5D"/>
    <w:rsid w:val="008A3BE2"/>
    <w:rsid w:val="008A6B30"/>
    <w:rsid w:val="008B05E7"/>
    <w:rsid w:val="008B0758"/>
    <w:rsid w:val="008B1875"/>
    <w:rsid w:val="008B4146"/>
    <w:rsid w:val="008B5312"/>
    <w:rsid w:val="008B59CE"/>
    <w:rsid w:val="008B6078"/>
    <w:rsid w:val="008B7110"/>
    <w:rsid w:val="008B7F4A"/>
    <w:rsid w:val="008C04E1"/>
    <w:rsid w:val="008C04FE"/>
    <w:rsid w:val="008C2F50"/>
    <w:rsid w:val="008C3109"/>
    <w:rsid w:val="008C5312"/>
    <w:rsid w:val="008C5DBD"/>
    <w:rsid w:val="008C61D6"/>
    <w:rsid w:val="008D49AF"/>
    <w:rsid w:val="008D4A2B"/>
    <w:rsid w:val="008D4A9F"/>
    <w:rsid w:val="008D6294"/>
    <w:rsid w:val="008E09B8"/>
    <w:rsid w:val="008E1FE0"/>
    <w:rsid w:val="008E3939"/>
    <w:rsid w:val="008E3B41"/>
    <w:rsid w:val="008E3DDD"/>
    <w:rsid w:val="008F0212"/>
    <w:rsid w:val="008F0559"/>
    <w:rsid w:val="008F23F4"/>
    <w:rsid w:val="008F61C4"/>
    <w:rsid w:val="008F7763"/>
    <w:rsid w:val="009007CB"/>
    <w:rsid w:val="009010F0"/>
    <w:rsid w:val="00901162"/>
    <w:rsid w:val="00901D46"/>
    <w:rsid w:val="009020F1"/>
    <w:rsid w:val="009028E2"/>
    <w:rsid w:val="00903692"/>
    <w:rsid w:val="00904E07"/>
    <w:rsid w:val="00912BAF"/>
    <w:rsid w:val="0091311E"/>
    <w:rsid w:val="00914EAB"/>
    <w:rsid w:val="0091541F"/>
    <w:rsid w:val="00916E71"/>
    <w:rsid w:val="00920D98"/>
    <w:rsid w:val="0092108C"/>
    <w:rsid w:val="00922D49"/>
    <w:rsid w:val="009238DB"/>
    <w:rsid w:val="00925E37"/>
    <w:rsid w:val="00925EDD"/>
    <w:rsid w:val="00927348"/>
    <w:rsid w:val="00930079"/>
    <w:rsid w:val="00930966"/>
    <w:rsid w:val="00932F64"/>
    <w:rsid w:val="00935FB1"/>
    <w:rsid w:val="00936075"/>
    <w:rsid w:val="00936D40"/>
    <w:rsid w:val="00937ABF"/>
    <w:rsid w:val="00937DB1"/>
    <w:rsid w:val="0094296E"/>
    <w:rsid w:val="009463CC"/>
    <w:rsid w:val="0094687A"/>
    <w:rsid w:val="00950413"/>
    <w:rsid w:val="0095078E"/>
    <w:rsid w:val="00952404"/>
    <w:rsid w:val="00952A72"/>
    <w:rsid w:val="009542B3"/>
    <w:rsid w:val="009550A8"/>
    <w:rsid w:val="00955FF2"/>
    <w:rsid w:val="0095693D"/>
    <w:rsid w:val="00956B0D"/>
    <w:rsid w:val="0096260B"/>
    <w:rsid w:val="009631C1"/>
    <w:rsid w:val="00970C69"/>
    <w:rsid w:val="00973B57"/>
    <w:rsid w:val="00973E0D"/>
    <w:rsid w:val="0097403F"/>
    <w:rsid w:val="00976797"/>
    <w:rsid w:val="00980C0C"/>
    <w:rsid w:val="00982E47"/>
    <w:rsid w:val="00982EAE"/>
    <w:rsid w:val="00983E7D"/>
    <w:rsid w:val="00991642"/>
    <w:rsid w:val="0099260C"/>
    <w:rsid w:val="009942F4"/>
    <w:rsid w:val="00995B3C"/>
    <w:rsid w:val="00996BCA"/>
    <w:rsid w:val="009A045B"/>
    <w:rsid w:val="009A0513"/>
    <w:rsid w:val="009A07C1"/>
    <w:rsid w:val="009A2283"/>
    <w:rsid w:val="009A31AF"/>
    <w:rsid w:val="009A3507"/>
    <w:rsid w:val="009A529F"/>
    <w:rsid w:val="009A5C1D"/>
    <w:rsid w:val="009A6018"/>
    <w:rsid w:val="009A7920"/>
    <w:rsid w:val="009B4286"/>
    <w:rsid w:val="009B5BF9"/>
    <w:rsid w:val="009B5DAF"/>
    <w:rsid w:val="009B5F83"/>
    <w:rsid w:val="009B61C5"/>
    <w:rsid w:val="009B769E"/>
    <w:rsid w:val="009C03E5"/>
    <w:rsid w:val="009C4D19"/>
    <w:rsid w:val="009C5FDB"/>
    <w:rsid w:val="009C6334"/>
    <w:rsid w:val="009C65AF"/>
    <w:rsid w:val="009C70CB"/>
    <w:rsid w:val="009C74DD"/>
    <w:rsid w:val="009D27AA"/>
    <w:rsid w:val="009D2AD9"/>
    <w:rsid w:val="009D514E"/>
    <w:rsid w:val="009D5A40"/>
    <w:rsid w:val="009D5C39"/>
    <w:rsid w:val="009D6FED"/>
    <w:rsid w:val="009E0A95"/>
    <w:rsid w:val="009E0D47"/>
    <w:rsid w:val="009E549D"/>
    <w:rsid w:val="009E54AF"/>
    <w:rsid w:val="009E5C59"/>
    <w:rsid w:val="009E6BB8"/>
    <w:rsid w:val="009F1CC3"/>
    <w:rsid w:val="009F26F2"/>
    <w:rsid w:val="009F3E1E"/>
    <w:rsid w:val="009F4CC5"/>
    <w:rsid w:val="009F6550"/>
    <w:rsid w:val="00A003BE"/>
    <w:rsid w:val="00A00870"/>
    <w:rsid w:val="00A02F51"/>
    <w:rsid w:val="00A0360B"/>
    <w:rsid w:val="00A03841"/>
    <w:rsid w:val="00A0520F"/>
    <w:rsid w:val="00A05ACE"/>
    <w:rsid w:val="00A06338"/>
    <w:rsid w:val="00A06788"/>
    <w:rsid w:val="00A104A4"/>
    <w:rsid w:val="00A10D63"/>
    <w:rsid w:val="00A115BC"/>
    <w:rsid w:val="00A11776"/>
    <w:rsid w:val="00A1276C"/>
    <w:rsid w:val="00A14098"/>
    <w:rsid w:val="00A14304"/>
    <w:rsid w:val="00A14399"/>
    <w:rsid w:val="00A14C46"/>
    <w:rsid w:val="00A15524"/>
    <w:rsid w:val="00A15EE9"/>
    <w:rsid w:val="00A16675"/>
    <w:rsid w:val="00A1724E"/>
    <w:rsid w:val="00A20263"/>
    <w:rsid w:val="00A2168F"/>
    <w:rsid w:val="00A26437"/>
    <w:rsid w:val="00A30E4D"/>
    <w:rsid w:val="00A32410"/>
    <w:rsid w:val="00A32B48"/>
    <w:rsid w:val="00A36D00"/>
    <w:rsid w:val="00A43389"/>
    <w:rsid w:val="00A4642E"/>
    <w:rsid w:val="00A47AF8"/>
    <w:rsid w:val="00A52D75"/>
    <w:rsid w:val="00A53013"/>
    <w:rsid w:val="00A54BD6"/>
    <w:rsid w:val="00A5643A"/>
    <w:rsid w:val="00A57678"/>
    <w:rsid w:val="00A6090C"/>
    <w:rsid w:val="00A6200E"/>
    <w:rsid w:val="00A62D1E"/>
    <w:rsid w:val="00A65C6D"/>
    <w:rsid w:val="00A716B9"/>
    <w:rsid w:val="00A720D8"/>
    <w:rsid w:val="00A72216"/>
    <w:rsid w:val="00A733F2"/>
    <w:rsid w:val="00A75705"/>
    <w:rsid w:val="00A75BE1"/>
    <w:rsid w:val="00A8187C"/>
    <w:rsid w:val="00A82C9E"/>
    <w:rsid w:val="00A8324F"/>
    <w:rsid w:val="00A85142"/>
    <w:rsid w:val="00A91ECB"/>
    <w:rsid w:val="00A95B37"/>
    <w:rsid w:val="00A96B6F"/>
    <w:rsid w:val="00AA0CE8"/>
    <w:rsid w:val="00AA35FD"/>
    <w:rsid w:val="00AA3DB7"/>
    <w:rsid w:val="00AA58C5"/>
    <w:rsid w:val="00AA5EF2"/>
    <w:rsid w:val="00AA5F63"/>
    <w:rsid w:val="00AA7EBD"/>
    <w:rsid w:val="00AB69EF"/>
    <w:rsid w:val="00AC11DC"/>
    <w:rsid w:val="00AC3183"/>
    <w:rsid w:val="00AC3E87"/>
    <w:rsid w:val="00AC469F"/>
    <w:rsid w:val="00AD0611"/>
    <w:rsid w:val="00AD0E29"/>
    <w:rsid w:val="00AD0E4F"/>
    <w:rsid w:val="00AD26D7"/>
    <w:rsid w:val="00AD3905"/>
    <w:rsid w:val="00AD4555"/>
    <w:rsid w:val="00AD4A31"/>
    <w:rsid w:val="00AD5638"/>
    <w:rsid w:val="00AD7214"/>
    <w:rsid w:val="00AE1066"/>
    <w:rsid w:val="00AE12A4"/>
    <w:rsid w:val="00AE2E1B"/>
    <w:rsid w:val="00AE5129"/>
    <w:rsid w:val="00AE5645"/>
    <w:rsid w:val="00AF1D6B"/>
    <w:rsid w:val="00AF24AA"/>
    <w:rsid w:val="00AF3AF9"/>
    <w:rsid w:val="00AF3E5F"/>
    <w:rsid w:val="00AF3EFD"/>
    <w:rsid w:val="00AF44C1"/>
    <w:rsid w:val="00AF4F09"/>
    <w:rsid w:val="00AF643E"/>
    <w:rsid w:val="00AF73EB"/>
    <w:rsid w:val="00AF79C8"/>
    <w:rsid w:val="00B00FA8"/>
    <w:rsid w:val="00B011B0"/>
    <w:rsid w:val="00B0391C"/>
    <w:rsid w:val="00B047F6"/>
    <w:rsid w:val="00B06019"/>
    <w:rsid w:val="00B0700F"/>
    <w:rsid w:val="00B1493B"/>
    <w:rsid w:val="00B15119"/>
    <w:rsid w:val="00B17169"/>
    <w:rsid w:val="00B2146B"/>
    <w:rsid w:val="00B22511"/>
    <w:rsid w:val="00B23996"/>
    <w:rsid w:val="00B23CB2"/>
    <w:rsid w:val="00B24A18"/>
    <w:rsid w:val="00B255C5"/>
    <w:rsid w:val="00B25807"/>
    <w:rsid w:val="00B268DD"/>
    <w:rsid w:val="00B32AE1"/>
    <w:rsid w:val="00B35FEC"/>
    <w:rsid w:val="00B37780"/>
    <w:rsid w:val="00B37813"/>
    <w:rsid w:val="00B37EEF"/>
    <w:rsid w:val="00B41C1D"/>
    <w:rsid w:val="00B43917"/>
    <w:rsid w:val="00B4515C"/>
    <w:rsid w:val="00B459CD"/>
    <w:rsid w:val="00B46220"/>
    <w:rsid w:val="00B464EA"/>
    <w:rsid w:val="00B47574"/>
    <w:rsid w:val="00B5430C"/>
    <w:rsid w:val="00B54782"/>
    <w:rsid w:val="00B56A90"/>
    <w:rsid w:val="00B5711C"/>
    <w:rsid w:val="00B57BCF"/>
    <w:rsid w:val="00B57E36"/>
    <w:rsid w:val="00B60209"/>
    <w:rsid w:val="00B606A3"/>
    <w:rsid w:val="00B63B6A"/>
    <w:rsid w:val="00B65D6F"/>
    <w:rsid w:val="00B66C17"/>
    <w:rsid w:val="00B673F3"/>
    <w:rsid w:val="00B67A25"/>
    <w:rsid w:val="00B7354A"/>
    <w:rsid w:val="00B7435B"/>
    <w:rsid w:val="00B74446"/>
    <w:rsid w:val="00B74B59"/>
    <w:rsid w:val="00B77142"/>
    <w:rsid w:val="00B8024E"/>
    <w:rsid w:val="00B80C3A"/>
    <w:rsid w:val="00B84643"/>
    <w:rsid w:val="00B87130"/>
    <w:rsid w:val="00B90452"/>
    <w:rsid w:val="00B90780"/>
    <w:rsid w:val="00B916D6"/>
    <w:rsid w:val="00B91AD8"/>
    <w:rsid w:val="00B9209B"/>
    <w:rsid w:val="00B9240D"/>
    <w:rsid w:val="00B9328B"/>
    <w:rsid w:val="00B95753"/>
    <w:rsid w:val="00B97E42"/>
    <w:rsid w:val="00BA0425"/>
    <w:rsid w:val="00BA0C05"/>
    <w:rsid w:val="00BA54D0"/>
    <w:rsid w:val="00BA7E30"/>
    <w:rsid w:val="00BB1013"/>
    <w:rsid w:val="00BB4515"/>
    <w:rsid w:val="00BB7B89"/>
    <w:rsid w:val="00BC1A9B"/>
    <w:rsid w:val="00BC2A22"/>
    <w:rsid w:val="00BC4986"/>
    <w:rsid w:val="00BC5E2E"/>
    <w:rsid w:val="00BC6379"/>
    <w:rsid w:val="00BC7EEF"/>
    <w:rsid w:val="00BD43BB"/>
    <w:rsid w:val="00BD72C1"/>
    <w:rsid w:val="00BD7ADE"/>
    <w:rsid w:val="00BE1A85"/>
    <w:rsid w:val="00BE46ED"/>
    <w:rsid w:val="00BE4FD1"/>
    <w:rsid w:val="00BE642D"/>
    <w:rsid w:val="00BE6D7A"/>
    <w:rsid w:val="00BF2511"/>
    <w:rsid w:val="00BF377F"/>
    <w:rsid w:val="00BF3F88"/>
    <w:rsid w:val="00BF4BCD"/>
    <w:rsid w:val="00BF57BE"/>
    <w:rsid w:val="00C0042B"/>
    <w:rsid w:val="00C02E58"/>
    <w:rsid w:val="00C030B6"/>
    <w:rsid w:val="00C04B38"/>
    <w:rsid w:val="00C067B7"/>
    <w:rsid w:val="00C10A09"/>
    <w:rsid w:val="00C121BC"/>
    <w:rsid w:val="00C14D92"/>
    <w:rsid w:val="00C16739"/>
    <w:rsid w:val="00C17F3F"/>
    <w:rsid w:val="00C23BA2"/>
    <w:rsid w:val="00C260A2"/>
    <w:rsid w:val="00C30DEC"/>
    <w:rsid w:val="00C31142"/>
    <w:rsid w:val="00C31DEF"/>
    <w:rsid w:val="00C338EB"/>
    <w:rsid w:val="00C34ECB"/>
    <w:rsid w:val="00C35BB7"/>
    <w:rsid w:val="00C36B35"/>
    <w:rsid w:val="00C36E74"/>
    <w:rsid w:val="00C36FF2"/>
    <w:rsid w:val="00C400CD"/>
    <w:rsid w:val="00C41617"/>
    <w:rsid w:val="00C4309A"/>
    <w:rsid w:val="00C43F23"/>
    <w:rsid w:val="00C43FF1"/>
    <w:rsid w:val="00C45494"/>
    <w:rsid w:val="00C52D18"/>
    <w:rsid w:val="00C54DC1"/>
    <w:rsid w:val="00C559CE"/>
    <w:rsid w:val="00C55E19"/>
    <w:rsid w:val="00C563AD"/>
    <w:rsid w:val="00C563BF"/>
    <w:rsid w:val="00C56EF8"/>
    <w:rsid w:val="00C57512"/>
    <w:rsid w:val="00C57607"/>
    <w:rsid w:val="00C61133"/>
    <w:rsid w:val="00C64009"/>
    <w:rsid w:val="00C7016D"/>
    <w:rsid w:val="00C754C7"/>
    <w:rsid w:val="00C767B3"/>
    <w:rsid w:val="00C76C07"/>
    <w:rsid w:val="00C80F23"/>
    <w:rsid w:val="00C850A3"/>
    <w:rsid w:val="00C87568"/>
    <w:rsid w:val="00C92451"/>
    <w:rsid w:val="00C9272C"/>
    <w:rsid w:val="00C97764"/>
    <w:rsid w:val="00C97C9B"/>
    <w:rsid w:val="00CA344C"/>
    <w:rsid w:val="00CA6B2A"/>
    <w:rsid w:val="00CA7CF8"/>
    <w:rsid w:val="00CA7F19"/>
    <w:rsid w:val="00CB142D"/>
    <w:rsid w:val="00CB29F6"/>
    <w:rsid w:val="00CB2BBF"/>
    <w:rsid w:val="00CB481C"/>
    <w:rsid w:val="00CB4C8C"/>
    <w:rsid w:val="00CB62E1"/>
    <w:rsid w:val="00CB6EFE"/>
    <w:rsid w:val="00CC16F9"/>
    <w:rsid w:val="00CC28A9"/>
    <w:rsid w:val="00CC4183"/>
    <w:rsid w:val="00CC70A4"/>
    <w:rsid w:val="00CD4A0C"/>
    <w:rsid w:val="00CD5CEF"/>
    <w:rsid w:val="00CE06EC"/>
    <w:rsid w:val="00CE592E"/>
    <w:rsid w:val="00CE5BC5"/>
    <w:rsid w:val="00CF16A4"/>
    <w:rsid w:val="00CF299F"/>
    <w:rsid w:val="00CF3357"/>
    <w:rsid w:val="00CF4F26"/>
    <w:rsid w:val="00CF58DF"/>
    <w:rsid w:val="00D00BC3"/>
    <w:rsid w:val="00D03538"/>
    <w:rsid w:val="00D04410"/>
    <w:rsid w:val="00D05EE7"/>
    <w:rsid w:val="00D06A9D"/>
    <w:rsid w:val="00D07C15"/>
    <w:rsid w:val="00D11D4F"/>
    <w:rsid w:val="00D13A01"/>
    <w:rsid w:val="00D15733"/>
    <w:rsid w:val="00D20364"/>
    <w:rsid w:val="00D2130C"/>
    <w:rsid w:val="00D26746"/>
    <w:rsid w:val="00D26DDD"/>
    <w:rsid w:val="00D27BDC"/>
    <w:rsid w:val="00D3194F"/>
    <w:rsid w:val="00D33751"/>
    <w:rsid w:val="00D37343"/>
    <w:rsid w:val="00D37495"/>
    <w:rsid w:val="00D41727"/>
    <w:rsid w:val="00D427E4"/>
    <w:rsid w:val="00D45058"/>
    <w:rsid w:val="00D45F1B"/>
    <w:rsid w:val="00D50E1A"/>
    <w:rsid w:val="00D52289"/>
    <w:rsid w:val="00D55A37"/>
    <w:rsid w:val="00D55B7E"/>
    <w:rsid w:val="00D64354"/>
    <w:rsid w:val="00D66685"/>
    <w:rsid w:val="00D70D35"/>
    <w:rsid w:val="00D71351"/>
    <w:rsid w:val="00D71997"/>
    <w:rsid w:val="00D72993"/>
    <w:rsid w:val="00D753E9"/>
    <w:rsid w:val="00D777B9"/>
    <w:rsid w:val="00D77E2E"/>
    <w:rsid w:val="00D81050"/>
    <w:rsid w:val="00D82273"/>
    <w:rsid w:val="00D82FA5"/>
    <w:rsid w:val="00D84A4B"/>
    <w:rsid w:val="00D84B45"/>
    <w:rsid w:val="00D857AE"/>
    <w:rsid w:val="00D8623D"/>
    <w:rsid w:val="00D867FB"/>
    <w:rsid w:val="00D870CF"/>
    <w:rsid w:val="00D873C4"/>
    <w:rsid w:val="00D90E11"/>
    <w:rsid w:val="00D9110D"/>
    <w:rsid w:val="00D91124"/>
    <w:rsid w:val="00D91987"/>
    <w:rsid w:val="00D92168"/>
    <w:rsid w:val="00D932DF"/>
    <w:rsid w:val="00D93426"/>
    <w:rsid w:val="00D94B22"/>
    <w:rsid w:val="00D958D3"/>
    <w:rsid w:val="00D9594F"/>
    <w:rsid w:val="00D95EEA"/>
    <w:rsid w:val="00D971CB"/>
    <w:rsid w:val="00D97213"/>
    <w:rsid w:val="00DA134E"/>
    <w:rsid w:val="00DA13F3"/>
    <w:rsid w:val="00DA2DE3"/>
    <w:rsid w:val="00DA64AF"/>
    <w:rsid w:val="00DB1F4F"/>
    <w:rsid w:val="00DB2AC7"/>
    <w:rsid w:val="00DB704C"/>
    <w:rsid w:val="00DC693B"/>
    <w:rsid w:val="00DC7C77"/>
    <w:rsid w:val="00DD0F5D"/>
    <w:rsid w:val="00DD426D"/>
    <w:rsid w:val="00DD74FC"/>
    <w:rsid w:val="00DE0DB6"/>
    <w:rsid w:val="00DE117F"/>
    <w:rsid w:val="00DE1769"/>
    <w:rsid w:val="00DE1A17"/>
    <w:rsid w:val="00DE44C8"/>
    <w:rsid w:val="00DE64CC"/>
    <w:rsid w:val="00DE6AA9"/>
    <w:rsid w:val="00DE7B30"/>
    <w:rsid w:val="00DF20C7"/>
    <w:rsid w:val="00DF4D0C"/>
    <w:rsid w:val="00DF5C20"/>
    <w:rsid w:val="00DF7D81"/>
    <w:rsid w:val="00E02DEB"/>
    <w:rsid w:val="00E042A1"/>
    <w:rsid w:val="00E0476C"/>
    <w:rsid w:val="00E0576B"/>
    <w:rsid w:val="00E067EA"/>
    <w:rsid w:val="00E06D18"/>
    <w:rsid w:val="00E104FA"/>
    <w:rsid w:val="00E1320D"/>
    <w:rsid w:val="00E16022"/>
    <w:rsid w:val="00E1694E"/>
    <w:rsid w:val="00E1738C"/>
    <w:rsid w:val="00E174FF"/>
    <w:rsid w:val="00E205AA"/>
    <w:rsid w:val="00E22296"/>
    <w:rsid w:val="00E27360"/>
    <w:rsid w:val="00E27C04"/>
    <w:rsid w:val="00E30713"/>
    <w:rsid w:val="00E30EDF"/>
    <w:rsid w:val="00E3153A"/>
    <w:rsid w:val="00E31FBA"/>
    <w:rsid w:val="00E328E2"/>
    <w:rsid w:val="00E336BB"/>
    <w:rsid w:val="00E3384E"/>
    <w:rsid w:val="00E374C8"/>
    <w:rsid w:val="00E4042D"/>
    <w:rsid w:val="00E4135D"/>
    <w:rsid w:val="00E43750"/>
    <w:rsid w:val="00E508EB"/>
    <w:rsid w:val="00E521E3"/>
    <w:rsid w:val="00E53B7A"/>
    <w:rsid w:val="00E550C9"/>
    <w:rsid w:val="00E55405"/>
    <w:rsid w:val="00E5645D"/>
    <w:rsid w:val="00E627A4"/>
    <w:rsid w:val="00E6280E"/>
    <w:rsid w:val="00E62C9C"/>
    <w:rsid w:val="00E630EE"/>
    <w:rsid w:val="00E67A61"/>
    <w:rsid w:val="00E70455"/>
    <w:rsid w:val="00E73221"/>
    <w:rsid w:val="00E75116"/>
    <w:rsid w:val="00E763EB"/>
    <w:rsid w:val="00E80A5B"/>
    <w:rsid w:val="00E822EA"/>
    <w:rsid w:val="00E8342F"/>
    <w:rsid w:val="00E84632"/>
    <w:rsid w:val="00E847EE"/>
    <w:rsid w:val="00E876F9"/>
    <w:rsid w:val="00E96A72"/>
    <w:rsid w:val="00E96B52"/>
    <w:rsid w:val="00EA01F7"/>
    <w:rsid w:val="00EA1D33"/>
    <w:rsid w:val="00EA1F5A"/>
    <w:rsid w:val="00EA375F"/>
    <w:rsid w:val="00EA7104"/>
    <w:rsid w:val="00EA7533"/>
    <w:rsid w:val="00EB067F"/>
    <w:rsid w:val="00EB2419"/>
    <w:rsid w:val="00EB58F5"/>
    <w:rsid w:val="00EB6E6B"/>
    <w:rsid w:val="00EC010F"/>
    <w:rsid w:val="00EC0FC0"/>
    <w:rsid w:val="00EC2E3A"/>
    <w:rsid w:val="00EC3CCB"/>
    <w:rsid w:val="00EC5A74"/>
    <w:rsid w:val="00EC737D"/>
    <w:rsid w:val="00ED2154"/>
    <w:rsid w:val="00ED4277"/>
    <w:rsid w:val="00ED7C8C"/>
    <w:rsid w:val="00ED7DDB"/>
    <w:rsid w:val="00EE431B"/>
    <w:rsid w:val="00EE4874"/>
    <w:rsid w:val="00EE53E5"/>
    <w:rsid w:val="00EE6654"/>
    <w:rsid w:val="00EE73FB"/>
    <w:rsid w:val="00EE7BF0"/>
    <w:rsid w:val="00EF17D8"/>
    <w:rsid w:val="00EF2674"/>
    <w:rsid w:val="00EF3163"/>
    <w:rsid w:val="00EF4D29"/>
    <w:rsid w:val="00EF556F"/>
    <w:rsid w:val="00EF7D07"/>
    <w:rsid w:val="00F0181C"/>
    <w:rsid w:val="00F03512"/>
    <w:rsid w:val="00F0433A"/>
    <w:rsid w:val="00F0519B"/>
    <w:rsid w:val="00F059D4"/>
    <w:rsid w:val="00F11783"/>
    <w:rsid w:val="00F119AF"/>
    <w:rsid w:val="00F1480B"/>
    <w:rsid w:val="00F1498D"/>
    <w:rsid w:val="00F20065"/>
    <w:rsid w:val="00F22211"/>
    <w:rsid w:val="00F22341"/>
    <w:rsid w:val="00F22F1D"/>
    <w:rsid w:val="00F22F9F"/>
    <w:rsid w:val="00F24039"/>
    <w:rsid w:val="00F24E0E"/>
    <w:rsid w:val="00F26693"/>
    <w:rsid w:val="00F266E1"/>
    <w:rsid w:val="00F3477D"/>
    <w:rsid w:val="00F347FE"/>
    <w:rsid w:val="00F34859"/>
    <w:rsid w:val="00F356F7"/>
    <w:rsid w:val="00F40055"/>
    <w:rsid w:val="00F40868"/>
    <w:rsid w:val="00F44FDE"/>
    <w:rsid w:val="00F46467"/>
    <w:rsid w:val="00F4715C"/>
    <w:rsid w:val="00F47FF8"/>
    <w:rsid w:val="00F529B5"/>
    <w:rsid w:val="00F52AA4"/>
    <w:rsid w:val="00F56162"/>
    <w:rsid w:val="00F56B7E"/>
    <w:rsid w:val="00F6052F"/>
    <w:rsid w:val="00F62FDE"/>
    <w:rsid w:val="00F654E6"/>
    <w:rsid w:val="00F662CD"/>
    <w:rsid w:val="00F67E39"/>
    <w:rsid w:val="00F703A8"/>
    <w:rsid w:val="00F707F1"/>
    <w:rsid w:val="00F7094A"/>
    <w:rsid w:val="00F710BE"/>
    <w:rsid w:val="00F72579"/>
    <w:rsid w:val="00F804B9"/>
    <w:rsid w:val="00F80AE2"/>
    <w:rsid w:val="00F83FF9"/>
    <w:rsid w:val="00F870C3"/>
    <w:rsid w:val="00F91B52"/>
    <w:rsid w:val="00F96087"/>
    <w:rsid w:val="00F97478"/>
    <w:rsid w:val="00F97B71"/>
    <w:rsid w:val="00F97B9E"/>
    <w:rsid w:val="00FA0527"/>
    <w:rsid w:val="00FA085E"/>
    <w:rsid w:val="00FA0947"/>
    <w:rsid w:val="00FA2D49"/>
    <w:rsid w:val="00FA4B52"/>
    <w:rsid w:val="00FA4D4F"/>
    <w:rsid w:val="00FA4D5B"/>
    <w:rsid w:val="00FA54E8"/>
    <w:rsid w:val="00FA6245"/>
    <w:rsid w:val="00FA786F"/>
    <w:rsid w:val="00FA7D19"/>
    <w:rsid w:val="00FA7EB3"/>
    <w:rsid w:val="00FB058F"/>
    <w:rsid w:val="00FB3750"/>
    <w:rsid w:val="00FB387C"/>
    <w:rsid w:val="00FB3C94"/>
    <w:rsid w:val="00FB48C1"/>
    <w:rsid w:val="00FB6808"/>
    <w:rsid w:val="00FB6CD0"/>
    <w:rsid w:val="00FB723C"/>
    <w:rsid w:val="00FB72B4"/>
    <w:rsid w:val="00FC0A2D"/>
    <w:rsid w:val="00FC13C8"/>
    <w:rsid w:val="00FC39F9"/>
    <w:rsid w:val="00FC59F8"/>
    <w:rsid w:val="00FC60F6"/>
    <w:rsid w:val="00FC7F43"/>
    <w:rsid w:val="00FD0DFA"/>
    <w:rsid w:val="00FD5E71"/>
    <w:rsid w:val="00FD7D41"/>
    <w:rsid w:val="00FE0072"/>
    <w:rsid w:val="00FE0C71"/>
    <w:rsid w:val="00FE1E47"/>
    <w:rsid w:val="00FE275D"/>
    <w:rsid w:val="00FE65AC"/>
    <w:rsid w:val="00FE7FBD"/>
    <w:rsid w:val="00FF10BC"/>
    <w:rsid w:val="00FF5DCF"/>
    <w:rsid w:val="00FF699B"/>
    <w:rsid w:val="00FF6ADB"/>
    <w:rsid w:val="3B56316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qFormat="1"/>
    <w:lsdException w:name="Normal Indent" w:uiPriority="99" w:qFormat="1"/>
    <w:lsdException w:name="footnote text" w:qFormat="1"/>
    <w:lsdException w:name="annotation text" w:semiHidden="1" w:qFormat="1"/>
    <w:lsdException w:name="header" w:uiPriority="99" w:qFormat="1"/>
    <w:lsdException w:name="footer" w:qFormat="1"/>
    <w:lsdException w:name="caption" w:semiHidden="1" w:unhideWhenUsed="1" w:qFormat="1"/>
    <w:lsdException w:name="footnote reference" w:qFormat="1"/>
    <w:lsdException w:name="annotation reference" w:semiHidden="1" w:qFormat="1"/>
    <w:lsdException w:name="page number" w:qFormat="1"/>
    <w:lsdException w:name="List" w:qFormat="1"/>
    <w:lsdException w:name="Title" w:qFormat="1"/>
    <w:lsdException w:name="Default Paragraph Font" w:semiHidden="1" w:uiPriority="1" w:unhideWhenUsed="1"/>
    <w:lsdException w:name="Body Text" w:qFormat="1"/>
    <w:lsdException w:name="Body Text Indent" w:qFormat="1"/>
    <w:lsdException w:name="Subtitle" w:qFormat="1"/>
    <w:lsdException w:name="Date" w:qFormat="1"/>
    <w:lsdException w:name="Body Text Indent 2" w:qFormat="1"/>
    <w:lsdException w:name="Body Text Indent 3" w:qFormat="1"/>
    <w:lsdException w:name="Hyperlink" w:qFormat="1"/>
    <w:lsdException w:name="Strong" w:uiPriority="22" w:qFormat="1"/>
    <w:lsdException w:name="Emphasis" w:qFormat="1"/>
    <w:lsdException w:name="Document Map" w:semiHidden="1" w:qFormat="1"/>
    <w:lsdException w:name="Plain Text" w:uiPriority="99"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annotation subject"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semiHidden="1" w:qFormat="1"/>
    <w:lsdException w:name="Table Grid" w:uiPriority="9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2146B"/>
    <w:pPr>
      <w:widowControl w:val="0"/>
      <w:jc w:val="both"/>
    </w:pPr>
    <w:rPr>
      <w:kern w:val="2"/>
      <w:sz w:val="21"/>
      <w:szCs w:val="24"/>
    </w:rPr>
  </w:style>
  <w:style w:type="paragraph" w:styleId="1">
    <w:name w:val="heading 1"/>
    <w:basedOn w:val="a"/>
    <w:next w:val="a"/>
    <w:link w:val="1Char"/>
    <w:qFormat/>
    <w:rsid w:val="00B2146B"/>
    <w:pPr>
      <w:keepNext/>
      <w:keepLines/>
      <w:spacing w:before="340" w:after="330" w:line="578" w:lineRule="auto"/>
      <w:outlineLvl w:val="0"/>
    </w:pPr>
    <w:rPr>
      <w:b/>
      <w:bCs/>
      <w:kern w:val="44"/>
      <w:sz w:val="44"/>
      <w:szCs w:val="44"/>
    </w:rPr>
  </w:style>
  <w:style w:type="paragraph" w:styleId="2">
    <w:name w:val="heading 2"/>
    <w:basedOn w:val="a"/>
    <w:next w:val="a0"/>
    <w:qFormat/>
    <w:rsid w:val="00B2146B"/>
    <w:pPr>
      <w:keepNext/>
      <w:keepLines/>
      <w:spacing w:before="260" w:after="260" w:line="360" w:lineRule="auto"/>
      <w:outlineLvl w:val="1"/>
    </w:pPr>
    <w:rPr>
      <w:rFonts w:ascii="Arial" w:hAnsi="Arial" w:cs="Arial"/>
      <w:b/>
      <w:bCs/>
      <w:sz w:val="24"/>
      <w:szCs w:val="28"/>
    </w:rPr>
  </w:style>
  <w:style w:type="paragraph" w:styleId="3">
    <w:name w:val="heading 3"/>
    <w:basedOn w:val="a"/>
    <w:next w:val="a"/>
    <w:link w:val="3Char"/>
    <w:uiPriority w:val="9"/>
    <w:unhideWhenUsed/>
    <w:qFormat/>
    <w:rsid w:val="00B2146B"/>
    <w:pPr>
      <w:keepNext/>
      <w:keepLines/>
      <w:spacing w:before="260" w:after="260" w:line="416" w:lineRule="auto"/>
      <w:outlineLvl w:val="2"/>
    </w:pPr>
    <w:rPr>
      <w:rFonts w:asciiTheme="minorHAnsi" w:eastAsiaTheme="minorEastAsia" w:hAnsiTheme="minorHAnsi" w:cstheme="minorBidi"/>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B2146B"/>
    <w:pPr>
      <w:ind w:firstLineChars="200" w:firstLine="420"/>
    </w:pPr>
  </w:style>
  <w:style w:type="paragraph" w:styleId="a4">
    <w:name w:val="annotation subject"/>
    <w:basedOn w:val="a5"/>
    <w:next w:val="a5"/>
    <w:semiHidden/>
    <w:qFormat/>
    <w:rsid w:val="00B2146B"/>
    <w:rPr>
      <w:b/>
      <w:bCs/>
    </w:rPr>
  </w:style>
  <w:style w:type="paragraph" w:styleId="a5">
    <w:name w:val="annotation text"/>
    <w:basedOn w:val="a"/>
    <w:semiHidden/>
    <w:qFormat/>
    <w:rsid w:val="00B2146B"/>
    <w:pPr>
      <w:jc w:val="left"/>
    </w:pPr>
  </w:style>
  <w:style w:type="paragraph" w:styleId="a6">
    <w:name w:val="Document Map"/>
    <w:basedOn w:val="a"/>
    <w:semiHidden/>
    <w:qFormat/>
    <w:rsid w:val="00B2146B"/>
    <w:pPr>
      <w:shd w:val="clear" w:color="auto" w:fill="000080"/>
    </w:pPr>
  </w:style>
  <w:style w:type="paragraph" w:styleId="a7">
    <w:name w:val="Body Text"/>
    <w:basedOn w:val="a"/>
    <w:qFormat/>
    <w:rsid w:val="00B2146B"/>
    <w:pPr>
      <w:spacing w:after="120"/>
    </w:pPr>
  </w:style>
  <w:style w:type="paragraph" w:styleId="a8">
    <w:name w:val="Body Text Indent"/>
    <w:basedOn w:val="a"/>
    <w:qFormat/>
    <w:rsid w:val="00B2146B"/>
    <w:pPr>
      <w:widowControl/>
      <w:spacing w:before="100" w:beforeAutospacing="1" w:after="100" w:afterAutospacing="1"/>
      <w:jc w:val="left"/>
    </w:pPr>
    <w:rPr>
      <w:rFonts w:ascii="Arial Unicode MS" w:eastAsia="Arial Unicode MS" w:hAnsi="Arial Unicode MS" w:cs="Arial Unicode MS"/>
      <w:kern w:val="0"/>
      <w:sz w:val="24"/>
    </w:rPr>
  </w:style>
  <w:style w:type="paragraph" w:styleId="a9">
    <w:name w:val="Plain Text"/>
    <w:basedOn w:val="a"/>
    <w:link w:val="Char"/>
    <w:uiPriority w:val="99"/>
    <w:qFormat/>
    <w:rsid w:val="00B2146B"/>
    <w:rPr>
      <w:rFonts w:ascii="宋体" w:hAnsi="Courier New"/>
      <w:szCs w:val="21"/>
    </w:rPr>
  </w:style>
  <w:style w:type="paragraph" w:styleId="aa">
    <w:name w:val="Date"/>
    <w:basedOn w:val="a"/>
    <w:next w:val="a"/>
    <w:link w:val="Char0"/>
    <w:qFormat/>
    <w:rsid w:val="00B2146B"/>
    <w:rPr>
      <w:sz w:val="24"/>
      <w:szCs w:val="20"/>
    </w:rPr>
  </w:style>
  <w:style w:type="paragraph" w:styleId="20">
    <w:name w:val="Body Text Indent 2"/>
    <w:basedOn w:val="a"/>
    <w:qFormat/>
    <w:rsid w:val="00B2146B"/>
    <w:pPr>
      <w:spacing w:line="560" w:lineRule="exact"/>
      <w:ind w:firstLineChars="200" w:firstLine="480"/>
    </w:pPr>
    <w:rPr>
      <w:rFonts w:ascii="宋体" w:hAnsi="宋体"/>
      <w:color w:val="FF0000"/>
      <w:sz w:val="24"/>
    </w:rPr>
  </w:style>
  <w:style w:type="paragraph" w:styleId="ab">
    <w:name w:val="Balloon Text"/>
    <w:basedOn w:val="a"/>
    <w:semiHidden/>
    <w:qFormat/>
    <w:rsid w:val="00B2146B"/>
    <w:rPr>
      <w:sz w:val="18"/>
      <w:szCs w:val="18"/>
    </w:rPr>
  </w:style>
  <w:style w:type="paragraph" w:styleId="ac">
    <w:name w:val="footer"/>
    <w:basedOn w:val="a"/>
    <w:qFormat/>
    <w:rsid w:val="00B2146B"/>
    <w:pPr>
      <w:tabs>
        <w:tab w:val="center" w:pos="4153"/>
        <w:tab w:val="right" w:pos="8306"/>
      </w:tabs>
      <w:snapToGrid w:val="0"/>
      <w:jc w:val="left"/>
    </w:pPr>
    <w:rPr>
      <w:sz w:val="18"/>
      <w:szCs w:val="18"/>
    </w:rPr>
  </w:style>
  <w:style w:type="paragraph" w:styleId="ad">
    <w:name w:val="header"/>
    <w:basedOn w:val="a"/>
    <w:link w:val="Char1"/>
    <w:uiPriority w:val="99"/>
    <w:qFormat/>
    <w:rsid w:val="00B2146B"/>
    <w:pPr>
      <w:pBdr>
        <w:bottom w:val="single" w:sz="6" w:space="1" w:color="auto"/>
      </w:pBdr>
      <w:tabs>
        <w:tab w:val="center" w:pos="4153"/>
        <w:tab w:val="right" w:pos="8306"/>
      </w:tabs>
      <w:snapToGrid w:val="0"/>
      <w:jc w:val="center"/>
    </w:pPr>
    <w:rPr>
      <w:sz w:val="18"/>
      <w:szCs w:val="18"/>
    </w:rPr>
  </w:style>
  <w:style w:type="paragraph" w:styleId="ae">
    <w:name w:val="List"/>
    <w:basedOn w:val="a7"/>
    <w:qFormat/>
    <w:rsid w:val="00B2146B"/>
    <w:pPr>
      <w:spacing w:after="220" w:line="220" w:lineRule="atLeast"/>
      <w:ind w:left="1440" w:hanging="360"/>
    </w:pPr>
    <w:rPr>
      <w:szCs w:val="20"/>
    </w:rPr>
  </w:style>
  <w:style w:type="paragraph" w:styleId="af">
    <w:name w:val="footnote text"/>
    <w:basedOn w:val="a"/>
    <w:link w:val="Char2"/>
    <w:qFormat/>
    <w:rsid w:val="00B2146B"/>
    <w:pPr>
      <w:snapToGrid w:val="0"/>
      <w:jc w:val="left"/>
    </w:pPr>
    <w:rPr>
      <w:sz w:val="18"/>
      <w:szCs w:val="18"/>
    </w:rPr>
  </w:style>
  <w:style w:type="paragraph" w:styleId="30">
    <w:name w:val="Body Text Indent 3"/>
    <w:basedOn w:val="a"/>
    <w:qFormat/>
    <w:rsid w:val="00B2146B"/>
    <w:pPr>
      <w:spacing w:line="560" w:lineRule="exact"/>
      <w:ind w:firstLineChars="200" w:firstLine="420"/>
    </w:pPr>
    <w:rPr>
      <w:rFonts w:ascii="Arial" w:hAnsi="Arial" w:cs="Arial"/>
      <w:color w:val="FF0000"/>
    </w:rPr>
  </w:style>
  <w:style w:type="paragraph" w:styleId="af0">
    <w:name w:val="Normal (Web)"/>
    <w:basedOn w:val="a"/>
    <w:qFormat/>
    <w:rsid w:val="00B2146B"/>
    <w:pPr>
      <w:widowControl/>
      <w:spacing w:before="100" w:beforeAutospacing="1" w:after="100" w:afterAutospacing="1"/>
      <w:jc w:val="left"/>
    </w:pPr>
    <w:rPr>
      <w:rFonts w:ascii="宋体" w:hAnsi="宋体"/>
      <w:kern w:val="0"/>
      <w:sz w:val="24"/>
    </w:rPr>
  </w:style>
  <w:style w:type="paragraph" w:styleId="10">
    <w:name w:val="index 1"/>
    <w:basedOn w:val="a"/>
    <w:next w:val="a"/>
    <w:semiHidden/>
    <w:qFormat/>
    <w:rsid w:val="00B2146B"/>
    <w:pPr>
      <w:jc w:val="right"/>
    </w:pPr>
    <w:rPr>
      <w:color w:val="008000"/>
    </w:rPr>
  </w:style>
  <w:style w:type="character" w:styleId="af1">
    <w:name w:val="Strong"/>
    <w:basedOn w:val="a1"/>
    <w:uiPriority w:val="22"/>
    <w:qFormat/>
    <w:rsid w:val="00B2146B"/>
    <w:rPr>
      <w:b/>
      <w:bCs/>
    </w:rPr>
  </w:style>
  <w:style w:type="character" w:styleId="af2">
    <w:name w:val="page number"/>
    <w:basedOn w:val="a1"/>
    <w:qFormat/>
    <w:rsid w:val="00B2146B"/>
  </w:style>
  <w:style w:type="character" w:styleId="af3">
    <w:name w:val="Hyperlink"/>
    <w:basedOn w:val="a1"/>
    <w:qFormat/>
    <w:rsid w:val="00B2146B"/>
    <w:rPr>
      <w:color w:val="0000FF"/>
      <w:u w:val="single"/>
    </w:rPr>
  </w:style>
  <w:style w:type="character" w:styleId="af4">
    <w:name w:val="annotation reference"/>
    <w:basedOn w:val="a1"/>
    <w:semiHidden/>
    <w:qFormat/>
    <w:rsid w:val="00B2146B"/>
    <w:rPr>
      <w:sz w:val="21"/>
      <w:szCs w:val="21"/>
    </w:rPr>
  </w:style>
  <w:style w:type="character" w:styleId="af5">
    <w:name w:val="footnote reference"/>
    <w:basedOn w:val="a1"/>
    <w:qFormat/>
    <w:rsid w:val="00B2146B"/>
    <w:rPr>
      <w:vertAlign w:val="superscript"/>
    </w:rPr>
  </w:style>
  <w:style w:type="table" w:styleId="af6">
    <w:name w:val="Table Grid"/>
    <w:basedOn w:val="a2"/>
    <w:uiPriority w:val="99"/>
    <w:qFormat/>
    <w:rsid w:val="00B2146B"/>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已访问的超链接1"/>
    <w:basedOn w:val="a1"/>
    <w:qFormat/>
    <w:rsid w:val="00B2146B"/>
    <w:rPr>
      <w:color w:val="800080"/>
      <w:u w:val="single"/>
    </w:rPr>
  </w:style>
  <w:style w:type="character" w:customStyle="1" w:styleId="c1">
    <w:name w:val="c1"/>
    <w:basedOn w:val="a1"/>
    <w:qFormat/>
    <w:rsid w:val="00B2146B"/>
    <w:rPr>
      <w:color w:val="000000"/>
      <w:sz w:val="18"/>
      <w:szCs w:val="18"/>
    </w:rPr>
  </w:style>
  <w:style w:type="paragraph" w:customStyle="1" w:styleId="font5">
    <w:name w:val="font5"/>
    <w:basedOn w:val="a"/>
    <w:qFormat/>
    <w:rsid w:val="00B2146B"/>
    <w:pPr>
      <w:widowControl/>
      <w:spacing w:before="100" w:beforeAutospacing="1" w:after="100" w:afterAutospacing="1"/>
      <w:jc w:val="left"/>
    </w:pPr>
    <w:rPr>
      <w:rFonts w:ascii="宋体" w:hAnsi="宋体" w:cs="Arial Unicode MS" w:hint="eastAsia"/>
      <w:kern w:val="0"/>
      <w:sz w:val="18"/>
      <w:szCs w:val="18"/>
    </w:rPr>
  </w:style>
  <w:style w:type="paragraph" w:customStyle="1" w:styleId="xl24">
    <w:name w:val="xl24"/>
    <w:basedOn w:val="a"/>
    <w:qFormat/>
    <w:rsid w:val="00B2146B"/>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0000FF"/>
      <w:kern w:val="0"/>
      <w:sz w:val="29"/>
      <w:szCs w:val="29"/>
    </w:rPr>
  </w:style>
  <w:style w:type="paragraph" w:customStyle="1" w:styleId="xl25">
    <w:name w:val="xl25"/>
    <w:basedOn w:val="a"/>
    <w:qFormat/>
    <w:rsid w:val="00B2146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eastAsia="Arial Unicode MS" w:hAnsi="Arial Unicode MS" w:cs="Arial Unicode MS"/>
      <w:b/>
      <w:bCs/>
      <w:color w:val="000000"/>
      <w:kern w:val="0"/>
      <w:sz w:val="24"/>
    </w:rPr>
  </w:style>
  <w:style w:type="paragraph" w:customStyle="1" w:styleId="xl26">
    <w:name w:val="xl26"/>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7">
    <w:name w:val="xl27"/>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12"/>
      <w:szCs w:val="12"/>
    </w:rPr>
  </w:style>
  <w:style w:type="paragraph" w:customStyle="1" w:styleId="xl28">
    <w:name w:val="xl28"/>
    <w:basedOn w:val="a"/>
    <w:qFormat/>
    <w:rsid w:val="00B2146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29">
    <w:name w:val="xl29"/>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0">
    <w:name w:val="xl30"/>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000000"/>
      <w:kern w:val="0"/>
      <w:sz w:val="24"/>
    </w:rPr>
  </w:style>
  <w:style w:type="paragraph" w:customStyle="1" w:styleId="xl31">
    <w:name w:val="xl31"/>
    <w:basedOn w:val="a"/>
    <w:qFormat/>
    <w:rsid w:val="00B2146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2">
    <w:name w:val="xl32"/>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3">
    <w:name w:val="xl33"/>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color w:val="000000"/>
      <w:kern w:val="0"/>
      <w:sz w:val="22"/>
      <w:szCs w:val="22"/>
    </w:rPr>
  </w:style>
  <w:style w:type="paragraph" w:customStyle="1" w:styleId="xl34">
    <w:name w:val="xl34"/>
    <w:basedOn w:val="a"/>
    <w:uiPriority w:val="99"/>
    <w:qFormat/>
    <w:rsid w:val="00B2146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color w:val="000000"/>
      <w:kern w:val="0"/>
      <w:sz w:val="22"/>
      <w:szCs w:val="22"/>
    </w:rPr>
  </w:style>
  <w:style w:type="paragraph" w:customStyle="1" w:styleId="xl35">
    <w:name w:val="xl35"/>
    <w:basedOn w:val="a"/>
    <w:qFormat/>
    <w:rsid w:val="00B2146B"/>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000000"/>
      <w:kern w:val="0"/>
      <w:sz w:val="23"/>
      <w:szCs w:val="23"/>
    </w:rPr>
  </w:style>
  <w:style w:type="paragraph" w:customStyle="1" w:styleId="xl36">
    <w:name w:val="xl36"/>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xl37">
    <w:name w:val="xl37"/>
    <w:basedOn w:val="a"/>
    <w:qFormat/>
    <w:rsid w:val="00B2146B"/>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eastAsia="Arial Unicode MS" w:hAnsi="Arial Unicode MS" w:cs="Arial Unicode MS"/>
      <w:b/>
      <w:bCs/>
      <w:color w:val="FF0000"/>
      <w:kern w:val="0"/>
      <w:sz w:val="23"/>
      <w:szCs w:val="23"/>
    </w:rPr>
  </w:style>
  <w:style w:type="paragraph" w:customStyle="1" w:styleId="xl38">
    <w:name w:val="xl38"/>
    <w:basedOn w:val="a"/>
    <w:qFormat/>
    <w:rsid w:val="00B2146B"/>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eastAsia="Arial Unicode MS" w:hAnsi="Arial Unicode MS" w:cs="Arial Unicode MS"/>
      <w:b/>
      <w:bCs/>
      <w:color w:val="FF0000"/>
      <w:kern w:val="0"/>
      <w:sz w:val="23"/>
      <w:szCs w:val="23"/>
    </w:rPr>
  </w:style>
  <w:style w:type="paragraph" w:customStyle="1" w:styleId="Char3">
    <w:name w:val="Char"/>
    <w:basedOn w:val="a"/>
    <w:qFormat/>
    <w:rsid w:val="00B2146B"/>
  </w:style>
  <w:style w:type="paragraph" w:customStyle="1" w:styleId="Char10">
    <w:name w:val="Char1"/>
    <w:basedOn w:val="a"/>
    <w:qFormat/>
    <w:rsid w:val="00B2146B"/>
  </w:style>
  <w:style w:type="character" w:customStyle="1" w:styleId="t1">
    <w:name w:val="t1"/>
    <w:basedOn w:val="a1"/>
    <w:rsid w:val="00B2146B"/>
    <w:rPr>
      <w:color w:val="990000"/>
    </w:rPr>
  </w:style>
  <w:style w:type="character" w:customStyle="1" w:styleId="Char">
    <w:name w:val="纯文本 Char"/>
    <w:basedOn w:val="a1"/>
    <w:link w:val="a9"/>
    <w:uiPriority w:val="99"/>
    <w:rsid w:val="00B2146B"/>
    <w:rPr>
      <w:rFonts w:ascii="宋体" w:hAnsi="Courier New"/>
      <w:kern w:val="2"/>
      <w:sz w:val="21"/>
      <w:szCs w:val="21"/>
    </w:rPr>
  </w:style>
  <w:style w:type="character" w:customStyle="1" w:styleId="Char2">
    <w:name w:val="脚注文本 Char"/>
    <w:basedOn w:val="a1"/>
    <w:link w:val="af"/>
    <w:rsid w:val="00B2146B"/>
    <w:rPr>
      <w:kern w:val="2"/>
      <w:sz w:val="18"/>
      <w:szCs w:val="18"/>
    </w:rPr>
  </w:style>
  <w:style w:type="paragraph" w:customStyle="1" w:styleId="Default">
    <w:name w:val="Default"/>
    <w:rsid w:val="00B2146B"/>
    <w:pPr>
      <w:widowControl w:val="0"/>
      <w:autoSpaceDE w:val="0"/>
      <w:autoSpaceDN w:val="0"/>
      <w:adjustRightInd w:val="0"/>
    </w:pPr>
    <w:rPr>
      <w:rFonts w:ascii="仿宋" w:hAnsi="仿宋" w:cs="仿宋"/>
      <w:color w:val="000000"/>
      <w:sz w:val="24"/>
      <w:szCs w:val="24"/>
    </w:rPr>
  </w:style>
  <w:style w:type="character" w:customStyle="1" w:styleId="Char1">
    <w:name w:val="页眉 Char"/>
    <w:basedOn w:val="a1"/>
    <w:link w:val="ad"/>
    <w:uiPriority w:val="99"/>
    <w:rsid w:val="00B2146B"/>
    <w:rPr>
      <w:kern w:val="2"/>
      <w:sz w:val="18"/>
      <w:szCs w:val="18"/>
    </w:rPr>
  </w:style>
  <w:style w:type="character" w:customStyle="1" w:styleId="1Char">
    <w:name w:val="标题 1 Char"/>
    <w:basedOn w:val="a1"/>
    <w:link w:val="1"/>
    <w:rsid w:val="00B2146B"/>
    <w:rPr>
      <w:b/>
      <w:bCs/>
      <w:kern w:val="44"/>
      <w:sz w:val="44"/>
      <w:szCs w:val="44"/>
    </w:rPr>
  </w:style>
  <w:style w:type="character" w:customStyle="1" w:styleId="Char0">
    <w:name w:val="日期 Char"/>
    <w:basedOn w:val="a1"/>
    <w:link w:val="aa"/>
    <w:rsid w:val="00B2146B"/>
    <w:rPr>
      <w:kern w:val="2"/>
      <w:sz w:val="24"/>
    </w:rPr>
  </w:style>
  <w:style w:type="character" w:customStyle="1" w:styleId="3Char">
    <w:name w:val="标题 3 Char"/>
    <w:basedOn w:val="a1"/>
    <w:link w:val="3"/>
    <w:uiPriority w:val="9"/>
    <w:qFormat/>
    <w:rsid w:val="00B2146B"/>
    <w:rPr>
      <w:rFonts w:asciiTheme="minorHAnsi" w:eastAsiaTheme="minorEastAsia" w:hAnsiTheme="minorHAnsi" w:cstheme="minorBidi"/>
      <w:b/>
      <w:bCs/>
      <w:kern w:val="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Desktop\abc&#23395;&#25253;.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226BA041-AA93-4727-938D-F2A8B63579D4}">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abc季报.dot</Template>
  <TotalTime>0</TotalTime>
  <Pages>3</Pages>
  <Words>1075</Words>
  <Characters>6129</Characters>
  <Application>Microsoft Office Word</Application>
  <DocSecurity>4</DocSecurity>
  <Lines>51</Lines>
  <Paragraphs>14</Paragraphs>
  <ScaleCrop>false</ScaleCrop>
  <Company>TRT. Ltd. Co.</Company>
  <LinksUpToDate>false</LinksUpToDate>
  <CharactersWithSpaces>7190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bonnieliu</dc:creator>
  <cp:lastModifiedBy>ZHONGM</cp:lastModifiedBy>
  <cp:revision>2</cp:revision>
  <cp:lastPrinted>2007-07-19T00:46:00Z</cp:lastPrinted>
  <dcterms:created xsi:type="dcterms:W3CDTF">2018-07-18T16:44:00Z</dcterms:created>
  <dcterms:modified xsi:type="dcterms:W3CDTF">2018-07-18T16:44:00Z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