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申万菱信安泰增利纯债一年定期开放债券型证券投资基金</w:t>
      </w: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2018年第2季度报告</w:t>
      </w:r>
    </w:p>
    <w:p w:rsidR="004061AC" w:rsidRPr="00220C32" w:rsidRDefault="00655CD8"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2018年6月30日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rPr>
          <w:rFonts w:asciiTheme="minorEastAsia" w:eastAsiaTheme="minorEastAsia" w:hAnsiTheme="minorEastAsia"/>
          <w:b/>
          <w:bCs/>
          <w:color w:val="000000" w:themeColor="text1"/>
          <w:sz w:val="24"/>
          <w:szCs w:val="24"/>
        </w:rPr>
      </w:pP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申万菱信基金管理有限公司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徽商银行股份有限公司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sectPr w:rsidR="004061AC" w:rsidRPr="00220C32" w:rsidSect="00304A12">
          <w:headerReference w:type="default" r:id="rId8"/>
          <w:footerReference w:type="default" r:id="rId9"/>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00F16E3F" w:rsidRPr="00220C32">
        <w:rPr>
          <w:rFonts w:asciiTheme="minorEastAsia" w:eastAsiaTheme="minorEastAsia" w:hAnsiTheme="minorEastAsia"/>
          <w:b/>
          <w:color w:val="000000" w:themeColor="text1"/>
          <w:sz w:val="24"/>
          <w:szCs w:val="24"/>
        </w:rPr>
        <w:t>二〇一八年七月十九日</w:t>
      </w:r>
    </w:p>
    <w:p w:rsidR="004061AC" w:rsidRPr="00220C32" w:rsidRDefault="004061AC" w:rsidP="0091315E">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Pr="00220C32">
        <w:rPr>
          <w:rFonts w:asciiTheme="minorEastAsia" w:eastAsiaTheme="minorEastAsia" w:hAnsiTheme="minorEastAsia"/>
          <w:color w:val="000000" w:themeColor="text1"/>
          <w:kern w:val="0"/>
          <w:sz w:val="24"/>
          <w:szCs w:val="24"/>
        </w:rPr>
        <w:t xml:space="preserve">1  </w:t>
      </w:r>
      <w:r w:rsidRPr="00220C32">
        <w:rPr>
          <w:rFonts w:asciiTheme="minorEastAsia" w:eastAsiaTheme="minorEastAsia" w:hAnsiTheme="minorEastAsia" w:hint="eastAsia"/>
          <w:color w:val="000000" w:themeColor="text1"/>
          <w:kern w:val="0"/>
          <w:sz w:val="24"/>
          <w:szCs w:val="24"/>
        </w:rPr>
        <w:t>重要提示</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基金托管人徽商银行股份有限公司根据本基金合同规定，于2018年7月13日复核了本报告中的财务指标、净值表现和投资组合报告等内容，保证复核内容不存在虚假记载、误导性陈述或者重大遗漏。 </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4061AC" w:rsidRPr="00220C32" w:rsidRDefault="004061AC" w:rsidP="00BF6314">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本报告期自2018年4月1日起至6月30日止。</w:t>
      </w:r>
    </w:p>
    <w:p w:rsidR="004061AC" w:rsidRPr="00220C32" w:rsidRDefault="004061AC" w:rsidP="0091315E">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2  </w:t>
      </w:r>
      <w:r w:rsidRPr="00220C32">
        <w:rPr>
          <w:rFonts w:asciiTheme="minorEastAsia" w:eastAsiaTheme="minorEastAsia" w:hAnsiTheme="minorEastAsia"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220C32" w:rsidTr="00BF6314">
        <w:tc>
          <w:tcPr>
            <w:tcW w:w="2835"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基金简称</w:t>
            </w:r>
          </w:p>
        </w:tc>
        <w:tc>
          <w:tcPr>
            <w:tcW w:w="5479"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申万菱信安泰增利纯债一年定期开放债券</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hint="eastAsia"/>
                <w:color w:val="000000" w:themeColor="text1"/>
                <w:kern w:val="0"/>
              </w:rPr>
              <w:t>004088</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220C32" w:rsidRDefault="001B2F35"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220C32" w:rsidRDefault="00C5218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004088</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基金运作方式</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契约型定期开放式</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基金合同生效日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2017年6月27日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30,014,515.49</w:t>
            </w:r>
            <w:r w:rsidRPr="00220C32">
              <w:rPr>
                <w:rFonts w:asciiTheme="minorEastAsia" w:eastAsiaTheme="minorEastAsia" w:hAnsiTheme="minorEastAsia" w:hint="eastAsia"/>
                <w:color w:val="000000" w:themeColor="text1"/>
                <w:kern w:val="0"/>
              </w:rPr>
              <w:t>份</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投资目标</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本基金在严格控制风险的前提下，努力追求基金资产的长期稳健增值，力争实现超越业绩比较基准的投资回报。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投资策略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本基金以中长期利率趋势分析为基础，结合经济周期、宏观政策方向及收益率曲线分析，在严格控制流动性风险和信用风险等风险的基础上，实施积极的债券投资组合管理，以期获取较高的债券组合投资收益。</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业绩比较基准</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中国债券总指数（全价）</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lastRenderedPageBreak/>
              <w:t>风险收益特征</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本基金为债券型基金，属于低风险基金产品，其长期平均风险和预期收益率低于股票型及混合型基金，高于货币市场基金。</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基金管理人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申万菱信基金管理有限公司</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基金托管人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徽商银行股份有限公司</w:t>
            </w:r>
          </w:p>
        </w:tc>
      </w:tr>
    </w:tbl>
    <w:p w:rsidR="004061AC" w:rsidRPr="00220C32" w:rsidRDefault="004061AC" w:rsidP="0091315E">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3  </w:t>
      </w:r>
      <w:r w:rsidRPr="00220C32">
        <w:rPr>
          <w:rFonts w:asciiTheme="minorEastAsia" w:eastAsiaTheme="minorEastAsia" w:hAnsiTheme="minorEastAsia" w:hint="eastAsia"/>
          <w:color w:val="000000" w:themeColor="text1"/>
          <w:kern w:val="0"/>
          <w:sz w:val="24"/>
          <w:szCs w:val="24"/>
        </w:rPr>
        <w:t>主要财务指标和基金净值表现</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3.1 </w:t>
      </w:r>
      <w:r w:rsidRPr="00220C32">
        <w:rPr>
          <w:rFonts w:asciiTheme="minorEastAsia" w:eastAsiaTheme="minorEastAsia" w:hAnsiTheme="minorEastAsia" w:hint="eastAsia"/>
          <w:b/>
          <w:bCs/>
          <w:color w:val="000000" w:themeColor="text1"/>
          <w:kern w:val="0"/>
          <w:sz w:val="24"/>
          <w:szCs w:val="24"/>
        </w:rPr>
        <w:t>主要财务指标</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单位：人民币元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3B7AAE" w:rsidRPr="00220C32" w:rsidTr="003B7AAE">
        <w:trPr>
          <w:jc w:val="center"/>
        </w:trPr>
        <w:tc>
          <w:tcPr>
            <w:tcW w:w="3402" w:type="dxa"/>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主要财务指标</w:t>
            </w:r>
          </w:p>
        </w:tc>
        <w:tc>
          <w:tcPr>
            <w:tcW w:w="4962" w:type="dxa"/>
            <w:vAlign w:val="center"/>
          </w:tcPr>
          <w:p w:rsidR="009C60F7" w:rsidRPr="00220C32" w:rsidRDefault="009C60F7"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报告期</w:t>
            </w:r>
          </w:p>
          <w:p w:rsidR="00C21520" w:rsidRPr="00220C32" w:rsidRDefault="009C60F7" w:rsidP="00237F09">
            <w:pPr>
              <w:adjustRightInd w:val="0"/>
              <w:spacing w:before="29" w:line="360" w:lineRule="auto"/>
              <w:ind w:left="17"/>
              <w:jc w:val="center"/>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rPr>
              <w:t>(</w:t>
            </w:r>
            <w:r w:rsidRPr="00220C32">
              <w:rPr>
                <w:rFonts w:asciiTheme="minorEastAsia" w:eastAsiaTheme="minorEastAsia" w:hAnsiTheme="minorEastAsia" w:cs="宋体"/>
                <w:color w:val="000000" w:themeColor="text1"/>
              </w:rPr>
              <w:t>2018年4月1日-2018年6月30日</w:t>
            </w:r>
            <w:r w:rsidRPr="00220C32">
              <w:rPr>
                <w:rFonts w:asciiTheme="minorEastAsia" w:eastAsiaTheme="minorEastAsia" w:hAnsiTheme="minorEastAsia" w:cs="宋体" w:hint="eastAsia"/>
                <w:color w:val="000000" w:themeColor="text1"/>
              </w:rPr>
              <w:t>)</w:t>
            </w:r>
          </w:p>
        </w:tc>
      </w:tr>
      <w:tr w:rsidR="003B7AAE" w:rsidRPr="00220C32" w:rsidTr="003B7AAE">
        <w:trPr>
          <w:jc w:val="center"/>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1.</w:t>
            </w:r>
            <w:r w:rsidRPr="00220C32">
              <w:rPr>
                <w:rFonts w:asciiTheme="minorEastAsia" w:eastAsiaTheme="minorEastAsia" w:hAnsiTheme="minorEastAsia" w:cs="宋体" w:hint="eastAsia"/>
                <w:color w:val="000000" w:themeColor="text1"/>
                <w:kern w:val="0"/>
              </w:rPr>
              <w:t>本期已实现收益</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3,334,143.07</w:t>
            </w:r>
          </w:p>
        </w:tc>
      </w:tr>
      <w:tr w:rsidR="003B7AAE" w:rsidRPr="00220C32" w:rsidTr="003B7AAE">
        <w:trPr>
          <w:jc w:val="center"/>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2.</w:t>
            </w:r>
            <w:r w:rsidRPr="00220C32">
              <w:rPr>
                <w:rFonts w:asciiTheme="minorEastAsia" w:eastAsiaTheme="minorEastAsia" w:hAnsiTheme="minorEastAsia" w:cs="宋体" w:hint="eastAsia"/>
                <w:color w:val="000000" w:themeColor="text1"/>
                <w:kern w:val="0"/>
              </w:rPr>
              <w:t>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2,978,890.98</w:t>
            </w:r>
          </w:p>
        </w:tc>
      </w:tr>
      <w:tr w:rsidR="003B7AAE" w:rsidRPr="00220C32" w:rsidTr="003B7AAE">
        <w:trPr>
          <w:jc w:val="center"/>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3.</w:t>
            </w:r>
            <w:r w:rsidRPr="00220C32">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0.0143</w:t>
            </w:r>
          </w:p>
        </w:tc>
      </w:tr>
      <w:tr w:rsidR="003B7AAE" w:rsidRPr="00220C32" w:rsidTr="003B7AAE">
        <w:trPr>
          <w:jc w:val="center"/>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4.</w:t>
            </w:r>
            <w:r w:rsidRPr="00220C32">
              <w:rPr>
                <w:rFonts w:asciiTheme="minorEastAsia" w:eastAsiaTheme="minorEastAsia" w:hAnsiTheme="minorEastAsia" w:cs="宋体" w:hint="eastAsia"/>
                <w:color w:val="000000" w:themeColor="text1"/>
                <w:kern w:val="0"/>
              </w:rPr>
              <w:t>期末基金资产净值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31,405,999.72</w:t>
            </w:r>
          </w:p>
        </w:tc>
      </w:tr>
      <w:tr w:rsidR="003B7AAE" w:rsidRPr="00220C32" w:rsidTr="003B7AAE">
        <w:trPr>
          <w:trHeight w:val="158"/>
          <w:jc w:val="center"/>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5.</w:t>
            </w:r>
            <w:r w:rsidRPr="00220C32">
              <w:rPr>
                <w:rFonts w:asciiTheme="minorEastAsia" w:eastAsiaTheme="minorEastAsia" w:hAnsiTheme="minorEastAsia" w:cs="宋体" w:hint="eastAsia"/>
                <w:color w:val="000000" w:themeColor="text1"/>
                <w:kern w:val="0"/>
              </w:rPr>
              <w:t>期末基金份额净值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1.0464</w:t>
            </w:r>
          </w:p>
        </w:tc>
      </w:tr>
    </w:tbl>
    <w:p w:rsidR="00E904FD" w:rsidRDefault="003B7AAE">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注：1）本期已实现收益指基金本期利息收入、投资收益、其他收入（不含公允价值变动收益）扣除相关费用后的余额，本期利润为本期已实现收益加上本期公允价值变动收益。</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2）上述基金业绩指标已扣除了基金的管理费、托管费和各项交易费用，但不包括持有人认购或交易基金的各项费用（例如：申购费、赎回费等），计入认购或交易基金各项费用后，实际收益水平要低于所列数字。</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 </w:t>
      </w:r>
      <w:r w:rsidRPr="00220C32">
        <w:rPr>
          <w:rFonts w:asciiTheme="minorEastAsia" w:eastAsiaTheme="minorEastAsia" w:hAnsiTheme="minorEastAsia" w:hint="eastAsia"/>
          <w:b/>
          <w:bCs/>
          <w:color w:val="000000" w:themeColor="text1"/>
          <w:kern w:val="0"/>
          <w:sz w:val="24"/>
          <w:szCs w:val="24"/>
        </w:rPr>
        <w:t>基金净值表现</w:t>
      </w:r>
    </w:p>
    <w:p w:rsidR="00CF6572" w:rsidRPr="00220C32" w:rsidRDefault="004061AC" w:rsidP="009E7C6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3.2.1 </w:t>
      </w:r>
      <w:r w:rsidRPr="00220C32">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7"/>
        <w:tblW w:w="0" w:type="auto"/>
        <w:jc w:val="center"/>
        <w:tblInd w:w="108" w:type="dxa"/>
        <w:tblLayout w:type="fixed"/>
        <w:tblLook w:val="04A0"/>
      </w:tblPr>
      <w:tblGrid>
        <w:gridCol w:w="1395"/>
        <w:gridCol w:w="1092"/>
        <w:gridCol w:w="1161"/>
        <w:gridCol w:w="1181"/>
        <w:gridCol w:w="1188"/>
        <w:gridCol w:w="1199"/>
        <w:gridCol w:w="1116"/>
      </w:tblGrid>
      <w:tr w:rsidR="00220C32" w:rsidRPr="00220C32" w:rsidTr="003B7AAE">
        <w:trPr>
          <w:jc w:val="center"/>
        </w:trPr>
        <w:tc>
          <w:tcPr>
            <w:tcW w:w="1395"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阶段</w:t>
            </w:r>
          </w:p>
        </w:tc>
        <w:tc>
          <w:tcPr>
            <w:tcW w:w="1092"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净值增长率①</w:t>
            </w:r>
          </w:p>
        </w:tc>
        <w:tc>
          <w:tcPr>
            <w:tcW w:w="116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净值增长率标准差②</w:t>
            </w:r>
          </w:p>
        </w:tc>
        <w:tc>
          <w:tcPr>
            <w:tcW w:w="118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业绩比较基准收益率③</w:t>
            </w:r>
          </w:p>
        </w:tc>
        <w:tc>
          <w:tcPr>
            <w:tcW w:w="1188"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业绩比较基准收益率标准差④</w:t>
            </w:r>
          </w:p>
        </w:tc>
        <w:tc>
          <w:tcPr>
            <w:tcW w:w="1199"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①</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③</w:t>
            </w:r>
          </w:p>
        </w:tc>
        <w:tc>
          <w:tcPr>
            <w:tcW w:w="1116"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②</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④</w:t>
            </w:r>
          </w:p>
        </w:tc>
      </w:tr>
      <w:tr w:rsidR="00E904FD" w:rsidTr="003B7AAE">
        <w:trPr>
          <w:jc w:val="center"/>
        </w:trPr>
        <w:tc>
          <w:tcPr>
            <w:tcW w:w="1395" w:type="dxa"/>
            <w:vAlign w:val="center"/>
          </w:tcPr>
          <w:p w:rsidR="00E904FD" w:rsidRDefault="003B7AAE">
            <w:pPr>
              <w:jc w:val="left"/>
            </w:pPr>
            <w:r>
              <w:rPr>
                <w:rFonts w:asciiTheme="minorEastAsia" w:eastAsiaTheme="minorEastAsia" w:hAnsiTheme="minorEastAsia"/>
                <w:color w:val="000000" w:themeColor="text1"/>
                <w:sz w:val="21"/>
              </w:rPr>
              <w:t>过去三个月</w:t>
            </w:r>
          </w:p>
        </w:tc>
        <w:tc>
          <w:tcPr>
            <w:tcW w:w="1092" w:type="dxa"/>
            <w:vAlign w:val="center"/>
          </w:tcPr>
          <w:p w:rsidR="00E904FD" w:rsidRDefault="003B7AAE">
            <w:pPr>
              <w:jc w:val="center"/>
            </w:pPr>
            <w:r>
              <w:rPr>
                <w:rFonts w:asciiTheme="minorEastAsia" w:eastAsiaTheme="minorEastAsia" w:hAnsiTheme="minorEastAsia"/>
                <w:color w:val="000000" w:themeColor="text1"/>
                <w:sz w:val="21"/>
              </w:rPr>
              <w:t>1.98%</w:t>
            </w:r>
          </w:p>
        </w:tc>
        <w:tc>
          <w:tcPr>
            <w:tcW w:w="1161" w:type="dxa"/>
            <w:vAlign w:val="center"/>
          </w:tcPr>
          <w:p w:rsidR="00E904FD" w:rsidRDefault="003B7AAE">
            <w:pPr>
              <w:jc w:val="center"/>
            </w:pPr>
            <w:r>
              <w:rPr>
                <w:rFonts w:asciiTheme="minorEastAsia" w:eastAsiaTheme="minorEastAsia" w:hAnsiTheme="minorEastAsia"/>
                <w:color w:val="000000" w:themeColor="text1"/>
                <w:sz w:val="21"/>
              </w:rPr>
              <w:t>0.08%</w:t>
            </w:r>
          </w:p>
        </w:tc>
        <w:tc>
          <w:tcPr>
            <w:tcW w:w="1181" w:type="dxa"/>
            <w:vAlign w:val="center"/>
          </w:tcPr>
          <w:p w:rsidR="00E904FD" w:rsidRDefault="003B7AAE">
            <w:pPr>
              <w:jc w:val="center"/>
            </w:pPr>
            <w:r>
              <w:rPr>
                <w:rFonts w:asciiTheme="minorEastAsia" w:eastAsiaTheme="minorEastAsia" w:hAnsiTheme="minorEastAsia"/>
                <w:color w:val="000000" w:themeColor="text1"/>
                <w:sz w:val="21"/>
              </w:rPr>
              <w:t>1.76%</w:t>
            </w:r>
          </w:p>
        </w:tc>
        <w:tc>
          <w:tcPr>
            <w:tcW w:w="1188" w:type="dxa"/>
            <w:vAlign w:val="center"/>
          </w:tcPr>
          <w:p w:rsidR="00E904FD" w:rsidRDefault="003B7AAE">
            <w:pPr>
              <w:jc w:val="center"/>
            </w:pPr>
            <w:r>
              <w:rPr>
                <w:rFonts w:asciiTheme="minorEastAsia" w:eastAsiaTheme="minorEastAsia" w:hAnsiTheme="minorEastAsia"/>
                <w:color w:val="000000" w:themeColor="text1"/>
                <w:sz w:val="21"/>
              </w:rPr>
              <w:t>0.15%</w:t>
            </w:r>
          </w:p>
        </w:tc>
        <w:tc>
          <w:tcPr>
            <w:tcW w:w="1199" w:type="dxa"/>
            <w:vAlign w:val="center"/>
          </w:tcPr>
          <w:p w:rsidR="00E904FD" w:rsidRDefault="003B7AAE">
            <w:pPr>
              <w:jc w:val="center"/>
            </w:pPr>
            <w:r>
              <w:rPr>
                <w:rFonts w:asciiTheme="minorEastAsia" w:eastAsiaTheme="minorEastAsia" w:hAnsiTheme="minorEastAsia"/>
                <w:color w:val="000000" w:themeColor="text1"/>
                <w:sz w:val="21"/>
              </w:rPr>
              <w:t>0.22%</w:t>
            </w:r>
          </w:p>
        </w:tc>
        <w:tc>
          <w:tcPr>
            <w:tcW w:w="1116" w:type="dxa"/>
            <w:vAlign w:val="center"/>
          </w:tcPr>
          <w:p w:rsidR="00E904FD" w:rsidRDefault="003B7AAE">
            <w:pPr>
              <w:jc w:val="center"/>
            </w:pPr>
            <w:r>
              <w:rPr>
                <w:rFonts w:asciiTheme="minorEastAsia" w:eastAsiaTheme="minorEastAsia" w:hAnsiTheme="minorEastAsia"/>
                <w:color w:val="000000" w:themeColor="text1"/>
                <w:sz w:val="21"/>
              </w:rPr>
              <w:t>-0.07%</w:t>
            </w:r>
          </w:p>
        </w:tc>
      </w:tr>
    </w:tbl>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3.2.2</w:t>
      </w:r>
      <w:r w:rsidR="007B4D7A" w:rsidRPr="00220C32">
        <w:rPr>
          <w:rStyle w:val="afb"/>
          <w:rFonts w:hint="eastAsia"/>
          <w:color w:val="000000" w:themeColor="text1"/>
          <w:sz w:val="24"/>
          <w:szCs w:val="24"/>
          <w:shd w:val="clear" w:color="auto" w:fill="FFFFFF"/>
        </w:rPr>
        <w:t>自基金合同生效以来</w:t>
      </w:r>
      <w:r w:rsidR="00FB0BC9" w:rsidRPr="00220C32">
        <w:rPr>
          <w:rFonts w:asciiTheme="minorEastAsia" w:eastAsiaTheme="minorEastAsia" w:hAnsiTheme="minorEastAsia" w:hint="eastAsia"/>
          <w:b/>
          <w:bCs/>
          <w:color w:val="000000" w:themeColor="text1"/>
          <w:kern w:val="0"/>
          <w:sz w:val="24"/>
          <w:szCs w:val="24"/>
        </w:rPr>
        <w:t>基金累计</w:t>
      </w:r>
      <w:r w:rsidRPr="00220C32">
        <w:rPr>
          <w:rFonts w:asciiTheme="minorEastAsia" w:eastAsiaTheme="minorEastAsia" w:hAnsiTheme="minorEastAsia" w:hint="eastAsia"/>
          <w:b/>
          <w:bCs/>
          <w:color w:val="000000" w:themeColor="text1"/>
          <w:kern w:val="0"/>
          <w:sz w:val="24"/>
          <w:szCs w:val="24"/>
        </w:rPr>
        <w:t>净值增长率变动及其与同期业绩比较基准收益率变动的比较</w:t>
      </w:r>
    </w:p>
    <w:p w:rsidR="008606B6" w:rsidRPr="00220C32" w:rsidRDefault="008606B6" w:rsidP="009E7C6A">
      <w:pPr>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申万菱信安泰增利纯债一年定期开放债券型证券投资基金</w:t>
      </w:r>
    </w:p>
    <w:p w:rsidR="004061AC" w:rsidRPr="00220C32" w:rsidRDefault="00FB0BC9" w:rsidP="009E7C6A">
      <w:pPr>
        <w:pStyle w:val="a5"/>
        <w:snapToGrid w:val="0"/>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累计净值增长率与业绩比较基准收益率</w:t>
      </w:r>
      <w:r w:rsidR="004061AC" w:rsidRPr="00220C32">
        <w:rPr>
          <w:rFonts w:asciiTheme="minorEastAsia" w:eastAsiaTheme="minorEastAsia" w:hAnsiTheme="minorEastAsia" w:hint="eastAsia"/>
          <w:color w:val="000000" w:themeColor="text1"/>
        </w:rPr>
        <w:t>历史走势对比图</w:t>
      </w:r>
    </w:p>
    <w:p w:rsidR="00AE7962" w:rsidRPr="00220C32" w:rsidRDefault="00AE7962" w:rsidP="009E7C6A">
      <w:pPr>
        <w:pStyle w:val="a5"/>
        <w:snapToGrid w:val="0"/>
        <w:spacing w:line="360" w:lineRule="auto"/>
        <w:ind w:firstLine="480"/>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w:t>
      </w:r>
      <w:r w:rsidR="0042009D" w:rsidRPr="00220C32">
        <w:rPr>
          <w:rFonts w:asciiTheme="minorEastAsia" w:eastAsiaTheme="minorEastAsia" w:hAnsiTheme="minorEastAsia"/>
          <w:color w:val="000000" w:themeColor="text1"/>
        </w:rPr>
        <w:t>2017年6月27日</w:t>
      </w:r>
      <w:r w:rsidRPr="00220C32">
        <w:rPr>
          <w:rFonts w:asciiTheme="minorEastAsia" w:eastAsiaTheme="minorEastAsia" w:hAnsiTheme="minorEastAsia" w:hint="eastAsia"/>
          <w:color w:val="000000" w:themeColor="text1"/>
        </w:rPr>
        <w:t>至2018年6月30日)</w:t>
      </w:r>
    </w:p>
    <w:p w:rsidR="004061AC" w:rsidRPr="00220C32" w:rsidRDefault="00866CF2" w:rsidP="004061AC">
      <w:pPr>
        <w:pStyle w:val="a5"/>
        <w:snapToGrid w:val="0"/>
        <w:spacing w:before="120" w:line="360" w:lineRule="auto"/>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注：本基金已在基金合同生效之日起6个月内，使基金的投资组合比例符合基金合同的有关约定。</w:t>
      </w:r>
    </w:p>
    <w:p w:rsidR="00957594" w:rsidRPr="00220C32" w:rsidRDefault="00957594" w:rsidP="004061AC">
      <w:pPr>
        <w:tabs>
          <w:tab w:val="left" w:pos="1800"/>
        </w:tabs>
        <w:spacing w:line="360" w:lineRule="auto"/>
        <w:rPr>
          <w:rFonts w:asciiTheme="minorEastAsia" w:eastAsiaTheme="minorEastAsia" w:hAnsiTheme="minorEastAsia"/>
          <w:color w:val="000000" w:themeColor="text1"/>
          <w:sz w:val="24"/>
          <w:szCs w:val="24"/>
        </w:rPr>
      </w:pPr>
    </w:p>
    <w:p w:rsidR="004061AC" w:rsidRPr="00220C32" w:rsidRDefault="004061AC" w:rsidP="0091315E">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4  </w:t>
      </w:r>
      <w:r w:rsidRPr="00220C32">
        <w:rPr>
          <w:rFonts w:asciiTheme="minorEastAsia" w:eastAsiaTheme="minorEastAsia" w:hAnsiTheme="minorEastAsia" w:hint="eastAsia"/>
          <w:color w:val="000000" w:themeColor="text1"/>
          <w:kern w:val="0"/>
          <w:sz w:val="24"/>
          <w:szCs w:val="24"/>
        </w:rPr>
        <w:t>管理人报告</w:t>
      </w:r>
    </w:p>
    <w:p w:rsidR="00B12B7D"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4.1 </w:t>
      </w:r>
      <w:r w:rsidRPr="00220C32">
        <w:rPr>
          <w:rFonts w:asciiTheme="minorEastAsia" w:eastAsiaTheme="minorEastAsia" w:hAnsiTheme="minorEastAsia" w:hint="eastAsia"/>
          <w:b/>
          <w:bCs/>
          <w:color w:val="000000" w:themeColor="text1"/>
          <w:kern w:val="0"/>
          <w:sz w:val="24"/>
          <w:szCs w:val="24"/>
        </w:rPr>
        <w:t>基金经理</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或基金经理小组</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简介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960"/>
        <w:gridCol w:w="2552"/>
      </w:tblGrid>
      <w:tr w:rsidR="00527006" w:rsidRPr="00220C32" w:rsidTr="00DD6F31">
        <w:trPr>
          <w:cantSplit/>
          <w:trHeight w:val="292"/>
          <w:jc w:val="center"/>
        </w:trPr>
        <w:tc>
          <w:tcPr>
            <w:tcW w:w="851" w:type="dxa"/>
            <w:vMerge w:val="restart"/>
            <w:vAlign w:val="center"/>
          </w:tcPr>
          <w:p w:rsidR="00527006" w:rsidRPr="00220C32" w:rsidRDefault="00527006" w:rsidP="00DD6F31">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姓名</w:t>
            </w:r>
          </w:p>
        </w:tc>
        <w:tc>
          <w:tcPr>
            <w:tcW w:w="850" w:type="dxa"/>
            <w:vMerge w:val="restart"/>
            <w:vAlign w:val="center"/>
          </w:tcPr>
          <w:p w:rsidR="00527006" w:rsidRPr="00220C32" w:rsidRDefault="00527006" w:rsidP="00DD6F31">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职务</w:t>
            </w:r>
          </w:p>
        </w:tc>
        <w:tc>
          <w:tcPr>
            <w:tcW w:w="3119" w:type="dxa"/>
            <w:gridSpan w:val="2"/>
            <w:vAlign w:val="center"/>
          </w:tcPr>
          <w:p w:rsidR="00527006" w:rsidRPr="00220C32" w:rsidRDefault="00527006" w:rsidP="00DD6F3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任本基金的基金经理期限</w:t>
            </w:r>
          </w:p>
        </w:tc>
        <w:tc>
          <w:tcPr>
            <w:tcW w:w="960" w:type="dxa"/>
            <w:vMerge w:val="restart"/>
            <w:vAlign w:val="center"/>
          </w:tcPr>
          <w:p w:rsidR="00527006" w:rsidRPr="00220C32" w:rsidRDefault="00527006" w:rsidP="00DD6F3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证券从业年限</w:t>
            </w:r>
          </w:p>
        </w:tc>
        <w:tc>
          <w:tcPr>
            <w:tcW w:w="2552" w:type="dxa"/>
            <w:vMerge w:val="restart"/>
            <w:vAlign w:val="center"/>
          </w:tcPr>
          <w:p w:rsidR="00527006" w:rsidRPr="00220C32" w:rsidRDefault="00527006" w:rsidP="00DD6F31">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说明</w:t>
            </w:r>
          </w:p>
        </w:tc>
      </w:tr>
      <w:tr w:rsidR="00527006" w:rsidRPr="00220C32" w:rsidTr="00DD6F31">
        <w:trPr>
          <w:cantSplit/>
          <w:jc w:val="center"/>
        </w:trPr>
        <w:tc>
          <w:tcPr>
            <w:tcW w:w="851" w:type="dxa"/>
            <w:vMerge/>
            <w:vAlign w:val="center"/>
          </w:tcPr>
          <w:p w:rsidR="00527006" w:rsidRPr="00220C32" w:rsidRDefault="00527006" w:rsidP="00DD6F31">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527006" w:rsidRPr="00220C32" w:rsidRDefault="00527006" w:rsidP="00DD6F31">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527006" w:rsidRPr="00220C32" w:rsidRDefault="00527006" w:rsidP="00DD6F3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任职日期</w:t>
            </w:r>
          </w:p>
        </w:tc>
        <w:tc>
          <w:tcPr>
            <w:tcW w:w="1559" w:type="dxa"/>
            <w:vAlign w:val="center"/>
          </w:tcPr>
          <w:p w:rsidR="00527006" w:rsidRPr="00220C32" w:rsidRDefault="00527006" w:rsidP="00DD6F3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离任日期</w:t>
            </w:r>
          </w:p>
        </w:tc>
        <w:tc>
          <w:tcPr>
            <w:tcW w:w="960" w:type="dxa"/>
            <w:vMerge/>
            <w:vAlign w:val="center"/>
          </w:tcPr>
          <w:p w:rsidR="00527006" w:rsidRPr="00220C32" w:rsidRDefault="00527006" w:rsidP="00DD6F31">
            <w:pPr>
              <w:widowControl/>
              <w:spacing w:line="360" w:lineRule="auto"/>
              <w:jc w:val="left"/>
              <w:rPr>
                <w:rFonts w:asciiTheme="minorEastAsia" w:eastAsiaTheme="minorEastAsia" w:hAnsiTheme="minorEastAsia"/>
                <w:color w:val="000000" w:themeColor="text1"/>
                <w:kern w:val="0"/>
              </w:rPr>
            </w:pPr>
          </w:p>
        </w:tc>
        <w:tc>
          <w:tcPr>
            <w:tcW w:w="2552" w:type="dxa"/>
            <w:vMerge/>
            <w:vAlign w:val="center"/>
          </w:tcPr>
          <w:p w:rsidR="00527006" w:rsidRPr="00220C32" w:rsidRDefault="00527006" w:rsidP="00DD6F31">
            <w:pPr>
              <w:widowControl/>
              <w:spacing w:line="360" w:lineRule="auto"/>
              <w:jc w:val="left"/>
              <w:rPr>
                <w:rFonts w:asciiTheme="minorEastAsia" w:eastAsiaTheme="minorEastAsia" w:hAnsiTheme="minorEastAsia"/>
                <w:color w:val="000000" w:themeColor="text1"/>
                <w:kern w:val="0"/>
              </w:rPr>
            </w:pPr>
          </w:p>
        </w:tc>
      </w:tr>
      <w:tr w:rsidR="00527006" w:rsidTr="00DD6F31">
        <w:trPr>
          <w:jc w:val="center"/>
        </w:trPr>
        <w:tc>
          <w:tcPr>
            <w:tcW w:w="851" w:type="dxa"/>
            <w:vAlign w:val="center"/>
          </w:tcPr>
          <w:p w:rsidR="00527006" w:rsidRDefault="00527006" w:rsidP="00DD6F31">
            <w:pPr>
              <w:jc w:val="center"/>
            </w:pPr>
            <w:r>
              <w:rPr>
                <w:rFonts w:asciiTheme="minorEastAsia" w:eastAsiaTheme="minorEastAsia" w:hAnsiTheme="minorEastAsia"/>
                <w:color w:val="000000" w:themeColor="text1"/>
              </w:rPr>
              <w:t>丁杰科</w:t>
            </w:r>
          </w:p>
        </w:tc>
        <w:tc>
          <w:tcPr>
            <w:tcW w:w="850" w:type="dxa"/>
            <w:vAlign w:val="center"/>
          </w:tcPr>
          <w:p w:rsidR="00527006" w:rsidRDefault="00527006" w:rsidP="00DD6F31">
            <w:pPr>
              <w:jc w:val="center"/>
            </w:pPr>
            <w:r>
              <w:rPr>
                <w:rFonts w:asciiTheme="minorEastAsia" w:eastAsiaTheme="minorEastAsia" w:hAnsiTheme="minorEastAsia"/>
                <w:color w:val="000000" w:themeColor="text1"/>
              </w:rPr>
              <w:t>本基金基金经理</w:t>
            </w:r>
          </w:p>
        </w:tc>
        <w:tc>
          <w:tcPr>
            <w:tcW w:w="1560" w:type="dxa"/>
            <w:vAlign w:val="center"/>
          </w:tcPr>
          <w:p w:rsidR="00527006" w:rsidRDefault="00527006" w:rsidP="00DD6F31">
            <w:pPr>
              <w:jc w:val="center"/>
            </w:pPr>
            <w:r>
              <w:rPr>
                <w:rFonts w:asciiTheme="minorEastAsia" w:eastAsiaTheme="minorEastAsia" w:hAnsiTheme="minorEastAsia"/>
                <w:color w:val="000000" w:themeColor="text1"/>
              </w:rPr>
              <w:t>2017-06-27</w:t>
            </w:r>
          </w:p>
        </w:tc>
        <w:tc>
          <w:tcPr>
            <w:tcW w:w="1559" w:type="dxa"/>
            <w:vAlign w:val="center"/>
          </w:tcPr>
          <w:p w:rsidR="00527006" w:rsidRDefault="00527006" w:rsidP="00DD6F31">
            <w:pPr>
              <w:jc w:val="center"/>
            </w:pPr>
            <w:r>
              <w:rPr>
                <w:rFonts w:asciiTheme="minorEastAsia" w:eastAsiaTheme="minorEastAsia" w:hAnsiTheme="minorEastAsia"/>
                <w:color w:val="000000" w:themeColor="text1"/>
              </w:rPr>
              <w:t>-</w:t>
            </w:r>
          </w:p>
        </w:tc>
        <w:tc>
          <w:tcPr>
            <w:tcW w:w="960" w:type="dxa"/>
            <w:vAlign w:val="center"/>
          </w:tcPr>
          <w:p w:rsidR="00527006" w:rsidRDefault="00527006" w:rsidP="00DD6F31">
            <w:pPr>
              <w:jc w:val="center"/>
            </w:pPr>
            <w:r>
              <w:rPr>
                <w:rFonts w:asciiTheme="minorEastAsia" w:eastAsiaTheme="minorEastAsia" w:hAnsiTheme="minorEastAsia"/>
                <w:color w:val="000000" w:themeColor="text1"/>
              </w:rPr>
              <w:t>9年</w:t>
            </w:r>
          </w:p>
        </w:tc>
        <w:tc>
          <w:tcPr>
            <w:tcW w:w="2552" w:type="dxa"/>
            <w:vAlign w:val="center"/>
          </w:tcPr>
          <w:p w:rsidR="00527006" w:rsidRDefault="00527006" w:rsidP="00DD6F31">
            <w:r>
              <w:rPr>
                <w:rFonts w:asciiTheme="minorEastAsia" w:eastAsiaTheme="minorEastAsia" w:hAnsiTheme="minorEastAsia"/>
                <w:color w:val="000000" w:themeColor="text1"/>
              </w:rPr>
              <w:t>丁杰科女士，硕士研究生。2008年开始从事金融相关工作，曾任职于交银施罗德基金管理有限公司、中国农业银行金融市场部。2015年12月加入申万菱信基金管理有限公司，曾任申万菱信臻选6个月定期开放混合型证券投资基金、申万菱信智选一年期定期开放混合型证券投资基金基金经理，现任申万菱信收益宝货币市场基金、申万菱信稳益宝债券型证券投资基金、申万菱信安鑫回报灵活配置混合型证券投资基金、申万菱信多策略灵活配置混合型证券投资基金、申万菱信安泰添利纯债一年定期开放债券型证券投资基金、申万菱信安泰增利纯债一年定期开放债券型证券投资基金基金经理。</w:t>
            </w:r>
          </w:p>
        </w:tc>
      </w:tr>
    </w:tbl>
    <w:p w:rsidR="00E904FD" w:rsidRDefault="00890556">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注：</w:t>
      </w:r>
      <w:r w:rsidR="003B7AAE">
        <w:rPr>
          <w:rFonts w:asciiTheme="minorEastAsia" w:eastAsiaTheme="minorEastAsia" w:hAnsiTheme="minorEastAsia"/>
          <w:color w:val="000000" w:themeColor="text1"/>
        </w:rPr>
        <w:t>1.任职日期和离任日期一般情况下指公司作出决定之日；若该基金经理自基金合同生效日起即任职，则任职日期为基金合同生效日。</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2.证券从业的含义遵从行业协会《证券业从业人员资格管理办法》的相关规定。</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4.2 </w:t>
      </w:r>
      <w:r w:rsidRPr="00220C32">
        <w:rPr>
          <w:rFonts w:asciiTheme="minorEastAsia" w:eastAsiaTheme="minorEastAsia" w:hAnsiTheme="minorEastAsia" w:hint="eastAsia"/>
          <w:b/>
          <w:bCs/>
          <w:color w:val="000000" w:themeColor="text1"/>
          <w:kern w:val="0"/>
          <w:sz w:val="24"/>
          <w:szCs w:val="24"/>
        </w:rPr>
        <w:t>管理人对报告期内本基金运作遵规守信情况的说明</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内，本基金管理人严格遵守《证券法》、《证券投资基金法》及其配套法规的规定，严格遵守基金合同约定，本着诚实信用、勤勉尽责等原则管理和运用基金资产，在严格控制风险的基础上为持有人谋求最大利益。</w:t>
      </w:r>
    </w:p>
    <w:p w:rsidR="004061AC" w:rsidRPr="00220C32" w:rsidRDefault="004061AC" w:rsidP="003B7AAE">
      <w:pPr>
        <w:spacing w:line="360" w:lineRule="auto"/>
        <w:ind w:firstLineChars="200" w:firstLine="420"/>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本基金投资运作符合法律法规和基金合同的规定,信息披露及时、准确、完整；本基金资产与本基金管理人与公司资产之间严格分开；没有发生内幕交易、操纵市场和不当关联交易及其他违规行为。在基金资产的管理运作中,无任何损害基金持有人利益的行为,并通过稳健经营、规范运作、规避风险,保护了基金持有人的合法权益。</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4.3 </w:t>
      </w:r>
      <w:r w:rsidRPr="00220C32">
        <w:rPr>
          <w:rFonts w:asciiTheme="minorEastAsia" w:eastAsiaTheme="minorEastAsia" w:hAnsiTheme="minorEastAsia" w:hint="eastAsia"/>
          <w:b/>
          <w:bCs/>
          <w:color w:val="000000" w:themeColor="text1"/>
          <w:kern w:val="0"/>
          <w:sz w:val="24"/>
          <w:szCs w:val="24"/>
        </w:rPr>
        <w:t>公平交易专项说明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4.3.1 </w:t>
      </w:r>
      <w:r w:rsidRPr="00220C32">
        <w:rPr>
          <w:rFonts w:asciiTheme="minorEastAsia" w:eastAsiaTheme="minorEastAsia" w:hAnsiTheme="minorEastAsia" w:hint="eastAsia"/>
          <w:color w:val="000000" w:themeColor="text1"/>
          <w:sz w:val="24"/>
          <w:szCs w:val="24"/>
        </w:rPr>
        <w:t>公平交易制度的执行情况</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根据《证券投资基金管理公司公平交易制度指导意见》，本公司制定了《公平交易办法》，通过组织结构的设置、工作制度、流程和技术手段全面落实公平交易原则在具体业务（包括研究分析、投资决策、交易执行等）环节中的实现，在保证各投资组合投资决策相对独立性的同时，确保各投资组合在获得投资信息、投资建议和实施投资决策方面享有公平的机会；同时，通过对投资交易行为的日常监控和事后分析评估来加强对公平交易过程和结果的监督。</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在投资和研究方面，本公司投资和研究部门不断完善研究方法和投资决策流程，提高投资决策的科学性和客观性，确保各投资组合享有公平的投资决策机会，建立公平交易的制度环境。</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在交易执行方面，本公司的投资管理职能和交易执行职能相隔离，通过实行集中交易制度和公平的交易分配制度，确保各投资组合享有公平的交易执行机会。</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日常监控和事后分析评估方面，本公司风险管理部开展日内和定期的工作对公平交易执行情况作整体监控和效果评估。风险管理部通过对不同组合之间同向交易的价差率的假设检验、价格占优的次数百分比统计、价差交易模拟贡献与组合收益率差异的比较等方法对本报告期以及连续四个季度期间内、不同时间窗口下公司管理的不同投资组合同向交易的交易价差进行了分析；对于场外交易，还特别对比了组合之间发生的同向交易的市场公允价格和交易对手，判断交易是否公平且是否涉及利益输送。</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本公司通过事前的制度规范、事中的监控和事后的分析评估，严格执行了公平交易制度，公平对待了旗下各投资组合。本报告期内，未出现违反公平交易制度的情况。</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4.3.2 </w:t>
      </w:r>
      <w:r w:rsidRPr="00220C32">
        <w:rPr>
          <w:rFonts w:asciiTheme="minorEastAsia" w:eastAsiaTheme="minorEastAsia" w:hAnsiTheme="minorEastAsia" w:hint="eastAsia"/>
          <w:color w:val="000000" w:themeColor="text1"/>
          <w:sz w:val="24"/>
          <w:szCs w:val="24"/>
        </w:rPr>
        <w:t>异常交易行为的专项说明</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本公司制定了《异常交易监控与报告办法》，明确定义了在投资交易过程中出现的各种可能导致不公平交易和利益输送的异常交易类型，并规定且落实了异常交易的日常监控、识别以及事后的分析流程。</w:t>
      </w:r>
    </w:p>
    <w:p w:rsidR="004061AC" w:rsidRPr="00220C32" w:rsidRDefault="00957594" w:rsidP="003B7AAE">
      <w:pPr>
        <w:spacing w:line="360" w:lineRule="auto"/>
        <w:ind w:firstLineChars="200" w:firstLine="420"/>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本基金本报告期内未出现异常交易的情况。本报告期内，本公司所有投资组合参与的交易所公开竞价同日反向交易成交较少的单边交易量超过该证券当日成交量的5%的情况有1次。投资组合经理因投资组合的投资策略而发生同日反向交易，未导致不公平交易和利益输送。</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4.4 </w:t>
      </w:r>
      <w:r w:rsidRPr="00220C32">
        <w:rPr>
          <w:rFonts w:asciiTheme="minorEastAsia" w:eastAsiaTheme="minorEastAsia" w:hAnsiTheme="minorEastAsia" w:hint="eastAsia"/>
          <w:b/>
          <w:bCs/>
          <w:color w:val="000000" w:themeColor="text1"/>
          <w:kern w:val="0"/>
          <w:sz w:val="24"/>
          <w:szCs w:val="24"/>
        </w:rPr>
        <w:t>报告期内基金的投资策略和业绩表现说明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4.4.1</w:t>
      </w:r>
      <w:r w:rsidRPr="00220C32">
        <w:rPr>
          <w:rFonts w:asciiTheme="minorEastAsia" w:eastAsiaTheme="minorEastAsia" w:hAnsiTheme="minorEastAsia" w:cs="宋体" w:hint="eastAsia"/>
          <w:color w:val="000000" w:themeColor="text1"/>
          <w:sz w:val="24"/>
          <w:szCs w:val="24"/>
        </w:rPr>
        <w:t>报告期内基金投资策略和运作分析</w:t>
      </w:r>
    </w:p>
    <w:p w:rsidR="00FD024D" w:rsidRDefault="00FD024D" w:rsidP="00FD024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2018年二季度，国内经济处于产能周期底部和金融周期顶部，贸易战持续升温、人民币快速走弱，信用违约风险呈暴露趋势。货币政策方面，2018年4月和6月的定向降准，以及扩大MLF抵押品范围等政策，透露了货币政策边际放松、结构性宽货币力度不断加大的信号。2018年二季度央行货币政策执行报告中“松紧适度”、“合理充裕”的说法进一步确定下半年“宽货币”的基调。多重因素继续引发债券市场的做多热情，收益率震荡下行。全季度来看，利率债方面，10年期国债收益率从一季度末的3.75%震荡下行至3.49%，下行约26bp；1年期国开债收益率从3.97%下行至3.56%，下行约41BP；10年期国开债收益率从4.65%回落至4.25%，下行约40bp。信用债方面，随着信用风险的发酵，信用债流动性变差，信用利差整体走阔，低等级信用债尤为明显。</w:t>
      </w:r>
    </w:p>
    <w:p w:rsidR="00FD024D" w:rsidRDefault="00FD024D" w:rsidP="00FD024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报告期内，管理人以投资中短久期、中高等级的短期融资券、公司债和同业存单为主，适度采用杠杆策略，力求获得稳定的收益。</w:t>
      </w:r>
    </w:p>
    <w:p w:rsidR="004061AC" w:rsidRPr="00220C32" w:rsidRDefault="004061AC" w:rsidP="009E7C6A">
      <w:pPr>
        <w:spacing w:line="360" w:lineRule="auto"/>
        <w:rPr>
          <w:rFonts w:asciiTheme="minorEastAsia" w:eastAsiaTheme="minorEastAsia" w:hAnsiTheme="minorEastAsia"/>
          <w:color w:val="000000" w:themeColor="text1"/>
          <w:sz w:val="24"/>
          <w:szCs w:val="24"/>
        </w:rPr>
      </w:pPr>
      <w:bookmarkStart w:id="0" w:name="_GoBack"/>
      <w:bookmarkEnd w:id="0"/>
      <w:r w:rsidRPr="00220C32">
        <w:rPr>
          <w:rFonts w:asciiTheme="minorEastAsia" w:eastAsiaTheme="minorEastAsia" w:hAnsiTheme="minorEastAsia" w:cs="宋体"/>
          <w:color w:val="000000" w:themeColor="text1"/>
          <w:sz w:val="24"/>
          <w:szCs w:val="24"/>
        </w:rPr>
        <w:t>4.4.2</w:t>
      </w:r>
      <w:r w:rsidRPr="00220C32">
        <w:rPr>
          <w:rFonts w:asciiTheme="minorEastAsia" w:eastAsiaTheme="minorEastAsia" w:hAnsiTheme="minorEastAsia" w:cs="宋体" w:hint="eastAsia"/>
          <w:color w:val="000000" w:themeColor="text1"/>
          <w:sz w:val="24"/>
          <w:szCs w:val="24"/>
        </w:rPr>
        <w:t>报告期内基金的业绩表现</w:t>
      </w:r>
    </w:p>
    <w:p w:rsidR="009C5186" w:rsidRPr="00220C32" w:rsidRDefault="004061AC" w:rsidP="003B7AAE">
      <w:pPr>
        <w:spacing w:line="360" w:lineRule="auto"/>
        <w:ind w:firstLineChars="200" w:firstLine="420"/>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rPr>
        <w:t>本基金报告期内表现为1.98%，同期业绩比较基准表现为1.76%。</w:t>
      </w:r>
    </w:p>
    <w:p w:rsidR="00A04F76" w:rsidRPr="00220C32" w:rsidRDefault="006360DC" w:rsidP="00A04F76">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.5</w:t>
      </w:r>
      <w:r w:rsidR="00A04F76" w:rsidRPr="00220C32">
        <w:rPr>
          <w:rFonts w:asciiTheme="minorEastAsia" w:eastAsiaTheme="minorEastAsia" w:hAnsiTheme="minorEastAsia" w:hint="eastAsia"/>
          <w:b/>
          <w:color w:val="000000" w:themeColor="text1"/>
          <w:kern w:val="0"/>
          <w:sz w:val="24"/>
          <w:szCs w:val="24"/>
        </w:rPr>
        <w:t>报告期内基金持有人数或基金资产净值预警说明</w:t>
      </w:r>
    </w:p>
    <w:p w:rsidR="00A04F76" w:rsidRPr="00220C32" w:rsidRDefault="00A04F76" w:rsidP="00A04F76">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无。</w:t>
      </w:r>
    </w:p>
    <w:p w:rsidR="004061AC" w:rsidRPr="00220C32" w:rsidRDefault="004061AC" w:rsidP="0091315E">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1C0993" w:rsidRPr="00220C32">
        <w:rPr>
          <w:rFonts w:asciiTheme="minorEastAsia" w:eastAsiaTheme="minorEastAsia" w:hAnsiTheme="minorEastAsia" w:hint="eastAsia"/>
          <w:color w:val="000000" w:themeColor="text1"/>
          <w:kern w:val="0"/>
          <w:sz w:val="24"/>
          <w:szCs w:val="24"/>
        </w:rPr>
        <w:t>5</w:t>
      </w:r>
      <w:r w:rsidRPr="00220C32">
        <w:rPr>
          <w:rFonts w:asciiTheme="minorEastAsia" w:eastAsiaTheme="minorEastAsia" w:hAnsiTheme="minorEastAsia" w:hint="eastAsia"/>
          <w:color w:val="000000" w:themeColor="text1"/>
          <w:kern w:val="0"/>
          <w:sz w:val="24"/>
          <w:szCs w:val="24"/>
        </w:rPr>
        <w:t>投资组合报告</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5.1 </w:t>
      </w:r>
      <w:r w:rsidRPr="00220C32">
        <w:rPr>
          <w:rFonts w:asciiTheme="minorEastAsia" w:eastAsiaTheme="minorEastAsia" w:hAnsiTheme="minorEastAsia" w:hint="eastAsia"/>
          <w:b/>
          <w:bCs/>
          <w:color w:val="000000" w:themeColor="text1"/>
          <w:kern w:val="0"/>
          <w:sz w:val="24"/>
          <w:szCs w:val="24"/>
        </w:rPr>
        <w:t>报告期末基金资产组合情况</w:t>
      </w:r>
    </w:p>
    <w:tbl>
      <w:tblPr>
        <w:tblStyle w:val="af7"/>
        <w:tblW w:w="8324" w:type="dxa"/>
        <w:jc w:val="center"/>
        <w:tblLayout w:type="fixed"/>
        <w:tblLook w:val="04A0"/>
      </w:tblPr>
      <w:tblGrid>
        <w:gridCol w:w="720"/>
        <w:gridCol w:w="3964"/>
        <w:gridCol w:w="2126"/>
        <w:gridCol w:w="1514"/>
      </w:tblGrid>
      <w:tr w:rsidR="00220C32" w:rsidRPr="00220C32" w:rsidTr="003B7AAE">
        <w:trPr>
          <w:jc w:val="center"/>
        </w:trPr>
        <w:tc>
          <w:tcPr>
            <w:tcW w:w="720"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序号</w:t>
            </w:r>
          </w:p>
        </w:tc>
        <w:tc>
          <w:tcPr>
            <w:tcW w:w="3964"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项目</w:t>
            </w:r>
          </w:p>
        </w:tc>
        <w:tc>
          <w:tcPr>
            <w:tcW w:w="2126"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金额</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hint="eastAsia"/>
                <w:color w:val="000000" w:themeColor="text1"/>
                <w:sz w:val="21"/>
              </w:rPr>
              <w:t>元</w:t>
            </w:r>
            <w:r w:rsidR="00D57B7C" w:rsidRPr="00220C32">
              <w:rPr>
                <w:rFonts w:asciiTheme="minorEastAsia" w:eastAsiaTheme="minorEastAsia" w:hAnsiTheme="minorEastAsia" w:hint="eastAsia"/>
                <w:color w:val="000000" w:themeColor="text1"/>
                <w:sz w:val="21"/>
              </w:rPr>
              <w:t>)</w:t>
            </w:r>
          </w:p>
        </w:tc>
        <w:tc>
          <w:tcPr>
            <w:tcW w:w="1514"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占基金总资产的比例</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color w:val="000000" w:themeColor="text1"/>
                <w:sz w:val="21"/>
              </w:rPr>
              <w:t>%</w:t>
            </w:r>
            <w:r w:rsidR="00D57B7C" w:rsidRPr="00220C32">
              <w:rPr>
                <w:rFonts w:asciiTheme="minorEastAsia" w:eastAsiaTheme="minorEastAsia" w:hAnsiTheme="minorEastAsia" w:hint="eastAsia"/>
                <w:color w:val="000000" w:themeColor="text1"/>
                <w:sz w:val="21"/>
              </w:rPr>
              <w:t>)</w:t>
            </w:r>
          </w:p>
        </w:tc>
      </w:tr>
      <w:tr w:rsidR="00220C32" w:rsidRPr="00220C32" w:rsidTr="003B7AAE">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3964"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权益投资</w:t>
            </w:r>
          </w:p>
        </w:tc>
        <w:tc>
          <w:tcPr>
            <w:tcW w:w="2126" w:type="dxa"/>
            <w:vAlign w:val="center"/>
          </w:tcPr>
          <w:p w:rsidR="00853140" w:rsidRPr="00220C32" w:rsidRDefault="00C77AEF" w:rsidP="00C77AE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3B7AAE">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964"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其中：股票</w:t>
            </w:r>
          </w:p>
        </w:tc>
        <w:tc>
          <w:tcPr>
            <w:tcW w:w="2126"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3B7AAE">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3964"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固定收益投资</w:t>
            </w:r>
          </w:p>
        </w:tc>
        <w:tc>
          <w:tcPr>
            <w:tcW w:w="2126"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76,477,500.00</w:t>
            </w:r>
          </w:p>
        </w:tc>
        <w:tc>
          <w:tcPr>
            <w:tcW w:w="151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34.16</w:t>
            </w:r>
          </w:p>
        </w:tc>
      </w:tr>
      <w:tr w:rsidR="00220C32" w:rsidRPr="00220C32" w:rsidTr="003B7AAE">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964"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其中：债券</w:t>
            </w:r>
          </w:p>
        </w:tc>
        <w:tc>
          <w:tcPr>
            <w:tcW w:w="2126"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76,477,500.00</w:t>
            </w:r>
          </w:p>
        </w:tc>
        <w:tc>
          <w:tcPr>
            <w:tcW w:w="151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34.16</w:t>
            </w:r>
          </w:p>
        </w:tc>
      </w:tr>
      <w:tr w:rsidR="00220C32" w:rsidRPr="00220C32" w:rsidTr="003B7AAE">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964" w:type="dxa"/>
            <w:vAlign w:val="center"/>
          </w:tcPr>
          <w:p w:rsidR="00853140" w:rsidRPr="00220C32" w:rsidRDefault="00853140" w:rsidP="00A52F8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资产支持证券</w:t>
            </w:r>
          </w:p>
        </w:tc>
        <w:tc>
          <w:tcPr>
            <w:tcW w:w="2126"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3B7AAE">
        <w:trPr>
          <w:jc w:val="center"/>
        </w:trPr>
        <w:tc>
          <w:tcPr>
            <w:tcW w:w="720" w:type="dxa"/>
          </w:tcPr>
          <w:p w:rsidR="001D63BB" w:rsidRPr="00220C32" w:rsidRDefault="001D63BB" w:rsidP="001D63BB">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964" w:type="dxa"/>
          </w:tcPr>
          <w:p w:rsidR="001D63BB" w:rsidRPr="00220C32" w:rsidRDefault="001D63BB" w:rsidP="001D63BB">
            <w:pPr>
              <w:spacing w:before="29" w:line="360" w:lineRule="auto"/>
              <w:ind w:leftChars="50" w:left="10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贵金属投资</w:t>
            </w:r>
          </w:p>
        </w:tc>
        <w:tc>
          <w:tcPr>
            <w:tcW w:w="2126"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3B7AAE">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964" w:type="dxa"/>
            <w:vAlign w:val="center"/>
          </w:tcPr>
          <w:p w:rsidR="001D63BB" w:rsidRPr="00220C32" w:rsidRDefault="001D63BB" w:rsidP="00EA70F1">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金融衍生品投资</w:t>
            </w:r>
          </w:p>
        </w:tc>
        <w:tc>
          <w:tcPr>
            <w:tcW w:w="2126"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3B7AAE">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5</w:t>
            </w:r>
          </w:p>
        </w:tc>
        <w:tc>
          <w:tcPr>
            <w:tcW w:w="3964"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买入返售金融资产</w:t>
            </w:r>
          </w:p>
        </w:tc>
        <w:tc>
          <w:tcPr>
            <w:tcW w:w="2126"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86,800,610.20</w:t>
            </w:r>
          </w:p>
        </w:tc>
        <w:tc>
          <w:tcPr>
            <w:tcW w:w="1514"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38.77</w:t>
            </w:r>
          </w:p>
        </w:tc>
      </w:tr>
      <w:tr w:rsidR="00220C32" w:rsidRPr="00220C32" w:rsidTr="003B7AAE">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p>
        </w:tc>
        <w:tc>
          <w:tcPr>
            <w:tcW w:w="3964"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其中：买断式回购的买入返售金融资产</w:t>
            </w:r>
          </w:p>
        </w:tc>
        <w:tc>
          <w:tcPr>
            <w:tcW w:w="2126"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3B7AAE">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6</w:t>
            </w:r>
          </w:p>
        </w:tc>
        <w:tc>
          <w:tcPr>
            <w:tcW w:w="3964" w:type="dxa"/>
            <w:vAlign w:val="center"/>
          </w:tcPr>
          <w:p w:rsidR="001D63BB" w:rsidRPr="00220C32" w:rsidRDefault="001D63BB" w:rsidP="00A03AAC">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银行存款和结算备付金合计</w:t>
            </w:r>
          </w:p>
        </w:tc>
        <w:tc>
          <w:tcPr>
            <w:tcW w:w="2126"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59,095,584.07</w:t>
            </w:r>
          </w:p>
        </w:tc>
        <w:tc>
          <w:tcPr>
            <w:tcW w:w="1514"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26.40</w:t>
            </w:r>
          </w:p>
        </w:tc>
      </w:tr>
      <w:tr w:rsidR="00220C32" w:rsidRPr="00220C32" w:rsidTr="003B7AAE">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7</w:t>
            </w:r>
          </w:p>
        </w:tc>
        <w:tc>
          <w:tcPr>
            <w:tcW w:w="3964"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其他各项资产</w:t>
            </w:r>
          </w:p>
        </w:tc>
        <w:tc>
          <w:tcPr>
            <w:tcW w:w="2126"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1,500,611.57</w:t>
            </w:r>
          </w:p>
        </w:tc>
        <w:tc>
          <w:tcPr>
            <w:tcW w:w="1514"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0.67</w:t>
            </w:r>
          </w:p>
        </w:tc>
      </w:tr>
      <w:tr w:rsidR="00220C32" w:rsidRPr="00220C32" w:rsidTr="003B7AAE">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8</w:t>
            </w:r>
          </w:p>
        </w:tc>
        <w:tc>
          <w:tcPr>
            <w:tcW w:w="3964"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126"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223,874,305.84</w:t>
            </w:r>
          </w:p>
        </w:tc>
        <w:tc>
          <w:tcPr>
            <w:tcW w:w="1514" w:type="dxa"/>
            <w:vAlign w:val="center"/>
          </w:tcPr>
          <w:p w:rsidR="001D63BB" w:rsidRPr="00220C32" w:rsidRDefault="001D63BB" w:rsidP="001675CD">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100.00</w:t>
            </w:r>
          </w:p>
        </w:tc>
      </w:tr>
    </w:tbl>
    <w:p w:rsidR="004061AC" w:rsidRPr="00220C32" w:rsidRDefault="001675CD" w:rsidP="004061A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r w:rsidRPr="00220C32">
        <w:rPr>
          <w:rFonts w:asciiTheme="minorEastAsia" w:eastAsiaTheme="minorEastAsia" w:hAnsiTheme="minorEastAsia" w:hint="eastAsia"/>
          <w:color w:val="000000" w:themeColor="text1"/>
        </w:rPr>
        <w:t>注：本基金未开通港股通交易机制投资于港股。</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8A409E" w:rsidRPr="00B459CD" w:rsidRDefault="008A409E" w:rsidP="008A409E">
      <w:pPr>
        <w:rPr>
          <w:b/>
        </w:rPr>
      </w:pPr>
      <w:r w:rsidRPr="00B459CD">
        <w:rPr>
          <w:rFonts w:eastAsiaTheme="minorEastAsia" w:hint="eastAsia"/>
          <w:b/>
          <w:color w:val="000000" w:themeColor="text1"/>
          <w:kern w:val="0"/>
        </w:rPr>
        <w:t>5.2.1</w:t>
      </w:r>
      <w:r w:rsidRPr="00B459CD">
        <w:rPr>
          <w:rFonts w:eastAsiaTheme="minorEastAsia" w:hint="eastAsia"/>
          <w:b/>
          <w:color w:val="000000" w:themeColor="text1"/>
          <w:kern w:val="0"/>
        </w:rPr>
        <w:t>报告期末按行业分类的境内股票投资组合</w:t>
      </w:r>
    </w:p>
    <w:p w:rsidR="008A409E" w:rsidRPr="008A409E" w:rsidRDefault="008A409E" w:rsidP="008A409E">
      <w:pPr>
        <w:autoSpaceDE w:val="0"/>
        <w:autoSpaceDN w:val="0"/>
        <w:adjustRightInd w:val="0"/>
        <w:spacing w:line="360" w:lineRule="auto"/>
        <w:jc w:val="left"/>
        <w:rPr>
          <w:rFonts w:asciiTheme="minorEastAsia" w:eastAsiaTheme="minorEastAsia" w:hAnsiTheme="minorEastAsia"/>
          <w:color w:val="000000" w:themeColor="text1"/>
        </w:rPr>
      </w:pPr>
      <w:r w:rsidRPr="008A409E">
        <w:rPr>
          <w:rFonts w:asciiTheme="minorEastAsia" w:eastAsiaTheme="minorEastAsia" w:hAnsiTheme="minorEastAsia"/>
          <w:color w:val="000000" w:themeColor="text1"/>
        </w:rPr>
        <w:t>本基金本报告期末未持有股票。</w:t>
      </w:r>
    </w:p>
    <w:p w:rsidR="008A409E" w:rsidRPr="008A409E" w:rsidRDefault="008A409E" w:rsidP="008A409E">
      <w:pPr>
        <w:jc w:val="left"/>
        <w:rPr>
          <w:rFonts w:asciiTheme="minorEastAsia" w:eastAsiaTheme="minorEastAsia" w:hAnsiTheme="minorEastAsia"/>
          <w:b/>
          <w:bCs/>
          <w:color w:val="000000" w:themeColor="text1"/>
          <w:kern w:val="0"/>
          <w:sz w:val="24"/>
          <w:szCs w:val="24"/>
        </w:rPr>
      </w:pPr>
      <w:r w:rsidRPr="008A409E">
        <w:rPr>
          <w:rFonts w:asciiTheme="minorEastAsia" w:eastAsiaTheme="minorEastAsia" w:hAnsiTheme="minorEastAsia" w:hint="eastAsia"/>
          <w:b/>
          <w:bCs/>
          <w:color w:val="000000" w:themeColor="text1"/>
          <w:kern w:val="0"/>
          <w:sz w:val="24"/>
          <w:szCs w:val="24"/>
        </w:rPr>
        <w:t>5.2.2报告期末按行业分类的</w:t>
      </w:r>
      <w:r w:rsidR="004C2F03">
        <w:rPr>
          <w:rFonts w:asciiTheme="minorEastAsia" w:eastAsiaTheme="minorEastAsia" w:hAnsiTheme="minorEastAsia" w:hint="eastAsia"/>
          <w:b/>
          <w:bCs/>
          <w:color w:val="000000" w:themeColor="text1"/>
          <w:kern w:val="0"/>
          <w:sz w:val="24"/>
          <w:szCs w:val="24"/>
        </w:rPr>
        <w:t>港股通</w:t>
      </w:r>
      <w:r w:rsidRPr="008A409E">
        <w:rPr>
          <w:rFonts w:asciiTheme="minorEastAsia" w:eastAsiaTheme="minorEastAsia" w:hAnsiTheme="minorEastAsia" w:hint="eastAsia"/>
          <w:b/>
          <w:bCs/>
          <w:color w:val="000000" w:themeColor="text1"/>
          <w:kern w:val="0"/>
          <w:sz w:val="24"/>
          <w:szCs w:val="24"/>
        </w:rPr>
        <w:t>投资股票投资组合</w:t>
      </w:r>
    </w:p>
    <w:p w:rsidR="004061AC" w:rsidRPr="008A409E" w:rsidRDefault="008A409E"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r w:rsidRPr="008A409E">
        <w:rPr>
          <w:rFonts w:asciiTheme="minorEastAsia" w:eastAsiaTheme="minorEastAsia" w:hAnsiTheme="minorEastAsia"/>
          <w:color w:val="000000" w:themeColor="text1"/>
        </w:rPr>
        <w:t>本基金未开通港股通交易机制投资于港股。</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5.3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color w:val="000000" w:themeColor="text1"/>
        </w:rPr>
        <w:t>本基金本报告期末未持有股票。</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5.4 </w:t>
      </w:r>
      <w:r w:rsidRPr="00220C32">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7"/>
        <w:tblW w:w="8352" w:type="dxa"/>
        <w:jc w:val="center"/>
        <w:tblLayout w:type="fixed"/>
        <w:tblLook w:val="04A0"/>
      </w:tblPr>
      <w:tblGrid>
        <w:gridCol w:w="817"/>
        <w:gridCol w:w="3260"/>
        <w:gridCol w:w="2652"/>
        <w:gridCol w:w="1623"/>
      </w:tblGrid>
      <w:tr w:rsidR="00220C32" w:rsidRPr="00220C32" w:rsidTr="003B7AAE">
        <w:trPr>
          <w:jc w:val="center"/>
        </w:trPr>
        <w:tc>
          <w:tcPr>
            <w:tcW w:w="817"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3260"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债券品种</w:t>
            </w:r>
          </w:p>
        </w:tc>
        <w:tc>
          <w:tcPr>
            <w:tcW w:w="2652"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元</w:t>
            </w:r>
            <w:r w:rsidR="00D57B7C" w:rsidRPr="00220C32">
              <w:rPr>
                <w:rFonts w:asciiTheme="minorEastAsia" w:eastAsiaTheme="minorEastAsia" w:hAnsiTheme="minorEastAsia" w:cs="宋体" w:hint="eastAsia"/>
                <w:color w:val="000000" w:themeColor="text1"/>
                <w:sz w:val="21"/>
              </w:rPr>
              <w:t>)</w:t>
            </w:r>
          </w:p>
        </w:tc>
        <w:tc>
          <w:tcPr>
            <w:tcW w:w="1623"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220C32" w:rsidRPr="00220C32" w:rsidTr="003B7AAE">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国家债券</w:t>
            </w:r>
          </w:p>
        </w:tc>
        <w:tc>
          <w:tcPr>
            <w:tcW w:w="2652"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39,708,000.00</w:t>
            </w:r>
          </w:p>
        </w:tc>
        <w:tc>
          <w:tcPr>
            <w:tcW w:w="1623"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126.43</w:t>
            </w:r>
          </w:p>
        </w:tc>
      </w:tr>
      <w:tr w:rsidR="00220C32" w:rsidRPr="00220C32" w:rsidTr="003B7AAE">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央行票据</w:t>
            </w:r>
          </w:p>
        </w:tc>
        <w:tc>
          <w:tcPr>
            <w:tcW w:w="2652"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623"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3B7AAE">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金融债券</w:t>
            </w:r>
          </w:p>
        </w:tc>
        <w:tc>
          <w:tcPr>
            <w:tcW w:w="2652"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623"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3B7AAE">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其中：政策性金融债</w:t>
            </w:r>
          </w:p>
        </w:tc>
        <w:tc>
          <w:tcPr>
            <w:tcW w:w="2652"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623"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3B7AAE">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企业债券</w:t>
            </w:r>
          </w:p>
        </w:tc>
        <w:tc>
          <w:tcPr>
            <w:tcW w:w="2652"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16,991,500.00</w:t>
            </w:r>
          </w:p>
        </w:tc>
        <w:tc>
          <w:tcPr>
            <w:tcW w:w="1623"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54.10</w:t>
            </w:r>
          </w:p>
        </w:tc>
      </w:tr>
      <w:tr w:rsidR="00220C32" w:rsidRPr="00220C32" w:rsidTr="003B7AAE">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5</w:t>
            </w:r>
          </w:p>
        </w:tc>
        <w:tc>
          <w:tcPr>
            <w:tcW w:w="3260" w:type="dxa"/>
            <w:vAlign w:val="center"/>
          </w:tcPr>
          <w:p w:rsidR="00AC592E" w:rsidRPr="00220C32" w:rsidRDefault="00AC592E" w:rsidP="000140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企业短期融资</w:t>
            </w:r>
            <w:r w:rsidR="00963F40" w:rsidRPr="00220C32">
              <w:rPr>
                <w:rFonts w:asciiTheme="minorEastAsia" w:eastAsiaTheme="minorEastAsia" w:hAnsiTheme="minorEastAsia" w:cs="宋体" w:hint="eastAsia"/>
                <w:color w:val="000000" w:themeColor="text1"/>
                <w:sz w:val="21"/>
              </w:rPr>
              <w:t>券</w:t>
            </w:r>
          </w:p>
        </w:tc>
        <w:tc>
          <w:tcPr>
            <w:tcW w:w="2652"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10,019,000.00</w:t>
            </w:r>
          </w:p>
        </w:tc>
        <w:tc>
          <w:tcPr>
            <w:tcW w:w="1623"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31.90</w:t>
            </w:r>
          </w:p>
        </w:tc>
      </w:tr>
      <w:tr w:rsidR="00220C32" w:rsidRPr="00220C32" w:rsidTr="003B7AAE">
        <w:trPr>
          <w:jc w:val="center"/>
        </w:trPr>
        <w:tc>
          <w:tcPr>
            <w:tcW w:w="817" w:type="dxa"/>
            <w:vAlign w:val="center"/>
          </w:tcPr>
          <w:p w:rsidR="00FB41D3" w:rsidRPr="00220C32" w:rsidRDefault="00FB41D3"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6</w:t>
            </w:r>
          </w:p>
        </w:tc>
        <w:tc>
          <w:tcPr>
            <w:tcW w:w="3260" w:type="dxa"/>
            <w:vAlign w:val="center"/>
          </w:tcPr>
          <w:p w:rsidR="00FB41D3" w:rsidRPr="00220C32" w:rsidRDefault="00FB41D3" w:rsidP="000140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中期票据</w:t>
            </w:r>
          </w:p>
        </w:tc>
        <w:tc>
          <w:tcPr>
            <w:tcW w:w="2652" w:type="dxa"/>
            <w:vAlign w:val="center"/>
          </w:tcPr>
          <w:p w:rsidR="00FB41D3" w:rsidRPr="00220C32" w:rsidRDefault="00FB41D3"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623" w:type="dxa"/>
            <w:vAlign w:val="center"/>
          </w:tcPr>
          <w:p w:rsidR="00FB41D3" w:rsidRPr="00220C32" w:rsidRDefault="00FB41D3"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3B7AAE">
        <w:trPr>
          <w:jc w:val="center"/>
        </w:trPr>
        <w:tc>
          <w:tcPr>
            <w:tcW w:w="817" w:type="dxa"/>
            <w:vAlign w:val="center"/>
          </w:tcPr>
          <w:p w:rsidR="00AC592E" w:rsidRPr="00220C32" w:rsidRDefault="00FB41D3"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7</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可转债</w:t>
            </w:r>
            <w:r w:rsidR="007B490D" w:rsidRPr="007B490D">
              <w:rPr>
                <w:rFonts w:asciiTheme="minorEastAsia" w:eastAsiaTheme="minorEastAsia" w:hAnsiTheme="minorEastAsia" w:cs="宋体" w:hint="eastAsia"/>
                <w:color w:val="000000" w:themeColor="text1"/>
                <w:sz w:val="21"/>
              </w:rPr>
              <w:t>（可交换债）</w:t>
            </w:r>
          </w:p>
        </w:tc>
        <w:tc>
          <w:tcPr>
            <w:tcW w:w="2652"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623"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305A29" w:rsidRPr="00220C32" w:rsidTr="003B7AAE">
        <w:trPr>
          <w:jc w:val="center"/>
        </w:trPr>
        <w:tc>
          <w:tcPr>
            <w:tcW w:w="817" w:type="dxa"/>
            <w:vAlign w:val="center"/>
          </w:tcPr>
          <w:p w:rsidR="00305A29" w:rsidRPr="00305A29" w:rsidRDefault="00305A29" w:rsidP="00D234E7">
            <w:pPr>
              <w:spacing w:before="29" w:line="360" w:lineRule="auto"/>
              <w:ind w:left="17"/>
              <w:jc w:val="center"/>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8</w:t>
            </w:r>
          </w:p>
        </w:tc>
        <w:tc>
          <w:tcPr>
            <w:tcW w:w="3260" w:type="dxa"/>
            <w:vAlign w:val="center"/>
          </w:tcPr>
          <w:p w:rsidR="00305A29" w:rsidRPr="00305A29" w:rsidRDefault="00305A29" w:rsidP="00D234E7">
            <w:pPr>
              <w:spacing w:before="29" w:line="360" w:lineRule="auto"/>
              <w:ind w:left="17"/>
              <w:jc w:val="left"/>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同业存单</w:t>
            </w:r>
          </w:p>
        </w:tc>
        <w:tc>
          <w:tcPr>
            <w:tcW w:w="2652" w:type="dxa"/>
            <w:vAlign w:val="center"/>
          </w:tcPr>
          <w:p w:rsidR="00305A29" w:rsidRPr="00305A29" w:rsidRDefault="00305A29" w:rsidP="00D234E7">
            <w:pPr>
              <w:spacing w:before="29" w:line="360" w:lineRule="auto"/>
              <w:ind w:left="17"/>
              <w:jc w:val="right"/>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9,759,000.00</w:t>
            </w:r>
          </w:p>
        </w:tc>
        <w:tc>
          <w:tcPr>
            <w:tcW w:w="1623" w:type="dxa"/>
            <w:vAlign w:val="center"/>
          </w:tcPr>
          <w:p w:rsidR="00305A29" w:rsidRPr="00305A29" w:rsidRDefault="00305A29" w:rsidP="00D234E7">
            <w:pPr>
              <w:spacing w:before="29" w:line="360" w:lineRule="auto"/>
              <w:ind w:left="17"/>
              <w:jc w:val="right"/>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31.07</w:t>
            </w:r>
          </w:p>
        </w:tc>
      </w:tr>
      <w:tr w:rsidR="00305A29" w:rsidRPr="00220C32" w:rsidTr="003B7AAE">
        <w:trPr>
          <w:jc w:val="center"/>
        </w:trPr>
        <w:tc>
          <w:tcPr>
            <w:tcW w:w="817" w:type="dxa"/>
            <w:vAlign w:val="center"/>
          </w:tcPr>
          <w:p w:rsidR="00305A29" w:rsidRPr="00220C32" w:rsidRDefault="00305A29" w:rsidP="00FB41D3">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9</w:t>
            </w:r>
          </w:p>
        </w:tc>
        <w:tc>
          <w:tcPr>
            <w:tcW w:w="3260" w:type="dxa"/>
            <w:vAlign w:val="center"/>
          </w:tcPr>
          <w:p w:rsidR="00305A29" w:rsidRPr="00220C32" w:rsidRDefault="00305A29"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2652"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623"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305A29" w:rsidRPr="00220C32" w:rsidTr="003B7AAE">
        <w:trPr>
          <w:jc w:val="center"/>
        </w:trPr>
        <w:tc>
          <w:tcPr>
            <w:tcW w:w="817" w:type="dxa"/>
            <w:vAlign w:val="center"/>
          </w:tcPr>
          <w:p w:rsidR="00305A29" w:rsidRPr="00220C32" w:rsidRDefault="00305A29" w:rsidP="00FB41D3">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10</w:t>
            </w:r>
          </w:p>
        </w:tc>
        <w:tc>
          <w:tcPr>
            <w:tcW w:w="3260" w:type="dxa"/>
            <w:vAlign w:val="center"/>
          </w:tcPr>
          <w:p w:rsidR="00305A29" w:rsidRPr="00220C32" w:rsidRDefault="00305A29"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652"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76,477,500.00</w:t>
            </w:r>
          </w:p>
        </w:tc>
        <w:tc>
          <w:tcPr>
            <w:tcW w:w="1623"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243.51</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5.5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的前五名债券投资明细</w:t>
      </w:r>
    </w:p>
    <w:tbl>
      <w:tblPr>
        <w:tblStyle w:val="af7"/>
        <w:tblW w:w="0" w:type="auto"/>
        <w:jc w:val="center"/>
        <w:tblLayout w:type="fixed"/>
        <w:tblLook w:val="04A0"/>
      </w:tblPr>
      <w:tblGrid>
        <w:gridCol w:w="576"/>
        <w:gridCol w:w="1276"/>
        <w:gridCol w:w="1992"/>
        <w:gridCol w:w="1426"/>
        <w:gridCol w:w="1646"/>
        <w:gridCol w:w="1414"/>
      </w:tblGrid>
      <w:tr w:rsidR="00220C32" w:rsidRPr="00220C32" w:rsidTr="003B7AAE">
        <w:trPr>
          <w:jc w:val="center"/>
        </w:trPr>
        <w:tc>
          <w:tcPr>
            <w:tcW w:w="576"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276"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债券代码</w:t>
            </w:r>
          </w:p>
        </w:tc>
        <w:tc>
          <w:tcPr>
            <w:tcW w:w="1992"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债券名称</w:t>
            </w:r>
          </w:p>
        </w:tc>
        <w:tc>
          <w:tcPr>
            <w:tcW w:w="1426"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数量</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张</w:t>
            </w:r>
            <w:r w:rsidR="00D57B7C" w:rsidRPr="00220C32">
              <w:rPr>
                <w:rFonts w:asciiTheme="minorEastAsia" w:eastAsiaTheme="minorEastAsia" w:hAnsiTheme="minorEastAsia" w:cs="宋体" w:hint="eastAsia"/>
                <w:color w:val="000000" w:themeColor="text1"/>
                <w:sz w:val="21"/>
              </w:rPr>
              <w:t>)</w:t>
            </w:r>
          </w:p>
        </w:tc>
        <w:tc>
          <w:tcPr>
            <w:tcW w:w="1646"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414" w:type="dxa"/>
            <w:vAlign w:val="center"/>
          </w:tcPr>
          <w:p w:rsidR="003E62FB" w:rsidRPr="00220C32" w:rsidRDefault="003E62FB" w:rsidP="003B7AAE">
            <w:pPr>
              <w:spacing w:before="29" w:line="360" w:lineRule="auto"/>
              <w:ind w:left="-69" w:rightChars="-71" w:right="-149"/>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E904FD" w:rsidTr="003B7AAE">
        <w:trPr>
          <w:jc w:val="center"/>
        </w:trPr>
        <w:tc>
          <w:tcPr>
            <w:tcW w:w="576" w:type="dxa"/>
            <w:vAlign w:val="center"/>
          </w:tcPr>
          <w:p w:rsidR="00E904FD" w:rsidRDefault="003B7AAE">
            <w:pPr>
              <w:jc w:val="center"/>
            </w:pPr>
            <w:r>
              <w:rPr>
                <w:rFonts w:asciiTheme="minorEastAsia" w:eastAsiaTheme="minorEastAsia" w:hAnsiTheme="minorEastAsia" w:cs="宋体"/>
                <w:color w:val="000000" w:themeColor="text1"/>
                <w:sz w:val="21"/>
              </w:rPr>
              <w:t>1</w:t>
            </w:r>
          </w:p>
        </w:tc>
        <w:tc>
          <w:tcPr>
            <w:tcW w:w="1276" w:type="dxa"/>
            <w:vAlign w:val="center"/>
          </w:tcPr>
          <w:p w:rsidR="00E904FD" w:rsidRDefault="003B7AAE">
            <w:pPr>
              <w:jc w:val="center"/>
            </w:pPr>
            <w:r>
              <w:rPr>
                <w:rFonts w:asciiTheme="minorEastAsia" w:eastAsiaTheme="minorEastAsia" w:hAnsiTheme="minorEastAsia" w:cs="宋体"/>
                <w:color w:val="000000" w:themeColor="text1"/>
                <w:sz w:val="21"/>
              </w:rPr>
              <w:t>189915</w:t>
            </w:r>
          </w:p>
        </w:tc>
        <w:tc>
          <w:tcPr>
            <w:tcW w:w="1992" w:type="dxa"/>
            <w:vAlign w:val="center"/>
          </w:tcPr>
          <w:p w:rsidR="00E904FD" w:rsidRDefault="003B7AAE">
            <w:pPr>
              <w:jc w:val="center"/>
            </w:pPr>
            <w:r>
              <w:rPr>
                <w:rFonts w:asciiTheme="minorEastAsia" w:eastAsiaTheme="minorEastAsia" w:hAnsiTheme="minorEastAsia" w:cs="宋体"/>
                <w:color w:val="000000" w:themeColor="text1"/>
                <w:sz w:val="21"/>
              </w:rPr>
              <w:t>18贴现国债15</w:t>
            </w:r>
          </w:p>
        </w:tc>
        <w:tc>
          <w:tcPr>
            <w:tcW w:w="1426" w:type="dxa"/>
            <w:vAlign w:val="center"/>
          </w:tcPr>
          <w:p w:rsidR="00E904FD" w:rsidRDefault="003B7AAE">
            <w:pPr>
              <w:jc w:val="right"/>
            </w:pPr>
            <w:r>
              <w:rPr>
                <w:rFonts w:asciiTheme="minorEastAsia" w:eastAsiaTheme="minorEastAsia" w:hAnsiTheme="minorEastAsia" w:cs="宋体"/>
                <w:color w:val="000000" w:themeColor="text1"/>
                <w:sz w:val="21"/>
              </w:rPr>
              <w:t>400,000.00</w:t>
            </w:r>
          </w:p>
        </w:tc>
        <w:tc>
          <w:tcPr>
            <w:tcW w:w="1646" w:type="dxa"/>
            <w:vAlign w:val="center"/>
          </w:tcPr>
          <w:p w:rsidR="00E904FD" w:rsidRDefault="003B7AAE">
            <w:pPr>
              <w:jc w:val="right"/>
            </w:pPr>
            <w:r>
              <w:rPr>
                <w:rFonts w:asciiTheme="minorEastAsia" w:eastAsiaTheme="minorEastAsia" w:hAnsiTheme="minorEastAsia" w:cs="宋体"/>
                <w:color w:val="000000" w:themeColor="text1"/>
                <w:sz w:val="21"/>
              </w:rPr>
              <w:t>39,708,000.00</w:t>
            </w:r>
          </w:p>
        </w:tc>
        <w:tc>
          <w:tcPr>
            <w:tcW w:w="1414" w:type="dxa"/>
            <w:vAlign w:val="center"/>
          </w:tcPr>
          <w:p w:rsidR="00E904FD" w:rsidRDefault="003B7AAE">
            <w:pPr>
              <w:jc w:val="right"/>
            </w:pPr>
            <w:r>
              <w:rPr>
                <w:rFonts w:asciiTheme="minorEastAsia" w:eastAsiaTheme="minorEastAsia" w:hAnsiTheme="minorEastAsia" w:cs="宋体"/>
                <w:color w:val="000000" w:themeColor="text1"/>
                <w:sz w:val="21"/>
              </w:rPr>
              <w:t>126.43</w:t>
            </w:r>
          </w:p>
        </w:tc>
      </w:tr>
      <w:tr w:rsidR="00E904FD" w:rsidTr="003B7AAE">
        <w:trPr>
          <w:jc w:val="center"/>
        </w:trPr>
        <w:tc>
          <w:tcPr>
            <w:tcW w:w="576" w:type="dxa"/>
            <w:vAlign w:val="center"/>
          </w:tcPr>
          <w:p w:rsidR="00E904FD" w:rsidRDefault="003B7AAE">
            <w:pPr>
              <w:jc w:val="center"/>
            </w:pPr>
            <w:r>
              <w:rPr>
                <w:rFonts w:asciiTheme="minorEastAsia" w:eastAsiaTheme="minorEastAsia" w:hAnsiTheme="minorEastAsia" w:cs="宋体"/>
                <w:color w:val="000000" w:themeColor="text1"/>
                <w:sz w:val="21"/>
              </w:rPr>
              <w:t>2</w:t>
            </w:r>
          </w:p>
        </w:tc>
        <w:tc>
          <w:tcPr>
            <w:tcW w:w="1276" w:type="dxa"/>
            <w:vAlign w:val="center"/>
          </w:tcPr>
          <w:p w:rsidR="00E904FD" w:rsidRDefault="003B7AAE">
            <w:pPr>
              <w:jc w:val="center"/>
            </w:pPr>
            <w:r>
              <w:rPr>
                <w:rFonts w:asciiTheme="minorEastAsia" w:eastAsiaTheme="minorEastAsia" w:hAnsiTheme="minorEastAsia" w:cs="宋体"/>
                <w:color w:val="000000" w:themeColor="text1"/>
                <w:sz w:val="21"/>
              </w:rPr>
              <w:t>122366</w:t>
            </w:r>
          </w:p>
        </w:tc>
        <w:tc>
          <w:tcPr>
            <w:tcW w:w="1992" w:type="dxa"/>
            <w:vAlign w:val="center"/>
          </w:tcPr>
          <w:p w:rsidR="00E904FD" w:rsidRDefault="003B7AAE">
            <w:pPr>
              <w:jc w:val="center"/>
            </w:pPr>
            <w:r>
              <w:rPr>
                <w:rFonts w:asciiTheme="minorEastAsia" w:eastAsiaTheme="minorEastAsia" w:hAnsiTheme="minorEastAsia" w:cs="宋体"/>
                <w:color w:val="000000" w:themeColor="text1"/>
                <w:sz w:val="21"/>
              </w:rPr>
              <w:t>14武钢债</w:t>
            </w:r>
          </w:p>
        </w:tc>
        <w:tc>
          <w:tcPr>
            <w:tcW w:w="1426" w:type="dxa"/>
            <w:vAlign w:val="center"/>
          </w:tcPr>
          <w:p w:rsidR="00E904FD" w:rsidRDefault="003B7AAE">
            <w:pPr>
              <w:jc w:val="right"/>
            </w:pPr>
            <w:r>
              <w:rPr>
                <w:rFonts w:asciiTheme="minorEastAsia" w:eastAsiaTheme="minorEastAsia" w:hAnsiTheme="minorEastAsia" w:cs="宋体"/>
                <w:color w:val="000000" w:themeColor="text1"/>
                <w:sz w:val="21"/>
              </w:rPr>
              <w:t>170,000.00</w:t>
            </w:r>
          </w:p>
        </w:tc>
        <w:tc>
          <w:tcPr>
            <w:tcW w:w="1646" w:type="dxa"/>
            <w:vAlign w:val="center"/>
          </w:tcPr>
          <w:p w:rsidR="00E904FD" w:rsidRDefault="003B7AAE">
            <w:pPr>
              <w:jc w:val="right"/>
            </w:pPr>
            <w:r>
              <w:rPr>
                <w:rFonts w:asciiTheme="minorEastAsia" w:eastAsiaTheme="minorEastAsia" w:hAnsiTheme="minorEastAsia" w:cs="宋体"/>
                <w:color w:val="000000" w:themeColor="text1"/>
                <w:sz w:val="21"/>
              </w:rPr>
              <w:t>16,991,500.00</w:t>
            </w:r>
          </w:p>
        </w:tc>
        <w:tc>
          <w:tcPr>
            <w:tcW w:w="1414" w:type="dxa"/>
            <w:vAlign w:val="center"/>
          </w:tcPr>
          <w:p w:rsidR="00E904FD" w:rsidRDefault="003B7AAE">
            <w:pPr>
              <w:jc w:val="right"/>
            </w:pPr>
            <w:r>
              <w:rPr>
                <w:rFonts w:asciiTheme="minorEastAsia" w:eastAsiaTheme="minorEastAsia" w:hAnsiTheme="minorEastAsia" w:cs="宋体"/>
                <w:color w:val="000000" w:themeColor="text1"/>
                <w:sz w:val="21"/>
              </w:rPr>
              <w:t>54.10</w:t>
            </w:r>
          </w:p>
        </w:tc>
      </w:tr>
      <w:tr w:rsidR="00E904FD" w:rsidTr="003B7AAE">
        <w:trPr>
          <w:jc w:val="center"/>
        </w:trPr>
        <w:tc>
          <w:tcPr>
            <w:tcW w:w="576" w:type="dxa"/>
            <w:vAlign w:val="center"/>
          </w:tcPr>
          <w:p w:rsidR="00E904FD" w:rsidRDefault="003B7AAE">
            <w:pPr>
              <w:jc w:val="center"/>
            </w:pPr>
            <w:r>
              <w:rPr>
                <w:rFonts w:asciiTheme="minorEastAsia" w:eastAsiaTheme="minorEastAsia" w:hAnsiTheme="minorEastAsia" w:cs="宋体"/>
                <w:color w:val="000000" w:themeColor="text1"/>
                <w:sz w:val="21"/>
              </w:rPr>
              <w:t>3</w:t>
            </w:r>
          </w:p>
        </w:tc>
        <w:tc>
          <w:tcPr>
            <w:tcW w:w="1276" w:type="dxa"/>
            <w:vAlign w:val="center"/>
          </w:tcPr>
          <w:p w:rsidR="00E904FD" w:rsidRDefault="003B7AAE">
            <w:pPr>
              <w:jc w:val="center"/>
            </w:pPr>
            <w:r>
              <w:rPr>
                <w:rFonts w:asciiTheme="minorEastAsia" w:eastAsiaTheme="minorEastAsia" w:hAnsiTheme="minorEastAsia" w:cs="宋体"/>
                <w:color w:val="000000" w:themeColor="text1"/>
                <w:sz w:val="21"/>
              </w:rPr>
              <w:t>071800011</w:t>
            </w:r>
          </w:p>
        </w:tc>
        <w:tc>
          <w:tcPr>
            <w:tcW w:w="1992" w:type="dxa"/>
            <w:vAlign w:val="center"/>
          </w:tcPr>
          <w:p w:rsidR="00E904FD" w:rsidRDefault="003B7AAE">
            <w:pPr>
              <w:jc w:val="center"/>
            </w:pPr>
            <w:r>
              <w:rPr>
                <w:rFonts w:asciiTheme="minorEastAsia" w:eastAsiaTheme="minorEastAsia" w:hAnsiTheme="minorEastAsia" w:cs="宋体"/>
                <w:color w:val="000000" w:themeColor="text1"/>
                <w:sz w:val="21"/>
              </w:rPr>
              <w:t>18中信CP004</w:t>
            </w:r>
          </w:p>
        </w:tc>
        <w:tc>
          <w:tcPr>
            <w:tcW w:w="1426" w:type="dxa"/>
            <w:vAlign w:val="center"/>
          </w:tcPr>
          <w:p w:rsidR="00E904FD" w:rsidRDefault="003B7AAE">
            <w:pPr>
              <w:jc w:val="right"/>
            </w:pPr>
            <w:r>
              <w:rPr>
                <w:rFonts w:asciiTheme="minorEastAsia" w:eastAsiaTheme="minorEastAsia" w:hAnsiTheme="minorEastAsia" w:cs="宋体"/>
                <w:color w:val="000000" w:themeColor="text1"/>
                <w:sz w:val="21"/>
              </w:rPr>
              <w:t>100,000.00</w:t>
            </w:r>
          </w:p>
        </w:tc>
        <w:tc>
          <w:tcPr>
            <w:tcW w:w="1646" w:type="dxa"/>
            <w:vAlign w:val="center"/>
          </w:tcPr>
          <w:p w:rsidR="00E904FD" w:rsidRDefault="003B7AAE">
            <w:pPr>
              <w:jc w:val="right"/>
            </w:pPr>
            <w:r>
              <w:rPr>
                <w:rFonts w:asciiTheme="minorEastAsia" w:eastAsiaTheme="minorEastAsia" w:hAnsiTheme="minorEastAsia" w:cs="宋体"/>
                <w:color w:val="000000" w:themeColor="text1"/>
                <w:sz w:val="21"/>
              </w:rPr>
              <w:t>10,019,000.00</w:t>
            </w:r>
          </w:p>
        </w:tc>
        <w:tc>
          <w:tcPr>
            <w:tcW w:w="1414" w:type="dxa"/>
            <w:vAlign w:val="center"/>
          </w:tcPr>
          <w:p w:rsidR="00E904FD" w:rsidRDefault="003B7AAE">
            <w:pPr>
              <w:jc w:val="right"/>
            </w:pPr>
            <w:r>
              <w:rPr>
                <w:rFonts w:asciiTheme="minorEastAsia" w:eastAsiaTheme="minorEastAsia" w:hAnsiTheme="minorEastAsia" w:cs="宋体"/>
                <w:color w:val="000000" w:themeColor="text1"/>
                <w:sz w:val="21"/>
              </w:rPr>
              <w:t>31.90</w:t>
            </w:r>
          </w:p>
        </w:tc>
      </w:tr>
      <w:tr w:rsidR="00E904FD" w:rsidTr="003B7AAE">
        <w:trPr>
          <w:jc w:val="center"/>
        </w:trPr>
        <w:tc>
          <w:tcPr>
            <w:tcW w:w="576" w:type="dxa"/>
            <w:vAlign w:val="center"/>
          </w:tcPr>
          <w:p w:rsidR="00E904FD" w:rsidRDefault="003B7AAE">
            <w:pPr>
              <w:jc w:val="center"/>
            </w:pPr>
            <w:r>
              <w:rPr>
                <w:rFonts w:asciiTheme="minorEastAsia" w:eastAsiaTheme="minorEastAsia" w:hAnsiTheme="minorEastAsia" w:cs="宋体"/>
                <w:color w:val="000000" w:themeColor="text1"/>
                <w:sz w:val="21"/>
              </w:rPr>
              <w:t>4</w:t>
            </w:r>
          </w:p>
        </w:tc>
        <w:tc>
          <w:tcPr>
            <w:tcW w:w="1276" w:type="dxa"/>
            <w:vAlign w:val="center"/>
          </w:tcPr>
          <w:p w:rsidR="00E904FD" w:rsidRDefault="003B7AAE">
            <w:pPr>
              <w:jc w:val="center"/>
            </w:pPr>
            <w:r>
              <w:rPr>
                <w:rFonts w:asciiTheme="minorEastAsia" w:eastAsiaTheme="minorEastAsia" w:hAnsiTheme="minorEastAsia" w:cs="宋体"/>
                <w:color w:val="000000" w:themeColor="text1"/>
                <w:sz w:val="21"/>
              </w:rPr>
              <w:t>111772385</w:t>
            </w:r>
          </w:p>
        </w:tc>
        <w:tc>
          <w:tcPr>
            <w:tcW w:w="1992" w:type="dxa"/>
            <w:vAlign w:val="center"/>
          </w:tcPr>
          <w:p w:rsidR="00E904FD" w:rsidRDefault="003B7AAE">
            <w:pPr>
              <w:jc w:val="center"/>
            </w:pPr>
            <w:r>
              <w:rPr>
                <w:rFonts w:asciiTheme="minorEastAsia" w:eastAsiaTheme="minorEastAsia" w:hAnsiTheme="minorEastAsia" w:cs="宋体"/>
                <w:color w:val="000000" w:themeColor="text1"/>
                <w:sz w:val="21"/>
              </w:rPr>
              <w:t>17上海农商银行CD219</w:t>
            </w:r>
          </w:p>
        </w:tc>
        <w:tc>
          <w:tcPr>
            <w:tcW w:w="1426" w:type="dxa"/>
            <w:vAlign w:val="center"/>
          </w:tcPr>
          <w:p w:rsidR="00E904FD" w:rsidRDefault="003B7AAE">
            <w:pPr>
              <w:jc w:val="right"/>
            </w:pPr>
            <w:r>
              <w:rPr>
                <w:rFonts w:asciiTheme="minorEastAsia" w:eastAsiaTheme="minorEastAsia" w:hAnsiTheme="minorEastAsia" w:cs="宋体"/>
                <w:color w:val="000000" w:themeColor="text1"/>
                <w:sz w:val="21"/>
              </w:rPr>
              <w:t>100,000.00</w:t>
            </w:r>
          </w:p>
        </w:tc>
        <w:tc>
          <w:tcPr>
            <w:tcW w:w="1646" w:type="dxa"/>
            <w:vAlign w:val="center"/>
          </w:tcPr>
          <w:p w:rsidR="00E904FD" w:rsidRDefault="003B7AAE">
            <w:pPr>
              <w:jc w:val="right"/>
            </w:pPr>
            <w:r>
              <w:rPr>
                <w:rFonts w:asciiTheme="minorEastAsia" w:eastAsiaTheme="minorEastAsia" w:hAnsiTheme="minorEastAsia" w:cs="宋体"/>
                <w:color w:val="000000" w:themeColor="text1"/>
                <w:sz w:val="21"/>
              </w:rPr>
              <w:t>9,759,000.00</w:t>
            </w:r>
          </w:p>
        </w:tc>
        <w:tc>
          <w:tcPr>
            <w:tcW w:w="1414" w:type="dxa"/>
            <w:vAlign w:val="center"/>
          </w:tcPr>
          <w:p w:rsidR="00E904FD" w:rsidRDefault="003B7AAE">
            <w:pPr>
              <w:jc w:val="right"/>
            </w:pPr>
            <w:r>
              <w:rPr>
                <w:rFonts w:asciiTheme="minorEastAsia" w:eastAsiaTheme="minorEastAsia" w:hAnsiTheme="minorEastAsia" w:cs="宋体"/>
                <w:color w:val="000000" w:themeColor="text1"/>
                <w:sz w:val="21"/>
              </w:rPr>
              <w:t>31.07</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5.6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的前十名资产支持证券投资明细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本基金本报告期末未持有资产支持证券。</w:t>
      </w:r>
    </w:p>
    <w:p w:rsidR="001D63BB" w:rsidRPr="00220C32" w:rsidRDefault="001D63BB" w:rsidP="001D63B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1D63BB" w:rsidRPr="00220C32" w:rsidRDefault="001D63BB" w:rsidP="001D63BB">
      <w:pPr>
        <w:widowControl/>
        <w:spacing w:line="360" w:lineRule="auto"/>
        <w:jc w:val="left"/>
        <w:rPr>
          <w:rFonts w:ascii="宋体" w:hAnsi="宋体"/>
          <w:color w:val="000000" w:themeColor="text1"/>
        </w:rPr>
      </w:pPr>
      <w:r w:rsidRPr="00220C32">
        <w:rPr>
          <w:rFonts w:ascii="宋体" w:hAnsi="宋体"/>
          <w:color w:val="000000" w:themeColor="text1"/>
        </w:rPr>
        <w:t>本基金本报告期末未持有贵金属。</w:t>
      </w:r>
    </w:p>
    <w:p w:rsidR="004061AC" w:rsidRPr="00220C32" w:rsidRDefault="00A917B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5.8</w:t>
      </w:r>
      <w:r w:rsidR="004061AC"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004061AC" w:rsidRPr="00220C32">
        <w:rPr>
          <w:rFonts w:asciiTheme="minorEastAsia" w:eastAsiaTheme="minorEastAsia" w:hAnsiTheme="minorEastAsia" w:hint="eastAsia"/>
          <w:b/>
          <w:bCs/>
          <w:color w:val="000000" w:themeColor="text1"/>
          <w:kern w:val="0"/>
          <w:sz w:val="24"/>
          <w:szCs w:val="24"/>
        </w:rPr>
        <w:t>的前五名权证投资明细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本基金本报告期末未持有权证。</w:t>
      </w: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A917BF" w:rsidRPr="00220C32">
        <w:rPr>
          <w:rFonts w:asciiTheme="minorEastAsia" w:eastAsiaTheme="minorEastAsia" w:hAnsiTheme="minorEastAsia" w:hint="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9</w:t>
      </w:r>
      <w:r w:rsidR="00275745" w:rsidRPr="00220C32">
        <w:rPr>
          <w:rFonts w:asciiTheme="minorEastAsia" w:eastAsiaTheme="minorEastAsia" w:hAnsiTheme="minorEastAsia" w:hint="eastAsia"/>
          <w:b/>
          <w:bCs/>
          <w:color w:val="000000" w:themeColor="text1"/>
          <w:kern w:val="0"/>
          <w:sz w:val="24"/>
          <w:szCs w:val="24"/>
        </w:rPr>
        <w:t xml:space="preserve"> 报告期末本基金投资的股指期货交易情况说明</w:t>
      </w:r>
    </w:p>
    <w:p w:rsidR="00A96A94"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.9.1</w:t>
      </w:r>
      <w:r w:rsidR="00A96A94" w:rsidRPr="00220C32">
        <w:rPr>
          <w:rFonts w:asciiTheme="minorEastAsia" w:eastAsiaTheme="minorEastAsia" w:hAnsiTheme="minorEastAsia" w:hint="eastAsia"/>
          <w:b/>
          <w:bCs/>
          <w:color w:val="000000" w:themeColor="text1"/>
          <w:kern w:val="0"/>
          <w:sz w:val="24"/>
          <w:szCs w:val="24"/>
        </w:rPr>
        <w:t xml:space="preserve"> 报告期末本基金投资的股指期货持仓和损益明细</w:t>
      </w:r>
    </w:p>
    <w:p w:rsidR="00275745" w:rsidRPr="00220C32" w:rsidRDefault="00AA3A38"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根据本基金基金合同，本基金不能投资于股指期货。</w:t>
      </w: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.9.2</w:t>
      </w:r>
      <w:r w:rsidR="00275745" w:rsidRPr="00220C32">
        <w:rPr>
          <w:rFonts w:asciiTheme="minorEastAsia" w:eastAsiaTheme="minorEastAsia" w:hAnsiTheme="minorEastAsia" w:hint="eastAsia"/>
          <w:b/>
          <w:bCs/>
          <w:color w:val="000000" w:themeColor="text1"/>
          <w:kern w:val="0"/>
          <w:sz w:val="24"/>
          <w:szCs w:val="24"/>
        </w:rPr>
        <w:t xml:space="preserve"> 本基金投资股指期货的投资政策</w:t>
      </w:r>
    </w:p>
    <w:p w:rsidR="00275745" w:rsidRPr="00220C32" w:rsidRDefault="00275745"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根据本基金基金合同，本基金不能投资于股指期货。</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5.10报告期末本基金投资的国债期货交易情况说明</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5.10.1 本期国债期货投资政策</w:t>
      </w:r>
    </w:p>
    <w:p w:rsidR="00312A9F" w:rsidRPr="00220C32" w:rsidRDefault="00312A9F" w:rsidP="003B7AAE">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本基金本报告期未持有国债期货。</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5.10.2 报告期末本基金投资的国债期货持仓和损益明细</w:t>
      </w:r>
    </w:p>
    <w:p w:rsidR="00312A9F" w:rsidRPr="003B7AAE" w:rsidRDefault="00312A9F" w:rsidP="00C5642F">
      <w:pPr>
        <w:autoSpaceDE w:val="0"/>
        <w:autoSpaceDN w:val="0"/>
        <w:adjustRightInd w:val="0"/>
        <w:spacing w:line="360" w:lineRule="auto"/>
        <w:jc w:val="left"/>
        <w:rPr>
          <w:rFonts w:asciiTheme="minorEastAsia" w:eastAsiaTheme="minorEastAsia" w:hAnsiTheme="minorEastAsia"/>
          <w:color w:val="000000" w:themeColor="text1"/>
        </w:rPr>
      </w:pPr>
      <w:r w:rsidRPr="003B7AAE">
        <w:rPr>
          <w:rFonts w:asciiTheme="minorEastAsia" w:eastAsiaTheme="minorEastAsia" w:hAnsiTheme="minorEastAsia"/>
          <w:color w:val="000000" w:themeColor="text1"/>
        </w:rPr>
        <w:t>本基金本报告期末未持有国债期货。</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5.10.3 本期国债期货投资评价</w:t>
      </w:r>
    </w:p>
    <w:p w:rsidR="00312A9F" w:rsidRPr="00220C32" w:rsidRDefault="00312A9F"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本基金本报告期未持有国债期货。</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4061AC" w:rsidRPr="00220C32">
        <w:rPr>
          <w:rFonts w:asciiTheme="minorEastAsia" w:eastAsiaTheme="minorEastAsia" w:hAnsiTheme="minorEastAsia" w:hint="eastAsia"/>
          <w:b/>
          <w:bCs/>
          <w:color w:val="000000" w:themeColor="text1"/>
          <w:kern w:val="0"/>
          <w:sz w:val="24"/>
          <w:szCs w:val="24"/>
        </w:rPr>
        <w:t>投资组合报告附注</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w:t>
      </w:r>
      <w:r w:rsidR="004061AC" w:rsidRPr="00220C32">
        <w:rPr>
          <w:rFonts w:asciiTheme="minorEastAsia" w:eastAsiaTheme="minorEastAsia" w:hAnsiTheme="minorEastAsia"/>
          <w:color w:val="000000" w:themeColor="text1"/>
          <w:sz w:val="24"/>
          <w:szCs w:val="24"/>
        </w:rPr>
        <w:t>本基金投资的前十名证券的发行主体本期没有出现被监管部门立案调查，或在报告编辑日前一年内受到公开谴责、处罚的情形。</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275745"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2</w:t>
      </w:r>
      <w:r w:rsidR="004061AC" w:rsidRPr="00220C32">
        <w:rPr>
          <w:rFonts w:asciiTheme="minorEastAsia" w:eastAsiaTheme="minorEastAsia" w:hAnsiTheme="minorEastAsia"/>
          <w:color w:val="000000" w:themeColor="text1"/>
          <w:sz w:val="24"/>
          <w:szCs w:val="24"/>
        </w:rPr>
        <w:t>基金投资的前十名股票没有超出基金合同规定的备选股票库。</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3</w:t>
      </w:r>
      <w:r w:rsidR="00D53190">
        <w:rPr>
          <w:rFonts w:asciiTheme="minorEastAsia" w:eastAsiaTheme="minorEastAsia" w:hAnsiTheme="minorEastAsia" w:hint="eastAsia"/>
          <w:b/>
          <w:bCs/>
          <w:color w:val="000000" w:themeColor="text1"/>
          <w:kern w:val="0"/>
          <w:sz w:val="24"/>
          <w:szCs w:val="24"/>
        </w:rPr>
        <w:t>其他</w:t>
      </w:r>
      <w:r w:rsidR="004061AC" w:rsidRPr="00220C32">
        <w:rPr>
          <w:rFonts w:asciiTheme="minorEastAsia" w:eastAsiaTheme="minorEastAsia" w:hAnsiTheme="minorEastAsia" w:hint="eastAsia"/>
          <w:b/>
          <w:bCs/>
          <w:color w:val="000000" w:themeColor="text1"/>
          <w:kern w:val="0"/>
          <w:sz w:val="24"/>
          <w:szCs w:val="24"/>
        </w:rPr>
        <w:t>资产构成</w:t>
      </w:r>
    </w:p>
    <w:tbl>
      <w:tblPr>
        <w:tblStyle w:val="af7"/>
        <w:tblW w:w="0" w:type="auto"/>
        <w:jc w:val="center"/>
        <w:tblInd w:w="15" w:type="dxa"/>
        <w:tblLook w:val="04A0"/>
      </w:tblPr>
      <w:tblGrid>
        <w:gridCol w:w="1235"/>
        <w:gridCol w:w="2470"/>
        <w:gridCol w:w="4618"/>
      </w:tblGrid>
      <w:tr w:rsidR="00220C32" w:rsidRPr="00220C32" w:rsidTr="003B7AAE">
        <w:trPr>
          <w:jc w:val="center"/>
        </w:trPr>
        <w:tc>
          <w:tcPr>
            <w:tcW w:w="1235"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2470"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名称</w:t>
            </w:r>
          </w:p>
        </w:tc>
        <w:tc>
          <w:tcPr>
            <w:tcW w:w="4618"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金额(元)</w:t>
            </w:r>
          </w:p>
        </w:tc>
      </w:tr>
      <w:tr w:rsidR="00220C32" w:rsidRPr="00220C32" w:rsidTr="003B7AAE">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存出保证金</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3B7AAE">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应收证券清算款</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3B7AAE">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应收股利</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3B7AAE">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4</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应收利息</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1,500,611.57</w:t>
            </w:r>
          </w:p>
        </w:tc>
      </w:tr>
      <w:tr w:rsidR="00220C32" w:rsidRPr="00220C32" w:rsidTr="003B7AAE">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应收申购款</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3B7AAE">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其他应收款</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3B7AAE">
        <w:trPr>
          <w:jc w:val="center"/>
        </w:trPr>
        <w:tc>
          <w:tcPr>
            <w:tcW w:w="1235" w:type="dxa"/>
            <w:vAlign w:val="center"/>
          </w:tcPr>
          <w:p w:rsidR="00EB2C07" w:rsidRPr="00220C32" w:rsidRDefault="00EB2C07"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7</w:t>
            </w:r>
          </w:p>
        </w:tc>
        <w:tc>
          <w:tcPr>
            <w:tcW w:w="2470" w:type="dxa"/>
            <w:vAlign w:val="center"/>
          </w:tcPr>
          <w:p w:rsidR="00EB2C07" w:rsidRPr="00220C32" w:rsidRDefault="00EB2C07" w:rsidP="00175D4F">
            <w:pPr>
              <w:autoSpaceDE w:val="0"/>
              <w:autoSpaceDN w:val="0"/>
              <w:adjustRightInd w:val="0"/>
              <w:spacing w:before="29" w:line="360" w:lineRule="auto"/>
              <w:ind w:left="1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待摊费用</w:t>
            </w:r>
          </w:p>
        </w:tc>
        <w:tc>
          <w:tcPr>
            <w:tcW w:w="4618" w:type="dxa"/>
            <w:vAlign w:val="center"/>
          </w:tcPr>
          <w:p w:rsidR="00EB2C07" w:rsidRPr="00220C32" w:rsidRDefault="00EB2C07"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w:t>
            </w:r>
          </w:p>
        </w:tc>
      </w:tr>
      <w:tr w:rsidR="00220C32" w:rsidRPr="00220C32" w:rsidTr="003B7AAE">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8</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3B7AAE">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9</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1,500,611.57</w:t>
            </w:r>
          </w:p>
        </w:tc>
      </w:tr>
    </w:tbl>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4</w:t>
      </w:r>
      <w:r w:rsidR="004061AC" w:rsidRPr="00220C32">
        <w:rPr>
          <w:rFonts w:asciiTheme="minorEastAsia" w:eastAsiaTheme="minorEastAsia" w:hAnsiTheme="minorEastAsia" w:hint="eastAsia"/>
          <w:b/>
          <w:bCs/>
          <w:color w:val="000000" w:themeColor="text1"/>
          <w:kern w:val="0"/>
          <w:sz w:val="24"/>
          <w:szCs w:val="24"/>
        </w:rPr>
        <w:t>报告期末持有的处于转股期的可转换债券明细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本基金本报告期末未持有处于转股期的可转换债券。</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报告期末前十名股票中存在流通受限情况的说明</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本基金本报告期末前十名股票中不存在流通受限的情况。</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4061AC" w:rsidP="0091315E">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s="宋体" w:hint="eastAsia"/>
          <w:color w:val="000000" w:themeColor="text1"/>
          <w:kern w:val="0"/>
          <w:sz w:val="24"/>
          <w:szCs w:val="24"/>
        </w:rPr>
        <w:t>单位：份</w:t>
      </w:r>
    </w:p>
    <w:tbl>
      <w:tblPr>
        <w:tblW w:w="0" w:type="auto"/>
        <w:jc w:val="center"/>
        <w:tblInd w:w="-106" w:type="dxa"/>
        <w:tblLayout w:type="fixed"/>
        <w:tblLook w:val="0000"/>
      </w:tblPr>
      <w:tblGrid>
        <w:gridCol w:w="4609"/>
        <w:gridCol w:w="3774"/>
      </w:tblGrid>
      <w:tr w:rsidR="00220C32" w:rsidRPr="00220C32" w:rsidTr="003B7AA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本报告期期初基金份额总额</w:t>
            </w:r>
          </w:p>
        </w:tc>
        <w:tc>
          <w:tcPr>
            <w:tcW w:w="3774"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6D7FF8"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215,023,946.31</w:t>
            </w:r>
          </w:p>
        </w:tc>
      </w:tr>
      <w:tr w:rsidR="00220C32" w:rsidRPr="00220C32" w:rsidTr="003B7AA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基金总申购份额</w:t>
            </w:r>
          </w:p>
        </w:tc>
        <w:tc>
          <w:tcPr>
            <w:tcW w:w="3774"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3B7AA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减：</w:t>
            </w:r>
            <w:r w:rsidR="00FE179F" w:rsidRPr="00220C32">
              <w:rPr>
                <w:rFonts w:asciiTheme="minorEastAsia" w:eastAsiaTheme="minorEastAsia" w:hAnsiTheme="minorEastAsia" w:cs="宋体"/>
                <w:color w:val="000000" w:themeColor="text1"/>
                <w:kern w:val="0"/>
              </w:rPr>
              <w:t>报告期</w:t>
            </w:r>
            <w:r w:rsidRPr="00220C32">
              <w:rPr>
                <w:rFonts w:asciiTheme="minorEastAsia" w:eastAsiaTheme="minorEastAsia" w:hAnsiTheme="minorEastAsia" w:cs="宋体" w:hint="eastAsia"/>
                <w:color w:val="000000" w:themeColor="text1"/>
                <w:kern w:val="0"/>
              </w:rPr>
              <w:t>基金总赎回份额</w:t>
            </w:r>
          </w:p>
        </w:tc>
        <w:tc>
          <w:tcPr>
            <w:tcW w:w="3774"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185,009,430.82</w:t>
            </w:r>
          </w:p>
        </w:tc>
      </w:tr>
      <w:tr w:rsidR="00220C32" w:rsidRPr="00220C32" w:rsidTr="003B7AA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基金拆分变动份额</w:t>
            </w:r>
          </w:p>
        </w:tc>
        <w:tc>
          <w:tcPr>
            <w:tcW w:w="3774"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3B7AA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本报告期期末基金份额总额</w:t>
            </w:r>
          </w:p>
        </w:tc>
        <w:tc>
          <w:tcPr>
            <w:tcW w:w="3774"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0A2B5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30,014,515.49</w:t>
            </w:r>
          </w:p>
        </w:tc>
      </w:tr>
    </w:tbl>
    <w:p w:rsidR="00EB374A" w:rsidRPr="00220C32" w:rsidRDefault="00EB374A" w:rsidP="0091315E">
      <w:pPr>
        <w:pStyle w:val="1"/>
        <w:tabs>
          <w:tab w:val="center" w:pos="4156"/>
          <w:tab w:val="right" w:pos="8312"/>
        </w:tabs>
        <w:spacing w:beforeLines="100" w:afterLines="100" w:line="360" w:lineRule="auto"/>
        <w:jc w:val="center"/>
        <w:rPr>
          <w:rFonts w:ascii="方正仿宋简体"/>
          <w:color w:val="000000" w:themeColor="text1"/>
          <w:sz w:val="24"/>
          <w:szCs w:val="24"/>
        </w:rPr>
      </w:pPr>
      <w:r w:rsidRPr="00220C32">
        <w:rPr>
          <w:rFonts w:asciiTheme="minorEastAsia" w:eastAsiaTheme="minorEastAsia" w:hAnsiTheme="minorEastAsia" w:cs="Arial" w:hint="eastAsia"/>
          <w:color w:val="000000" w:themeColor="text1"/>
          <w:kern w:val="0"/>
          <w:sz w:val="24"/>
          <w:szCs w:val="24"/>
        </w:rPr>
        <w:t xml:space="preserve">§7  </w:t>
      </w:r>
      <w:r w:rsidRPr="00220C32">
        <w:rPr>
          <w:rFonts w:ascii="方正仿宋简体" w:hint="eastAsia"/>
          <w:color w:val="000000" w:themeColor="text1"/>
          <w:sz w:val="24"/>
          <w:szCs w:val="24"/>
        </w:rPr>
        <w:t>基金管理人运用固有资金投资本基金情况</w:t>
      </w:r>
    </w:p>
    <w:p w:rsidR="00EB374A" w:rsidRPr="00220C32" w:rsidRDefault="00EB374A" w:rsidP="00EB374A">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本报告期内，本基金管理人未发生运用固有资金投资本基金的情况。</w:t>
      </w:r>
    </w:p>
    <w:p w:rsidR="008E18F2" w:rsidRPr="00220C32" w:rsidRDefault="008E18F2" w:rsidP="0091315E">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§8影响投资者决策的其他重要信息</w:t>
      </w:r>
    </w:p>
    <w:p w:rsidR="008E18F2" w:rsidRPr="009A5C99" w:rsidRDefault="008E18F2" w:rsidP="008E18F2">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113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425"/>
        <w:gridCol w:w="2694"/>
        <w:gridCol w:w="1978"/>
        <w:gridCol w:w="1141"/>
        <w:gridCol w:w="1701"/>
        <w:gridCol w:w="1701"/>
        <w:gridCol w:w="1037"/>
      </w:tblGrid>
      <w:tr w:rsidR="008E18F2" w:rsidRPr="004F4D27" w:rsidTr="003B7AAE">
        <w:trPr>
          <w:jc w:val="center"/>
        </w:trPr>
        <w:tc>
          <w:tcPr>
            <w:tcW w:w="663" w:type="dxa"/>
            <w:vMerge w:val="restart"/>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p>
        </w:tc>
        <w:tc>
          <w:tcPr>
            <w:tcW w:w="7939" w:type="dxa"/>
            <w:gridSpan w:val="5"/>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738" w:type="dxa"/>
            <w:gridSpan w:val="2"/>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8E18F2" w:rsidRPr="004F4D27" w:rsidTr="003B7AAE">
        <w:trPr>
          <w:jc w:val="center"/>
        </w:trPr>
        <w:tc>
          <w:tcPr>
            <w:tcW w:w="663" w:type="dxa"/>
            <w:vMerge/>
            <w:vAlign w:val="center"/>
          </w:tcPr>
          <w:p w:rsidR="008E18F2" w:rsidRPr="004F4D27" w:rsidRDefault="008E18F2" w:rsidP="00682FFA">
            <w:pPr>
              <w:autoSpaceDE w:val="0"/>
              <w:autoSpaceDN w:val="0"/>
              <w:adjustRightInd w:val="0"/>
              <w:jc w:val="center"/>
              <w:rPr>
                <w:rFonts w:ascii="宋体" w:hAnsi="宋体"/>
                <w:b/>
                <w:bCs/>
                <w:color w:val="000000"/>
                <w:kern w:val="0"/>
              </w:rPr>
            </w:pPr>
          </w:p>
        </w:tc>
        <w:tc>
          <w:tcPr>
            <w:tcW w:w="425" w:type="dxa"/>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2694" w:type="dxa"/>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1978" w:type="dxa"/>
            <w:vAlign w:val="center"/>
          </w:tcPr>
          <w:p w:rsidR="008E18F2" w:rsidRPr="004F4D27" w:rsidRDefault="008E18F2" w:rsidP="00682FFA">
            <w:pPr>
              <w:widowControl/>
              <w:jc w:val="center"/>
              <w:rPr>
                <w:rFonts w:ascii="宋体" w:hAnsi="宋体"/>
                <w:b/>
                <w:bCs/>
                <w:color w:val="000000"/>
                <w:kern w:val="0"/>
              </w:rPr>
            </w:pPr>
            <w:r w:rsidRPr="004F4D27">
              <w:rPr>
                <w:rFonts w:ascii="宋体" w:hAnsi="宋体" w:hint="eastAsia"/>
                <w:color w:val="000000"/>
                <w:kern w:val="0"/>
              </w:rPr>
              <w:t>期初份额</w:t>
            </w:r>
          </w:p>
        </w:tc>
        <w:tc>
          <w:tcPr>
            <w:tcW w:w="1141" w:type="dxa"/>
            <w:vAlign w:val="center"/>
          </w:tcPr>
          <w:p w:rsidR="008E18F2" w:rsidRPr="004F4D27" w:rsidRDefault="008E18F2" w:rsidP="00682FFA">
            <w:pPr>
              <w:widowControl/>
              <w:jc w:val="center"/>
              <w:rPr>
                <w:rFonts w:ascii="宋体" w:hAnsi="宋体"/>
                <w:b/>
                <w:bCs/>
                <w:color w:val="000000"/>
                <w:kern w:val="0"/>
              </w:rPr>
            </w:pPr>
            <w:r w:rsidRPr="004F4D27">
              <w:rPr>
                <w:rFonts w:ascii="宋体" w:hAnsi="宋体" w:hint="eastAsia"/>
                <w:color w:val="000000"/>
                <w:kern w:val="0"/>
              </w:rPr>
              <w:t>申购份额</w:t>
            </w:r>
          </w:p>
        </w:tc>
        <w:tc>
          <w:tcPr>
            <w:tcW w:w="1701" w:type="dxa"/>
            <w:vAlign w:val="center"/>
          </w:tcPr>
          <w:p w:rsidR="008E18F2" w:rsidRPr="004F4D27" w:rsidRDefault="008E18F2" w:rsidP="00682FFA">
            <w:pPr>
              <w:widowControl/>
              <w:jc w:val="center"/>
              <w:rPr>
                <w:rFonts w:ascii="宋体" w:hAnsi="宋体"/>
                <w:b/>
                <w:bCs/>
                <w:color w:val="000000"/>
                <w:kern w:val="0"/>
              </w:rPr>
            </w:pPr>
            <w:r w:rsidRPr="004F4D27">
              <w:rPr>
                <w:rFonts w:ascii="宋体" w:hAnsi="宋体" w:hint="eastAsia"/>
                <w:color w:val="000000"/>
                <w:kern w:val="0"/>
              </w:rPr>
              <w:t>赎回份额</w:t>
            </w:r>
          </w:p>
        </w:tc>
        <w:tc>
          <w:tcPr>
            <w:tcW w:w="1701" w:type="dxa"/>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037" w:type="dxa"/>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E904FD" w:rsidTr="003B7AAE">
        <w:trPr>
          <w:jc w:val="center"/>
        </w:trPr>
        <w:tc>
          <w:tcPr>
            <w:tcW w:w="663" w:type="dxa"/>
            <w:vMerge w:val="restart"/>
          </w:tcPr>
          <w:p w:rsidR="00E904FD" w:rsidRDefault="00E904FD"/>
          <w:p w:rsidR="00E904FD" w:rsidRDefault="003B7AAE">
            <w:r>
              <w:rPr>
                <w:rFonts w:ascii="宋体" w:hAnsi="宋体" w:hint="eastAsia"/>
                <w:bCs/>
                <w:color w:val="000000"/>
                <w:kern w:val="0"/>
              </w:rPr>
              <w:t>机构</w:t>
            </w:r>
          </w:p>
        </w:tc>
        <w:tc>
          <w:tcPr>
            <w:tcW w:w="425" w:type="dxa"/>
            <w:vAlign w:val="center"/>
          </w:tcPr>
          <w:p w:rsidR="00E904FD" w:rsidRDefault="003B7AAE">
            <w:pPr>
              <w:jc w:val="center"/>
            </w:pPr>
            <w:r>
              <w:rPr>
                <w:rFonts w:ascii="宋体" w:hAnsi="宋体"/>
                <w:color w:val="000000"/>
                <w:kern w:val="0"/>
              </w:rPr>
              <w:t>1</w:t>
            </w:r>
          </w:p>
        </w:tc>
        <w:tc>
          <w:tcPr>
            <w:tcW w:w="2694" w:type="dxa"/>
            <w:vAlign w:val="center"/>
          </w:tcPr>
          <w:p w:rsidR="00E904FD" w:rsidRDefault="003B7AAE">
            <w:pPr>
              <w:jc w:val="center"/>
            </w:pPr>
            <w:r>
              <w:rPr>
                <w:rFonts w:ascii="宋体" w:hAnsi="宋体"/>
                <w:color w:val="000000"/>
                <w:kern w:val="0"/>
              </w:rPr>
              <w:t>20180628—20180630</w:t>
            </w:r>
          </w:p>
        </w:tc>
        <w:tc>
          <w:tcPr>
            <w:tcW w:w="1978" w:type="dxa"/>
            <w:vAlign w:val="center"/>
          </w:tcPr>
          <w:p w:rsidR="00E904FD" w:rsidRDefault="003B7AAE">
            <w:pPr>
              <w:jc w:val="center"/>
            </w:pPr>
            <w:r>
              <w:rPr>
                <w:rFonts w:ascii="宋体" w:hAnsi="宋体"/>
                <w:color w:val="000000"/>
                <w:kern w:val="0"/>
              </w:rPr>
              <w:t>9,999,600.00</w:t>
            </w:r>
          </w:p>
        </w:tc>
        <w:tc>
          <w:tcPr>
            <w:tcW w:w="1141" w:type="dxa"/>
            <w:vAlign w:val="center"/>
          </w:tcPr>
          <w:p w:rsidR="00E904FD" w:rsidRDefault="003B7AAE">
            <w:pPr>
              <w:jc w:val="center"/>
            </w:pPr>
            <w:r>
              <w:rPr>
                <w:rFonts w:ascii="宋体" w:hAnsi="宋体"/>
                <w:color w:val="000000"/>
                <w:kern w:val="0"/>
              </w:rPr>
              <w:t>-</w:t>
            </w:r>
          </w:p>
        </w:tc>
        <w:tc>
          <w:tcPr>
            <w:tcW w:w="1701" w:type="dxa"/>
            <w:vAlign w:val="center"/>
          </w:tcPr>
          <w:p w:rsidR="00E904FD" w:rsidRDefault="003B7AAE">
            <w:pPr>
              <w:jc w:val="center"/>
            </w:pPr>
            <w:r>
              <w:rPr>
                <w:rFonts w:ascii="宋体" w:hAnsi="宋体"/>
                <w:color w:val="000000"/>
                <w:kern w:val="0"/>
              </w:rPr>
              <w:t>-</w:t>
            </w:r>
          </w:p>
        </w:tc>
        <w:tc>
          <w:tcPr>
            <w:tcW w:w="1701" w:type="dxa"/>
            <w:vAlign w:val="center"/>
          </w:tcPr>
          <w:p w:rsidR="00E904FD" w:rsidRDefault="003B7AAE">
            <w:pPr>
              <w:jc w:val="center"/>
            </w:pPr>
            <w:r>
              <w:rPr>
                <w:rFonts w:ascii="宋体" w:hAnsi="宋体"/>
                <w:color w:val="000000"/>
                <w:kern w:val="0"/>
              </w:rPr>
              <w:t>9,999,600.00</w:t>
            </w:r>
          </w:p>
        </w:tc>
        <w:tc>
          <w:tcPr>
            <w:tcW w:w="1037" w:type="dxa"/>
            <w:vAlign w:val="center"/>
          </w:tcPr>
          <w:p w:rsidR="00E904FD" w:rsidRDefault="003B7AAE">
            <w:pPr>
              <w:jc w:val="center"/>
            </w:pPr>
            <w:r>
              <w:rPr>
                <w:rFonts w:ascii="宋体" w:hAnsi="宋体"/>
                <w:color w:val="000000"/>
                <w:kern w:val="0"/>
              </w:rPr>
              <w:t>33.32%</w:t>
            </w:r>
          </w:p>
        </w:tc>
      </w:tr>
      <w:tr w:rsidR="00E904FD" w:rsidTr="003B7AAE">
        <w:trPr>
          <w:jc w:val="center"/>
        </w:trPr>
        <w:tc>
          <w:tcPr>
            <w:tcW w:w="663" w:type="dxa"/>
            <w:vMerge/>
          </w:tcPr>
          <w:p w:rsidR="00E904FD" w:rsidRDefault="00E904FD"/>
        </w:tc>
        <w:tc>
          <w:tcPr>
            <w:tcW w:w="425" w:type="dxa"/>
            <w:vAlign w:val="center"/>
          </w:tcPr>
          <w:p w:rsidR="00E904FD" w:rsidRDefault="003B7AAE">
            <w:pPr>
              <w:jc w:val="center"/>
            </w:pPr>
            <w:r>
              <w:rPr>
                <w:rFonts w:ascii="宋体" w:hAnsi="宋体"/>
                <w:color w:val="000000"/>
                <w:kern w:val="0"/>
              </w:rPr>
              <w:t>2</w:t>
            </w:r>
          </w:p>
        </w:tc>
        <w:tc>
          <w:tcPr>
            <w:tcW w:w="2694" w:type="dxa"/>
            <w:vAlign w:val="center"/>
          </w:tcPr>
          <w:p w:rsidR="00E904FD" w:rsidRDefault="003B7AAE">
            <w:pPr>
              <w:jc w:val="center"/>
            </w:pPr>
            <w:r>
              <w:rPr>
                <w:rFonts w:ascii="宋体" w:hAnsi="宋体"/>
                <w:color w:val="000000"/>
                <w:kern w:val="0"/>
              </w:rPr>
              <w:t>20180401—20180627</w:t>
            </w:r>
          </w:p>
        </w:tc>
        <w:tc>
          <w:tcPr>
            <w:tcW w:w="1978" w:type="dxa"/>
            <w:vAlign w:val="center"/>
          </w:tcPr>
          <w:p w:rsidR="00E904FD" w:rsidRDefault="003B7AAE">
            <w:pPr>
              <w:jc w:val="center"/>
            </w:pPr>
            <w:r>
              <w:rPr>
                <w:rFonts w:ascii="宋体" w:hAnsi="宋体"/>
                <w:color w:val="000000"/>
                <w:kern w:val="0"/>
              </w:rPr>
              <w:t>100,002,000.00</w:t>
            </w:r>
          </w:p>
        </w:tc>
        <w:tc>
          <w:tcPr>
            <w:tcW w:w="1141" w:type="dxa"/>
            <w:vAlign w:val="center"/>
          </w:tcPr>
          <w:p w:rsidR="00E904FD" w:rsidRDefault="003B7AAE">
            <w:pPr>
              <w:jc w:val="center"/>
            </w:pPr>
            <w:r>
              <w:rPr>
                <w:rFonts w:ascii="宋体" w:hAnsi="宋体"/>
                <w:color w:val="000000"/>
                <w:kern w:val="0"/>
              </w:rPr>
              <w:t>-</w:t>
            </w:r>
          </w:p>
        </w:tc>
        <w:tc>
          <w:tcPr>
            <w:tcW w:w="1701" w:type="dxa"/>
            <w:vAlign w:val="center"/>
          </w:tcPr>
          <w:p w:rsidR="00E904FD" w:rsidRDefault="003B7AAE">
            <w:pPr>
              <w:jc w:val="center"/>
            </w:pPr>
            <w:r>
              <w:rPr>
                <w:rFonts w:ascii="宋体" w:hAnsi="宋体"/>
                <w:color w:val="000000"/>
                <w:kern w:val="0"/>
              </w:rPr>
              <w:t>100,002,000.00</w:t>
            </w:r>
          </w:p>
        </w:tc>
        <w:tc>
          <w:tcPr>
            <w:tcW w:w="1701" w:type="dxa"/>
            <w:vAlign w:val="center"/>
          </w:tcPr>
          <w:p w:rsidR="00E904FD" w:rsidRDefault="003B7AAE">
            <w:pPr>
              <w:jc w:val="center"/>
            </w:pPr>
            <w:r>
              <w:rPr>
                <w:rFonts w:ascii="宋体" w:hAnsi="宋体"/>
                <w:color w:val="000000"/>
                <w:kern w:val="0"/>
              </w:rPr>
              <w:t>0.00</w:t>
            </w:r>
          </w:p>
        </w:tc>
        <w:tc>
          <w:tcPr>
            <w:tcW w:w="1037" w:type="dxa"/>
            <w:vAlign w:val="center"/>
          </w:tcPr>
          <w:p w:rsidR="00E904FD" w:rsidRDefault="003B7AAE">
            <w:pPr>
              <w:jc w:val="center"/>
            </w:pPr>
            <w:r>
              <w:rPr>
                <w:rFonts w:ascii="宋体" w:hAnsi="宋体"/>
                <w:color w:val="000000"/>
                <w:kern w:val="0"/>
              </w:rPr>
              <w:t>0.00%</w:t>
            </w:r>
          </w:p>
        </w:tc>
      </w:tr>
      <w:tr w:rsidR="00E904FD" w:rsidTr="003B7AAE">
        <w:trPr>
          <w:jc w:val="center"/>
        </w:trPr>
        <w:tc>
          <w:tcPr>
            <w:tcW w:w="663" w:type="dxa"/>
            <w:vMerge/>
          </w:tcPr>
          <w:p w:rsidR="00E904FD" w:rsidRDefault="00E904FD"/>
        </w:tc>
        <w:tc>
          <w:tcPr>
            <w:tcW w:w="425" w:type="dxa"/>
            <w:vAlign w:val="center"/>
          </w:tcPr>
          <w:p w:rsidR="00E904FD" w:rsidRDefault="003B7AAE">
            <w:pPr>
              <w:jc w:val="center"/>
            </w:pPr>
            <w:r>
              <w:rPr>
                <w:rFonts w:ascii="宋体" w:hAnsi="宋体"/>
                <w:color w:val="000000"/>
                <w:kern w:val="0"/>
              </w:rPr>
              <w:t>3</w:t>
            </w:r>
          </w:p>
        </w:tc>
        <w:tc>
          <w:tcPr>
            <w:tcW w:w="2694" w:type="dxa"/>
            <w:vAlign w:val="center"/>
          </w:tcPr>
          <w:p w:rsidR="00E904FD" w:rsidRDefault="003B7AAE">
            <w:pPr>
              <w:jc w:val="center"/>
            </w:pPr>
            <w:r>
              <w:rPr>
                <w:rFonts w:ascii="宋体" w:hAnsi="宋体"/>
                <w:color w:val="000000"/>
                <w:kern w:val="0"/>
              </w:rPr>
              <w:t>20180628—20180630</w:t>
            </w:r>
          </w:p>
        </w:tc>
        <w:tc>
          <w:tcPr>
            <w:tcW w:w="1978" w:type="dxa"/>
            <w:vAlign w:val="center"/>
          </w:tcPr>
          <w:p w:rsidR="00E904FD" w:rsidRDefault="003B7AAE">
            <w:pPr>
              <w:jc w:val="center"/>
            </w:pPr>
            <w:r>
              <w:rPr>
                <w:rFonts w:ascii="宋体" w:hAnsi="宋体"/>
                <w:color w:val="000000"/>
                <w:kern w:val="0"/>
              </w:rPr>
              <w:t>19,980,638.32</w:t>
            </w:r>
          </w:p>
        </w:tc>
        <w:tc>
          <w:tcPr>
            <w:tcW w:w="1141" w:type="dxa"/>
            <w:vAlign w:val="center"/>
          </w:tcPr>
          <w:p w:rsidR="00E904FD" w:rsidRDefault="003B7AAE">
            <w:pPr>
              <w:jc w:val="center"/>
            </w:pPr>
            <w:r>
              <w:rPr>
                <w:rFonts w:ascii="宋体" w:hAnsi="宋体"/>
                <w:color w:val="000000"/>
                <w:kern w:val="0"/>
              </w:rPr>
              <w:t>-</w:t>
            </w:r>
          </w:p>
        </w:tc>
        <w:tc>
          <w:tcPr>
            <w:tcW w:w="1701" w:type="dxa"/>
            <w:vAlign w:val="center"/>
          </w:tcPr>
          <w:p w:rsidR="00E904FD" w:rsidRDefault="003B7AAE">
            <w:pPr>
              <w:jc w:val="center"/>
            </w:pPr>
            <w:r>
              <w:rPr>
                <w:rFonts w:ascii="宋体" w:hAnsi="宋体"/>
                <w:color w:val="000000"/>
                <w:kern w:val="0"/>
              </w:rPr>
              <w:t>-</w:t>
            </w:r>
          </w:p>
        </w:tc>
        <w:tc>
          <w:tcPr>
            <w:tcW w:w="1701" w:type="dxa"/>
            <w:vAlign w:val="center"/>
          </w:tcPr>
          <w:p w:rsidR="00E904FD" w:rsidRDefault="003B7AAE">
            <w:pPr>
              <w:jc w:val="center"/>
            </w:pPr>
            <w:r>
              <w:rPr>
                <w:rFonts w:ascii="宋体" w:hAnsi="宋体"/>
                <w:color w:val="000000"/>
                <w:kern w:val="0"/>
              </w:rPr>
              <w:t>19,980,638.32</w:t>
            </w:r>
          </w:p>
        </w:tc>
        <w:tc>
          <w:tcPr>
            <w:tcW w:w="1037" w:type="dxa"/>
            <w:vAlign w:val="center"/>
          </w:tcPr>
          <w:p w:rsidR="00E904FD" w:rsidRDefault="003B7AAE">
            <w:pPr>
              <w:jc w:val="center"/>
            </w:pPr>
            <w:r>
              <w:rPr>
                <w:rFonts w:ascii="宋体" w:hAnsi="宋体"/>
                <w:color w:val="000000"/>
                <w:kern w:val="0"/>
              </w:rPr>
              <w:t>66.57%</w:t>
            </w:r>
          </w:p>
        </w:tc>
      </w:tr>
      <w:tr w:rsidR="008E18F2" w:rsidRPr="004F4D27" w:rsidTr="003B7AAE">
        <w:trPr>
          <w:jc w:val="center"/>
        </w:trPr>
        <w:tc>
          <w:tcPr>
            <w:tcW w:w="11340" w:type="dxa"/>
            <w:gridSpan w:val="8"/>
            <w:vAlign w:val="center"/>
          </w:tcPr>
          <w:p w:rsidR="008E18F2" w:rsidRPr="004F4D27" w:rsidRDefault="008E18F2" w:rsidP="00682FFA">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8E18F2" w:rsidRPr="004F4D27" w:rsidTr="003B7AAE">
        <w:trPr>
          <w:jc w:val="center"/>
        </w:trPr>
        <w:tc>
          <w:tcPr>
            <w:tcW w:w="11340" w:type="dxa"/>
            <w:gridSpan w:val="8"/>
            <w:vAlign w:val="center"/>
          </w:tcPr>
          <w:p w:rsidR="008E18F2" w:rsidRPr="004F4D27" w:rsidRDefault="008E18F2" w:rsidP="00682FFA">
            <w:pPr>
              <w:autoSpaceDE w:val="0"/>
              <w:autoSpaceDN w:val="0"/>
              <w:adjustRightInd w:val="0"/>
              <w:jc w:val="left"/>
              <w:rPr>
                <w:rFonts w:ascii="宋体" w:hAnsi="宋体"/>
                <w:kern w:val="0"/>
              </w:rPr>
            </w:pPr>
            <w:r w:rsidRPr="004F4D27">
              <w:rPr>
                <w:rFonts w:ascii="宋体" w:hAnsi="宋体" w:hint="eastAsia"/>
                <w:kern w:val="0"/>
              </w:rPr>
              <w:t xml:space="preserve">本基金本报告期存在单一投资者持有基金份额比例达到或者超过20%的情况。在单一投资者持有基金份额比例较高的情况下，如投资者集中赎回，可能会给基金带来流动性冲击。基金管理人将专业审慎、勤勉尽责地管控基金的流动性风险，保护持有人利益。 </w:t>
            </w:r>
          </w:p>
        </w:tc>
      </w:tr>
    </w:tbl>
    <w:p w:rsidR="008E18F2" w:rsidRPr="009A5C99" w:rsidRDefault="008E18F2" w:rsidP="008E18F2">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8.2 影响投资者决策的其他重要信息</w:t>
      </w:r>
    </w:p>
    <w:p w:rsidR="008E18F2" w:rsidRPr="004F4D27" w:rsidRDefault="008E18F2" w:rsidP="008E18F2">
      <w:pPr>
        <w:spacing w:line="360" w:lineRule="auto"/>
        <w:ind w:firstLineChars="200" w:firstLine="420"/>
        <w:rPr>
          <w:rFonts w:ascii="宋体" w:hAnsi="宋体"/>
          <w:color w:val="000000"/>
        </w:rPr>
      </w:pPr>
      <w:r w:rsidRPr="004F4D27">
        <w:rPr>
          <w:rFonts w:ascii="宋体" w:hAnsi="宋体"/>
          <w:color w:val="000000"/>
        </w:rPr>
        <w:t>根据本基金基金合同的约定，本基金的第一个开放期为2018年6月27日（含该日）至2018年7月3日（含该日）。本次开放期结束后，本基金基金资产净值加上当日交易申请确认的净申购金额后的余额低于5000万元，触发了基金合同中约定的基金合同终止条款，本基金自2018年7月5日起进入清算程序。详见本基金管理人于2018年6月23日、7月5日发布的公告。</w:t>
      </w:r>
    </w:p>
    <w:p w:rsidR="004061AC" w:rsidRPr="00220C32" w:rsidRDefault="004061AC" w:rsidP="0091315E">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D02347"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hint="eastAsia"/>
          <w:color w:val="000000" w:themeColor="text1"/>
          <w:kern w:val="0"/>
          <w:sz w:val="24"/>
          <w:szCs w:val="24"/>
        </w:rPr>
        <w:t>备查文件目录</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9</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1</w:t>
      </w:r>
      <w:r w:rsidR="004061AC" w:rsidRPr="00220C32">
        <w:rPr>
          <w:rFonts w:asciiTheme="minorEastAsia" w:eastAsiaTheme="minorEastAsia" w:hAnsiTheme="minorEastAsia" w:hint="eastAsia"/>
          <w:b/>
          <w:bCs/>
          <w:color w:val="000000" w:themeColor="text1"/>
          <w:kern w:val="0"/>
          <w:sz w:val="24"/>
          <w:szCs w:val="24"/>
        </w:rPr>
        <w:t>备查文件目录</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基金合同；</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招募说明书及其定期更新；</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发售公告；</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成立公告；</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开放日常交易业务公告；</w:t>
      </w:r>
    </w:p>
    <w:p w:rsidR="00E904FD" w:rsidRDefault="003B7AAE">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定期报告；</w:t>
      </w:r>
    </w:p>
    <w:p w:rsidR="006A48FD" w:rsidRPr="00220C32" w:rsidRDefault="006D7FF8" w:rsidP="003B7AAE">
      <w:pPr>
        <w:spacing w:line="360" w:lineRule="auto"/>
        <w:ind w:firstLineChars="200" w:firstLine="420"/>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其他临时公告。</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9</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2</w:t>
      </w:r>
      <w:r w:rsidR="004061AC" w:rsidRPr="00220C32">
        <w:rPr>
          <w:rFonts w:asciiTheme="minorEastAsia" w:eastAsiaTheme="minorEastAsia" w:hAnsiTheme="minorEastAsia" w:hint="eastAsia"/>
          <w:b/>
          <w:bCs/>
          <w:color w:val="000000" w:themeColor="text1"/>
          <w:kern w:val="0"/>
          <w:sz w:val="24"/>
          <w:szCs w:val="24"/>
        </w:rPr>
        <w:t>存放地点</w:t>
      </w:r>
    </w:p>
    <w:p w:rsidR="006A48FD" w:rsidRPr="00220C32" w:rsidRDefault="006D7FF8" w:rsidP="003B7AAE">
      <w:pPr>
        <w:spacing w:line="360" w:lineRule="auto"/>
        <w:ind w:firstLineChars="200" w:firstLine="420"/>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上述备查文件中基金合同、招募说明书及其定期更新、基金发售公告和基金成立公告均放置于本基金管理人及基金托管人的住所；开放日常交易业务公告、定期报告和其他临时公告放置于本基金管理人的住所。本基金管理人住所地址为：中国上海市中山南路100号11层。</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9</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hint="eastAsia"/>
          <w:b/>
          <w:bCs/>
          <w:color w:val="000000" w:themeColor="text1"/>
          <w:kern w:val="0"/>
          <w:sz w:val="24"/>
          <w:szCs w:val="24"/>
        </w:rPr>
        <w:t>查阅方式</w:t>
      </w:r>
    </w:p>
    <w:p w:rsidR="00636DB7"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上述文件均可到本基金管理人的住所进行查阅，也可在本基金管理人的网站进行查阅，查询网址：www.swsmu.com。</w:t>
      </w: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832A00"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申万菱信基金管理有限公司</w:t>
      </w:r>
    </w:p>
    <w:p w:rsidR="004061AC" w:rsidRPr="00220C32" w:rsidRDefault="00945AF6"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二〇一八年七月十九日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00A" w:rsidRDefault="008B300A" w:rsidP="00876D65">
      <w:r>
        <w:separator/>
      </w:r>
    </w:p>
  </w:endnote>
  <w:endnote w:type="continuationSeparator" w:id="1">
    <w:p w:rsidR="008B300A" w:rsidRDefault="008B300A"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4405AE" w:rsidRPr="004405AE">
      <w:fldChar w:fldCharType="begin"/>
    </w:r>
    <w:r>
      <w:instrText xml:space="preserve"> PAGE   \* MERGEFORMAT </w:instrText>
    </w:r>
    <w:r w:rsidR="004405AE" w:rsidRPr="004405AE">
      <w:fldChar w:fldCharType="separate"/>
    </w:r>
    <w:r w:rsidR="0091315E" w:rsidRPr="0091315E">
      <w:rPr>
        <w:noProof/>
        <w:lang w:val="zh-CN"/>
      </w:rPr>
      <w:t>1</w:t>
    </w:r>
    <w:r w:rsidR="004405AE">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4405AE">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91315E">
      <w:rPr>
        <w:rStyle w:val="a7"/>
        <w:noProof/>
      </w:rPr>
      <w:t>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00A" w:rsidRDefault="008B300A" w:rsidP="00876D65">
      <w:r>
        <w:separator/>
      </w:r>
    </w:p>
  </w:footnote>
  <w:footnote w:type="continuationSeparator" w:id="1">
    <w:p w:rsidR="008B300A" w:rsidRDefault="008B300A"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申万菱信安泰增利纯债一年定期开放债券型证券投资基金</w:t>
    </w:r>
    <w:r w:rsidRPr="007120CC">
      <w:rPr>
        <w:rFonts w:hint="eastAsia"/>
      </w:rPr>
      <w:t>2018</w:t>
    </w:r>
    <w:r w:rsidRPr="007120CC">
      <w:rPr>
        <w:rFonts w:hint="eastAsia"/>
      </w:rPr>
      <w:t>年第</w:t>
    </w:r>
    <w:r w:rsidRPr="007120CC">
      <w:rPr>
        <w:rFonts w:hint="eastAsia"/>
      </w:rPr>
      <w:t>2</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2677"/>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551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A7A5E"/>
    <w:rsid w:val="001B0A62"/>
    <w:rsid w:val="001B2F35"/>
    <w:rsid w:val="001C0993"/>
    <w:rsid w:val="001C78B2"/>
    <w:rsid w:val="001C79F2"/>
    <w:rsid w:val="001D63BB"/>
    <w:rsid w:val="001D6A4B"/>
    <w:rsid w:val="001E4630"/>
    <w:rsid w:val="001F0964"/>
    <w:rsid w:val="001F30DA"/>
    <w:rsid w:val="001F5DC5"/>
    <w:rsid w:val="00200FAB"/>
    <w:rsid w:val="00205474"/>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9085F"/>
    <w:rsid w:val="00394069"/>
    <w:rsid w:val="003A6061"/>
    <w:rsid w:val="003B6FBC"/>
    <w:rsid w:val="003B7AAE"/>
    <w:rsid w:val="003C2B36"/>
    <w:rsid w:val="003E2240"/>
    <w:rsid w:val="003E62FB"/>
    <w:rsid w:val="003F39DF"/>
    <w:rsid w:val="003F63BE"/>
    <w:rsid w:val="004061AC"/>
    <w:rsid w:val="00406C52"/>
    <w:rsid w:val="004149AC"/>
    <w:rsid w:val="0042009D"/>
    <w:rsid w:val="00427F58"/>
    <w:rsid w:val="00433805"/>
    <w:rsid w:val="004405AE"/>
    <w:rsid w:val="00465285"/>
    <w:rsid w:val="00471408"/>
    <w:rsid w:val="004858E0"/>
    <w:rsid w:val="004934E9"/>
    <w:rsid w:val="004943C2"/>
    <w:rsid w:val="004A11A7"/>
    <w:rsid w:val="004C2F03"/>
    <w:rsid w:val="004C702F"/>
    <w:rsid w:val="004D495A"/>
    <w:rsid w:val="004E5975"/>
    <w:rsid w:val="004E790A"/>
    <w:rsid w:val="004F50FD"/>
    <w:rsid w:val="00500A03"/>
    <w:rsid w:val="00512200"/>
    <w:rsid w:val="005143CD"/>
    <w:rsid w:val="005144F2"/>
    <w:rsid w:val="005242A5"/>
    <w:rsid w:val="005249DD"/>
    <w:rsid w:val="00527006"/>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0556"/>
    <w:rsid w:val="00891261"/>
    <w:rsid w:val="008A21B2"/>
    <w:rsid w:val="008A409E"/>
    <w:rsid w:val="008B2FDD"/>
    <w:rsid w:val="008B300A"/>
    <w:rsid w:val="008C75E7"/>
    <w:rsid w:val="008C7CA8"/>
    <w:rsid w:val="008D09EC"/>
    <w:rsid w:val="008E07EB"/>
    <w:rsid w:val="008E18F2"/>
    <w:rsid w:val="008E2DCB"/>
    <w:rsid w:val="008E326D"/>
    <w:rsid w:val="008F5F67"/>
    <w:rsid w:val="008F60F2"/>
    <w:rsid w:val="0090217D"/>
    <w:rsid w:val="00905C5E"/>
    <w:rsid w:val="009078DC"/>
    <w:rsid w:val="0091315E"/>
    <w:rsid w:val="00921AC7"/>
    <w:rsid w:val="00924582"/>
    <w:rsid w:val="00931291"/>
    <w:rsid w:val="0093367D"/>
    <w:rsid w:val="00936B5F"/>
    <w:rsid w:val="00941CB5"/>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68C4"/>
    <w:rsid w:val="00BC73E5"/>
    <w:rsid w:val="00BD7473"/>
    <w:rsid w:val="00BD7703"/>
    <w:rsid w:val="00BE420D"/>
    <w:rsid w:val="00BF6314"/>
    <w:rsid w:val="00C113AD"/>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DDE"/>
    <w:rsid w:val="00E44E18"/>
    <w:rsid w:val="00E54301"/>
    <w:rsid w:val="00E55ABD"/>
    <w:rsid w:val="00E60817"/>
    <w:rsid w:val="00E71F78"/>
    <w:rsid w:val="00E904FD"/>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024D"/>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624134">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5999-E4F5-407D-A3A8-B2D55C14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5679</Characters>
  <Application>Microsoft Office Word</Application>
  <DocSecurity>4</DocSecurity>
  <Lines>47</Lines>
  <Paragraphs>13</Paragraphs>
  <ScaleCrop>false</ScaleCrop>
  <Company>Microsoft</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2018-07-18T18:01:00Z</dcterms:created>
  <dcterms:modified xsi:type="dcterms:W3CDTF">2018-07-18T18:01:00Z</dcterms:modified>
</cp:coreProperties>
</file>