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申万菱信安泰添利纯债一年定期开放债券型证券投资基金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2018年6月30日</w:t>
      </w:r>
    </w:p>
    <w:p w:rsidR="004061AC" w:rsidRPr="001E76D6"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申万菱信基金管理有限公司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广州农村商业银行股份有限公司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二〇一八年七月十九日</w:t>
      </w:r>
    </w:p>
    <w:p w:rsidR="004061AC" w:rsidRPr="00220C32" w:rsidRDefault="004061AC" w:rsidP="007253B8">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基金托管人广州农村商业银行股份有限公司根据本基金合同规定，于2018年7月13日复核了本报告中的财务指标、净值表现和投资组合报告等内容，保证复核内容不存在虚假记载、误导性陈述或者重大遗漏。 </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本报告期自2018年4月1日起至6月30日止。</w:t>
      </w:r>
    </w:p>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申万菱信安泰添利纯债一年定期开放债券</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004007</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004007</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契约型定期开放式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2017年6月27日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80,214,263.57</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本基金在严格控制风险的前提下，努力追求基金资产的长期稳健增值，力争实现超越业绩比较基准的投资回报。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本基金以中长期利率趋势分析为基础，结合经济周期、宏观政策方向及收益率曲线分析，在严格控制流动性风险和信用风险等风险的基础上，实施积极的债券投资组合管理，以期获取较高的债券组合投资收益。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中国债券总指数（全价）收益率</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本基金为债券型基金，属于低风险基金产品，其长期平均风险和预期收益率低于股票型及混合型基金，高于货币市场基金。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申万菱信基金管理有限公司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广州农村商业银行股份有限公司</w:t>
            </w:r>
          </w:p>
        </w:tc>
      </w:tr>
    </w:tbl>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1E76D6" w:rsidRPr="00220C32" w:rsidTr="001E76D6">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2018年4月1日-2018年6月30日</w:t>
            </w:r>
            <w:r w:rsidRPr="00220C32">
              <w:rPr>
                <w:rFonts w:asciiTheme="minorEastAsia" w:eastAsiaTheme="minorEastAsia" w:hAnsiTheme="minorEastAsia" w:cs="宋体" w:hint="eastAsia"/>
                <w:color w:val="000000" w:themeColor="text1"/>
              </w:rPr>
              <w:t>)</w:t>
            </w:r>
          </w:p>
        </w:tc>
      </w:tr>
      <w:tr w:rsidR="001E76D6" w:rsidRPr="00220C32" w:rsidTr="001E76D6">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3,569,055.15</w:t>
            </w:r>
          </w:p>
        </w:tc>
      </w:tr>
      <w:tr w:rsidR="001E76D6" w:rsidRPr="00220C32" w:rsidTr="001E76D6">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2,863,089.12</w:t>
            </w:r>
          </w:p>
        </w:tc>
      </w:tr>
      <w:tr w:rsidR="001E76D6" w:rsidRPr="00220C32" w:rsidTr="001E76D6">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0.0133</w:t>
            </w:r>
          </w:p>
        </w:tc>
      </w:tr>
      <w:tr w:rsidR="001E76D6" w:rsidRPr="00220C32" w:rsidTr="001E76D6">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83,680,268.67</w:t>
            </w:r>
          </w:p>
        </w:tc>
      </w:tr>
      <w:tr w:rsidR="001E76D6" w:rsidRPr="00220C32" w:rsidTr="001E76D6">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1.0432</w:t>
            </w:r>
          </w:p>
        </w:tc>
      </w:tr>
    </w:tbl>
    <w:p w:rsidR="00CA384C" w:rsidRDefault="001E76D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2）上述基金业绩指标已扣除了基金的管理费、托管费和各项交易费用，但不包括持有人认购或交易基金的各项费用（例如：申购费、赎回费等），计入认购或交易基金各项费用后，实际收益水平要低于所列数字。</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CA384C">
        <w:tc>
          <w:tcPr>
            <w:tcW w:w="1395" w:type="dxa"/>
            <w:vAlign w:val="center"/>
          </w:tcPr>
          <w:p w:rsidR="00CA384C" w:rsidRDefault="001E76D6">
            <w:pPr>
              <w:jc w:val="left"/>
            </w:pPr>
            <w:r>
              <w:rPr>
                <w:rFonts w:asciiTheme="minorEastAsia" w:eastAsiaTheme="minorEastAsia" w:hAnsiTheme="minorEastAsia"/>
                <w:color w:val="000000" w:themeColor="text1"/>
                <w:sz w:val="21"/>
              </w:rPr>
              <w:t>过去三个月</w:t>
            </w:r>
          </w:p>
        </w:tc>
        <w:tc>
          <w:tcPr>
            <w:tcW w:w="1092" w:type="dxa"/>
            <w:vAlign w:val="center"/>
          </w:tcPr>
          <w:p w:rsidR="00CA384C" w:rsidRDefault="001E76D6">
            <w:pPr>
              <w:jc w:val="center"/>
            </w:pPr>
            <w:r>
              <w:rPr>
                <w:rFonts w:asciiTheme="minorEastAsia" w:eastAsiaTheme="minorEastAsia" w:hAnsiTheme="minorEastAsia"/>
                <w:color w:val="000000" w:themeColor="text1"/>
                <w:sz w:val="21"/>
              </w:rPr>
              <w:t>1.38%</w:t>
            </w:r>
          </w:p>
        </w:tc>
        <w:tc>
          <w:tcPr>
            <w:tcW w:w="1161" w:type="dxa"/>
            <w:vAlign w:val="center"/>
          </w:tcPr>
          <w:p w:rsidR="00CA384C" w:rsidRDefault="001E76D6">
            <w:pPr>
              <w:jc w:val="center"/>
            </w:pPr>
            <w:r>
              <w:rPr>
                <w:rFonts w:asciiTheme="minorEastAsia" w:eastAsiaTheme="minorEastAsia" w:hAnsiTheme="minorEastAsia"/>
                <w:color w:val="000000" w:themeColor="text1"/>
                <w:sz w:val="21"/>
              </w:rPr>
              <w:t>0.03%</w:t>
            </w:r>
          </w:p>
        </w:tc>
        <w:tc>
          <w:tcPr>
            <w:tcW w:w="1181" w:type="dxa"/>
            <w:vAlign w:val="center"/>
          </w:tcPr>
          <w:p w:rsidR="00CA384C" w:rsidRDefault="001E76D6">
            <w:pPr>
              <w:jc w:val="center"/>
            </w:pPr>
            <w:r>
              <w:rPr>
                <w:rFonts w:asciiTheme="minorEastAsia" w:eastAsiaTheme="minorEastAsia" w:hAnsiTheme="minorEastAsia"/>
                <w:color w:val="000000" w:themeColor="text1"/>
                <w:sz w:val="21"/>
              </w:rPr>
              <w:t>1.76%</w:t>
            </w:r>
          </w:p>
        </w:tc>
        <w:tc>
          <w:tcPr>
            <w:tcW w:w="1188" w:type="dxa"/>
            <w:vAlign w:val="center"/>
          </w:tcPr>
          <w:p w:rsidR="00CA384C" w:rsidRDefault="001E76D6">
            <w:pPr>
              <w:jc w:val="center"/>
            </w:pPr>
            <w:r>
              <w:rPr>
                <w:rFonts w:asciiTheme="minorEastAsia" w:eastAsiaTheme="minorEastAsia" w:hAnsiTheme="minorEastAsia"/>
                <w:color w:val="000000" w:themeColor="text1"/>
                <w:sz w:val="21"/>
              </w:rPr>
              <w:t>0.15%</w:t>
            </w:r>
          </w:p>
        </w:tc>
        <w:tc>
          <w:tcPr>
            <w:tcW w:w="1199" w:type="dxa"/>
            <w:vAlign w:val="center"/>
          </w:tcPr>
          <w:p w:rsidR="00CA384C" w:rsidRDefault="001E76D6">
            <w:pPr>
              <w:jc w:val="center"/>
            </w:pPr>
            <w:r>
              <w:rPr>
                <w:rFonts w:asciiTheme="minorEastAsia" w:eastAsiaTheme="minorEastAsia" w:hAnsiTheme="minorEastAsia"/>
                <w:color w:val="000000" w:themeColor="text1"/>
                <w:sz w:val="21"/>
              </w:rPr>
              <w:t>-0.38%</w:t>
            </w:r>
          </w:p>
        </w:tc>
        <w:tc>
          <w:tcPr>
            <w:tcW w:w="1204" w:type="dxa"/>
            <w:vAlign w:val="center"/>
          </w:tcPr>
          <w:p w:rsidR="00CA384C" w:rsidRDefault="001E76D6">
            <w:pPr>
              <w:jc w:val="center"/>
            </w:pPr>
            <w:r>
              <w:rPr>
                <w:rFonts w:asciiTheme="minorEastAsia" w:eastAsiaTheme="minorEastAsia" w:hAnsiTheme="minorEastAsia"/>
                <w:color w:val="000000" w:themeColor="text1"/>
                <w:sz w:val="21"/>
              </w:rPr>
              <w:t>-0.12%</w:t>
            </w:r>
          </w:p>
        </w:tc>
      </w:tr>
    </w:tbl>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申万菱信安泰添利纯债一年定期开放债券型证券投资基金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2017年6月27日</w:t>
      </w:r>
      <w:r w:rsidRPr="00220C32">
        <w:rPr>
          <w:rFonts w:asciiTheme="minorEastAsia" w:eastAsiaTheme="minorEastAsia" w:hAnsiTheme="minorEastAsia" w:hint="eastAsia"/>
          <w:color w:val="000000" w:themeColor="text1"/>
        </w:rPr>
        <w:t>至2018年6月30日)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注：本基金已在基金合同生效之日起6个月内，使基金的投资组合比例符合基金合同的有关约定。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285"/>
        <w:gridCol w:w="851"/>
        <w:gridCol w:w="2935"/>
      </w:tblGrid>
      <w:tr w:rsidR="000F15ED" w:rsidTr="000F15ED">
        <w:trPr>
          <w:cantSplit/>
          <w:trHeight w:val="292"/>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2845" w:type="dxa"/>
            <w:gridSpan w:val="2"/>
            <w:tcBorders>
              <w:top w:val="single" w:sz="4" w:space="0" w:color="auto"/>
              <w:left w:val="single" w:sz="4" w:space="0" w:color="auto"/>
              <w:bottom w:val="single" w:sz="4" w:space="0" w:color="auto"/>
              <w:right w:val="single" w:sz="4" w:space="0" w:color="auto"/>
            </w:tcBorders>
            <w:vAlign w:val="center"/>
            <w:hideMark/>
          </w:tcPr>
          <w:p w:rsidR="000F15ED" w:rsidRDefault="000F15E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F15ED" w:rsidRDefault="000F15ED">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F15ED" w:rsidTr="000F15ED">
        <w:trPr>
          <w:cantSplit/>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jc w:val="left"/>
              <w:rPr>
                <w:rFonts w:asciiTheme="minorEastAsia" w:eastAsiaTheme="minorEastAsia" w:hAnsiTheme="minorEastAsia"/>
                <w:color w:val="000000" w:themeColor="text1"/>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jc w:val="left"/>
              <w:rPr>
                <w:rFonts w:asciiTheme="minorEastAsia" w:eastAsiaTheme="minorEastAsia" w:hAnsiTheme="minorEastAsia"/>
                <w:color w:val="000000" w:themeColor="text1"/>
                <w:kern w:val="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F15ED" w:rsidRDefault="000F15E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285" w:type="dxa"/>
            <w:tcBorders>
              <w:top w:val="single" w:sz="4" w:space="0" w:color="auto"/>
              <w:left w:val="single" w:sz="4" w:space="0" w:color="auto"/>
              <w:bottom w:val="single" w:sz="4" w:space="0" w:color="auto"/>
              <w:right w:val="single" w:sz="4" w:space="0" w:color="auto"/>
            </w:tcBorders>
            <w:vAlign w:val="center"/>
            <w:hideMark/>
          </w:tcPr>
          <w:p w:rsidR="000F15ED" w:rsidRDefault="000F15ED">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jc w:val="left"/>
              <w:rPr>
                <w:rFonts w:asciiTheme="minorEastAsia" w:eastAsiaTheme="minorEastAsia" w:hAnsiTheme="minorEastAsia"/>
                <w:color w:val="000000" w:themeColor="text1"/>
                <w:kern w:val="0"/>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0F15ED" w:rsidRDefault="000F15ED">
            <w:pPr>
              <w:widowControl/>
              <w:jc w:val="left"/>
              <w:rPr>
                <w:rFonts w:asciiTheme="minorEastAsia" w:eastAsiaTheme="minorEastAsia" w:hAnsiTheme="minorEastAsia"/>
                <w:color w:val="000000" w:themeColor="text1"/>
                <w:kern w:val="0"/>
              </w:rPr>
            </w:pPr>
          </w:p>
        </w:tc>
      </w:tr>
      <w:tr w:rsidR="000F15ED" w:rsidTr="000F15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F15ED" w:rsidRDefault="000F15ED">
            <w:pPr>
              <w:jc w:val="center"/>
            </w:pPr>
            <w:r>
              <w:rPr>
                <w:rFonts w:asciiTheme="minorEastAsia" w:eastAsiaTheme="minorEastAsia" w:hAnsiTheme="minorEastAsia" w:hint="eastAsia"/>
                <w:color w:val="000000" w:themeColor="text1"/>
              </w:rPr>
              <w:t>丁杰科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0F15ED" w:rsidRDefault="000F15ED">
            <w:pPr>
              <w:jc w:val="center"/>
            </w:pPr>
            <w:r>
              <w:rPr>
                <w:rFonts w:asciiTheme="minorEastAsia" w:eastAsiaTheme="minorEastAsia" w:hAnsiTheme="minorEastAsia" w:hint="eastAsia"/>
                <w:color w:val="000000" w:themeColor="text1"/>
              </w:rPr>
              <w:t>本基金基金经理</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15ED" w:rsidRDefault="000F15ED">
            <w:pPr>
              <w:jc w:val="center"/>
            </w:pPr>
            <w:r>
              <w:rPr>
                <w:rFonts w:asciiTheme="minorEastAsia" w:eastAsiaTheme="minorEastAsia" w:hAnsiTheme="minorEastAsia" w:hint="eastAsia"/>
                <w:color w:val="000000" w:themeColor="text1"/>
              </w:rPr>
              <w:t>2017-06-27</w:t>
            </w:r>
          </w:p>
        </w:tc>
        <w:tc>
          <w:tcPr>
            <w:tcW w:w="1285" w:type="dxa"/>
            <w:tcBorders>
              <w:top w:val="single" w:sz="4" w:space="0" w:color="auto"/>
              <w:left w:val="single" w:sz="4" w:space="0" w:color="auto"/>
              <w:bottom w:val="single" w:sz="4" w:space="0" w:color="auto"/>
              <w:right w:val="single" w:sz="4" w:space="0" w:color="auto"/>
            </w:tcBorders>
            <w:vAlign w:val="center"/>
            <w:hideMark/>
          </w:tcPr>
          <w:p w:rsidR="000F15ED" w:rsidRDefault="000F15ED">
            <w:pPr>
              <w:jc w:val="center"/>
            </w:pPr>
            <w:r>
              <w:rPr>
                <w:rFonts w:asciiTheme="minorEastAsia" w:eastAsiaTheme="minorEastAsia" w:hAnsiTheme="minorEastAsia" w:hint="eastAsia"/>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F15ED" w:rsidRDefault="000F15ED">
            <w:pPr>
              <w:jc w:val="center"/>
            </w:pPr>
            <w:r>
              <w:rPr>
                <w:rFonts w:asciiTheme="minorEastAsia" w:eastAsiaTheme="minorEastAsia" w:hAnsiTheme="minorEastAsia" w:hint="eastAsia"/>
                <w:color w:val="000000" w:themeColor="text1"/>
              </w:rPr>
              <w:t>9年</w:t>
            </w:r>
          </w:p>
        </w:tc>
        <w:tc>
          <w:tcPr>
            <w:tcW w:w="2935" w:type="dxa"/>
            <w:tcBorders>
              <w:top w:val="single" w:sz="4" w:space="0" w:color="auto"/>
              <w:left w:val="single" w:sz="4" w:space="0" w:color="auto"/>
              <w:bottom w:val="single" w:sz="4" w:space="0" w:color="auto"/>
              <w:right w:val="single" w:sz="4" w:space="0" w:color="auto"/>
            </w:tcBorders>
            <w:vAlign w:val="center"/>
            <w:hideMark/>
          </w:tcPr>
          <w:p w:rsidR="000F15ED" w:rsidRDefault="000F15ED">
            <w:r>
              <w:rPr>
                <w:rFonts w:asciiTheme="minorEastAsia" w:eastAsiaTheme="minorEastAsia" w:hAnsiTheme="minorEastAsia" w:hint="eastAsia"/>
                <w:color w:val="000000" w:themeColor="text1"/>
              </w:rPr>
              <w:t>丁杰科女士，硕士研究生。2008年开始从事金融相关工作，曾任职于交银施罗德基金管理有限公司、中国农业银行金融市场部。2015年12月加入申万菱信基金管理有限公司，曾任申万菱信臻选6个月定期开放混合型证券投资基金、申万菱信智选一年期定期开放混合型证券投资基金基金经理，现任申万菱信收益宝货币市场基金、申万菱信稳益宝债券型证券投资基金、申万菱信安鑫回报灵活配置混合型证券投资基金、申万菱信多策略灵活配置混合型证券投资基金、申万菱信安泰添利纯债一年定期开放债券型证券投资基金、申万菱信安泰增利纯债一年定期开放债券型证券投资基金基金经理。</w:t>
            </w:r>
          </w:p>
        </w:tc>
      </w:tr>
    </w:tbl>
    <w:p w:rsidR="00CA384C" w:rsidRDefault="00F9380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w:t>
      </w:r>
      <w:r w:rsidR="001E76D6">
        <w:rPr>
          <w:rFonts w:asciiTheme="minorEastAsia" w:eastAsiaTheme="minorEastAsia" w:hAnsiTheme="minorEastAsia"/>
          <w:color w:val="000000" w:themeColor="text1"/>
        </w:rPr>
        <w:t>1.任职日期和离任日期一般情况下指公司作出决定之日；若该基金经理自基金合同生效日起即任职，则任职日期为基金合同生效日。</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2.证券从业的含义遵从行业协会《证券业从业人员资格管理办法》的相关规定。</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内，本基金管理人严格遵守《证券法》、《证券投资基金法》及其配套法规的规定，严格遵守基金合同约定，本着诚实信用、勤勉尽责等原则管理和运用基金资产，在严格控制风险的基础上为持有人谋求最大利益。</w:t>
      </w:r>
    </w:p>
    <w:p w:rsidR="004061AC" w:rsidRPr="00220C32" w:rsidRDefault="004061AC" w:rsidP="001E76D6">
      <w:pPr>
        <w:spacing w:line="360" w:lineRule="auto"/>
        <w:ind w:firstLineChars="200" w:firstLine="420"/>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在投资和研究方面，本公司投资和研究部门不断完善研究方法和投资决策流程，提高投资决策的科学性和客观性，确保各投资组合享有公平的投资决策机会，建立公平交易的制度环境。</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在交易执行方面，本公司的投资管理职能和交易执行职能相隔离，通过实行集中交易制度和公平的交易分配制度，确保各投资组合享有公平的交易执行机会。</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日常监控和事后分析评估方面，本公司风险管理部开展日内和定期的工作对公平交易执行情况作整体监控和效果评估。风险管理部通过对不同组合之间同向交易的价差率的假设检验、价格占优的次数百分比统计、价差交易模拟贡献与组合收益率差异的比较等方法对本报告期以及连续四个季度期间内、不同时间窗口下公司管理的不同投资组合同向交易的交易价差进行了分析；对于场外交易，还特别对比了组合之间发生的同向交易的市场公允价格和交易对手，判断交易是否公平且是否涉及利益输送。</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本公司通过事前的制度规范、事中的监控和事后的分析评估，严格执行了公平交易制度，公平对待了旗下各投资组合。本报告期内，未出现违反公平交易制度的情况。</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本公司制定了《异常交易监控与报告办法》，明确定义了在投资交易过程中出现的各种可能导致不公平交易和利益输送的异常交易类型，并规定且落实了异常交易的日常监控、识别以及事后的分析流程。</w:t>
      </w:r>
    </w:p>
    <w:p w:rsidR="004061AC" w:rsidRPr="00220C32" w:rsidRDefault="00957594" w:rsidP="001E76D6">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本基金本报告期内未出现异常交易的情况。本报告期内，本公司所有投资组合参与的交易所公开竞价同日反向交易成交较少的单边交易量超过该证券当日成交量的5%的情况有1次。投资组合经理因投资组合的投资策略而发生同日反向交易，未导致不公平交易和利益输送。</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797EC6" w:rsidRDefault="00797EC6" w:rsidP="00797EC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2018年二季度，国内经济处于产能周期底部和金融周期顶部，贸易战持续升温、人民币快速走弱，信用违约风险呈暴露趋势。货币政策方面，2018年4月和6月的定向降准，以及扩大MLF抵押品范围等政策，透露了货币政策边际放松、结构性宽货币力度不断加大的信号。2018年二季度央行货币政策执行报告中“松紧适度”、“合理充裕”的说法进一步确定下半年“宽货币”的基调。多重因素继续引发债券市场的做多热情，收益率震荡下行。全季度来看，利率债方面，10年期国债收益率从一季度末的3.75%震荡下行至3.49%，下行约26bp；1年期国开债收益率从3.97%下行至3.56%，下行约41BP；10年期国开债收益率从4.65%回落至4.25%，下行约40bp。信用债方面，随着信用风险的发酵，信用债流动性变差，信用利差整体走阔，低等级信用债尤为明显。</w:t>
      </w:r>
    </w:p>
    <w:p w:rsidR="00797EC6" w:rsidRDefault="00797EC6" w:rsidP="00797EC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报告期内，管理人以投资中短久期、中高等级的短期融资券、公司债和同业存单为主，适度采用杠杆策略，力求获得稳定的收益。</w:t>
      </w:r>
    </w:p>
    <w:p w:rsidR="004061AC" w:rsidRPr="001E76D6" w:rsidRDefault="004061AC" w:rsidP="001E76D6">
      <w:pPr>
        <w:spacing w:line="360" w:lineRule="auto"/>
        <w:rPr>
          <w:rFonts w:asciiTheme="minorEastAsia" w:eastAsiaTheme="minorEastAsia" w:hAnsiTheme="minorEastAsia" w:cs="宋体"/>
          <w:color w:val="000000" w:themeColor="text1"/>
          <w:sz w:val="24"/>
          <w:szCs w:val="24"/>
        </w:rPr>
      </w:pPr>
      <w:bookmarkStart w:id="0" w:name="_GoBack"/>
      <w:bookmarkEnd w:id="0"/>
      <w:r w:rsidRPr="001E76D6">
        <w:rPr>
          <w:rFonts w:asciiTheme="minorEastAsia" w:eastAsiaTheme="minorEastAsia" w:hAnsiTheme="minorEastAsia" w:cs="宋体"/>
          <w:color w:val="000000" w:themeColor="text1"/>
          <w:sz w:val="24"/>
          <w:szCs w:val="24"/>
        </w:rPr>
        <w:t>4.4.2</w:t>
      </w:r>
      <w:r w:rsidRPr="001E76D6">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本基金报告期内表现为1.38%，同期业绩比较基准表现为1.76%。</w:t>
      </w: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无。</w:t>
      </w:r>
    </w:p>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324" w:type="dxa"/>
        <w:jc w:val="center"/>
        <w:tblLayout w:type="fixed"/>
        <w:tblLook w:val="04A0"/>
      </w:tblPr>
      <w:tblGrid>
        <w:gridCol w:w="720"/>
        <w:gridCol w:w="3964"/>
        <w:gridCol w:w="1939"/>
        <w:gridCol w:w="1701"/>
      </w:tblGrid>
      <w:tr w:rsidR="00220C32" w:rsidRPr="00220C32" w:rsidTr="001E76D6">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964"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1939"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701"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1E76D6">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1939"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1939"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1939"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97,854,700.00</w:t>
            </w:r>
          </w:p>
        </w:tc>
        <w:tc>
          <w:tcPr>
            <w:tcW w:w="1701"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42.73</w:t>
            </w:r>
          </w:p>
        </w:tc>
      </w:tr>
      <w:tr w:rsidR="00220C32" w:rsidRPr="00220C32" w:rsidTr="001E76D6">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1939"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97,854,700.00</w:t>
            </w:r>
          </w:p>
        </w:tc>
        <w:tc>
          <w:tcPr>
            <w:tcW w:w="1701"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42.73</w:t>
            </w:r>
          </w:p>
        </w:tc>
      </w:tr>
      <w:tr w:rsidR="00220C32" w:rsidRPr="00220C32" w:rsidTr="001E76D6">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1939"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964"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1939"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1939"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1939"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89,320,409.10</w:t>
            </w:r>
          </w:p>
        </w:tc>
        <w:tc>
          <w:tcPr>
            <w:tcW w:w="1701"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39.00</w:t>
            </w:r>
          </w:p>
        </w:tc>
      </w:tr>
      <w:tr w:rsidR="00220C32" w:rsidRPr="00220C32" w:rsidTr="001E76D6">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964"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1939"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01"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964"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1939"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39,918,399.10</w:t>
            </w:r>
          </w:p>
        </w:tc>
        <w:tc>
          <w:tcPr>
            <w:tcW w:w="1701"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17.43</w:t>
            </w:r>
          </w:p>
        </w:tc>
      </w:tr>
      <w:tr w:rsidR="00220C32" w:rsidRPr="00220C32" w:rsidTr="001E76D6">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964"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1939"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1,913,464.76</w:t>
            </w:r>
          </w:p>
        </w:tc>
        <w:tc>
          <w:tcPr>
            <w:tcW w:w="1701"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0.84</w:t>
            </w:r>
          </w:p>
        </w:tc>
      </w:tr>
      <w:tr w:rsidR="00220C32" w:rsidRPr="00220C32" w:rsidTr="001E76D6">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964"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1939"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229,006,972.96</w:t>
            </w:r>
          </w:p>
        </w:tc>
        <w:tc>
          <w:tcPr>
            <w:tcW w:w="1701"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1675CD"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r w:rsidRPr="00220C32">
        <w:rPr>
          <w:rFonts w:asciiTheme="minorEastAsia" w:eastAsiaTheme="minorEastAsia" w:hAnsiTheme="minorEastAsia" w:hint="eastAsia"/>
          <w:color w:val="000000" w:themeColor="text1"/>
        </w:rPr>
        <w:t>注：本基金未开通港股通交易机制投资于港股。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p w:rsidR="008A409E" w:rsidRPr="008A409E" w:rsidRDefault="008A409E" w:rsidP="008A409E">
      <w:pPr>
        <w:autoSpaceDE w:val="0"/>
        <w:autoSpaceDN w:val="0"/>
        <w:adjustRightInd w:val="0"/>
        <w:spacing w:line="360" w:lineRule="auto"/>
        <w:jc w:val="left"/>
        <w:rPr>
          <w:rFonts w:asciiTheme="minorEastAsia" w:eastAsiaTheme="minorEastAsia" w:hAnsiTheme="minorEastAsia"/>
          <w:color w:val="000000" w:themeColor="text1"/>
        </w:rPr>
      </w:pPr>
      <w:r w:rsidRPr="008A409E">
        <w:rPr>
          <w:rFonts w:asciiTheme="minorEastAsia" w:eastAsiaTheme="minorEastAsia" w:hAnsiTheme="minorEastAsia"/>
          <w:color w:val="000000" w:themeColor="text1"/>
        </w:rPr>
        <w:t>本基金本报告期末未持有股票。</w:t>
      </w:r>
    </w:p>
    <w:p w:rsidR="008A409E" w:rsidRPr="008A409E" w:rsidRDefault="008A409E" w:rsidP="008A409E">
      <w:pPr>
        <w:jc w:val="left"/>
        <w:rPr>
          <w:rFonts w:asciiTheme="minorEastAsia" w:eastAsiaTheme="minorEastAsia" w:hAnsiTheme="minorEastAsia"/>
          <w:b/>
          <w:bCs/>
          <w:color w:val="000000" w:themeColor="text1"/>
          <w:kern w:val="0"/>
          <w:sz w:val="24"/>
          <w:szCs w:val="24"/>
        </w:rPr>
      </w:pPr>
      <w:r w:rsidRPr="008A409E">
        <w:rPr>
          <w:rFonts w:asciiTheme="minorEastAsia" w:eastAsiaTheme="minorEastAsia" w:hAnsiTheme="minorEastAsia" w:hint="eastAsia"/>
          <w:b/>
          <w:bCs/>
          <w:color w:val="000000" w:themeColor="text1"/>
          <w:kern w:val="0"/>
          <w:sz w:val="24"/>
          <w:szCs w:val="24"/>
        </w:rPr>
        <w:t>5.2.2报告期末按行业分类的</w:t>
      </w:r>
      <w:r w:rsidR="004C2F03">
        <w:rPr>
          <w:rFonts w:asciiTheme="minorEastAsia" w:eastAsiaTheme="minorEastAsia" w:hAnsiTheme="minorEastAsia" w:hint="eastAsia"/>
          <w:b/>
          <w:bCs/>
          <w:color w:val="000000" w:themeColor="text1"/>
          <w:kern w:val="0"/>
          <w:sz w:val="24"/>
          <w:szCs w:val="24"/>
        </w:rPr>
        <w:t>港股通</w:t>
      </w:r>
      <w:r w:rsidRPr="008A409E">
        <w:rPr>
          <w:rFonts w:asciiTheme="minorEastAsia" w:eastAsiaTheme="minorEastAsia" w:hAnsiTheme="minorEastAsia" w:hint="eastAsia"/>
          <w:b/>
          <w:bCs/>
          <w:color w:val="000000" w:themeColor="text1"/>
          <w:kern w:val="0"/>
          <w:sz w:val="24"/>
          <w:szCs w:val="24"/>
        </w:rPr>
        <w:t>投资股票投资组合</w:t>
      </w:r>
    </w:p>
    <w:p w:rsidR="004061AC" w:rsidRPr="008A409E" w:rsidRDefault="008A409E"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8A409E">
        <w:rPr>
          <w:rFonts w:asciiTheme="minorEastAsia" w:eastAsiaTheme="minorEastAsia" w:hAnsiTheme="minorEastAsia"/>
          <w:color w:val="000000" w:themeColor="text1"/>
        </w:rPr>
        <w:t>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7"/>
        <w:tblW w:w="8352" w:type="dxa"/>
        <w:jc w:val="center"/>
        <w:tblLayout w:type="fixed"/>
        <w:tblLook w:val="04A0"/>
      </w:tblPr>
      <w:tblGrid>
        <w:gridCol w:w="817"/>
        <w:gridCol w:w="3260"/>
        <w:gridCol w:w="2510"/>
        <w:gridCol w:w="1765"/>
      </w:tblGrid>
      <w:tr w:rsidR="00220C32" w:rsidRPr="00220C32" w:rsidTr="001E76D6">
        <w:trPr>
          <w:jc w:val="center"/>
        </w:trPr>
        <w:tc>
          <w:tcPr>
            <w:tcW w:w="817"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3260"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债券品种</w:t>
            </w:r>
          </w:p>
        </w:tc>
        <w:tc>
          <w:tcPr>
            <w:tcW w:w="2510"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元</w:t>
            </w:r>
            <w:r w:rsidR="00D57B7C" w:rsidRPr="00220C32">
              <w:rPr>
                <w:rFonts w:asciiTheme="minorEastAsia" w:eastAsiaTheme="minorEastAsia" w:hAnsiTheme="minorEastAsia" w:cs="宋体" w:hint="eastAsia"/>
                <w:color w:val="000000" w:themeColor="text1"/>
                <w:sz w:val="21"/>
              </w:rPr>
              <w:t>)</w:t>
            </w:r>
          </w:p>
        </w:tc>
        <w:tc>
          <w:tcPr>
            <w:tcW w:w="1765"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国家债券</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39,708,000.00</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47.45</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央行票据</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金融债券</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其中：政策性金融债</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企业债券</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18,590,700.00</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22.22</w:t>
            </w:r>
          </w:p>
        </w:tc>
      </w:tr>
      <w:tr w:rsidR="00220C32" w:rsidRPr="00220C32" w:rsidTr="001E76D6">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w:t>
            </w:r>
          </w:p>
        </w:tc>
        <w:tc>
          <w:tcPr>
            <w:tcW w:w="3260" w:type="dxa"/>
            <w:vAlign w:val="center"/>
          </w:tcPr>
          <w:p w:rsidR="00AC592E" w:rsidRPr="00220C32" w:rsidRDefault="00AC592E"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企业短期融资</w:t>
            </w:r>
            <w:r w:rsidR="00963F40" w:rsidRPr="00220C32">
              <w:rPr>
                <w:rFonts w:asciiTheme="minorEastAsia" w:eastAsiaTheme="minorEastAsia" w:hAnsiTheme="minorEastAsia" w:cs="宋体" w:hint="eastAsia"/>
                <w:color w:val="000000" w:themeColor="text1"/>
                <w:sz w:val="21"/>
              </w:rPr>
              <w:t>券</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20,038,000.00</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23.95</w:t>
            </w:r>
          </w:p>
        </w:tc>
      </w:tr>
      <w:tr w:rsidR="00220C32" w:rsidRPr="00220C32" w:rsidTr="001E76D6">
        <w:trPr>
          <w:jc w:val="center"/>
        </w:trPr>
        <w:tc>
          <w:tcPr>
            <w:tcW w:w="817" w:type="dxa"/>
            <w:vAlign w:val="center"/>
          </w:tcPr>
          <w:p w:rsidR="00FB41D3"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6</w:t>
            </w:r>
          </w:p>
        </w:tc>
        <w:tc>
          <w:tcPr>
            <w:tcW w:w="3260" w:type="dxa"/>
            <w:vAlign w:val="center"/>
          </w:tcPr>
          <w:p w:rsidR="00FB41D3" w:rsidRPr="00220C32" w:rsidRDefault="00FB41D3"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中期票据</w:t>
            </w:r>
          </w:p>
        </w:tc>
        <w:tc>
          <w:tcPr>
            <w:tcW w:w="2510"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65"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E76D6">
        <w:trPr>
          <w:jc w:val="center"/>
        </w:trPr>
        <w:tc>
          <w:tcPr>
            <w:tcW w:w="817" w:type="dxa"/>
            <w:vAlign w:val="center"/>
          </w:tcPr>
          <w:p w:rsidR="00AC592E"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可转债</w:t>
            </w:r>
            <w:r w:rsidR="007B490D" w:rsidRPr="007B490D">
              <w:rPr>
                <w:rFonts w:asciiTheme="minorEastAsia" w:eastAsiaTheme="minorEastAsia" w:hAnsiTheme="minorEastAsia" w:cs="宋体" w:hint="eastAsia"/>
                <w:color w:val="000000" w:themeColor="text1"/>
                <w:sz w:val="21"/>
              </w:rPr>
              <w:t>（可交换债）</w:t>
            </w:r>
          </w:p>
        </w:tc>
        <w:tc>
          <w:tcPr>
            <w:tcW w:w="2510"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65"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1E76D6">
        <w:trPr>
          <w:jc w:val="center"/>
        </w:trPr>
        <w:tc>
          <w:tcPr>
            <w:tcW w:w="817" w:type="dxa"/>
            <w:vAlign w:val="center"/>
          </w:tcPr>
          <w:p w:rsidR="00305A29" w:rsidRPr="00305A29" w:rsidRDefault="00305A29" w:rsidP="00D234E7">
            <w:pPr>
              <w:spacing w:before="29" w:line="360" w:lineRule="auto"/>
              <w:ind w:left="17"/>
              <w:jc w:val="center"/>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8</w:t>
            </w:r>
          </w:p>
        </w:tc>
        <w:tc>
          <w:tcPr>
            <w:tcW w:w="3260" w:type="dxa"/>
            <w:vAlign w:val="center"/>
          </w:tcPr>
          <w:p w:rsidR="00305A29" w:rsidRPr="00305A29" w:rsidRDefault="00305A29" w:rsidP="00D234E7">
            <w:pPr>
              <w:spacing w:before="29" w:line="360" w:lineRule="auto"/>
              <w:ind w:left="17"/>
              <w:jc w:val="lef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同业存单</w:t>
            </w:r>
          </w:p>
        </w:tc>
        <w:tc>
          <w:tcPr>
            <w:tcW w:w="2510"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19,518,000.00</w:t>
            </w:r>
          </w:p>
        </w:tc>
        <w:tc>
          <w:tcPr>
            <w:tcW w:w="1765"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23.32</w:t>
            </w:r>
          </w:p>
        </w:tc>
      </w:tr>
      <w:tr w:rsidR="00305A29" w:rsidRPr="00220C32" w:rsidTr="001E76D6">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2510"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65"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1E76D6">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10</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510"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97,854,700.00</w:t>
            </w:r>
          </w:p>
        </w:tc>
        <w:tc>
          <w:tcPr>
            <w:tcW w:w="1765"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116.94</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tbl>
      <w:tblPr>
        <w:tblStyle w:val="af7"/>
        <w:tblW w:w="0" w:type="auto"/>
        <w:jc w:val="center"/>
        <w:tblLayout w:type="fixed"/>
        <w:tblLook w:val="04A0"/>
      </w:tblPr>
      <w:tblGrid>
        <w:gridCol w:w="576"/>
        <w:gridCol w:w="993"/>
        <w:gridCol w:w="2275"/>
        <w:gridCol w:w="1268"/>
        <w:gridCol w:w="1659"/>
        <w:gridCol w:w="1559"/>
      </w:tblGrid>
      <w:tr w:rsidR="00220C32" w:rsidRPr="00220C32" w:rsidTr="001E76D6">
        <w:trPr>
          <w:jc w:val="center"/>
        </w:trPr>
        <w:tc>
          <w:tcPr>
            <w:tcW w:w="576" w:type="dxa"/>
            <w:vAlign w:val="center"/>
          </w:tcPr>
          <w:p w:rsidR="003E62FB" w:rsidRPr="00220C32" w:rsidRDefault="003E62FB" w:rsidP="001E76D6">
            <w:pPr>
              <w:spacing w:before="29" w:line="360" w:lineRule="auto"/>
              <w:ind w:left="-99" w:rightChars="-51" w:right="-10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993" w:type="dxa"/>
            <w:vAlign w:val="center"/>
          </w:tcPr>
          <w:p w:rsidR="003E62FB" w:rsidRPr="00220C32" w:rsidRDefault="003E62FB" w:rsidP="001E76D6">
            <w:pPr>
              <w:spacing w:before="29" w:line="360" w:lineRule="auto"/>
              <w:ind w:left="-108" w:rightChars="-51" w:right="-10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债券代码</w:t>
            </w:r>
          </w:p>
        </w:tc>
        <w:tc>
          <w:tcPr>
            <w:tcW w:w="2275"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债券名称</w:t>
            </w:r>
          </w:p>
        </w:tc>
        <w:tc>
          <w:tcPr>
            <w:tcW w:w="1268"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张</w:t>
            </w:r>
            <w:r w:rsidR="00D57B7C" w:rsidRPr="00220C32">
              <w:rPr>
                <w:rFonts w:asciiTheme="minorEastAsia" w:eastAsiaTheme="minorEastAsia" w:hAnsiTheme="minorEastAsia" w:cs="宋体" w:hint="eastAsia"/>
                <w:color w:val="000000" w:themeColor="text1"/>
                <w:sz w:val="21"/>
              </w:rPr>
              <w:t>)</w:t>
            </w:r>
          </w:p>
        </w:tc>
        <w:tc>
          <w:tcPr>
            <w:tcW w:w="1659"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559"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CA384C" w:rsidTr="001E76D6">
        <w:trPr>
          <w:jc w:val="center"/>
        </w:trPr>
        <w:tc>
          <w:tcPr>
            <w:tcW w:w="576" w:type="dxa"/>
            <w:vAlign w:val="center"/>
          </w:tcPr>
          <w:p w:rsidR="00CA384C" w:rsidRDefault="001E76D6">
            <w:pPr>
              <w:jc w:val="center"/>
            </w:pPr>
            <w:r>
              <w:rPr>
                <w:rFonts w:asciiTheme="minorEastAsia" w:eastAsiaTheme="minorEastAsia" w:hAnsiTheme="minorEastAsia" w:cs="宋体"/>
                <w:color w:val="000000" w:themeColor="text1"/>
                <w:sz w:val="21"/>
              </w:rPr>
              <w:t>1</w:t>
            </w:r>
          </w:p>
        </w:tc>
        <w:tc>
          <w:tcPr>
            <w:tcW w:w="993" w:type="dxa"/>
            <w:vAlign w:val="center"/>
          </w:tcPr>
          <w:p w:rsidR="00CA384C" w:rsidRDefault="001E76D6" w:rsidP="001E76D6">
            <w:pPr>
              <w:ind w:left="-108" w:rightChars="-51" w:right="-107"/>
              <w:jc w:val="center"/>
            </w:pPr>
            <w:r>
              <w:rPr>
                <w:rFonts w:asciiTheme="minorEastAsia" w:eastAsiaTheme="minorEastAsia" w:hAnsiTheme="minorEastAsia" w:cs="宋体"/>
                <w:color w:val="000000" w:themeColor="text1"/>
                <w:sz w:val="21"/>
              </w:rPr>
              <w:t>189915</w:t>
            </w:r>
          </w:p>
        </w:tc>
        <w:tc>
          <w:tcPr>
            <w:tcW w:w="2275" w:type="dxa"/>
            <w:vAlign w:val="center"/>
          </w:tcPr>
          <w:p w:rsidR="00CA384C" w:rsidRDefault="001E76D6">
            <w:pPr>
              <w:jc w:val="center"/>
            </w:pPr>
            <w:r>
              <w:rPr>
                <w:rFonts w:asciiTheme="minorEastAsia" w:eastAsiaTheme="minorEastAsia" w:hAnsiTheme="minorEastAsia" w:cs="宋体"/>
                <w:color w:val="000000" w:themeColor="text1"/>
                <w:sz w:val="21"/>
              </w:rPr>
              <w:t>18贴现国债15</w:t>
            </w:r>
          </w:p>
        </w:tc>
        <w:tc>
          <w:tcPr>
            <w:tcW w:w="1268" w:type="dxa"/>
            <w:vAlign w:val="center"/>
          </w:tcPr>
          <w:p w:rsidR="00CA384C" w:rsidRDefault="001E76D6">
            <w:pPr>
              <w:jc w:val="right"/>
            </w:pPr>
            <w:r>
              <w:rPr>
                <w:rFonts w:asciiTheme="minorEastAsia" w:eastAsiaTheme="minorEastAsia" w:hAnsiTheme="minorEastAsia" w:cs="宋体"/>
                <w:color w:val="000000" w:themeColor="text1"/>
                <w:sz w:val="21"/>
              </w:rPr>
              <w:t>400,000.00</w:t>
            </w:r>
          </w:p>
        </w:tc>
        <w:tc>
          <w:tcPr>
            <w:tcW w:w="1659" w:type="dxa"/>
            <w:vAlign w:val="center"/>
          </w:tcPr>
          <w:p w:rsidR="00CA384C" w:rsidRDefault="001E76D6">
            <w:pPr>
              <w:jc w:val="right"/>
            </w:pPr>
            <w:r>
              <w:rPr>
                <w:rFonts w:asciiTheme="minorEastAsia" w:eastAsiaTheme="minorEastAsia" w:hAnsiTheme="minorEastAsia" w:cs="宋体"/>
                <w:color w:val="000000" w:themeColor="text1"/>
                <w:sz w:val="21"/>
              </w:rPr>
              <w:t>39,708,000.00</w:t>
            </w:r>
          </w:p>
        </w:tc>
        <w:tc>
          <w:tcPr>
            <w:tcW w:w="1559" w:type="dxa"/>
            <w:vAlign w:val="center"/>
          </w:tcPr>
          <w:p w:rsidR="00CA384C" w:rsidRDefault="001E76D6">
            <w:pPr>
              <w:jc w:val="right"/>
            </w:pPr>
            <w:r>
              <w:rPr>
                <w:rFonts w:asciiTheme="minorEastAsia" w:eastAsiaTheme="minorEastAsia" w:hAnsiTheme="minorEastAsia" w:cs="宋体"/>
                <w:color w:val="000000" w:themeColor="text1"/>
                <w:sz w:val="21"/>
              </w:rPr>
              <w:t>47.45</w:t>
            </w:r>
          </w:p>
        </w:tc>
      </w:tr>
      <w:tr w:rsidR="00CA384C" w:rsidTr="001E76D6">
        <w:trPr>
          <w:jc w:val="center"/>
        </w:trPr>
        <w:tc>
          <w:tcPr>
            <w:tcW w:w="576" w:type="dxa"/>
            <w:vAlign w:val="center"/>
          </w:tcPr>
          <w:p w:rsidR="00CA384C" w:rsidRDefault="001E76D6">
            <w:pPr>
              <w:jc w:val="center"/>
            </w:pPr>
            <w:r>
              <w:rPr>
                <w:rFonts w:asciiTheme="minorEastAsia" w:eastAsiaTheme="minorEastAsia" w:hAnsiTheme="minorEastAsia" w:cs="宋体"/>
                <w:color w:val="000000" w:themeColor="text1"/>
                <w:sz w:val="21"/>
              </w:rPr>
              <w:t>2</w:t>
            </w:r>
          </w:p>
        </w:tc>
        <w:tc>
          <w:tcPr>
            <w:tcW w:w="993" w:type="dxa"/>
            <w:vAlign w:val="center"/>
          </w:tcPr>
          <w:p w:rsidR="00CA384C" w:rsidRDefault="001E76D6" w:rsidP="001E76D6">
            <w:pPr>
              <w:ind w:left="-108" w:rightChars="-51" w:right="-107"/>
              <w:jc w:val="center"/>
            </w:pPr>
            <w:r>
              <w:rPr>
                <w:rFonts w:asciiTheme="minorEastAsia" w:eastAsiaTheme="minorEastAsia" w:hAnsiTheme="minorEastAsia" w:cs="宋体"/>
                <w:color w:val="000000" w:themeColor="text1"/>
                <w:sz w:val="21"/>
              </w:rPr>
              <w:t>071800011</w:t>
            </w:r>
          </w:p>
        </w:tc>
        <w:tc>
          <w:tcPr>
            <w:tcW w:w="2275" w:type="dxa"/>
            <w:vAlign w:val="center"/>
          </w:tcPr>
          <w:p w:rsidR="00CA384C" w:rsidRDefault="001E76D6">
            <w:pPr>
              <w:jc w:val="center"/>
            </w:pPr>
            <w:r>
              <w:rPr>
                <w:rFonts w:asciiTheme="minorEastAsia" w:eastAsiaTheme="minorEastAsia" w:hAnsiTheme="minorEastAsia" w:cs="宋体"/>
                <w:color w:val="000000" w:themeColor="text1"/>
                <w:sz w:val="21"/>
              </w:rPr>
              <w:t>18中信CP004</w:t>
            </w:r>
          </w:p>
        </w:tc>
        <w:tc>
          <w:tcPr>
            <w:tcW w:w="1268" w:type="dxa"/>
            <w:vAlign w:val="center"/>
          </w:tcPr>
          <w:p w:rsidR="00CA384C" w:rsidRDefault="001E76D6">
            <w:pPr>
              <w:jc w:val="right"/>
            </w:pPr>
            <w:r>
              <w:rPr>
                <w:rFonts w:asciiTheme="minorEastAsia" w:eastAsiaTheme="minorEastAsia" w:hAnsiTheme="minorEastAsia" w:cs="宋体"/>
                <w:color w:val="000000" w:themeColor="text1"/>
                <w:sz w:val="21"/>
              </w:rPr>
              <w:t>200,000.00</w:t>
            </w:r>
          </w:p>
        </w:tc>
        <w:tc>
          <w:tcPr>
            <w:tcW w:w="1659" w:type="dxa"/>
            <w:vAlign w:val="center"/>
          </w:tcPr>
          <w:p w:rsidR="00CA384C" w:rsidRDefault="001E76D6">
            <w:pPr>
              <w:jc w:val="right"/>
            </w:pPr>
            <w:r>
              <w:rPr>
                <w:rFonts w:asciiTheme="minorEastAsia" w:eastAsiaTheme="minorEastAsia" w:hAnsiTheme="minorEastAsia" w:cs="宋体"/>
                <w:color w:val="000000" w:themeColor="text1"/>
                <w:sz w:val="21"/>
              </w:rPr>
              <w:t>20,038,000.00</w:t>
            </w:r>
          </w:p>
        </w:tc>
        <w:tc>
          <w:tcPr>
            <w:tcW w:w="1559" w:type="dxa"/>
            <w:vAlign w:val="center"/>
          </w:tcPr>
          <w:p w:rsidR="00CA384C" w:rsidRDefault="001E76D6">
            <w:pPr>
              <w:jc w:val="right"/>
            </w:pPr>
            <w:r>
              <w:rPr>
                <w:rFonts w:asciiTheme="minorEastAsia" w:eastAsiaTheme="minorEastAsia" w:hAnsiTheme="minorEastAsia" w:cs="宋体"/>
                <w:color w:val="000000" w:themeColor="text1"/>
                <w:sz w:val="21"/>
              </w:rPr>
              <w:t>23.95</w:t>
            </w:r>
          </w:p>
        </w:tc>
      </w:tr>
      <w:tr w:rsidR="00CA384C" w:rsidTr="001E76D6">
        <w:trPr>
          <w:jc w:val="center"/>
        </w:trPr>
        <w:tc>
          <w:tcPr>
            <w:tcW w:w="576" w:type="dxa"/>
            <w:vAlign w:val="center"/>
          </w:tcPr>
          <w:p w:rsidR="00CA384C" w:rsidRDefault="001E76D6">
            <w:pPr>
              <w:jc w:val="center"/>
            </w:pPr>
            <w:r>
              <w:rPr>
                <w:rFonts w:asciiTheme="minorEastAsia" w:eastAsiaTheme="minorEastAsia" w:hAnsiTheme="minorEastAsia" w:cs="宋体"/>
                <w:color w:val="000000" w:themeColor="text1"/>
                <w:sz w:val="21"/>
              </w:rPr>
              <w:t>3</w:t>
            </w:r>
          </w:p>
        </w:tc>
        <w:tc>
          <w:tcPr>
            <w:tcW w:w="993" w:type="dxa"/>
            <w:vAlign w:val="center"/>
          </w:tcPr>
          <w:p w:rsidR="00CA384C" w:rsidRDefault="001E76D6" w:rsidP="001E76D6">
            <w:pPr>
              <w:ind w:left="-108" w:rightChars="-51" w:right="-107"/>
              <w:jc w:val="center"/>
            </w:pPr>
            <w:r>
              <w:rPr>
                <w:rFonts w:asciiTheme="minorEastAsia" w:eastAsiaTheme="minorEastAsia" w:hAnsiTheme="minorEastAsia" w:cs="宋体"/>
                <w:color w:val="000000" w:themeColor="text1"/>
                <w:sz w:val="21"/>
              </w:rPr>
              <w:t>111772385</w:t>
            </w:r>
          </w:p>
        </w:tc>
        <w:tc>
          <w:tcPr>
            <w:tcW w:w="2275" w:type="dxa"/>
            <w:vAlign w:val="center"/>
          </w:tcPr>
          <w:p w:rsidR="00CA384C" w:rsidRDefault="001E76D6">
            <w:pPr>
              <w:jc w:val="center"/>
            </w:pPr>
            <w:r>
              <w:rPr>
                <w:rFonts w:asciiTheme="minorEastAsia" w:eastAsiaTheme="minorEastAsia" w:hAnsiTheme="minorEastAsia" w:cs="宋体"/>
                <w:color w:val="000000" w:themeColor="text1"/>
                <w:sz w:val="21"/>
              </w:rPr>
              <w:t>17上海农商银行CD219</w:t>
            </w:r>
          </w:p>
        </w:tc>
        <w:tc>
          <w:tcPr>
            <w:tcW w:w="1268" w:type="dxa"/>
            <w:vAlign w:val="center"/>
          </w:tcPr>
          <w:p w:rsidR="00CA384C" w:rsidRDefault="001E76D6">
            <w:pPr>
              <w:jc w:val="right"/>
            </w:pPr>
            <w:r>
              <w:rPr>
                <w:rFonts w:asciiTheme="minorEastAsia" w:eastAsiaTheme="minorEastAsia" w:hAnsiTheme="minorEastAsia" w:cs="宋体"/>
                <w:color w:val="000000" w:themeColor="text1"/>
                <w:sz w:val="21"/>
              </w:rPr>
              <w:t>200,000.00</w:t>
            </w:r>
          </w:p>
        </w:tc>
        <w:tc>
          <w:tcPr>
            <w:tcW w:w="1659" w:type="dxa"/>
            <w:vAlign w:val="center"/>
          </w:tcPr>
          <w:p w:rsidR="00CA384C" w:rsidRDefault="001E76D6">
            <w:pPr>
              <w:jc w:val="right"/>
            </w:pPr>
            <w:r>
              <w:rPr>
                <w:rFonts w:asciiTheme="minorEastAsia" w:eastAsiaTheme="minorEastAsia" w:hAnsiTheme="minorEastAsia" w:cs="宋体"/>
                <w:color w:val="000000" w:themeColor="text1"/>
                <w:sz w:val="21"/>
              </w:rPr>
              <w:t>19,518,000.00</w:t>
            </w:r>
          </w:p>
        </w:tc>
        <w:tc>
          <w:tcPr>
            <w:tcW w:w="1559" w:type="dxa"/>
            <w:vAlign w:val="center"/>
          </w:tcPr>
          <w:p w:rsidR="00CA384C" w:rsidRDefault="001E76D6">
            <w:pPr>
              <w:jc w:val="right"/>
            </w:pPr>
            <w:r>
              <w:rPr>
                <w:rFonts w:asciiTheme="minorEastAsia" w:eastAsiaTheme="minorEastAsia" w:hAnsiTheme="minorEastAsia" w:cs="宋体"/>
                <w:color w:val="000000" w:themeColor="text1"/>
                <w:sz w:val="21"/>
              </w:rPr>
              <w:t>23.32</w:t>
            </w:r>
          </w:p>
        </w:tc>
      </w:tr>
      <w:tr w:rsidR="00CA384C" w:rsidTr="001E76D6">
        <w:trPr>
          <w:jc w:val="center"/>
        </w:trPr>
        <w:tc>
          <w:tcPr>
            <w:tcW w:w="576" w:type="dxa"/>
            <w:vAlign w:val="center"/>
          </w:tcPr>
          <w:p w:rsidR="00CA384C" w:rsidRDefault="001E76D6">
            <w:pPr>
              <w:jc w:val="center"/>
            </w:pPr>
            <w:r>
              <w:rPr>
                <w:rFonts w:asciiTheme="minorEastAsia" w:eastAsiaTheme="minorEastAsia" w:hAnsiTheme="minorEastAsia" w:cs="宋体"/>
                <w:color w:val="000000" w:themeColor="text1"/>
                <w:sz w:val="21"/>
              </w:rPr>
              <w:t>4</w:t>
            </w:r>
          </w:p>
        </w:tc>
        <w:tc>
          <w:tcPr>
            <w:tcW w:w="993" w:type="dxa"/>
            <w:vAlign w:val="center"/>
          </w:tcPr>
          <w:p w:rsidR="00CA384C" w:rsidRDefault="001E76D6" w:rsidP="001E76D6">
            <w:pPr>
              <w:ind w:left="-108" w:rightChars="-51" w:right="-107"/>
              <w:jc w:val="center"/>
            </w:pPr>
            <w:r>
              <w:rPr>
                <w:rFonts w:asciiTheme="minorEastAsia" w:eastAsiaTheme="minorEastAsia" w:hAnsiTheme="minorEastAsia" w:cs="宋体"/>
                <w:color w:val="000000" w:themeColor="text1"/>
                <w:sz w:val="21"/>
              </w:rPr>
              <w:t>122366</w:t>
            </w:r>
          </w:p>
        </w:tc>
        <w:tc>
          <w:tcPr>
            <w:tcW w:w="2275" w:type="dxa"/>
            <w:vAlign w:val="center"/>
          </w:tcPr>
          <w:p w:rsidR="00CA384C" w:rsidRDefault="001E76D6">
            <w:pPr>
              <w:jc w:val="center"/>
            </w:pPr>
            <w:r>
              <w:rPr>
                <w:rFonts w:asciiTheme="minorEastAsia" w:eastAsiaTheme="minorEastAsia" w:hAnsiTheme="minorEastAsia" w:cs="宋体"/>
                <w:color w:val="000000" w:themeColor="text1"/>
                <w:sz w:val="21"/>
              </w:rPr>
              <w:t>14武钢债</w:t>
            </w:r>
          </w:p>
        </w:tc>
        <w:tc>
          <w:tcPr>
            <w:tcW w:w="1268" w:type="dxa"/>
            <w:vAlign w:val="center"/>
          </w:tcPr>
          <w:p w:rsidR="00CA384C" w:rsidRDefault="001E76D6">
            <w:pPr>
              <w:jc w:val="right"/>
            </w:pPr>
            <w:r>
              <w:rPr>
                <w:rFonts w:asciiTheme="minorEastAsia" w:eastAsiaTheme="minorEastAsia" w:hAnsiTheme="minorEastAsia" w:cs="宋体"/>
                <w:color w:val="000000" w:themeColor="text1"/>
                <w:sz w:val="21"/>
              </w:rPr>
              <w:t>186,000.00</w:t>
            </w:r>
          </w:p>
        </w:tc>
        <w:tc>
          <w:tcPr>
            <w:tcW w:w="1659" w:type="dxa"/>
            <w:vAlign w:val="center"/>
          </w:tcPr>
          <w:p w:rsidR="00CA384C" w:rsidRDefault="001E76D6">
            <w:pPr>
              <w:jc w:val="right"/>
            </w:pPr>
            <w:r>
              <w:rPr>
                <w:rFonts w:asciiTheme="minorEastAsia" w:eastAsiaTheme="minorEastAsia" w:hAnsiTheme="minorEastAsia" w:cs="宋体"/>
                <w:color w:val="000000" w:themeColor="text1"/>
                <w:sz w:val="21"/>
              </w:rPr>
              <w:t>18,590,700.00</w:t>
            </w:r>
          </w:p>
        </w:tc>
        <w:tc>
          <w:tcPr>
            <w:tcW w:w="1559" w:type="dxa"/>
            <w:vAlign w:val="center"/>
          </w:tcPr>
          <w:p w:rsidR="00CA384C" w:rsidRDefault="001E76D6">
            <w:pPr>
              <w:jc w:val="right"/>
            </w:pPr>
            <w:r>
              <w:rPr>
                <w:rFonts w:asciiTheme="minorEastAsia" w:eastAsiaTheme="minorEastAsia" w:hAnsiTheme="minorEastAsia" w:cs="宋体"/>
                <w:color w:val="000000" w:themeColor="text1"/>
                <w:sz w:val="21"/>
              </w:rPr>
              <w:t>22.22</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根据本基金基金合同，本基金不能投资于股指期货。</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275745" w:rsidRPr="00220C32" w:rsidRDefault="00275745" w:rsidP="001E76D6">
      <w:pPr>
        <w:spacing w:line="360" w:lineRule="auto"/>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根据本基金基金合同，本基金不能投资于股指期货。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1E76D6">
      <w:pPr>
        <w:spacing w:line="360" w:lineRule="auto"/>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1E76D6" w:rsidRDefault="00312A9F" w:rsidP="001E76D6">
      <w:pPr>
        <w:spacing w:line="360" w:lineRule="auto"/>
        <w:rPr>
          <w:rFonts w:asciiTheme="minorEastAsia" w:eastAsiaTheme="minorEastAsia" w:hAnsiTheme="minorEastAsia"/>
          <w:color w:val="000000" w:themeColor="text1"/>
        </w:rPr>
      </w:pPr>
      <w:r w:rsidRPr="001E76D6">
        <w:rPr>
          <w:rFonts w:asciiTheme="minorEastAsia" w:eastAsiaTheme="minorEastAsia" w:hAnsiTheme="minorEastAsia"/>
          <w:color w:val="000000" w:themeColor="text1"/>
        </w:rPr>
        <w:t>本基金本报告期末未持有国债期货。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5.10.3 本期国债期货投资评价</w:t>
      </w:r>
    </w:p>
    <w:p w:rsidR="00312A9F" w:rsidRPr="00220C32" w:rsidRDefault="00312A9F" w:rsidP="001E76D6">
      <w:pPr>
        <w:spacing w:line="360" w:lineRule="auto"/>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本基金投资的前十名证券的发行主体本期没有出现被监管部门立案调查，或在报告编辑日前一年内受到公开谴责、处罚的情形。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jc w:val="center"/>
        <w:tblInd w:w="15" w:type="dxa"/>
        <w:tblLook w:val="04A0"/>
      </w:tblPr>
      <w:tblGrid>
        <w:gridCol w:w="1235"/>
        <w:gridCol w:w="2470"/>
        <w:gridCol w:w="4610"/>
      </w:tblGrid>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61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23,729.12</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1,889,735.64</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E76D6">
        <w:trPr>
          <w:jc w:val="center"/>
        </w:trPr>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610"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E76D6">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610"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1,913,464.76</w:t>
            </w:r>
          </w:p>
        </w:tc>
      </w:tr>
    </w:tbl>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本基金本报告期末未持有处于转股期的可转换债券。</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本基金本报告期末前十名股票中不存在流通受限的情况。</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jc w:val="center"/>
        <w:tblInd w:w="-106" w:type="dxa"/>
        <w:tblLayout w:type="fixed"/>
        <w:tblLook w:val="0000"/>
      </w:tblPr>
      <w:tblGrid>
        <w:gridCol w:w="4609"/>
        <w:gridCol w:w="3720"/>
      </w:tblGrid>
      <w:tr w:rsidR="00220C32" w:rsidRPr="00220C32" w:rsidTr="001E76D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3720"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219,493,900.09</w:t>
            </w:r>
          </w:p>
        </w:tc>
      </w:tr>
      <w:tr w:rsidR="00220C32" w:rsidRPr="00220C32" w:rsidTr="001E76D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3720"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7,677.36</w:t>
            </w:r>
          </w:p>
        </w:tc>
      </w:tr>
      <w:tr w:rsidR="00220C32" w:rsidRPr="00220C32" w:rsidTr="001E76D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3720"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139,287,313.88</w:t>
            </w:r>
          </w:p>
        </w:tc>
      </w:tr>
      <w:tr w:rsidR="00220C32" w:rsidRPr="00220C32" w:rsidTr="001E76D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3720"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E76D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3720"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80,214,263.57</w:t>
            </w:r>
          </w:p>
        </w:tc>
      </w:tr>
    </w:tbl>
    <w:p w:rsidR="00EB374A" w:rsidRPr="00220C32" w:rsidRDefault="00EB374A" w:rsidP="007253B8">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基金管理人运用固有资金投资本基金情况</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本报告期内，本基金管理人未发生运用固有资金投资本基金的情况。</w:t>
      </w:r>
    </w:p>
    <w:p w:rsidR="008E18F2" w:rsidRPr="00220C32" w:rsidRDefault="008E18F2"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§8影响投资者决策的其他重要信息</w:t>
      </w:r>
    </w:p>
    <w:p w:rsidR="008E18F2" w:rsidRPr="009A5C99" w:rsidRDefault="008E18F2" w:rsidP="008E18F2">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113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567"/>
        <w:gridCol w:w="2694"/>
        <w:gridCol w:w="1836"/>
        <w:gridCol w:w="1046"/>
        <w:gridCol w:w="1396"/>
        <w:gridCol w:w="1747"/>
        <w:gridCol w:w="1391"/>
      </w:tblGrid>
      <w:tr w:rsidR="008E18F2" w:rsidRPr="004F4D27" w:rsidTr="001E76D6">
        <w:trPr>
          <w:jc w:val="center"/>
        </w:trPr>
        <w:tc>
          <w:tcPr>
            <w:tcW w:w="663" w:type="dxa"/>
            <w:vMerge w:val="restart"/>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p>
        </w:tc>
        <w:tc>
          <w:tcPr>
            <w:tcW w:w="7539" w:type="dxa"/>
            <w:gridSpan w:val="5"/>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3138" w:type="dxa"/>
            <w:gridSpan w:val="2"/>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8E18F2" w:rsidRPr="004F4D27" w:rsidTr="001E76D6">
        <w:trPr>
          <w:jc w:val="center"/>
        </w:trPr>
        <w:tc>
          <w:tcPr>
            <w:tcW w:w="663" w:type="dxa"/>
            <w:vMerge/>
            <w:vAlign w:val="center"/>
          </w:tcPr>
          <w:p w:rsidR="008E18F2" w:rsidRPr="004F4D27" w:rsidRDefault="008E18F2" w:rsidP="00682FFA">
            <w:pPr>
              <w:autoSpaceDE w:val="0"/>
              <w:autoSpaceDN w:val="0"/>
              <w:adjustRightInd w:val="0"/>
              <w:jc w:val="center"/>
              <w:rPr>
                <w:rFonts w:ascii="宋体" w:hAnsi="宋体"/>
                <w:b/>
                <w:bCs/>
                <w:color w:val="000000"/>
                <w:kern w:val="0"/>
              </w:rPr>
            </w:pPr>
          </w:p>
        </w:tc>
        <w:tc>
          <w:tcPr>
            <w:tcW w:w="567"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2694"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1836"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期初份额</w:t>
            </w:r>
          </w:p>
        </w:tc>
        <w:tc>
          <w:tcPr>
            <w:tcW w:w="1046"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申购份额</w:t>
            </w:r>
          </w:p>
        </w:tc>
        <w:tc>
          <w:tcPr>
            <w:tcW w:w="1396"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赎回份额</w:t>
            </w:r>
          </w:p>
        </w:tc>
        <w:tc>
          <w:tcPr>
            <w:tcW w:w="1747"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391"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CA384C" w:rsidTr="001E76D6">
        <w:trPr>
          <w:jc w:val="center"/>
        </w:trPr>
        <w:tc>
          <w:tcPr>
            <w:tcW w:w="663" w:type="dxa"/>
            <w:vMerge w:val="restart"/>
          </w:tcPr>
          <w:p w:rsidR="00CA384C" w:rsidRDefault="00CA384C"/>
          <w:p w:rsidR="00CA384C" w:rsidRDefault="001E76D6">
            <w:r>
              <w:rPr>
                <w:rFonts w:ascii="宋体" w:hAnsi="宋体" w:hint="eastAsia"/>
                <w:bCs/>
                <w:color w:val="000000"/>
                <w:kern w:val="0"/>
              </w:rPr>
              <w:t>机构</w:t>
            </w:r>
          </w:p>
        </w:tc>
        <w:tc>
          <w:tcPr>
            <w:tcW w:w="567" w:type="dxa"/>
            <w:vAlign w:val="center"/>
          </w:tcPr>
          <w:p w:rsidR="00CA384C" w:rsidRDefault="001E76D6">
            <w:pPr>
              <w:jc w:val="center"/>
            </w:pPr>
            <w:r>
              <w:rPr>
                <w:rFonts w:ascii="宋体" w:hAnsi="宋体"/>
                <w:color w:val="000000"/>
                <w:kern w:val="0"/>
              </w:rPr>
              <w:t>1</w:t>
            </w:r>
          </w:p>
        </w:tc>
        <w:tc>
          <w:tcPr>
            <w:tcW w:w="2694" w:type="dxa"/>
            <w:vAlign w:val="center"/>
          </w:tcPr>
          <w:p w:rsidR="00CA384C" w:rsidRDefault="001E76D6">
            <w:pPr>
              <w:jc w:val="center"/>
            </w:pPr>
            <w:r>
              <w:rPr>
                <w:rFonts w:ascii="宋体" w:hAnsi="宋体"/>
                <w:color w:val="000000"/>
                <w:kern w:val="0"/>
              </w:rPr>
              <w:t>20180629—20180630</w:t>
            </w:r>
          </w:p>
        </w:tc>
        <w:tc>
          <w:tcPr>
            <w:tcW w:w="1836" w:type="dxa"/>
            <w:vAlign w:val="center"/>
          </w:tcPr>
          <w:p w:rsidR="00CA384C" w:rsidRDefault="001E76D6">
            <w:pPr>
              <w:jc w:val="center"/>
            </w:pPr>
            <w:r>
              <w:rPr>
                <w:rFonts w:ascii="宋体" w:hAnsi="宋体"/>
                <w:color w:val="000000"/>
                <w:kern w:val="0"/>
              </w:rPr>
              <w:t>20,000,600.00</w:t>
            </w:r>
          </w:p>
        </w:tc>
        <w:tc>
          <w:tcPr>
            <w:tcW w:w="1046" w:type="dxa"/>
            <w:vAlign w:val="center"/>
          </w:tcPr>
          <w:p w:rsidR="00CA384C" w:rsidRDefault="001E76D6">
            <w:pPr>
              <w:jc w:val="center"/>
            </w:pPr>
            <w:r>
              <w:rPr>
                <w:rFonts w:ascii="宋体" w:hAnsi="宋体"/>
                <w:color w:val="000000"/>
                <w:kern w:val="0"/>
              </w:rPr>
              <w:t>-</w:t>
            </w:r>
          </w:p>
        </w:tc>
        <w:tc>
          <w:tcPr>
            <w:tcW w:w="1396" w:type="dxa"/>
            <w:vAlign w:val="center"/>
          </w:tcPr>
          <w:p w:rsidR="00CA384C" w:rsidRDefault="001E76D6">
            <w:pPr>
              <w:jc w:val="center"/>
            </w:pPr>
            <w:r>
              <w:rPr>
                <w:rFonts w:ascii="宋体" w:hAnsi="宋体"/>
                <w:color w:val="000000"/>
                <w:kern w:val="0"/>
              </w:rPr>
              <w:t>-</w:t>
            </w:r>
          </w:p>
        </w:tc>
        <w:tc>
          <w:tcPr>
            <w:tcW w:w="1747" w:type="dxa"/>
            <w:vAlign w:val="center"/>
          </w:tcPr>
          <w:p w:rsidR="00CA384C" w:rsidRDefault="001E76D6">
            <w:pPr>
              <w:jc w:val="center"/>
            </w:pPr>
            <w:r>
              <w:rPr>
                <w:rFonts w:ascii="宋体" w:hAnsi="宋体"/>
                <w:color w:val="000000"/>
                <w:kern w:val="0"/>
              </w:rPr>
              <w:t>20,000,600.00</w:t>
            </w:r>
          </w:p>
        </w:tc>
        <w:tc>
          <w:tcPr>
            <w:tcW w:w="1391" w:type="dxa"/>
            <w:vAlign w:val="center"/>
          </w:tcPr>
          <w:p w:rsidR="00CA384C" w:rsidRDefault="001E76D6">
            <w:pPr>
              <w:jc w:val="center"/>
            </w:pPr>
            <w:r>
              <w:rPr>
                <w:rFonts w:ascii="宋体" w:hAnsi="宋体"/>
                <w:color w:val="000000"/>
                <w:kern w:val="0"/>
              </w:rPr>
              <w:t>24.93%</w:t>
            </w:r>
          </w:p>
        </w:tc>
      </w:tr>
      <w:tr w:rsidR="00CA384C" w:rsidTr="001E76D6">
        <w:trPr>
          <w:jc w:val="center"/>
        </w:trPr>
        <w:tc>
          <w:tcPr>
            <w:tcW w:w="663" w:type="dxa"/>
            <w:vMerge/>
          </w:tcPr>
          <w:p w:rsidR="00CA384C" w:rsidRDefault="00CA384C"/>
        </w:tc>
        <w:tc>
          <w:tcPr>
            <w:tcW w:w="567" w:type="dxa"/>
            <w:vAlign w:val="center"/>
          </w:tcPr>
          <w:p w:rsidR="00CA384C" w:rsidRDefault="001E76D6">
            <w:pPr>
              <w:jc w:val="center"/>
            </w:pPr>
            <w:r>
              <w:rPr>
                <w:rFonts w:ascii="宋体" w:hAnsi="宋体"/>
                <w:color w:val="000000"/>
                <w:kern w:val="0"/>
              </w:rPr>
              <w:t>2</w:t>
            </w:r>
          </w:p>
        </w:tc>
        <w:tc>
          <w:tcPr>
            <w:tcW w:w="2694" w:type="dxa"/>
            <w:vAlign w:val="center"/>
          </w:tcPr>
          <w:p w:rsidR="00CA384C" w:rsidRDefault="001E76D6">
            <w:pPr>
              <w:jc w:val="center"/>
            </w:pPr>
            <w:r>
              <w:rPr>
                <w:rFonts w:ascii="宋体" w:hAnsi="宋体"/>
                <w:color w:val="000000"/>
                <w:kern w:val="0"/>
              </w:rPr>
              <w:t>20180628—20180630</w:t>
            </w:r>
          </w:p>
        </w:tc>
        <w:tc>
          <w:tcPr>
            <w:tcW w:w="1836" w:type="dxa"/>
            <w:vAlign w:val="center"/>
          </w:tcPr>
          <w:p w:rsidR="00CA384C" w:rsidRDefault="001E76D6">
            <w:pPr>
              <w:jc w:val="center"/>
            </w:pPr>
            <w:r>
              <w:rPr>
                <w:rFonts w:ascii="宋体" w:hAnsi="宋体"/>
                <w:color w:val="000000"/>
                <w:kern w:val="0"/>
              </w:rPr>
              <w:t>30,003,200.00</w:t>
            </w:r>
          </w:p>
        </w:tc>
        <w:tc>
          <w:tcPr>
            <w:tcW w:w="1046" w:type="dxa"/>
            <w:vAlign w:val="center"/>
          </w:tcPr>
          <w:p w:rsidR="00CA384C" w:rsidRDefault="001E76D6">
            <w:pPr>
              <w:jc w:val="center"/>
            </w:pPr>
            <w:r>
              <w:rPr>
                <w:rFonts w:ascii="宋体" w:hAnsi="宋体"/>
                <w:color w:val="000000"/>
                <w:kern w:val="0"/>
              </w:rPr>
              <w:t>-</w:t>
            </w:r>
          </w:p>
        </w:tc>
        <w:tc>
          <w:tcPr>
            <w:tcW w:w="1396" w:type="dxa"/>
            <w:vAlign w:val="center"/>
          </w:tcPr>
          <w:p w:rsidR="00CA384C" w:rsidRDefault="001E76D6">
            <w:pPr>
              <w:jc w:val="center"/>
            </w:pPr>
            <w:r>
              <w:rPr>
                <w:rFonts w:ascii="宋体" w:hAnsi="宋体"/>
                <w:color w:val="000000"/>
                <w:kern w:val="0"/>
              </w:rPr>
              <w:t>-</w:t>
            </w:r>
          </w:p>
        </w:tc>
        <w:tc>
          <w:tcPr>
            <w:tcW w:w="1747" w:type="dxa"/>
            <w:vAlign w:val="center"/>
          </w:tcPr>
          <w:p w:rsidR="00CA384C" w:rsidRDefault="001E76D6">
            <w:pPr>
              <w:jc w:val="center"/>
            </w:pPr>
            <w:r>
              <w:rPr>
                <w:rFonts w:ascii="宋体" w:hAnsi="宋体"/>
                <w:color w:val="000000"/>
                <w:kern w:val="0"/>
              </w:rPr>
              <w:t>30,003,200.00</w:t>
            </w:r>
          </w:p>
        </w:tc>
        <w:tc>
          <w:tcPr>
            <w:tcW w:w="1391" w:type="dxa"/>
            <w:vAlign w:val="center"/>
          </w:tcPr>
          <w:p w:rsidR="00CA384C" w:rsidRDefault="001E76D6">
            <w:pPr>
              <w:jc w:val="center"/>
            </w:pPr>
            <w:r>
              <w:rPr>
                <w:rFonts w:ascii="宋体" w:hAnsi="宋体"/>
                <w:color w:val="000000"/>
                <w:kern w:val="0"/>
              </w:rPr>
              <w:t>37.40%</w:t>
            </w:r>
          </w:p>
        </w:tc>
      </w:tr>
      <w:tr w:rsidR="00CA384C" w:rsidTr="001E76D6">
        <w:trPr>
          <w:jc w:val="center"/>
        </w:trPr>
        <w:tc>
          <w:tcPr>
            <w:tcW w:w="663" w:type="dxa"/>
            <w:vMerge/>
          </w:tcPr>
          <w:p w:rsidR="00CA384C" w:rsidRDefault="00CA384C"/>
        </w:tc>
        <w:tc>
          <w:tcPr>
            <w:tcW w:w="567" w:type="dxa"/>
            <w:vAlign w:val="center"/>
          </w:tcPr>
          <w:p w:rsidR="00CA384C" w:rsidRDefault="001E76D6">
            <w:pPr>
              <w:jc w:val="center"/>
            </w:pPr>
            <w:r>
              <w:rPr>
                <w:rFonts w:ascii="宋体" w:hAnsi="宋体"/>
                <w:color w:val="000000"/>
                <w:kern w:val="0"/>
              </w:rPr>
              <w:t>3</w:t>
            </w:r>
          </w:p>
        </w:tc>
        <w:tc>
          <w:tcPr>
            <w:tcW w:w="2694" w:type="dxa"/>
            <w:vAlign w:val="center"/>
          </w:tcPr>
          <w:p w:rsidR="00CA384C" w:rsidRDefault="001E76D6">
            <w:pPr>
              <w:jc w:val="center"/>
            </w:pPr>
            <w:r>
              <w:rPr>
                <w:rFonts w:ascii="宋体" w:hAnsi="宋体"/>
                <w:color w:val="000000"/>
                <w:kern w:val="0"/>
              </w:rPr>
              <w:t>20180629—20180630</w:t>
            </w:r>
          </w:p>
        </w:tc>
        <w:tc>
          <w:tcPr>
            <w:tcW w:w="1836" w:type="dxa"/>
            <w:vAlign w:val="center"/>
          </w:tcPr>
          <w:p w:rsidR="00CA384C" w:rsidRDefault="001E76D6">
            <w:pPr>
              <w:jc w:val="center"/>
            </w:pPr>
            <w:r>
              <w:rPr>
                <w:rFonts w:ascii="宋体" w:hAnsi="宋体"/>
                <w:color w:val="000000"/>
                <w:kern w:val="0"/>
              </w:rPr>
              <w:t>19,998,600.00</w:t>
            </w:r>
          </w:p>
        </w:tc>
        <w:tc>
          <w:tcPr>
            <w:tcW w:w="1046" w:type="dxa"/>
            <w:vAlign w:val="center"/>
          </w:tcPr>
          <w:p w:rsidR="00CA384C" w:rsidRDefault="001E76D6">
            <w:pPr>
              <w:jc w:val="center"/>
            </w:pPr>
            <w:r>
              <w:rPr>
                <w:rFonts w:ascii="宋体" w:hAnsi="宋体"/>
                <w:color w:val="000000"/>
                <w:kern w:val="0"/>
              </w:rPr>
              <w:t>-</w:t>
            </w:r>
          </w:p>
        </w:tc>
        <w:tc>
          <w:tcPr>
            <w:tcW w:w="1396" w:type="dxa"/>
            <w:vAlign w:val="center"/>
          </w:tcPr>
          <w:p w:rsidR="00CA384C" w:rsidRDefault="001E76D6">
            <w:pPr>
              <w:jc w:val="center"/>
            </w:pPr>
            <w:r>
              <w:rPr>
                <w:rFonts w:ascii="宋体" w:hAnsi="宋体"/>
                <w:color w:val="000000"/>
                <w:kern w:val="0"/>
              </w:rPr>
              <w:t>-</w:t>
            </w:r>
          </w:p>
        </w:tc>
        <w:tc>
          <w:tcPr>
            <w:tcW w:w="1747" w:type="dxa"/>
            <w:vAlign w:val="center"/>
          </w:tcPr>
          <w:p w:rsidR="00CA384C" w:rsidRDefault="001E76D6">
            <w:pPr>
              <w:jc w:val="center"/>
            </w:pPr>
            <w:r>
              <w:rPr>
                <w:rFonts w:ascii="宋体" w:hAnsi="宋体"/>
                <w:color w:val="000000"/>
                <w:kern w:val="0"/>
              </w:rPr>
              <w:t>19,998,600.00</w:t>
            </w:r>
          </w:p>
        </w:tc>
        <w:tc>
          <w:tcPr>
            <w:tcW w:w="1391" w:type="dxa"/>
            <w:vAlign w:val="center"/>
          </w:tcPr>
          <w:p w:rsidR="00CA384C" w:rsidRDefault="001E76D6">
            <w:pPr>
              <w:jc w:val="center"/>
            </w:pPr>
            <w:r>
              <w:rPr>
                <w:rFonts w:ascii="宋体" w:hAnsi="宋体"/>
                <w:color w:val="000000"/>
                <w:kern w:val="0"/>
              </w:rPr>
              <w:t>24.93%</w:t>
            </w:r>
          </w:p>
        </w:tc>
      </w:tr>
      <w:tr w:rsidR="008E18F2" w:rsidRPr="004F4D27" w:rsidTr="001E76D6">
        <w:trPr>
          <w:jc w:val="center"/>
        </w:trPr>
        <w:tc>
          <w:tcPr>
            <w:tcW w:w="11340" w:type="dxa"/>
            <w:gridSpan w:val="8"/>
            <w:vAlign w:val="center"/>
          </w:tcPr>
          <w:p w:rsidR="008E18F2" w:rsidRPr="004F4D27" w:rsidRDefault="008E18F2" w:rsidP="00682FFA">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8E18F2" w:rsidRPr="004F4D27" w:rsidTr="001E76D6">
        <w:trPr>
          <w:jc w:val="center"/>
        </w:trPr>
        <w:tc>
          <w:tcPr>
            <w:tcW w:w="11340" w:type="dxa"/>
            <w:gridSpan w:val="8"/>
            <w:vAlign w:val="center"/>
          </w:tcPr>
          <w:p w:rsidR="008E18F2" w:rsidRPr="004F4D27" w:rsidRDefault="008E18F2" w:rsidP="00682FFA">
            <w:pPr>
              <w:autoSpaceDE w:val="0"/>
              <w:autoSpaceDN w:val="0"/>
              <w:adjustRightInd w:val="0"/>
              <w:jc w:val="left"/>
              <w:rPr>
                <w:rFonts w:ascii="宋体" w:hAnsi="宋体"/>
                <w:kern w:val="0"/>
              </w:rPr>
            </w:pPr>
            <w:r w:rsidRPr="004F4D27">
              <w:rPr>
                <w:rFonts w:ascii="宋体" w:hAnsi="宋体" w:hint="eastAsia"/>
                <w:kern w:val="0"/>
              </w:rPr>
              <w:t>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w:t>
            </w:r>
          </w:p>
        </w:tc>
      </w:tr>
    </w:tbl>
    <w:p w:rsidR="008E18F2" w:rsidRPr="009A5C99" w:rsidRDefault="008E18F2" w:rsidP="008E18F2">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8.2 影响投资者决策的其他重要信息</w:t>
      </w:r>
    </w:p>
    <w:p w:rsidR="008E18F2" w:rsidRPr="004F4D27" w:rsidRDefault="008E18F2" w:rsidP="008E18F2">
      <w:pPr>
        <w:spacing w:line="360" w:lineRule="auto"/>
        <w:ind w:firstLineChars="200" w:firstLine="420"/>
        <w:rPr>
          <w:rFonts w:ascii="宋体" w:hAnsi="宋体"/>
          <w:color w:val="000000"/>
        </w:rPr>
      </w:pPr>
      <w:r w:rsidRPr="004F4D27">
        <w:rPr>
          <w:rFonts w:ascii="宋体" w:hAnsi="宋体"/>
          <w:color w:val="000000"/>
        </w:rPr>
        <w:t>根据本基金基金合同的约定，本基金的第一个开放期为2018年6月27日（含该日）至2018年7月3日（含该日）。本次开放期结束后，本基金基金资产净值加上当日交易申请确认的净申购金额后的余额低于5000万元，触发了基金合同中约定的基金合同终止条款，本基金自2018年7月5日起进入清算程序。详见本基金管理人于2018年6月23日、7月5日发布的公告。</w:t>
      </w:r>
    </w:p>
    <w:p w:rsidR="004061AC" w:rsidRPr="00220C32" w:rsidRDefault="004061AC" w:rsidP="007253B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hint="eastAsia"/>
          <w:b/>
          <w:bCs/>
          <w:color w:val="000000" w:themeColor="text1"/>
          <w:kern w:val="0"/>
          <w:sz w:val="24"/>
          <w:szCs w:val="24"/>
        </w:rPr>
        <w:t>备查文件目录</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基金合同；</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招募说明书及其定期更新；</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发售公告；</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成立公告；</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开放日常交易业务公告；</w:t>
      </w:r>
    </w:p>
    <w:p w:rsidR="00CA384C" w:rsidRDefault="001E76D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定期报告；</w:t>
      </w:r>
    </w:p>
    <w:p w:rsidR="006A48FD" w:rsidRPr="00220C32" w:rsidRDefault="006D7FF8" w:rsidP="001E76D6">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其他临时公告。</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hint="eastAsia"/>
          <w:b/>
          <w:bCs/>
          <w:color w:val="000000" w:themeColor="text1"/>
          <w:kern w:val="0"/>
          <w:sz w:val="24"/>
          <w:szCs w:val="24"/>
        </w:rPr>
        <w:t>存放地点</w:t>
      </w:r>
    </w:p>
    <w:p w:rsidR="006A48FD" w:rsidRPr="00220C32" w:rsidRDefault="006D7FF8" w:rsidP="001E76D6">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上述备查文件中基金合同、招募说明书及其定期更新、基金发售公告和基金成立公告均放置于本基金管理人及基金托管人的住所；开放日常交易业务公告、定期报告和其他临时公告放置于本基金管理人的住所。本基金管理人住所地址为：中国上海市中山南路100号11层。</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hint="eastAsia"/>
          <w:b/>
          <w:bCs/>
          <w:color w:val="000000" w:themeColor="text1"/>
          <w:kern w:val="0"/>
          <w:sz w:val="24"/>
          <w:szCs w:val="24"/>
        </w:rPr>
        <w:t>查阅方式</w:t>
      </w:r>
    </w:p>
    <w:p w:rsidR="00C71497" w:rsidRPr="00220C32" w:rsidRDefault="006D7FF8" w:rsidP="001E76D6">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上述文件均可到本基金管理人的住所进行查阅，也可在本基金管理人的网站进行查阅，查询网址：www.swsmu.com。</w:t>
      </w: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申万菱信基金管理有限公司</w:t>
      </w:r>
    </w:p>
    <w:p w:rsidR="00304A12" w:rsidRPr="00220C32" w:rsidRDefault="00945AF6" w:rsidP="000F15ED">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二〇一八年七月十九日</w:t>
      </w: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2F" w:rsidRDefault="00B86B2F" w:rsidP="00876D65">
      <w:r>
        <w:separator/>
      </w:r>
    </w:p>
  </w:endnote>
  <w:endnote w:type="continuationSeparator" w:id="1">
    <w:p w:rsidR="00B86B2F" w:rsidRDefault="00B86B2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8B7C72" w:rsidRPr="008B7C72">
      <w:fldChar w:fldCharType="begin"/>
    </w:r>
    <w:r>
      <w:instrText xml:space="preserve"> PAGE   \* MERGEFORMAT </w:instrText>
    </w:r>
    <w:r w:rsidR="008B7C72" w:rsidRPr="008B7C72">
      <w:fldChar w:fldCharType="separate"/>
    </w:r>
    <w:r w:rsidR="007253B8" w:rsidRPr="007253B8">
      <w:rPr>
        <w:noProof/>
        <w:lang w:val="zh-CN"/>
      </w:rPr>
      <w:t>1</w:t>
    </w:r>
    <w:r w:rsidR="008B7C7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8B7C72">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7253B8">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2F" w:rsidRDefault="00B86B2F" w:rsidP="00876D65">
      <w:r>
        <w:separator/>
      </w:r>
    </w:p>
  </w:footnote>
  <w:footnote w:type="continuationSeparator" w:id="1">
    <w:p w:rsidR="00B86B2F" w:rsidRDefault="00B86B2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申万菱信安泰添利纯债一年定期开放债券型证券投资基金</w:t>
    </w:r>
    <w:r w:rsidRPr="007120CC">
      <w:rPr>
        <w:rFonts w:hint="eastAsia"/>
      </w:rPr>
      <w:t>2018</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2677"/>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15ED"/>
    <w:rsid w:val="000F551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A7A5E"/>
    <w:rsid w:val="001B0A62"/>
    <w:rsid w:val="001B2F35"/>
    <w:rsid w:val="001C0993"/>
    <w:rsid w:val="001C78B2"/>
    <w:rsid w:val="001C79F2"/>
    <w:rsid w:val="001D63BB"/>
    <w:rsid w:val="001D6A4B"/>
    <w:rsid w:val="001E4630"/>
    <w:rsid w:val="001E76D6"/>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2F03"/>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53B8"/>
    <w:rsid w:val="00727FCD"/>
    <w:rsid w:val="00733DDD"/>
    <w:rsid w:val="00750CDF"/>
    <w:rsid w:val="00752BA5"/>
    <w:rsid w:val="00753A7D"/>
    <w:rsid w:val="00755D86"/>
    <w:rsid w:val="00767C98"/>
    <w:rsid w:val="00770971"/>
    <w:rsid w:val="00796CA8"/>
    <w:rsid w:val="00797305"/>
    <w:rsid w:val="00797EC6"/>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B7C72"/>
    <w:rsid w:val="008C75E7"/>
    <w:rsid w:val="008C7CA8"/>
    <w:rsid w:val="008D09EC"/>
    <w:rsid w:val="008E07EB"/>
    <w:rsid w:val="008E18F2"/>
    <w:rsid w:val="008E2DCB"/>
    <w:rsid w:val="008E326D"/>
    <w:rsid w:val="008F5F67"/>
    <w:rsid w:val="008F60F2"/>
    <w:rsid w:val="0090217D"/>
    <w:rsid w:val="009027EF"/>
    <w:rsid w:val="00905C5E"/>
    <w:rsid w:val="009078DC"/>
    <w:rsid w:val="00921AC7"/>
    <w:rsid w:val="00924582"/>
    <w:rsid w:val="00931291"/>
    <w:rsid w:val="0093367D"/>
    <w:rsid w:val="00936B5F"/>
    <w:rsid w:val="00941CB5"/>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6B2F"/>
    <w:rsid w:val="00B87214"/>
    <w:rsid w:val="00B92FF5"/>
    <w:rsid w:val="00B959E6"/>
    <w:rsid w:val="00BA604D"/>
    <w:rsid w:val="00BC4585"/>
    <w:rsid w:val="00BC50F1"/>
    <w:rsid w:val="00BC68C4"/>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384C"/>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DDE"/>
    <w:rsid w:val="00E44E18"/>
    <w:rsid w:val="00E54301"/>
    <w:rsid w:val="00E55ABD"/>
    <w:rsid w:val="00E60817"/>
    <w:rsid w:val="00E71F78"/>
    <w:rsid w:val="00E8518C"/>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380F"/>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346328">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833686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395D-6CF7-47DA-AB44-5CC3D77F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Office Word</Application>
  <DocSecurity>4</DocSecurity>
  <Lines>47</Lines>
  <Paragraphs>13</Paragraphs>
  <ScaleCrop>false</ScaleCrop>
  <Company>Microsoft</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2018-07-18T18:01:00Z</dcterms:created>
  <dcterms:modified xsi:type="dcterms:W3CDTF">2018-07-18T18:01:00Z</dcterms:modified>
</cp:coreProperties>
</file>