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AB" w:rsidRPr="004A69BC" w:rsidRDefault="003A7EAB" w:rsidP="004A69BC">
      <w:pPr>
        <w:widowControl/>
        <w:spacing w:line="480" w:lineRule="atLeast"/>
        <w:jc w:val="center"/>
        <w:outlineLvl w:val="2"/>
        <w:rPr>
          <w:rFonts w:asciiTheme="minorEastAsia" w:hAnsiTheme="minorEastAsia" w:cs="宋体"/>
          <w:b/>
          <w:color w:val="333333"/>
          <w:kern w:val="0"/>
          <w:sz w:val="28"/>
          <w:szCs w:val="28"/>
        </w:rPr>
      </w:pPr>
      <w:r w:rsidRPr="004A69BC">
        <w:rPr>
          <w:rFonts w:asciiTheme="minorEastAsia" w:hAnsiTheme="minorEastAsia" w:cs="宋体" w:hint="eastAsia"/>
          <w:b/>
          <w:color w:val="333333"/>
          <w:kern w:val="0"/>
          <w:sz w:val="28"/>
          <w:szCs w:val="28"/>
        </w:rPr>
        <w:t>关于</w:t>
      </w:r>
      <w:r w:rsidR="004A69BC" w:rsidRPr="004A69BC">
        <w:rPr>
          <w:rFonts w:asciiTheme="minorEastAsia" w:hAnsiTheme="minorEastAsia" w:cs="宋体" w:hint="eastAsia"/>
          <w:b/>
          <w:color w:val="333333"/>
          <w:kern w:val="0"/>
          <w:sz w:val="28"/>
          <w:szCs w:val="28"/>
        </w:rPr>
        <w:t>上投摩根安腾回报混合型证券投资基金</w:t>
      </w:r>
      <w:r w:rsidRPr="004A69BC">
        <w:rPr>
          <w:rFonts w:asciiTheme="minorEastAsia" w:hAnsiTheme="minorEastAsia" w:cs="宋体" w:hint="eastAsia"/>
          <w:b/>
          <w:color w:val="333333"/>
          <w:kern w:val="0"/>
          <w:sz w:val="28"/>
          <w:szCs w:val="28"/>
        </w:rPr>
        <w:t>基金合同终止及基金财产清算的公告</w:t>
      </w:r>
    </w:p>
    <w:p w:rsidR="004A69BC" w:rsidRDefault="004A69BC" w:rsidP="003A7EAB">
      <w:pPr>
        <w:widowControl/>
        <w:spacing w:line="315" w:lineRule="atLeast"/>
        <w:ind w:firstLine="420"/>
        <w:jc w:val="left"/>
        <w:rPr>
          <w:rFonts w:asciiTheme="minorEastAsia" w:hAnsiTheme="minorEastAsia" w:cs="Calibri"/>
          <w:color w:val="666666"/>
          <w:kern w:val="0"/>
          <w:sz w:val="24"/>
          <w:szCs w:val="24"/>
        </w:rPr>
      </w:pP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根据《中华人民共和国证券投资基金法》、《公开募集证券投资基金运作管理办法》、《</w:t>
      </w:r>
      <w:r w:rsidR="004A69BC" w:rsidRPr="004A69BC">
        <w:rPr>
          <w:rFonts w:asciiTheme="minorEastAsia" w:hAnsiTheme="minorEastAsia" w:cs="Calibri" w:hint="eastAsia"/>
          <w:color w:val="666666"/>
          <w:kern w:val="0"/>
          <w:sz w:val="24"/>
          <w:szCs w:val="24"/>
        </w:rPr>
        <w:t>上投摩根安腾回报混合型证券投资基金</w:t>
      </w:r>
      <w:r w:rsidRPr="004A69BC">
        <w:rPr>
          <w:rFonts w:asciiTheme="minorEastAsia" w:hAnsiTheme="minorEastAsia" w:cs="Calibri" w:hint="eastAsia"/>
          <w:color w:val="666666"/>
          <w:kern w:val="0"/>
          <w:sz w:val="24"/>
          <w:szCs w:val="24"/>
        </w:rPr>
        <w:t>基金合同》（以下简称“</w:t>
      </w:r>
      <w:r w:rsidR="00D551CB">
        <w:rPr>
          <w:rFonts w:asciiTheme="minorEastAsia" w:hAnsiTheme="minorEastAsia" w:cs="Calibri" w:hint="eastAsia"/>
          <w:color w:val="666666"/>
          <w:kern w:val="0"/>
          <w:sz w:val="24"/>
          <w:szCs w:val="24"/>
        </w:rPr>
        <w:t>本</w:t>
      </w:r>
      <w:r w:rsidRPr="004A69BC">
        <w:rPr>
          <w:rFonts w:asciiTheme="minorEastAsia" w:hAnsiTheme="minorEastAsia" w:cs="Calibri" w:hint="eastAsia"/>
          <w:color w:val="666666"/>
          <w:kern w:val="0"/>
          <w:sz w:val="24"/>
          <w:szCs w:val="24"/>
        </w:rPr>
        <w:t>基金合同”）的有关规定，</w:t>
      </w:r>
      <w:r w:rsidR="004A69BC" w:rsidRPr="004A69BC">
        <w:rPr>
          <w:rFonts w:asciiTheme="minorEastAsia" w:hAnsiTheme="minorEastAsia" w:cs="Calibri" w:hint="eastAsia"/>
          <w:color w:val="666666"/>
          <w:kern w:val="0"/>
          <w:sz w:val="24"/>
          <w:szCs w:val="24"/>
        </w:rPr>
        <w:t>上投摩根安腾回报混合型证券投资基金</w:t>
      </w:r>
      <w:r w:rsidRPr="004A69BC">
        <w:rPr>
          <w:rFonts w:asciiTheme="minorEastAsia" w:hAnsiTheme="minorEastAsia" w:cs="Calibri" w:hint="eastAsia"/>
          <w:color w:val="666666"/>
          <w:kern w:val="0"/>
          <w:sz w:val="24"/>
          <w:szCs w:val="24"/>
        </w:rPr>
        <w:t>（以下简称“本基金”）出现了基金合同终止事由，</w:t>
      </w:r>
      <w:r w:rsidR="00E263F6">
        <w:rPr>
          <w:rFonts w:asciiTheme="minorEastAsia" w:hAnsiTheme="minorEastAsia" w:cs="Calibri" w:hint="eastAsia"/>
          <w:color w:val="666666"/>
          <w:kern w:val="0"/>
          <w:sz w:val="24"/>
          <w:szCs w:val="24"/>
        </w:rPr>
        <w:t>上投摩根基金管理有限公司</w:t>
      </w:r>
      <w:r w:rsidRPr="004A69BC">
        <w:rPr>
          <w:rFonts w:asciiTheme="minorEastAsia" w:hAnsiTheme="minorEastAsia" w:cs="Calibri" w:hint="eastAsia"/>
          <w:color w:val="666666"/>
          <w:kern w:val="0"/>
          <w:sz w:val="24"/>
          <w:szCs w:val="24"/>
        </w:rPr>
        <w:t>（以下简称“本基金管理人”）应当在上述事由出现后终止基金合同并依法履行基金财产清算程序，且本次事项不需召开基金份额持有人大会。现将相关事宜公告如下：</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color w:val="666666"/>
          <w:kern w:val="0"/>
          <w:sz w:val="24"/>
          <w:szCs w:val="24"/>
        </w:rPr>
        <w:t> </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b/>
          <w:bCs/>
          <w:color w:val="666666"/>
          <w:kern w:val="0"/>
          <w:sz w:val="24"/>
          <w:szCs w:val="24"/>
        </w:rPr>
        <w:t>一、本基金基本信息</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基金名称：</w:t>
      </w:r>
      <w:r w:rsidR="004A69BC" w:rsidRPr="004A69BC">
        <w:rPr>
          <w:rFonts w:asciiTheme="minorEastAsia" w:hAnsiTheme="minorEastAsia" w:cs="Calibri" w:hint="eastAsia"/>
          <w:color w:val="666666"/>
          <w:kern w:val="0"/>
          <w:sz w:val="24"/>
          <w:szCs w:val="24"/>
        </w:rPr>
        <w:t>上投摩根安腾回报混合型证券投资基金</w:t>
      </w:r>
    </w:p>
    <w:p w:rsidR="003A7EAB" w:rsidRPr="004A69BC" w:rsidRDefault="00E263F6" w:rsidP="003A7EAB">
      <w:pPr>
        <w:widowControl/>
        <w:spacing w:line="315" w:lineRule="atLeast"/>
        <w:ind w:firstLine="420"/>
        <w:jc w:val="left"/>
        <w:rPr>
          <w:rFonts w:asciiTheme="minorEastAsia" w:hAnsiTheme="minorEastAsia" w:cs="Calibri"/>
          <w:color w:val="666666"/>
          <w:kern w:val="0"/>
          <w:sz w:val="24"/>
          <w:szCs w:val="24"/>
        </w:rPr>
      </w:pPr>
      <w:r>
        <w:rPr>
          <w:rFonts w:asciiTheme="minorEastAsia" w:hAnsiTheme="minorEastAsia" w:cs="Calibri" w:hint="eastAsia"/>
          <w:color w:val="666666"/>
          <w:kern w:val="0"/>
          <w:sz w:val="24"/>
          <w:szCs w:val="24"/>
        </w:rPr>
        <w:t>基金</w:t>
      </w:r>
      <w:r w:rsidR="003A7EAB" w:rsidRPr="004A69BC">
        <w:rPr>
          <w:rFonts w:asciiTheme="minorEastAsia" w:hAnsiTheme="minorEastAsia" w:cs="Calibri" w:hint="eastAsia"/>
          <w:color w:val="666666"/>
          <w:kern w:val="0"/>
          <w:sz w:val="24"/>
          <w:szCs w:val="24"/>
        </w:rPr>
        <w:t>代码：</w:t>
      </w:r>
      <w:r>
        <w:rPr>
          <w:rFonts w:cs="宋体" w:hint="eastAsia"/>
          <w:kern w:val="0"/>
          <w:sz w:val="24"/>
          <w:szCs w:val="21"/>
        </w:rPr>
        <w:t>安腾</w:t>
      </w:r>
      <w:r w:rsidRPr="00616C1C">
        <w:rPr>
          <w:rFonts w:cs="宋体" w:hint="eastAsia"/>
          <w:kern w:val="0"/>
          <w:sz w:val="24"/>
          <w:szCs w:val="21"/>
        </w:rPr>
        <w:t>回报</w:t>
      </w:r>
      <w:r w:rsidRPr="00616C1C">
        <w:rPr>
          <w:rFonts w:cs="宋体" w:hint="eastAsia"/>
          <w:kern w:val="0"/>
          <w:sz w:val="24"/>
          <w:szCs w:val="21"/>
        </w:rPr>
        <w:t>A</w:t>
      </w:r>
      <w:r w:rsidRPr="00616C1C">
        <w:rPr>
          <w:rFonts w:cs="宋体" w:hint="eastAsia"/>
          <w:kern w:val="0"/>
          <w:sz w:val="24"/>
          <w:szCs w:val="21"/>
        </w:rPr>
        <w:t>：</w:t>
      </w:r>
      <w:r w:rsidRPr="00616C1C">
        <w:rPr>
          <w:rFonts w:cs="宋体" w:hint="eastAsia"/>
          <w:kern w:val="0"/>
          <w:sz w:val="24"/>
          <w:szCs w:val="21"/>
        </w:rPr>
        <w:t>0047</w:t>
      </w:r>
      <w:r>
        <w:rPr>
          <w:rFonts w:cs="宋体" w:hint="eastAsia"/>
          <w:kern w:val="0"/>
          <w:sz w:val="24"/>
          <w:szCs w:val="21"/>
        </w:rPr>
        <w:t>78</w:t>
      </w:r>
      <w:r w:rsidRPr="00616C1C">
        <w:rPr>
          <w:rFonts w:cs="宋体" w:hint="eastAsia"/>
          <w:kern w:val="0"/>
          <w:sz w:val="24"/>
          <w:szCs w:val="21"/>
        </w:rPr>
        <w:t>；</w:t>
      </w:r>
      <w:r>
        <w:rPr>
          <w:rFonts w:cs="宋体" w:hint="eastAsia"/>
          <w:kern w:val="0"/>
          <w:sz w:val="24"/>
          <w:szCs w:val="21"/>
        </w:rPr>
        <w:t>安腾</w:t>
      </w:r>
      <w:r w:rsidRPr="00616C1C">
        <w:rPr>
          <w:rFonts w:cs="宋体" w:hint="eastAsia"/>
          <w:kern w:val="0"/>
          <w:sz w:val="24"/>
          <w:szCs w:val="21"/>
        </w:rPr>
        <w:t>回报</w:t>
      </w:r>
      <w:r w:rsidRPr="00616C1C">
        <w:rPr>
          <w:rFonts w:cs="宋体" w:hint="eastAsia"/>
          <w:kern w:val="0"/>
          <w:sz w:val="24"/>
          <w:szCs w:val="21"/>
        </w:rPr>
        <w:t>C</w:t>
      </w:r>
      <w:r w:rsidRPr="00616C1C">
        <w:rPr>
          <w:rFonts w:cs="宋体" w:hint="eastAsia"/>
          <w:kern w:val="0"/>
          <w:sz w:val="24"/>
          <w:szCs w:val="21"/>
        </w:rPr>
        <w:t>：</w:t>
      </w:r>
      <w:r w:rsidRPr="00616C1C">
        <w:rPr>
          <w:rFonts w:cs="宋体" w:hint="eastAsia"/>
          <w:kern w:val="0"/>
          <w:sz w:val="24"/>
          <w:szCs w:val="21"/>
        </w:rPr>
        <w:t>0047</w:t>
      </w:r>
      <w:r>
        <w:rPr>
          <w:rFonts w:cs="宋体" w:hint="eastAsia"/>
          <w:kern w:val="0"/>
          <w:sz w:val="24"/>
          <w:szCs w:val="21"/>
        </w:rPr>
        <w:t>7</w:t>
      </w:r>
      <w:r w:rsidRPr="00616C1C">
        <w:rPr>
          <w:rFonts w:cs="宋体" w:hint="eastAsia"/>
          <w:kern w:val="0"/>
          <w:sz w:val="24"/>
          <w:szCs w:val="21"/>
        </w:rPr>
        <w:t>9</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基金运作方式：契约型开放式</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基金合同生效日：201</w:t>
      </w:r>
      <w:r w:rsidR="008E7750">
        <w:rPr>
          <w:rFonts w:asciiTheme="minorEastAsia" w:hAnsiTheme="minorEastAsia" w:cs="Calibri"/>
          <w:color w:val="666666"/>
          <w:kern w:val="0"/>
          <w:sz w:val="24"/>
          <w:szCs w:val="24"/>
        </w:rPr>
        <w:t>8</w:t>
      </w:r>
      <w:r w:rsidRPr="004A69BC">
        <w:rPr>
          <w:rFonts w:asciiTheme="minorEastAsia" w:hAnsiTheme="minorEastAsia" w:cs="Calibri" w:hint="eastAsia"/>
          <w:color w:val="666666"/>
          <w:kern w:val="0"/>
          <w:sz w:val="24"/>
          <w:szCs w:val="24"/>
        </w:rPr>
        <w:t>年</w:t>
      </w:r>
      <w:r w:rsidR="008E7750">
        <w:rPr>
          <w:rFonts w:asciiTheme="minorEastAsia" w:hAnsiTheme="minorEastAsia" w:cs="Calibri"/>
          <w:color w:val="666666"/>
          <w:kern w:val="0"/>
          <w:sz w:val="24"/>
          <w:szCs w:val="24"/>
        </w:rPr>
        <w:t>2</w:t>
      </w:r>
      <w:r w:rsidRPr="004A69BC">
        <w:rPr>
          <w:rFonts w:asciiTheme="minorEastAsia" w:hAnsiTheme="minorEastAsia" w:cs="Calibri" w:hint="eastAsia"/>
          <w:color w:val="666666"/>
          <w:kern w:val="0"/>
          <w:sz w:val="24"/>
          <w:szCs w:val="24"/>
        </w:rPr>
        <w:t>月2</w:t>
      </w:r>
      <w:r w:rsidR="00B272F3">
        <w:rPr>
          <w:rFonts w:asciiTheme="minorEastAsia" w:hAnsiTheme="minorEastAsia" w:cs="Calibri" w:hint="eastAsia"/>
          <w:color w:val="666666"/>
          <w:kern w:val="0"/>
          <w:sz w:val="24"/>
          <w:szCs w:val="24"/>
        </w:rPr>
        <w:t>7</w:t>
      </w:r>
      <w:r w:rsidRPr="004A69BC">
        <w:rPr>
          <w:rFonts w:asciiTheme="minorEastAsia" w:hAnsiTheme="minorEastAsia" w:cs="Calibri" w:hint="eastAsia"/>
          <w:color w:val="666666"/>
          <w:kern w:val="0"/>
          <w:sz w:val="24"/>
          <w:szCs w:val="24"/>
        </w:rPr>
        <w:t>日</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基金管理人名称：</w:t>
      </w:r>
      <w:r w:rsidR="00E263F6">
        <w:rPr>
          <w:rFonts w:asciiTheme="minorEastAsia" w:hAnsiTheme="minorEastAsia" w:cs="Calibri" w:hint="eastAsia"/>
          <w:color w:val="666666"/>
          <w:kern w:val="0"/>
          <w:sz w:val="24"/>
          <w:szCs w:val="24"/>
        </w:rPr>
        <w:t>上投摩根基金管理有限公司</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基金托管人名称：</w:t>
      </w:r>
      <w:r w:rsidR="00E263F6">
        <w:rPr>
          <w:rFonts w:asciiTheme="minorEastAsia" w:hAnsiTheme="minorEastAsia" w:cs="Calibri" w:hint="eastAsia"/>
          <w:color w:val="666666"/>
          <w:kern w:val="0"/>
          <w:sz w:val="24"/>
          <w:szCs w:val="24"/>
        </w:rPr>
        <w:t>北京</w:t>
      </w:r>
      <w:r w:rsidRPr="004A69BC">
        <w:rPr>
          <w:rFonts w:asciiTheme="minorEastAsia" w:hAnsiTheme="minorEastAsia" w:cs="Calibri" w:hint="eastAsia"/>
          <w:color w:val="666666"/>
          <w:kern w:val="0"/>
          <w:sz w:val="24"/>
          <w:szCs w:val="24"/>
        </w:rPr>
        <w:t>银行股份有限公司</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公告依据：《中华人民共和国证券投资基金法》、《公开募集证券投资基金运作管理办法》、《证券投资基金信息披露管理办法》、《基金合同》、《</w:t>
      </w:r>
      <w:r w:rsidR="004A69BC" w:rsidRPr="004A69BC">
        <w:rPr>
          <w:rFonts w:asciiTheme="minorEastAsia" w:hAnsiTheme="minorEastAsia" w:cs="Calibri" w:hint="eastAsia"/>
          <w:color w:val="666666"/>
          <w:kern w:val="0"/>
          <w:sz w:val="24"/>
          <w:szCs w:val="24"/>
        </w:rPr>
        <w:t>上投摩根安腾回报混合型证券投资基金</w:t>
      </w:r>
      <w:r w:rsidRPr="004A69BC">
        <w:rPr>
          <w:rFonts w:asciiTheme="minorEastAsia" w:hAnsiTheme="minorEastAsia" w:cs="Calibri" w:hint="eastAsia"/>
          <w:color w:val="666666"/>
          <w:kern w:val="0"/>
          <w:sz w:val="24"/>
          <w:szCs w:val="24"/>
        </w:rPr>
        <w:t>招募说明书》</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color w:val="666666"/>
          <w:kern w:val="0"/>
          <w:sz w:val="24"/>
          <w:szCs w:val="24"/>
        </w:rPr>
        <w:t> </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b/>
          <w:bCs/>
          <w:color w:val="666666"/>
          <w:kern w:val="0"/>
          <w:sz w:val="24"/>
          <w:szCs w:val="24"/>
        </w:rPr>
        <w:t>二、基金合同终止事由</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根据《基金合同》“第五部分 基金备案”中“三、基金存续期内的基金份额持有人数量和资产规模”的约定：</w:t>
      </w:r>
    </w:p>
    <w:p w:rsidR="00D551CB" w:rsidRPr="00D551CB" w:rsidRDefault="00D551CB" w:rsidP="00D551CB">
      <w:pPr>
        <w:widowControl/>
        <w:spacing w:line="315" w:lineRule="atLeast"/>
        <w:ind w:firstLine="420"/>
        <w:jc w:val="left"/>
        <w:rPr>
          <w:rFonts w:asciiTheme="minorEastAsia" w:hAnsiTheme="minorEastAsia" w:cs="Calibri"/>
          <w:color w:val="666666"/>
          <w:kern w:val="0"/>
          <w:sz w:val="24"/>
          <w:szCs w:val="24"/>
        </w:rPr>
      </w:pPr>
      <w:r w:rsidRPr="00D551CB">
        <w:rPr>
          <w:rFonts w:asciiTheme="minorEastAsia" w:hAnsiTheme="minorEastAsia" w:cs="Calibri" w:hint="eastAsia"/>
          <w:color w:val="666666"/>
          <w:kern w:val="0"/>
          <w:sz w:val="24"/>
          <w:szCs w:val="24"/>
        </w:rPr>
        <w:t>基金合同生效后，连续二十个工作日出现基金份额持有人数量不满二百人或者基金资产净值低于五千万元情形的，基金管理人应当在定期报告中予以披露；连续六十个工作日出现前述情形的，本基金合同终止，无须召开基金份额持有人大会。</w:t>
      </w:r>
    </w:p>
    <w:p w:rsidR="00D551CB" w:rsidRPr="00D551CB" w:rsidRDefault="00D551CB" w:rsidP="00D551CB">
      <w:pPr>
        <w:widowControl/>
        <w:spacing w:line="315" w:lineRule="atLeast"/>
        <w:ind w:firstLine="420"/>
        <w:jc w:val="left"/>
        <w:rPr>
          <w:rFonts w:asciiTheme="minorEastAsia" w:hAnsiTheme="minorEastAsia" w:cs="Calibri"/>
          <w:color w:val="666666"/>
          <w:kern w:val="0"/>
          <w:sz w:val="24"/>
          <w:szCs w:val="24"/>
        </w:rPr>
      </w:pPr>
      <w:r w:rsidRPr="00D551CB">
        <w:rPr>
          <w:rFonts w:asciiTheme="minorEastAsia" w:hAnsiTheme="minorEastAsia" w:cs="Calibri"/>
          <w:color w:val="666666"/>
          <w:kern w:val="0"/>
          <w:sz w:val="24"/>
          <w:szCs w:val="24"/>
        </w:rPr>
        <w:t>法律法规</w:t>
      </w:r>
      <w:r w:rsidRPr="00D551CB">
        <w:rPr>
          <w:rFonts w:asciiTheme="minorEastAsia" w:hAnsiTheme="minorEastAsia" w:cs="Calibri" w:hint="eastAsia"/>
          <w:color w:val="666666"/>
          <w:kern w:val="0"/>
          <w:sz w:val="24"/>
          <w:szCs w:val="24"/>
        </w:rPr>
        <w:t>或中国证监会</w:t>
      </w:r>
      <w:r w:rsidRPr="00D551CB">
        <w:rPr>
          <w:rFonts w:asciiTheme="minorEastAsia" w:hAnsiTheme="minorEastAsia" w:cs="Calibri"/>
          <w:color w:val="666666"/>
          <w:kern w:val="0"/>
          <w:sz w:val="24"/>
          <w:szCs w:val="24"/>
        </w:rPr>
        <w:t>另有规定时，从其规定。</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截至201</w:t>
      </w:r>
      <w:r w:rsidR="00D551CB">
        <w:rPr>
          <w:rFonts w:asciiTheme="minorEastAsia" w:hAnsiTheme="minorEastAsia" w:cs="Calibri"/>
          <w:color w:val="666666"/>
          <w:kern w:val="0"/>
          <w:sz w:val="24"/>
          <w:szCs w:val="24"/>
        </w:rPr>
        <w:t>8</w:t>
      </w:r>
      <w:r w:rsidRPr="004A69BC">
        <w:rPr>
          <w:rFonts w:asciiTheme="minorEastAsia" w:hAnsiTheme="minorEastAsia" w:cs="Calibri" w:hint="eastAsia"/>
          <w:color w:val="666666"/>
          <w:kern w:val="0"/>
          <w:sz w:val="24"/>
          <w:szCs w:val="24"/>
        </w:rPr>
        <w:t>年</w:t>
      </w:r>
      <w:r w:rsidR="00D551CB">
        <w:rPr>
          <w:rFonts w:asciiTheme="minorEastAsia" w:hAnsiTheme="minorEastAsia" w:cs="Calibri"/>
          <w:color w:val="666666"/>
          <w:kern w:val="0"/>
          <w:sz w:val="24"/>
          <w:szCs w:val="24"/>
        </w:rPr>
        <w:t>7</w:t>
      </w:r>
      <w:r w:rsidRPr="004A69BC">
        <w:rPr>
          <w:rFonts w:asciiTheme="minorEastAsia" w:hAnsiTheme="minorEastAsia" w:cs="Calibri" w:hint="eastAsia"/>
          <w:color w:val="666666"/>
          <w:kern w:val="0"/>
          <w:sz w:val="24"/>
          <w:szCs w:val="24"/>
        </w:rPr>
        <w:t>月</w:t>
      </w:r>
      <w:r w:rsidR="00D551CB">
        <w:rPr>
          <w:rFonts w:asciiTheme="minorEastAsia" w:hAnsiTheme="minorEastAsia" w:cs="Calibri"/>
          <w:color w:val="666666"/>
          <w:kern w:val="0"/>
          <w:sz w:val="24"/>
          <w:szCs w:val="24"/>
        </w:rPr>
        <w:t>18</w:t>
      </w:r>
      <w:r w:rsidRPr="004A69BC">
        <w:rPr>
          <w:rFonts w:asciiTheme="minorEastAsia" w:hAnsiTheme="minorEastAsia" w:cs="Calibri" w:hint="eastAsia"/>
          <w:color w:val="666666"/>
          <w:kern w:val="0"/>
          <w:sz w:val="24"/>
          <w:szCs w:val="24"/>
        </w:rPr>
        <w:t>日，本基金已连续60个工作日基金资产净值低于5000万元。根据基金合同约定，本基金管理人应当终止基金合同，并对本基金进行变现及清算程序，且无需召开基金份额持有人大会。</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color w:val="666666"/>
          <w:kern w:val="0"/>
          <w:sz w:val="24"/>
          <w:szCs w:val="24"/>
        </w:rPr>
        <w:t> </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b/>
          <w:bCs/>
          <w:color w:val="666666"/>
          <w:kern w:val="0"/>
          <w:sz w:val="24"/>
          <w:szCs w:val="24"/>
        </w:rPr>
        <w:t>三、基金财产清算</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1、自201</w:t>
      </w:r>
      <w:r w:rsidR="009E0CCE">
        <w:rPr>
          <w:rFonts w:asciiTheme="minorEastAsia" w:hAnsiTheme="minorEastAsia" w:cs="Calibri"/>
          <w:color w:val="666666"/>
          <w:kern w:val="0"/>
          <w:sz w:val="24"/>
          <w:szCs w:val="24"/>
        </w:rPr>
        <w:t>8</w:t>
      </w:r>
      <w:r w:rsidRPr="004A69BC">
        <w:rPr>
          <w:rFonts w:asciiTheme="minorEastAsia" w:hAnsiTheme="minorEastAsia" w:cs="Calibri" w:hint="eastAsia"/>
          <w:color w:val="666666"/>
          <w:kern w:val="0"/>
          <w:sz w:val="24"/>
          <w:szCs w:val="24"/>
        </w:rPr>
        <w:t>年</w:t>
      </w:r>
      <w:r w:rsidR="00D551CB">
        <w:rPr>
          <w:rFonts w:asciiTheme="minorEastAsia" w:hAnsiTheme="minorEastAsia" w:cs="Calibri"/>
          <w:color w:val="666666"/>
          <w:kern w:val="0"/>
          <w:sz w:val="24"/>
          <w:szCs w:val="24"/>
        </w:rPr>
        <w:t>7</w:t>
      </w:r>
      <w:r w:rsidRPr="004A69BC">
        <w:rPr>
          <w:rFonts w:asciiTheme="minorEastAsia" w:hAnsiTheme="minorEastAsia" w:cs="Calibri" w:hint="eastAsia"/>
          <w:color w:val="666666"/>
          <w:kern w:val="0"/>
          <w:sz w:val="24"/>
          <w:szCs w:val="24"/>
        </w:rPr>
        <w:t>月</w:t>
      </w:r>
      <w:r w:rsidR="00D551CB">
        <w:rPr>
          <w:rFonts w:asciiTheme="minorEastAsia" w:hAnsiTheme="minorEastAsia" w:cs="Calibri"/>
          <w:color w:val="666666"/>
          <w:kern w:val="0"/>
          <w:sz w:val="24"/>
          <w:szCs w:val="24"/>
        </w:rPr>
        <w:t>19</w:t>
      </w:r>
      <w:r w:rsidRPr="004A69BC">
        <w:rPr>
          <w:rFonts w:asciiTheme="minorEastAsia" w:hAnsiTheme="minorEastAsia" w:cs="Calibri" w:hint="eastAsia"/>
          <w:color w:val="666666"/>
          <w:kern w:val="0"/>
          <w:sz w:val="24"/>
          <w:szCs w:val="24"/>
        </w:rPr>
        <w:t>日起，本基金进入清算程序。本基金进入清算程序后，即</w:t>
      </w:r>
      <w:r w:rsidR="009E0CCE" w:rsidRPr="004A69BC">
        <w:rPr>
          <w:rFonts w:asciiTheme="minorEastAsia" w:hAnsiTheme="minorEastAsia" w:cs="Calibri" w:hint="eastAsia"/>
          <w:color w:val="666666"/>
          <w:kern w:val="0"/>
          <w:sz w:val="24"/>
          <w:szCs w:val="24"/>
        </w:rPr>
        <w:t>201</w:t>
      </w:r>
      <w:r w:rsidR="009E0CCE">
        <w:rPr>
          <w:rFonts w:asciiTheme="minorEastAsia" w:hAnsiTheme="minorEastAsia" w:cs="Calibri"/>
          <w:color w:val="666666"/>
          <w:kern w:val="0"/>
          <w:sz w:val="24"/>
          <w:szCs w:val="24"/>
        </w:rPr>
        <w:t>8</w:t>
      </w:r>
      <w:r w:rsidR="009E0CCE" w:rsidRPr="004A69BC">
        <w:rPr>
          <w:rFonts w:asciiTheme="minorEastAsia" w:hAnsiTheme="minorEastAsia" w:cs="Calibri" w:hint="eastAsia"/>
          <w:color w:val="666666"/>
          <w:kern w:val="0"/>
          <w:sz w:val="24"/>
          <w:szCs w:val="24"/>
        </w:rPr>
        <w:t>年</w:t>
      </w:r>
      <w:r w:rsidR="00D551CB">
        <w:rPr>
          <w:rFonts w:asciiTheme="minorEastAsia" w:hAnsiTheme="minorEastAsia" w:cs="Calibri"/>
          <w:color w:val="666666"/>
          <w:kern w:val="0"/>
          <w:sz w:val="24"/>
          <w:szCs w:val="24"/>
        </w:rPr>
        <w:t>7</w:t>
      </w:r>
      <w:r w:rsidR="009E0CCE" w:rsidRPr="004A69BC">
        <w:rPr>
          <w:rFonts w:asciiTheme="minorEastAsia" w:hAnsiTheme="minorEastAsia" w:cs="Calibri" w:hint="eastAsia"/>
          <w:color w:val="666666"/>
          <w:kern w:val="0"/>
          <w:sz w:val="24"/>
          <w:szCs w:val="24"/>
        </w:rPr>
        <w:t>月</w:t>
      </w:r>
      <w:r w:rsidR="00D551CB">
        <w:rPr>
          <w:rFonts w:asciiTheme="minorEastAsia" w:hAnsiTheme="minorEastAsia" w:cs="Calibri"/>
          <w:color w:val="666666"/>
          <w:kern w:val="0"/>
          <w:sz w:val="24"/>
          <w:szCs w:val="24"/>
        </w:rPr>
        <w:t>19</w:t>
      </w:r>
      <w:r w:rsidR="009E0CCE" w:rsidRPr="004A69BC">
        <w:rPr>
          <w:rFonts w:asciiTheme="minorEastAsia" w:hAnsiTheme="minorEastAsia" w:cs="Calibri" w:hint="eastAsia"/>
          <w:color w:val="666666"/>
          <w:kern w:val="0"/>
          <w:sz w:val="24"/>
          <w:szCs w:val="24"/>
        </w:rPr>
        <w:t>日</w:t>
      </w:r>
      <w:r w:rsidRPr="004A69BC">
        <w:rPr>
          <w:rFonts w:asciiTheme="minorEastAsia" w:hAnsiTheme="minorEastAsia" w:cs="Calibri" w:hint="eastAsia"/>
          <w:color w:val="666666"/>
          <w:kern w:val="0"/>
          <w:sz w:val="24"/>
          <w:szCs w:val="24"/>
        </w:rPr>
        <w:t>起，停止收取基金管理费、基金托管费。</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2、本基金管理人将自基金合同终止事由之日起30个工作日内成立清算小组，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lastRenderedPageBreak/>
        <w:t>3、基金财产清算小组职责：基金财产清算小组负责基金财产的保管、清理、估价、变现和分配。基金财产清算小组可以依法进行必要的民事活动。</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4、基金财产清算程序：</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（1）《基金合同》终止情形出现时，由基金财产清算小组统一接管基金；</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（2）对基金财产和债权债务进行清理和确认；</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（3）对基金财产进行估值和变现；</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（4）制作清算报告；</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（5）聘请会计师事务所对清算报告进行外部审计，聘请律师事务所对清算报告出具法律意见书；</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（6）将清算报告报中国证监会备案并公告；</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（7）对基金剩余财产进行分配。</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5、基金财产清算的期限为6个月</w:t>
      </w:r>
      <w:r w:rsidR="0015420F">
        <w:rPr>
          <w:rFonts w:asciiTheme="minorEastAsia" w:hAnsiTheme="minorEastAsia" w:cs="Calibri" w:hint="eastAsia"/>
          <w:color w:val="666666"/>
          <w:kern w:val="0"/>
          <w:sz w:val="24"/>
          <w:szCs w:val="24"/>
        </w:rPr>
        <w:t>。</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6、清算费用</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清算费用是指基金财产清算小组在进行基金清算过程中发生的所有合理费用，清算费用由基金财产清算小组优先从基金剩余财产中支付。</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7、基金财产清算剩余资产的分配</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依据基金财产清算的分配方案，将基金财产清算后的全部剩余资产扣除基金财产清算费用、交纳所欠税款并清偿基金债务后，按基金份额持有人持有的基金份额比例进行分配。</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8、基金财产清算的公告</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9、基金财产清算账册及文件的保存</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基金财产清算账册及有关文件由基金托管人保存15年以上。</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color w:val="666666"/>
          <w:kern w:val="0"/>
          <w:sz w:val="24"/>
          <w:szCs w:val="24"/>
        </w:rPr>
        <w:t> </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b/>
          <w:bCs/>
          <w:color w:val="666666"/>
          <w:kern w:val="0"/>
          <w:sz w:val="24"/>
          <w:szCs w:val="24"/>
        </w:rPr>
        <w:t>四、其他</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1、本基金进入清算程序后不再开放办理申购、赎回等业务。敬请投资者予以关注。本公司承诺在清算过程中以诚实信用、勤勉尽责的原则履行相关职责。</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2、</w:t>
      </w:r>
      <w:r w:rsidR="001065BD" w:rsidRPr="003913CF">
        <w:rPr>
          <w:rFonts w:asciiTheme="minorEastAsia" w:hAnsiTheme="minorEastAsia" w:cs="Calibri"/>
          <w:color w:val="666666"/>
          <w:kern w:val="0"/>
          <w:sz w:val="24"/>
          <w:szCs w:val="24"/>
        </w:rPr>
        <w:t>本公告仅对本基金上述业务的有关事项予以说明。投资者欲了解本基金的详细情况，请仔细阅读在《证券时报》上刊登的《上投摩根安腾回报混合型证券投资基金招募说明书》，亦可到本公司网站（www.cifm.com）等处查询。</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color w:val="666666"/>
          <w:kern w:val="0"/>
          <w:sz w:val="24"/>
          <w:szCs w:val="24"/>
        </w:rPr>
        <w:t> </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hint="eastAsia"/>
          <w:color w:val="666666"/>
          <w:kern w:val="0"/>
          <w:sz w:val="24"/>
          <w:szCs w:val="24"/>
        </w:rPr>
        <w:t>特此公告。</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color w:val="666666"/>
          <w:kern w:val="0"/>
          <w:sz w:val="24"/>
          <w:szCs w:val="24"/>
        </w:rPr>
        <w:t> </w:t>
      </w:r>
    </w:p>
    <w:p w:rsidR="003A7EAB" w:rsidRPr="004A69BC" w:rsidRDefault="003A7EAB" w:rsidP="003A7EAB">
      <w:pPr>
        <w:widowControl/>
        <w:spacing w:line="315" w:lineRule="atLeast"/>
        <w:ind w:firstLine="420"/>
        <w:jc w:val="left"/>
        <w:rPr>
          <w:rFonts w:asciiTheme="minorEastAsia" w:hAnsiTheme="minorEastAsia" w:cs="Calibri"/>
          <w:color w:val="666666"/>
          <w:kern w:val="0"/>
          <w:sz w:val="24"/>
          <w:szCs w:val="24"/>
        </w:rPr>
      </w:pPr>
      <w:r w:rsidRPr="004A69BC">
        <w:rPr>
          <w:rFonts w:asciiTheme="minorEastAsia" w:hAnsiTheme="minorEastAsia" w:cs="Calibri"/>
          <w:color w:val="666666"/>
          <w:kern w:val="0"/>
          <w:sz w:val="24"/>
          <w:szCs w:val="24"/>
        </w:rPr>
        <w:t> </w:t>
      </w:r>
    </w:p>
    <w:p w:rsidR="003A7EAB" w:rsidRPr="004A69BC" w:rsidRDefault="00E263F6" w:rsidP="003A7EAB">
      <w:pPr>
        <w:widowControl/>
        <w:spacing w:line="315" w:lineRule="atLeast"/>
        <w:ind w:firstLine="420"/>
        <w:jc w:val="right"/>
        <w:rPr>
          <w:rFonts w:asciiTheme="minorEastAsia" w:hAnsiTheme="minorEastAsia" w:cs="Calibri"/>
          <w:color w:val="666666"/>
          <w:kern w:val="0"/>
          <w:sz w:val="24"/>
          <w:szCs w:val="24"/>
        </w:rPr>
      </w:pPr>
      <w:r>
        <w:rPr>
          <w:rFonts w:asciiTheme="minorEastAsia" w:hAnsiTheme="minorEastAsia" w:cs="Calibri" w:hint="eastAsia"/>
          <w:color w:val="666666"/>
          <w:kern w:val="0"/>
          <w:sz w:val="24"/>
          <w:szCs w:val="24"/>
        </w:rPr>
        <w:t>上投摩根基金管理有限公司</w:t>
      </w:r>
    </w:p>
    <w:p w:rsidR="003A7EAB" w:rsidRPr="004A69BC" w:rsidRDefault="001065BD" w:rsidP="003A7EAB">
      <w:pPr>
        <w:widowControl/>
        <w:spacing w:line="315" w:lineRule="atLeast"/>
        <w:ind w:firstLine="420"/>
        <w:jc w:val="right"/>
        <w:rPr>
          <w:rFonts w:asciiTheme="minorEastAsia" w:hAnsiTheme="minorEastAsia" w:cs="Calibri"/>
          <w:color w:val="666666"/>
          <w:kern w:val="0"/>
          <w:sz w:val="24"/>
          <w:szCs w:val="24"/>
        </w:rPr>
      </w:pPr>
      <w:r>
        <w:rPr>
          <w:rFonts w:asciiTheme="minorEastAsia" w:hAnsiTheme="minorEastAsia" w:cs="Calibri" w:hint="eastAsia"/>
          <w:color w:val="666666"/>
          <w:kern w:val="0"/>
          <w:sz w:val="24"/>
          <w:szCs w:val="24"/>
        </w:rPr>
        <w:t>2</w:t>
      </w:r>
      <w:r>
        <w:rPr>
          <w:rFonts w:asciiTheme="minorEastAsia" w:hAnsiTheme="minorEastAsia" w:cs="Calibri"/>
          <w:color w:val="666666"/>
          <w:kern w:val="0"/>
          <w:sz w:val="24"/>
          <w:szCs w:val="24"/>
        </w:rPr>
        <w:t>018</w:t>
      </w:r>
      <w:r>
        <w:rPr>
          <w:rFonts w:asciiTheme="minorEastAsia" w:hAnsiTheme="minorEastAsia" w:cs="Calibri" w:hint="eastAsia"/>
          <w:color w:val="666666"/>
          <w:kern w:val="0"/>
          <w:sz w:val="24"/>
          <w:szCs w:val="24"/>
        </w:rPr>
        <w:t>年</w:t>
      </w:r>
      <w:r w:rsidR="005139C2">
        <w:rPr>
          <w:rFonts w:asciiTheme="minorEastAsia" w:hAnsiTheme="minorEastAsia" w:cs="Calibri"/>
          <w:color w:val="666666"/>
          <w:kern w:val="0"/>
          <w:sz w:val="24"/>
          <w:szCs w:val="24"/>
        </w:rPr>
        <w:t>7</w:t>
      </w:r>
      <w:r>
        <w:rPr>
          <w:rFonts w:asciiTheme="minorEastAsia" w:hAnsiTheme="minorEastAsia" w:cs="Calibri" w:hint="eastAsia"/>
          <w:color w:val="666666"/>
          <w:kern w:val="0"/>
          <w:sz w:val="24"/>
          <w:szCs w:val="24"/>
        </w:rPr>
        <w:t>月</w:t>
      </w:r>
      <w:r w:rsidR="00B11255">
        <w:rPr>
          <w:rFonts w:asciiTheme="minorEastAsia" w:hAnsiTheme="minorEastAsia" w:cs="Calibri" w:hint="eastAsia"/>
          <w:color w:val="666666"/>
          <w:kern w:val="0"/>
          <w:sz w:val="24"/>
          <w:szCs w:val="24"/>
        </w:rPr>
        <w:t>1</w:t>
      </w:r>
      <w:r w:rsidR="00A96B85">
        <w:rPr>
          <w:rFonts w:asciiTheme="minorEastAsia" w:hAnsiTheme="minorEastAsia" w:cs="Calibri" w:hint="eastAsia"/>
          <w:color w:val="666666"/>
          <w:kern w:val="0"/>
          <w:sz w:val="24"/>
          <w:szCs w:val="24"/>
        </w:rPr>
        <w:t>9</w:t>
      </w:r>
      <w:bookmarkStart w:id="0" w:name="_GoBack"/>
      <w:bookmarkEnd w:id="0"/>
      <w:r>
        <w:rPr>
          <w:rFonts w:asciiTheme="minorEastAsia" w:hAnsiTheme="minorEastAsia" w:cs="Calibri" w:hint="eastAsia"/>
          <w:color w:val="666666"/>
          <w:kern w:val="0"/>
          <w:sz w:val="24"/>
          <w:szCs w:val="24"/>
        </w:rPr>
        <w:t>日</w:t>
      </w:r>
    </w:p>
    <w:p w:rsidR="00CF6A15" w:rsidRPr="004A69BC" w:rsidRDefault="00961898">
      <w:pPr>
        <w:rPr>
          <w:rFonts w:asciiTheme="minorEastAsia" w:hAnsiTheme="minorEastAsia"/>
          <w:sz w:val="24"/>
          <w:szCs w:val="24"/>
        </w:rPr>
      </w:pPr>
    </w:p>
    <w:sectPr w:rsidR="00CF6A15" w:rsidRPr="004A69BC" w:rsidSect="003066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2F3" w:rsidRDefault="00B272F3" w:rsidP="00B272F3">
      <w:r>
        <w:separator/>
      </w:r>
    </w:p>
  </w:endnote>
  <w:endnote w:type="continuationSeparator" w:id="1">
    <w:p w:rsidR="00B272F3" w:rsidRDefault="00B272F3" w:rsidP="00B272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2F3" w:rsidRDefault="00B272F3" w:rsidP="00B272F3">
      <w:r>
        <w:separator/>
      </w:r>
    </w:p>
  </w:footnote>
  <w:footnote w:type="continuationSeparator" w:id="1">
    <w:p w:rsidR="00B272F3" w:rsidRDefault="00B272F3" w:rsidP="00B272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7EAB"/>
    <w:rsid w:val="001065BD"/>
    <w:rsid w:val="0015420F"/>
    <w:rsid w:val="0030660F"/>
    <w:rsid w:val="003913CF"/>
    <w:rsid w:val="003A7EAB"/>
    <w:rsid w:val="004A69BC"/>
    <w:rsid w:val="00511E04"/>
    <w:rsid w:val="005139C2"/>
    <w:rsid w:val="0061117A"/>
    <w:rsid w:val="008E7750"/>
    <w:rsid w:val="00961898"/>
    <w:rsid w:val="009E0CCE"/>
    <w:rsid w:val="00A96B85"/>
    <w:rsid w:val="00B11255"/>
    <w:rsid w:val="00B272F3"/>
    <w:rsid w:val="00D551CB"/>
    <w:rsid w:val="00E263F6"/>
    <w:rsid w:val="00F922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0F"/>
    <w:pPr>
      <w:widowControl w:val="0"/>
      <w:jc w:val="both"/>
    </w:pPr>
  </w:style>
  <w:style w:type="paragraph" w:styleId="3">
    <w:name w:val="heading 3"/>
    <w:basedOn w:val="a"/>
    <w:link w:val="3Char"/>
    <w:uiPriority w:val="9"/>
    <w:qFormat/>
    <w:rsid w:val="003A7EA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A7EAB"/>
    <w:rPr>
      <w:rFonts w:ascii="宋体" w:eastAsia="宋体" w:hAnsi="宋体" w:cs="宋体"/>
      <w:b/>
      <w:bCs/>
      <w:kern w:val="0"/>
      <w:sz w:val="27"/>
      <w:szCs w:val="27"/>
    </w:rPr>
  </w:style>
  <w:style w:type="character" w:customStyle="1" w:styleId="1">
    <w:name w:val="日期1"/>
    <w:basedOn w:val="a0"/>
    <w:rsid w:val="003A7EAB"/>
  </w:style>
  <w:style w:type="paragraph" w:styleId="a3">
    <w:name w:val="Normal (Web)"/>
    <w:basedOn w:val="a"/>
    <w:uiPriority w:val="99"/>
    <w:semiHidden/>
    <w:unhideWhenUsed/>
    <w:rsid w:val="003A7EA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A7EAB"/>
  </w:style>
  <w:style w:type="paragraph" w:styleId="a4">
    <w:name w:val="header"/>
    <w:basedOn w:val="a"/>
    <w:link w:val="Char"/>
    <w:uiPriority w:val="99"/>
    <w:unhideWhenUsed/>
    <w:rsid w:val="00B272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272F3"/>
    <w:rPr>
      <w:sz w:val="18"/>
      <w:szCs w:val="18"/>
    </w:rPr>
  </w:style>
  <w:style w:type="paragraph" w:styleId="a5">
    <w:name w:val="footer"/>
    <w:basedOn w:val="a"/>
    <w:link w:val="Char0"/>
    <w:uiPriority w:val="99"/>
    <w:unhideWhenUsed/>
    <w:rsid w:val="00B272F3"/>
    <w:pPr>
      <w:tabs>
        <w:tab w:val="center" w:pos="4153"/>
        <w:tab w:val="right" w:pos="8306"/>
      </w:tabs>
      <w:snapToGrid w:val="0"/>
      <w:jc w:val="left"/>
    </w:pPr>
    <w:rPr>
      <w:sz w:val="18"/>
      <w:szCs w:val="18"/>
    </w:rPr>
  </w:style>
  <w:style w:type="character" w:customStyle="1" w:styleId="Char0">
    <w:name w:val="页脚 Char"/>
    <w:basedOn w:val="a0"/>
    <w:link w:val="a5"/>
    <w:uiPriority w:val="99"/>
    <w:rsid w:val="00B272F3"/>
    <w:rPr>
      <w:sz w:val="18"/>
      <w:szCs w:val="18"/>
    </w:rPr>
  </w:style>
</w:styles>
</file>

<file path=word/webSettings.xml><?xml version="1.0" encoding="utf-8"?>
<w:webSettings xmlns:r="http://schemas.openxmlformats.org/officeDocument/2006/relationships" xmlns:w="http://schemas.openxmlformats.org/wordprocessingml/2006/main">
  <w:divs>
    <w:div w:id="206308487">
      <w:bodyDiv w:val="1"/>
      <w:marLeft w:val="0"/>
      <w:marRight w:val="0"/>
      <w:marTop w:val="0"/>
      <w:marBottom w:val="0"/>
      <w:divBdr>
        <w:top w:val="none" w:sz="0" w:space="0" w:color="auto"/>
        <w:left w:val="none" w:sz="0" w:space="0" w:color="auto"/>
        <w:bottom w:val="none" w:sz="0" w:space="0" w:color="auto"/>
        <w:right w:val="none" w:sz="0" w:space="0" w:color="auto"/>
      </w:divBdr>
      <w:divsChild>
        <w:div w:id="1518041309">
          <w:marLeft w:val="0"/>
          <w:marRight w:val="0"/>
          <w:marTop w:val="0"/>
          <w:marBottom w:val="0"/>
          <w:divBdr>
            <w:top w:val="none" w:sz="0" w:space="0" w:color="auto"/>
            <w:left w:val="none" w:sz="0" w:space="0" w:color="auto"/>
            <w:bottom w:val="dotted" w:sz="6" w:space="9" w:color="CCCCCC"/>
            <w:right w:val="none" w:sz="0" w:space="0" w:color="auto"/>
          </w:divBdr>
        </w:div>
        <w:div w:id="141763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1522</Characters>
  <Application>Microsoft Office Word</Application>
  <DocSecurity>4</DocSecurity>
  <Lines>12</Lines>
  <Paragraphs>3</Paragraphs>
  <ScaleCrop>false</ScaleCrop>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ZHONGM</cp:lastModifiedBy>
  <cp:revision>2</cp:revision>
  <dcterms:created xsi:type="dcterms:W3CDTF">2018-07-18T16:34:00Z</dcterms:created>
  <dcterms:modified xsi:type="dcterms:W3CDTF">2018-07-18T16:34:00Z</dcterms:modified>
</cp:coreProperties>
</file>