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交银施罗德启通灵活配置混合型证券投资基金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2018</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2018</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上海浦东发展银行股份有限公司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二〇一八年七月十八日</w:t>
      </w:r>
    </w:p>
    <w:p w:rsidR="009238DB" w:rsidRPr="007F52FA" w:rsidRDefault="009238DB" w:rsidP="00091C43">
      <w:pPr>
        <w:pStyle w:val="1"/>
        <w:spacing w:beforeLines="100" w:after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基金托管人上海浦东发展银行股份有限公司根据本基金合同规定，于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17</w:t>
      </w:r>
      <w:r>
        <w:rPr>
          <w:rFonts w:eastAsiaTheme="minorEastAsia"/>
          <w:color w:val="000000"/>
          <w:sz w:val="24"/>
        </w:rPr>
        <w:t>日复核了本报告中的财务指标、净值表现和投资组合报告等内容，保证复核内容不存在虚假记载、误导性陈述或者重大遗漏。</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p>
    <w:p w:rsidR="00D04450" w:rsidRPr="00D04450" w:rsidRDefault="00D04450" w:rsidP="00D04450">
      <w:pPr>
        <w:spacing w:before="29" w:line="288" w:lineRule="auto"/>
        <w:ind w:firstLineChars="200" w:firstLine="480"/>
        <w:rPr>
          <w:rFonts w:eastAsiaTheme="minorEastAsia"/>
          <w:color w:val="000000"/>
          <w:sz w:val="24"/>
        </w:rPr>
      </w:pPr>
      <w:r w:rsidRPr="00D04450">
        <w:rPr>
          <w:rFonts w:eastAsiaTheme="minorEastAsia" w:hint="eastAsia"/>
          <w:color w:val="000000"/>
          <w:sz w:val="24"/>
        </w:rPr>
        <w:t>本基金自</w:t>
      </w:r>
      <w:r w:rsidRPr="00D04450">
        <w:rPr>
          <w:rFonts w:eastAsiaTheme="minorEastAsia" w:hint="eastAsia"/>
          <w:color w:val="000000"/>
          <w:sz w:val="24"/>
        </w:rPr>
        <w:t>2018</w:t>
      </w:r>
      <w:r w:rsidRPr="00D04450">
        <w:rPr>
          <w:rFonts w:eastAsiaTheme="minorEastAsia" w:hint="eastAsia"/>
          <w:color w:val="000000"/>
          <w:sz w:val="24"/>
        </w:rPr>
        <w:t>年</w:t>
      </w:r>
      <w:r w:rsidRPr="00D04450">
        <w:rPr>
          <w:rFonts w:eastAsiaTheme="minorEastAsia" w:hint="eastAsia"/>
          <w:color w:val="000000"/>
          <w:sz w:val="24"/>
        </w:rPr>
        <w:t>6</w:t>
      </w:r>
      <w:r w:rsidRPr="00D04450">
        <w:rPr>
          <w:rFonts w:eastAsiaTheme="minorEastAsia" w:hint="eastAsia"/>
          <w:color w:val="000000"/>
          <w:sz w:val="24"/>
        </w:rPr>
        <w:t>月</w:t>
      </w:r>
      <w:r w:rsidRPr="00D04450">
        <w:rPr>
          <w:rFonts w:eastAsiaTheme="minorEastAsia" w:hint="eastAsia"/>
          <w:color w:val="000000"/>
          <w:sz w:val="24"/>
        </w:rPr>
        <w:t>29</w:t>
      </w:r>
      <w:r w:rsidRPr="00D04450">
        <w:rPr>
          <w:rFonts w:eastAsiaTheme="minorEastAsia" w:hint="eastAsia"/>
          <w:color w:val="000000"/>
          <w:sz w:val="24"/>
        </w:rPr>
        <w:t>日起进入清算程序，财务报表数据披露截至</w:t>
      </w:r>
      <w:r w:rsidRPr="00D04450">
        <w:rPr>
          <w:rFonts w:eastAsiaTheme="minorEastAsia" w:hint="eastAsia"/>
          <w:color w:val="000000"/>
          <w:sz w:val="24"/>
        </w:rPr>
        <w:t>2018</w:t>
      </w:r>
      <w:r w:rsidRPr="00D04450">
        <w:rPr>
          <w:rFonts w:eastAsiaTheme="minorEastAsia" w:hint="eastAsia"/>
          <w:color w:val="000000"/>
          <w:sz w:val="24"/>
        </w:rPr>
        <w:t>年</w:t>
      </w:r>
      <w:r w:rsidRPr="00D04450">
        <w:rPr>
          <w:rFonts w:eastAsiaTheme="minorEastAsia" w:hint="eastAsia"/>
          <w:color w:val="000000"/>
          <w:sz w:val="24"/>
        </w:rPr>
        <w:t>6</w:t>
      </w:r>
      <w:r w:rsidRPr="00D04450">
        <w:rPr>
          <w:rFonts w:eastAsiaTheme="minorEastAsia" w:hint="eastAsia"/>
          <w:color w:val="000000"/>
          <w:sz w:val="24"/>
        </w:rPr>
        <w:t>月</w:t>
      </w:r>
      <w:r w:rsidRPr="00D04450">
        <w:rPr>
          <w:rFonts w:eastAsiaTheme="minorEastAsia" w:hint="eastAsia"/>
          <w:color w:val="000000"/>
          <w:sz w:val="24"/>
        </w:rPr>
        <w:t>28</w:t>
      </w:r>
      <w:r w:rsidRPr="00D04450">
        <w:rPr>
          <w:rFonts w:eastAsiaTheme="minorEastAsia" w:hint="eastAsia"/>
          <w:color w:val="000000"/>
          <w:sz w:val="24"/>
        </w:rPr>
        <w:t>日</w:t>
      </w:r>
      <w:r w:rsidRPr="00D04450">
        <w:rPr>
          <w:rFonts w:eastAsiaTheme="minorEastAsia" w:hint="eastAsia"/>
          <w:color w:val="000000"/>
          <w:sz w:val="24"/>
        </w:rPr>
        <w:t>(</w:t>
      </w:r>
      <w:r w:rsidRPr="00D04450">
        <w:rPr>
          <w:rFonts w:eastAsiaTheme="minorEastAsia" w:hint="eastAsia"/>
          <w:color w:val="000000"/>
          <w:sz w:val="24"/>
        </w:rPr>
        <w:t>基金最后运作日</w:t>
      </w:r>
      <w:r w:rsidRPr="00D04450">
        <w:rPr>
          <w:rFonts w:eastAsiaTheme="minorEastAsia" w:hint="eastAsia"/>
          <w:color w:val="000000"/>
          <w:sz w:val="24"/>
        </w:rPr>
        <w:t>)</w:t>
      </w:r>
      <w:r w:rsidRPr="00D04450">
        <w:rPr>
          <w:rFonts w:eastAsiaTheme="minorEastAsia" w:hint="eastAsia"/>
          <w:color w:val="000000"/>
          <w:sz w:val="24"/>
        </w:rPr>
        <w:t>，本报告中财务资料未经审计。</w:t>
      </w:r>
    </w:p>
    <w:p w:rsidR="00740635" w:rsidRPr="007F52FA" w:rsidRDefault="00D04450" w:rsidP="007C14DF">
      <w:pPr>
        <w:spacing w:before="29" w:line="288" w:lineRule="auto"/>
        <w:ind w:firstLineChars="200" w:firstLine="480"/>
        <w:rPr>
          <w:rFonts w:eastAsiaTheme="minorEastAsia"/>
          <w:color w:val="000000"/>
          <w:sz w:val="24"/>
        </w:rPr>
      </w:pPr>
      <w:r w:rsidRPr="00D04450">
        <w:rPr>
          <w:rFonts w:eastAsiaTheme="minorEastAsia" w:hint="eastAsia"/>
          <w:color w:val="000000"/>
          <w:sz w:val="24"/>
        </w:rPr>
        <w:t>本报告期自</w:t>
      </w:r>
      <w:r w:rsidRPr="00D04450">
        <w:rPr>
          <w:rFonts w:eastAsiaTheme="minorEastAsia" w:hint="eastAsia"/>
          <w:color w:val="000000"/>
          <w:sz w:val="24"/>
        </w:rPr>
        <w:t>2018</w:t>
      </w:r>
      <w:r w:rsidRPr="00D04450">
        <w:rPr>
          <w:rFonts w:eastAsiaTheme="minorEastAsia" w:hint="eastAsia"/>
          <w:color w:val="000000"/>
          <w:sz w:val="24"/>
        </w:rPr>
        <w:t>年</w:t>
      </w:r>
      <w:r w:rsidRPr="00D04450">
        <w:rPr>
          <w:rFonts w:eastAsiaTheme="minorEastAsia" w:hint="eastAsia"/>
          <w:color w:val="000000"/>
          <w:sz w:val="24"/>
        </w:rPr>
        <w:t>4</w:t>
      </w:r>
      <w:r w:rsidRPr="00D04450">
        <w:rPr>
          <w:rFonts w:eastAsiaTheme="minorEastAsia" w:hint="eastAsia"/>
          <w:color w:val="000000"/>
          <w:sz w:val="24"/>
        </w:rPr>
        <w:t>月</w:t>
      </w:r>
      <w:r w:rsidRPr="00D04450">
        <w:rPr>
          <w:rFonts w:eastAsiaTheme="minorEastAsia" w:hint="eastAsia"/>
          <w:color w:val="000000"/>
          <w:sz w:val="24"/>
        </w:rPr>
        <w:t>1</w:t>
      </w:r>
      <w:r w:rsidRPr="00D04450">
        <w:rPr>
          <w:rFonts w:eastAsiaTheme="minorEastAsia" w:hint="eastAsia"/>
          <w:color w:val="000000"/>
          <w:sz w:val="24"/>
        </w:rPr>
        <w:t>日起至</w:t>
      </w:r>
      <w:r w:rsidRPr="00D04450">
        <w:rPr>
          <w:rFonts w:eastAsiaTheme="minorEastAsia" w:hint="eastAsia"/>
          <w:color w:val="000000"/>
          <w:sz w:val="24"/>
        </w:rPr>
        <w:t>6</w:t>
      </w:r>
      <w:r w:rsidRPr="00D04450">
        <w:rPr>
          <w:rFonts w:eastAsiaTheme="minorEastAsia" w:hint="eastAsia"/>
          <w:color w:val="000000"/>
          <w:sz w:val="24"/>
        </w:rPr>
        <w:t>月</w:t>
      </w:r>
      <w:r w:rsidRPr="00D04450">
        <w:rPr>
          <w:rFonts w:eastAsiaTheme="minorEastAsia" w:hint="eastAsia"/>
          <w:color w:val="000000"/>
          <w:sz w:val="24"/>
        </w:rPr>
        <w:t>28</w:t>
      </w:r>
      <w:r w:rsidRPr="00D04450">
        <w:rPr>
          <w:rFonts w:eastAsiaTheme="minorEastAsia" w:hint="eastAsia"/>
          <w:color w:val="000000"/>
          <w:sz w:val="24"/>
        </w:rPr>
        <w:t>日止。</w:t>
      </w:r>
    </w:p>
    <w:p w:rsidR="009238DB" w:rsidRPr="007F52FA" w:rsidRDefault="009238DB" w:rsidP="00091C43">
      <w:pPr>
        <w:pStyle w:val="1"/>
        <w:spacing w:beforeLines="100" w:after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交银启通灵活配置混合</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004207</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2017</w:t>
            </w:r>
            <w:r w:rsidRPr="007F52FA">
              <w:rPr>
                <w:color w:val="000000"/>
                <w:kern w:val="0"/>
                <w:sz w:val="24"/>
              </w:rPr>
              <w:t>年</w:t>
            </w:r>
            <w:r w:rsidRPr="007F52FA">
              <w:rPr>
                <w:color w:val="000000"/>
                <w:kern w:val="0"/>
                <w:sz w:val="24"/>
              </w:rPr>
              <w:t>2</w:t>
            </w:r>
            <w:r w:rsidRPr="007F52FA">
              <w:rPr>
                <w:color w:val="000000"/>
                <w:kern w:val="0"/>
                <w:sz w:val="24"/>
              </w:rPr>
              <w:t>月</w:t>
            </w:r>
            <w:r w:rsidRPr="007F52FA">
              <w:rPr>
                <w:color w:val="000000"/>
                <w:kern w:val="0"/>
                <w:sz w:val="24"/>
              </w:rPr>
              <w:t>24</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3,004,191.78</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本基金在控制风险并保持基金资产良好的流动性的前提下，力争为投资者提供长期稳健的投资回报。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沪深</w:t>
            </w:r>
            <w:r w:rsidRPr="007F52FA">
              <w:rPr>
                <w:color w:val="000000"/>
                <w:kern w:val="0"/>
                <w:sz w:val="24"/>
              </w:rPr>
              <w:t>300</w:t>
            </w:r>
            <w:r w:rsidRPr="007F52FA">
              <w:rPr>
                <w:color w:val="000000"/>
                <w:kern w:val="0"/>
                <w:sz w:val="24"/>
              </w:rPr>
              <w:t>指数收益率</w:t>
            </w:r>
            <w:r w:rsidRPr="007F52FA">
              <w:rPr>
                <w:color w:val="000000"/>
                <w:kern w:val="0"/>
                <w:sz w:val="24"/>
              </w:rPr>
              <w:t>×50%+</w:t>
            </w:r>
            <w:r w:rsidRPr="007F52FA">
              <w:rPr>
                <w:color w:val="000000"/>
                <w:kern w:val="0"/>
                <w:sz w:val="24"/>
              </w:rPr>
              <w:t>中债综合全价指数收益率</w:t>
            </w:r>
            <w:r w:rsidRPr="007F52FA">
              <w:rPr>
                <w:color w:val="000000"/>
                <w:kern w:val="0"/>
                <w:sz w:val="24"/>
              </w:rPr>
              <w:t>×50%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w:t>
            </w:r>
            <w:r w:rsidRPr="007F52FA">
              <w:rPr>
                <w:color w:val="000000"/>
                <w:kern w:val="0"/>
                <w:sz w:val="24"/>
              </w:rPr>
              <w:lastRenderedPageBreak/>
              <w:t>高风险、预期收益较高的证券投资基金品种。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上海浦东发展银行股份有限公司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交银启通灵活配置混合</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交银启通灵活配置混合</w:t>
            </w:r>
            <w:r w:rsidRPr="007F52FA">
              <w:rPr>
                <w:sz w:val="24"/>
              </w:rPr>
              <w:t>C</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004207</w:t>
            </w:r>
          </w:p>
        </w:tc>
        <w:tc>
          <w:tcPr>
            <w:tcW w:w="3048" w:type="dxa"/>
            <w:vAlign w:val="center"/>
          </w:tcPr>
          <w:p w:rsidR="00C23B30" w:rsidRPr="000E4C40" w:rsidRDefault="00C23B30" w:rsidP="00A52A9E">
            <w:pPr>
              <w:spacing w:before="29" w:line="288" w:lineRule="auto"/>
              <w:jc w:val="left"/>
              <w:rPr>
                <w:sz w:val="24"/>
              </w:rPr>
            </w:pPr>
            <w:r w:rsidRPr="000E4C40">
              <w:rPr>
                <w:sz w:val="24"/>
              </w:rPr>
              <w:t>004208</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3,003,000.41</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1,191.37</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91C43">
      <w:pPr>
        <w:pStyle w:val="1"/>
        <w:spacing w:beforeLines="100" w:after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(2018</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-2018</w:t>
            </w:r>
            <w:r w:rsidRPr="00414345">
              <w:rPr>
                <w:color w:val="000000"/>
                <w:sz w:val="24"/>
              </w:rPr>
              <w:t>年</w:t>
            </w:r>
            <w:r w:rsidRPr="00414345">
              <w:rPr>
                <w:color w:val="000000"/>
                <w:sz w:val="24"/>
              </w:rPr>
              <w:t>6</w:t>
            </w:r>
            <w:r w:rsidRPr="00414345">
              <w:rPr>
                <w:color w:val="000000"/>
                <w:sz w:val="24"/>
              </w:rPr>
              <w:t>月</w:t>
            </w:r>
            <w:r w:rsidR="00C90F92">
              <w:rPr>
                <w:color w:val="000000"/>
                <w:sz w:val="24"/>
              </w:rPr>
              <w:t>28</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交银启通灵活配置混合</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交银启通灵活配置混合</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22,538.18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-27.55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22,538.18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-27.55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0.0075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-0.0102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3,205,507.86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1,271.44</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1.0674</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1.0672</w:t>
            </w:r>
          </w:p>
        </w:tc>
      </w:tr>
    </w:tbl>
    <w:p w:rsidR="00F25D07" w:rsidRDefault="003C4300">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交银启通灵活配置混合</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25D07">
        <w:trPr>
          <w:jc w:val="center"/>
        </w:trPr>
        <w:tc>
          <w:tcPr>
            <w:tcW w:w="1266" w:type="dxa"/>
            <w:vAlign w:val="center"/>
          </w:tcPr>
          <w:p w:rsidR="00F25D07" w:rsidRDefault="003C4300">
            <w:pPr>
              <w:jc w:val="left"/>
            </w:pPr>
            <w:r>
              <w:rPr>
                <w:color w:val="000000"/>
                <w:sz w:val="24"/>
              </w:rPr>
              <w:t>过去三个月</w:t>
            </w:r>
          </w:p>
        </w:tc>
        <w:tc>
          <w:tcPr>
            <w:tcW w:w="1267" w:type="dxa"/>
            <w:vAlign w:val="center"/>
          </w:tcPr>
          <w:p w:rsidR="00F25D07" w:rsidRDefault="003C4300">
            <w:pPr>
              <w:jc w:val="center"/>
            </w:pPr>
            <w:r>
              <w:rPr>
                <w:color w:val="000000"/>
                <w:sz w:val="24"/>
              </w:rPr>
              <w:t>0.71%</w:t>
            </w:r>
          </w:p>
        </w:tc>
        <w:tc>
          <w:tcPr>
            <w:tcW w:w="1267" w:type="dxa"/>
            <w:vAlign w:val="center"/>
          </w:tcPr>
          <w:p w:rsidR="00F25D07" w:rsidRDefault="003C4300">
            <w:pPr>
              <w:jc w:val="center"/>
            </w:pPr>
            <w:r>
              <w:rPr>
                <w:color w:val="000000"/>
                <w:sz w:val="24"/>
              </w:rPr>
              <w:t>0.06%</w:t>
            </w:r>
          </w:p>
        </w:tc>
        <w:tc>
          <w:tcPr>
            <w:tcW w:w="1267" w:type="dxa"/>
            <w:vAlign w:val="center"/>
          </w:tcPr>
          <w:p w:rsidR="00F25D07" w:rsidRDefault="003C4300">
            <w:pPr>
              <w:jc w:val="center"/>
            </w:pPr>
            <w:r>
              <w:rPr>
                <w:color w:val="000000"/>
                <w:sz w:val="24"/>
              </w:rPr>
              <w:t>-5.81%</w:t>
            </w:r>
          </w:p>
        </w:tc>
        <w:tc>
          <w:tcPr>
            <w:tcW w:w="1267" w:type="dxa"/>
            <w:vAlign w:val="center"/>
          </w:tcPr>
          <w:p w:rsidR="00F25D07" w:rsidRDefault="003C4300">
            <w:pPr>
              <w:jc w:val="center"/>
            </w:pPr>
            <w:r>
              <w:rPr>
                <w:color w:val="000000"/>
                <w:sz w:val="24"/>
              </w:rPr>
              <w:t>0.54%</w:t>
            </w:r>
          </w:p>
        </w:tc>
        <w:tc>
          <w:tcPr>
            <w:tcW w:w="1267" w:type="dxa"/>
            <w:vAlign w:val="center"/>
          </w:tcPr>
          <w:p w:rsidR="00F25D07" w:rsidRDefault="003C4300">
            <w:pPr>
              <w:jc w:val="center"/>
            </w:pPr>
            <w:r>
              <w:rPr>
                <w:color w:val="000000"/>
                <w:sz w:val="24"/>
              </w:rPr>
              <w:t>6.52%</w:t>
            </w:r>
          </w:p>
        </w:tc>
        <w:tc>
          <w:tcPr>
            <w:tcW w:w="1267" w:type="dxa"/>
            <w:vAlign w:val="center"/>
          </w:tcPr>
          <w:p w:rsidR="00F25D07" w:rsidRDefault="003C4300">
            <w:pPr>
              <w:jc w:val="center"/>
            </w:pPr>
            <w:r>
              <w:rPr>
                <w:color w:val="000000"/>
                <w:sz w:val="24"/>
              </w:rPr>
              <w:t>-0.48%</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交银启通灵活配置混合</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F25D07">
        <w:trPr>
          <w:jc w:val="center"/>
        </w:trPr>
        <w:tc>
          <w:tcPr>
            <w:tcW w:w="1266" w:type="dxa"/>
            <w:vAlign w:val="center"/>
          </w:tcPr>
          <w:p w:rsidR="00F25D07" w:rsidRDefault="003C4300">
            <w:pPr>
              <w:jc w:val="left"/>
            </w:pPr>
            <w:r>
              <w:rPr>
                <w:color w:val="000000"/>
                <w:sz w:val="24"/>
              </w:rPr>
              <w:t>过去三个月</w:t>
            </w:r>
          </w:p>
        </w:tc>
        <w:tc>
          <w:tcPr>
            <w:tcW w:w="1267" w:type="dxa"/>
            <w:vAlign w:val="center"/>
          </w:tcPr>
          <w:p w:rsidR="00F25D07" w:rsidRDefault="003C4300">
            <w:pPr>
              <w:jc w:val="center"/>
            </w:pPr>
            <w:r>
              <w:rPr>
                <w:color w:val="000000"/>
                <w:sz w:val="24"/>
              </w:rPr>
              <w:t>0.66%</w:t>
            </w:r>
          </w:p>
        </w:tc>
        <w:tc>
          <w:tcPr>
            <w:tcW w:w="1267" w:type="dxa"/>
            <w:vAlign w:val="center"/>
          </w:tcPr>
          <w:p w:rsidR="00F25D07" w:rsidRDefault="003C4300">
            <w:pPr>
              <w:jc w:val="center"/>
            </w:pPr>
            <w:r>
              <w:rPr>
                <w:color w:val="000000"/>
                <w:sz w:val="24"/>
              </w:rPr>
              <w:t>0.06%</w:t>
            </w:r>
          </w:p>
        </w:tc>
        <w:tc>
          <w:tcPr>
            <w:tcW w:w="1267" w:type="dxa"/>
            <w:vAlign w:val="center"/>
          </w:tcPr>
          <w:p w:rsidR="00F25D07" w:rsidRDefault="003C4300">
            <w:pPr>
              <w:jc w:val="center"/>
            </w:pPr>
            <w:r>
              <w:rPr>
                <w:color w:val="000000"/>
                <w:sz w:val="24"/>
              </w:rPr>
              <w:t>-5.81%</w:t>
            </w:r>
          </w:p>
        </w:tc>
        <w:tc>
          <w:tcPr>
            <w:tcW w:w="1267" w:type="dxa"/>
            <w:vAlign w:val="center"/>
          </w:tcPr>
          <w:p w:rsidR="00F25D07" w:rsidRDefault="003C4300">
            <w:pPr>
              <w:jc w:val="center"/>
            </w:pPr>
            <w:r>
              <w:rPr>
                <w:color w:val="000000"/>
                <w:sz w:val="24"/>
              </w:rPr>
              <w:t>0.54%</w:t>
            </w:r>
          </w:p>
        </w:tc>
        <w:tc>
          <w:tcPr>
            <w:tcW w:w="1267" w:type="dxa"/>
            <w:vAlign w:val="center"/>
          </w:tcPr>
          <w:p w:rsidR="00F25D07" w:rsidRDefault="003C4300">
            <w:pPr>
              <w:jc w:val="center"/>
            </w:pPr>
            <w:r>
              <w:rPr>
                <w:color w:val="000000"/>
                <w:sz w:val="24"/>
              </w:rPr>
              <w:t>6.47%</w:t>
            </w:r>
          </w:p>
        </w:tc>
        <w:tc>
          <w:tcPr>
            <w:tcW w:w="1267" w:type="dxa"/>
            <w:vAlign w:val="center"/>
          </w:tcPr>
          <w:p w:rsidR="00F25D07" w:rsidRDefault="003C4300">
            <w:pPr>
              <w:jc w:val="center"/>
            </w:pPr>
            <w:r>
              <w:rPr>
                <w:color w:val="000000"/>
                <w:sz w:val="24"/>
              </w:rPr>
              <w:t>-0.48%</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交银施罗德启通灵活配置混合型证券投资基金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2017</w:t>
      </w:r>
      <w:r w:rsidR="00D04410" w:rsidRPr="007F52FA">
        <w:rPr>
          <w:rFonts w:ascii="Times New Roman" w:hAnsi="Times New Roman"/>
          <w:sz w:val="24"/>
          <w:szCs w:val="24"/>
        </w:rPr>
        <w:t>年</w:t>
      </w:r>
      <w:r w:rsidR="00D04410" w:rsidRPr="007F52FA">
        <w:rPr>
          <w:rFonts w:ascii="Times New Roman" w:hAnsi="Times New Roman"/>
          <w:sz w:val="24"/>
          <w:szCs w:val="24"/>
        </w:rPr>
        <w:t>2</w:t>
      </w:r>
      <w:r w:rsidR="00D04410" w:rsidRPr="007F52FA">
        <w:rPr>
          <w:rFonts w:ascii="Times New Roman" w:hAnsi="Times New Roman"/>
          <w:sz w:val="24"/>
          <w:szCs w:val="24"/>
        </w:rPr>
        <w:t>月</w:t>
      </w:r>
      <w:r w:rsidR="00D04410" w:rsidRPr="007F52FA">
        <w:rPr>
          <w:rFonts w:ascii="Times New Roman" w:hAnsi="Times New Roman"/>
          <w:sz w:val="24"/>
          <w:szCs w:val="24"/>
        </w:rPr>
        <w:t>24</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2018</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003C4300">
        <w:rPr>
          <w:rFonts w:ascii="Times New Roman" w:hAnsi="Times New Roman"/>
          <w:sz w:val="24"/>
          <w:szCs w:val="24"/>
        </w:rPr>
        <w:t>28</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交银启通灵活配置混合</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2017</w:t>
      </w:r>
      <w:r w:rsidRPr="007F52FA">
        <w:rPr>
          <w:color w:val="000000"/>
          <w:sz w:val="24"/>
        </w:rPr>
        <w:t>年</w:t>
      </w:r>
      <w:r w:rsidRPr="007F52FA">
        <w:rPr>
          <w:color w:val="000000"/>
          <w:sz w:val="24"/>
        </w:rPr>
        <w:t>2</w:t>
      </w:r>
      <w:r w:rsidRPr="007F52FA">
        <w:rPr>
          <w:color w:val="000000"/>
          <w:sz w:val="24"/>
        </w:rPr>
        <w:t>月</w:t>
      </w:r>
      <w:r w:rsidRPr="007F52FA">
        <w:rPr>
          <w:color w:val="000000"/>
          <w:sz w:val="24"/>
        </w:rPr>
        <w:t>24</w:t>
      </w:r>
      <w:r w:rsidRPr="007F52FA">
        <w:rPr>
          <w:color w:val="000000"/>
          <w:sz w:val="24"/>
        </w:rPr>
        <w:t>日，截至报告期期末，本基金已完成建仓但报告期期末距建仓结束未满一年。本基金建仓期为自基金合同生效日起的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2018</w:t>
      </w:r>
      <w:r w:rsidRPr="007F52FA">
        <w:rPr>
          <w:color w:val="000000"/>
          <w:sz w:val="24"/>
        </w:rPr>
        <w:t>年</w:t>
      </w:r>
      <w:r w:rsidRPr="007F52FA">
        <w:rPr>
          <w:color w:val="000000"/>
          <w:sz w:val="24"/>
        </w:rPr>
        <w:t>6</w:t>
      </w:r>
      <w:r w:rsidRPr="007F52FA">
        <w:rPr>
          <w:color w:val="000000"/>
          <w:sz w:val="24"/>
        </w:rPr>
        <w:t>月</w:t>
      </w:r>
      <w:r w:rsidRPr="007F52FA">
        <w:rPr>
          <w:color w:val="000000"/>
          <w:sz w:val="24"/>
        </w:rPr>
        <w:t>29</w:t>
      </w:r>
      <w:r w:rsidRPr="007F52FA">
        <w:rPr>
          <w:color w:val="000000"/>
          <w:sz w:val="24"/>
        </w:rPr>
        <w:t>日起，本基金进入清算程序，图示日期为</w:t>
      </w:r>
      <w:r w:rsidRPr="007F52FA">
        <w:rPr>
          <w:color w:val="000000"/>
          <w:sz w:val="24"/>
        </w:rPr>
        <w:t>2017</w:t>
      </w:r>
      <w:r w:rsidRPr="007F52FA">
        <w:rPr>
          <w:color w:val="000000"/>
          <w:sz w:val="24"/>
        </w:rPr>
        <w:t>年</w:t>
      </w:r>
      <w:r w:rsidRPr="007F52FA">
        <w:rPr>
          <w:color w:val="000000"/>
          <w:sz w:val="24"/>
        </w:rPr>
        <w:t>2</w:t>
      </w:r>
      <w:r w:rsidRPr="007F52FA">
        <w:rPr>
          <w:color w:val="000000"/>
          <w:sz w:val="24"/>
        </w:rPr>
        <w:t>月</w:t>
      </w:r>
      <w:r w:rsidRPr="007F52FA">
        <w:rPr>
          <w:color w:val="000000"/>
          <w:sz w:val="24"/>
        </w:rPr>
        <w:t>24</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6</w:t>
      </w:r>
      <w:r w:rsidRPr="007F52FA">
        <w:rPr>
          <w:color w:val="000000"/>
          <w:sz w:val="24"/>
        </w:rPr>
        <w:t>月</w:t>
      </w:r>
      <w:r w:rsidRPr="007F52FA">
        <w:rPr>
          <w:color w:val="000000"/>
          <w:sz w:val="24"/>
        </w:rPr>
        <w:t>28</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交银启通灵活配置混合</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注：本基金基金合同生效日为</w:t>
      </w:r>
      <w:r w:rsidRPr="007F52FA">
        <w:rPr>
          <w:color w:val="000000"/>
          <w:sz w:val="24"/>
        </w:rPr>
        <w:t>2017</w:t>
      </w:r>
      <w:r w:rsidRPr="007F52FA">
        <w:rPr>
          <w:color w:val="000000"/>
          <w:sz w:val="24"/>
        </w:rPr>
        <w:t>年</w:t>
      </w:r>
      <w:r w:rsidRPr="007F52FA">
        <w:rPr>
          <w:color w:val="000000"/>
          <w:sz w:val="24"/>
        </w:rPr>
        <w:t>2</w:t>
      </w:r>
      <w:r w:rsidRPr="007F52FA">
        <w:rPr>
          <w:color w:val="000000"/>
          <w:sz w:val="24"/>
        </w:rPr>
        <w:t>月</w:t>
      </w:r>
      <w:r w:rsidRPr="007F52FA">
        <w:rPr>
          <w:color w:val="000000"/>
          <w:sz w:val="24"/>
        </w:rPr>
        <w:t>24</w:t>
      </w:r>
      <w:r w:rsidRPr="007F52FA">
        <w:rPr>
          <w:color w:val="000000"/>
          <w:sz w:val="24"/>
        </w:rPr>
        <w:t>日，截至报告期期末，本基金已完成建仓但报告期期末距建仓结束未满一年。本基金建仓期为自基金合同生效日起的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2018</w:t>
      </w:r>
      <w:r w:rsidRPr="007F52FA">
        <w:rPr>
          <w:color w:val="000000"/>
          <w:sz w:val="24"/>
        </w:rPr>
        <w:t>年</w:t>
      </w:r>
      <w:r w:rsidRPr="007F52FA">
        <w:rPr>
          <w:color w:val="000000"/>
          <w:sz w:val="24"/>
        </w:rPr>
        <w:t>6</w:t>
      </w:r>
      <w:r w:rsidRPr="007F52FA">
        <w:rPr>
          <w:color w:val="000000"/>
          <w:sz w:val="24"/>
        </w:rPr>
        <w:t>月</w:t>
      </w:r>
      <w:r w:rsidRPr="007F52FA">
        <w:rPr>
          <w:color w:val="000000"/>
          <w:sz w:val="24"/>
        </w:rPr>
        <w:t>29</w:t>
      </w:r>
      <w:r w:rsidRPr="007F52FA">
        <w:rPr>
          <w:color w:val="000000"/>
          <w:sz w:val="24"/>
        </w:rPr>
        <w:t>日起，本基金进入清算程序，图示日期为</w:t>
      </w:r>
      <w:r w:rsidRPr="007F52FA">
        <w:rPr>
          <w:color w:val="000000"/>
          <w:sz w:val="24"/>
        </w:rPr>
        <w:t>2017</w:t>
      </w:r>
      <w:r w:rsidRPr="007F52FA">
        <w:rPr>
          <w:color w:val="000000"/>
          <w:sz w:val="24"/>
        </w:rPr>
        <w:t>年</w:t>
      </w:r>
      <w:r w:rsidRPr="007F52FA">
        <w:rPr>
          <w:color w:val="000000"/>
          <w:sz w:val="24"/>
        </w:rPr>
        <w:t>2</w:t>
      </w:r>
      <w:r w:rsidRPr="007F52FA">
        <w:rPr>
          <w:color w:val="000000"/>
          <w:sz w:val="24"/>
        </w:rPr>
        <w:t>月</w:t>
      </w:r>
      <w:r w:rsidRPr="007F52FA">
        <w:rPr>
          <w:color w:val="000000"/>
          <w:sz w:val="24"/>
        </w:rPr>
        <w:t>24</w:t>
      </w:r>
      <w:r w:rsidRPr="007F52FA">
        <w:rPr>
          <w:color w:val="000000"/>
          <w:sz w:val="24"/>
        </w:rPr>
        <w:t>日至</w:t>
      </w:r>
      <w:r w:rsidRPr="007F52FA">
        <w:rPr>
          <w:color w:val="000000"/>
          <w:sz w:val="24"/>
        </w:rPr>
        <w:t>2018</w:t>
      </w:r>
      <w:r w:rsidRPr="007F52FA">
        <w:rPr>
          <w:color w:val="000000"/>
          <w:sz w:val="24"/>
        </w:rPr>
        <w:t>年</w:t>
      </w:r>
      <w:r w:rsidRPr="007F52FA">
        <w:rPr>
          <w:color w:val="000000"/>
          <w:sz w:val="24"/>
        </w:rPr>
        <w:t>6</w:t>
      </w:r>
      <w:r w:rsidRPr="007F52FA">
        <w:rPr>
          <w:color w:val="000000"/>
          <w:sz w:val="24"/>
        </w:rPr>
        <w:t>月</w:t>
      </w:r>
      <w:r w:rsidRPr="007F52FA">
        <w:rPr>
          <w:color w:val="000000"/>
          <w:sz w:val="24"/>
        </w:rPr>
        <w:t>28</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91C43">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F25D07">
        <w:trPr>
          <w:jc w:val="center"/>
        </w:trPr>
        <w:tc>
          <w:tcPr>
            <w:tcW w:w="946" w:type="dxa"/>
            <w:vAlign w:val="center"/>
          </w:tcPr>
          <w:p w:rsidR="00F25D07" w:rsidRDefault="003C4300">
            <w:pPr>
              <w:jc w:val="center"/>
            </w:pPr>
            <w:r>
              <w:rPr>
                <w:color w:val="000000"/>
                <w:sz w:val="24"/>
              </w:rPr>
              <w:t>李娜</w:t>
            </w:r>
          </w:p>
        </w:tc>
        <w:tc>
          <w:tcPr>
            <w:tcW w:w="924" w:type="dxa"/>
            <w:vAlign w:val="center"/>
          </w:tcPr>
          <w:p w:rsidR="00F25D07" w:rsidRDefault="003C4300">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的基金经理</w:t>
            </w:r>
          </w:p>
        </w:tc>
        <w:tc>
          <w:tcPr>
            <w:tcW w:w="1202" w:type="dxa"/>
            <w:vAlign w:val="center"/>
          </w:tcPr>
          <w:p w:rsidR="00F25D07" w:rsidRDefault="003C4300">
            <w:pPr>
              <w:jc w:val="center"/>
            </w:pPr>
            <w:r>
              <w:rPr>
                <w:color w:val="000000"/>
                <w:sz w:val="24"/>
              </w:rPr>
              <w:t>2017-03-31</w:t>
            </w:r>
          </w:p>
        </w:tc>
        <w:tc>
          <w:tcPr>
            <w:tcW w:w="1300" w:type="dxa"/>
            <w:vAlign w:val="center"/>
          </w:tcPr>
          <w:p w:rsidR="00F25D07" w:rsidRDefault="003C4300">
            <w:pPr>
              <w:jc w:val="center"/>
            </w:pPr>
            <w:r>
              <w:rPr>
                <w:color w:val="000000"/>
                <w:sz w:val="24"/>
              </w:rPr>
              <w:t>-</w:t>
            </w:r>
          </w:p>
        </w:tc>
        <w:tc>
          <w:tcPr>
            <w:tcW w:w="1245" w:type="dxa"/>
            <w:vAlign w:val="center"/>
          </w:tcPr>
          <w:p w:rsidR="00F25D07" w:rsidRDefault="003C4300">
            <w:pPr>
              <w:jc w:val="center"/>
            </w:pPr>
            <w:r>
              <w:rPr>
                <w:color w:val="000000"/>
                <w:sz w:val="24"/>
              </w:rPr>
              <w:t>8</w:t>
            </w:r>
            <w:r>
              <w:rPr>
                <w:color w:val="000000"/>
                <w:sz w:val="24"/>
              </w:rPr>
              <w:t>年</w:t>
            </w:r>
          </w:p>
        </w:tc>
        <w:tc>
          <w:tcPr>
            <w:tcW w:w="3251" w:type="dxa"/>
            <w:vAlign w:val="center"/>
          </w:tcPr>
          <w:p w:rsidR="00F25D07" w:rsidRDefault="003C4300">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sidR="009419B4">
              <w:rPr>
                <w:color w:val="000000"/>
                <w:sz w:val="24"/>
              </w:rPr>
              <w:t>10</w:t>
            </w:r>
            <w:r>
              <w:rPr>
                <w:color w:val="000000"/>
                <w:sz w:val="24"/>
              </w:rPr>
              <w:t>日担任交银施罗德瑞安定期开放灵活配置混合型证券投资基金基金经理。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F25D07" w:rsidRDefault="003C4300">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25D07" w:rsidRDefault="003C4300">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25D07" w:rsidRDefault="003C4300">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F25D07" w:rsidRDefault="003C4300">
      <w:pPr>
        <w:spacing w:before="29" w:line="288" w:lineRule="auto"/>
        <w:ind w:firstLineChars="200" w:firstLine="480"/>
        <w:rPr>
          <w:color w:val="000000"/>
          <w:sz w:val="24"/>
        </w:rPr>
      </w:pPr>
      <w:r>
        <w:rPr>
          <w:color w:val="000000"/>
          <w:sz w:val="24"/>
        </w:rPr>
        <w:t>本报告期内，经济增长以及市场预期在内部去杠杆进程和外部中美贸易摩擦的双重影响下呈现趋缓态势。固定资产投资逐步走低，增速从二月份的</w:t>
      </w:r>
      <w:r>
        <w:rPr>
          <w:color w:val="000000"/>
          <w:sz w:val="24"/>
        </w:rPr>
        <w:t>7.9%</w:t>
      </w:r>
      <w:r>
        <w:rPr>
          <w:color w:val="000000"/>
          <w:sz w:val="24"/>
        </w:rPr>
        <w:t>回落至五月的</w:t>
      </w:r>
      <w:r>
        <w:rPr>
          <w:color w:val="000000"/>
          <w:sz w:val="24"/>
        </w:rPr>
        <w:t>6.1%</w:t>
      </w:r>
      <w:r>
        <w:rPr>
          <w:color w:val="000000"/>
          <w:sz w:val="24"/>
        </w:rPr>
        <w:t>。社会融资总量同比增速更是在五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rPr>
        <w:t>PPI</w:t>
      </w:r>
      <w:r>
        <w:rPr>
          <w:color w:val="000000"/>
          <w:sz w:val="24"/>
        </w:rPr>
        <w:t>增速上行至</w:t>
      </w:r>
      <w:r>
        <w:rPr>
          <w:color w:val="000000"/>
          <w:sz w:val="24"/>
        </w:rPr>
        <w:t>4.1%</w:t>
      </w:r>
      <w:r>
        <w:rPr>
          <w:color w:val="000000"/>
          <w:sz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rPr>
        <w:t>10.1%</w:t>
      </w:r>
      <w:r>
        <w:rPr>
          <w:color w:val="000000"/>
          <w:sz w:val="24"/>
        </w:rPr>
        <w:t>和</w:t>
      </w:r>
      <w:r>
        <w:rPr>
          <w:color w:val="000000"/>
          <w:sz w:val="24"/>
        </w:rPr>
        <w:t>15.5%</w:t>
      </w:r>
      <w:r>
        <w:rPr>
          <w:color w:val="000000"/>
          <w:sz w:val="24"/>
        </w:rPr>
        <w:t>，</w:t>
      </w:r>
      <w:r>
        <w:rPr>
          <w:color w:val="000000"/>
          <w:sz w:val="24"/>
        </w:rPr>
        <w:t>10</w:t>
      </w:r>
      <w:r>
        <w:rPr>
          <w:color w:val="000000"/>
          <w:sz w:val="24"/>
        </w:rPr>
        <w:t>年期国债收益率下行</w:t>
      </w:r>
      <w:r>
        <w:rPr>
          <w:color w:val="000000"/>
          <w:sz w:val="24"/>
        </w:rPr>
        <w:t>27BP</w:t>
      </w:r>
      <w:r>
        <w:rPr>
          <w:color w:val="000000"/>
          <w:sz w:val="24"/>
        </w:rPr>
        <w:t>至</w:t>
      </w:r>
      <w:r>
        <w:rPr>
          <w:color w:val="000000"/>
          <w:sz w:val="24"/>
        </w:rPr>
        <w:t>3.48%</w:t>
      </w:r>
      <w:r>
        <w:rPr>
          <w:color w:val="000000"/>
          <w:sz w:val="24"/>
        </w:rPr>
        <w:t>，</w:t>
      </w:r>
      <w:r>
        <w:rPr>
          <w:color w:val="000000"/>
          <w:sz w:val="24"/>
        </w:rPr>
        <w:t>10</w:t>
      </w:r>
      <w:r>
        <w:rPr>
          <w:color w:val="000000"/>
          <w:sz w:val="24"/>
        </w:rPr>
        <w:t>年期国开债收益率下行</w:t>
      </w:r>
      <w:r>
        <w:rPr>
          <w:color w:val="000000"/>
          <w:sz w:val="24"/>
        </w:rPr>
        <w:t>39BP</w:t>
      </w:r>
      <w:r>
        <w:rPr>
          <w:color w:val="000000"/>
          <w:sz w:val="24"/>
        </w:rPr>
        <w:t>到</w:t>
      </w:r>
      <w:r>
        <w:rPr>
          <w:color w:val="000000"/>
          <w:sz w:val="24"/>
        </w:rPr>
        <w:t>4.25%</w:t>
      </w:r>
      <w:r>
        <w:rPr>
          <w:color w:val="000000"/>
          <w:sz w:val="24"/>
        </w:rPr>
        <w:t>。</w:t>
      </w:r>
    </w:p>
    <w:p w:rsidR="00F25D07" w:rsidRDefault="003C4300">
      <w:pPr>
        <w:spacing w:before="29" w:line="288" w:lineRule="auto"/>
        <w:ind w:firstLineChars="200" w:firstLine="480"/>
        <w:rPr>
          <w:color w:val="000000"/>
          <w:sz w:val="24"/>
        </w:rPr>
      </w:pPr>
      <w:r>
        <w:rPr>
          <w:color w:val="00000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2018</w:t>
      </w:r>
      <w:r w:rsidRPr="007F52FA">
        <w:rPr>
          <w:color w:val="000000"/>
          <w:sz w:val="24"/>
        </w:rPr>
        <w:t>年三季度，经济增长在二季度末的放缓需要继续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实施细则落地节奏等因素的影响。此外，我们还将密切关注低评级信用债风险的演化、中美贸易战摩擦的政策应对、内外货币政策变化等因素对市场的影响。投资策略上，由于基金合同触发终止情形及进入基金财产清算程序，本基金将配合基金财产清算小组作好产品清盘工作。</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2018</w:t>
      </w:r>
      <w:r w:rsidRPr="007F52FA">
        <w:rPr>
          <w:color w:val="000000"/>
          <w:sz w:val="24"/>
        </w:rPr>
        <w:t>年</w:t>
      </w:r>
      <w:r w:rsidRPr="007F52FA">
        <w:rPr>
          <w:color w:val="000000"/>
          <w:sz w:val="24"/>
        </w:rPr>
        <w:t>6</w:t>
      </w:r>
      <w:r w:rsidRPr="007F52FA">
        <w:rPr>
          <w:color w:val="000000"/>
          <w:sz w:val="24"/>
        </w:rPr>
        <w:t>月</w:t>
      </w:r>
      <w:r w:rsidRPr="007F52FA">
        <w:rPr>
          <w:color w:val="000000"/>
          <w:sz w:val="24"/>
        </w:rPr>
        <w:t>28</w:t>
      </w:r>
      <w:r w:rsidRPr="007F52FA">
        <w:rPr>
          <w:color w:val="000000"/>
          <w:sz w:val="24"/>
        </w:rPr>
        <w:t>日，交银启通</w:t>
      </w:r>
      <w:r w:rsidRPr="007F52FA">
        <w:rPr>
          <w:color w:val="000000"/>
          <w:sz w:val="24"/>
        </w:rPr>
        <w:t>A</w:t>
      </w:r>
      <w:r w:rsidRPr="007F52FA">
        <w:rPr>
          <w:color w:val="000000"/>
          <w:sz w:val="24"/>
        </w:rPr>
        <w:t>份额净值为</w:t>
      </w:r>
      <w:r w:rsidRPr="007F52FA">
        <w:rPr>
          <w:color w:val="000000"/>
          <w:sz w:val="24"/>
        </w:rPr>
        <w:t>1.0674</w:t>
      </w:r>
      <w:r w:rsidRPr="007F52FA">
        <w:rPr>
          <w:color w:val="000000"/>
          <w:sz w:val="24"/>
        </w:rPr>
        <w:t>元，本报告期份额净值增长率为</w:t>
      </w:r>
      <w:r w:rsidRPr="007F52FA">
        <w:rPr>
          <w:color w:val="000000"/>
          <w:sz w:val="24"/>
        </w:rPr>
        <w:t>0.71%</w:t>
      </w:r>
      <w:r w:rsidRPr="007F52FA">
        <w:rPr>
          <w:color w:val="000000"/>
          <w:sz w:val="24"/>
        </w:rPr>
        <w:t>，同期业绩比较基准增长率为</w:t>
      </w:r>
      <w:r w:rsidRPr="007F52FA">
        <w:rPr>
          <w:color w:val="000000"/>
          <w:sz w:val="24"/>
        </w:rPr>
        <w:t>-5.81%</w:t>
      </w:r>
      <w:r w:rsidRPr="007F52FA">
        <w:rPr>
          <w:color w:val="000000"/>
          <w:sz w:val="24"/>
        </w:rPr>
        <w:t>；交银启通</w:t>
      </w:r>
      <w:r w:rsidRPr="007F52FA">
        <w:rPr>
          <w:color w:val="000000"/>
          <w:sz w:val="24"/>
        </w:rPr>
        <w:t>C</w:t>
      </w:r>
      <w:r w:rsidRPr="007F52FA">
        <w:rPr>
          <w:color w:val="000000"/>
          <w:sz w:val="24"/>
        </w:rPr>
        <w:t>份额净值为</w:t>
      </w:r>
      <w:r w:rsidRPr="007F52FA">
        <w:rPr>
          <w:color w:val="000000"/>
          <w:sz w:val="24"/>
        </w:rPr>
        <w:t>1.0672</w:t>
      </w:r>
      <w:r w:rsidRPr="007F52FA">
        <w:rPr>
          <w:color w:val="000000"/>
          <w:sz w:val="24"/>
        </w:rPr>
        <w:t>元，本报告期份额净值增长率为</w:t>
      </w:r>
      <w:r w:rsidRPr="007F52FA">
        <w:rPr>
          <w:color w:val="000000"/>
          <w:sz w:val="24"/>
        </w:rPr>
        <w:t>0.66%</w:t>
      </w:r>
      <w:r w:rsidRPr="007F52FA">
        <w:rPr>
          <w:color w:val="000000"/>
          <w:sz w:val="24"/>
        </w:rPr>
        <w:t>，同期业绩比较基准增长率为</w:t>
      </w:r>
      <w:r w:rsidRPr="007F52FA">
        <w:rPr>
          <w:color w:val="000000"/>
          <w:sz w:val="24"/>
        </w:rPr>
        <w:t>-5.81%</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D04450" w:rsidP="00274444">
      <w:pPr>
        <w:spacing w:before="29" w:line="288" w:lineRule="auto"/>
        <w:ind w:firstLineChars="200" w:firstLine="480"/>
        <w:rPr>
          <w:color w:val="000000"/>
          <w:sz w:val="24"/>
        </w:rPr>
      </w:pPr>
      <w:r w:rsidRPr="00D04450">
        <w:rPr>
          <w:rFonts w:hint="eastAsia"/>
          <w:color w:val="000000"/>
          <w:sz w:val="24"/>
        </w:rPr>
        <w:t>本报告期内，本基金已连续六十个工作日出现基金资产净值低于</w:t>
      </w:r>
      <w:r w:rsidRPr="00D04450">
        <w:rPr>
          <w:rFonts w:hint="eastAsia"/>
          <w:color w:val="000000"/>
          <w:sz w:val="24"/>
        </w:rPr>
        <w:t xml:space="preserve">5000 </w:t>
      </w:r>
      <w:r w:rsidRPr="00D04450">
        <w:rPr>
          <w:rFonts w:hint="eastAsia"/>
          <w:color w:val="000000"/>
          <w:sz w:val="24"/>
        </w:rPr>
        <w:t>万元的情形，已触发基金合同中约定的本基金终止条款，为保护基金份额持有人利益，根据基金合同约定，本基金管理人已向中国证监会报告，本基金进行基金财产清算。自</w:t>
      </w:r>
      <w:r w:rsidRPr="00D04450">
        <w:rPr>
          <w:rFonts w:hint="eastAsia"/>
          <w:color w:val="000000"/>
          <w:sz w:val="24"/>
        </w:rPr>
        <w:t>2018</w:t>
      </w:r>
      <w:r w:rsidRPr="00D04450">
        <w:rPr>
          <w:rFonts w:hint="eastAsia"/>
          <w:color w:val="000000"/>
          <w:sz w:val="24"/>
        </w:rPr>
        <w:t>年</w:t>
      </w:r>
      <w:r w:rsidRPr="00D04450">
        <w:rPr>
          <w:rFonts w:hint="eastAsia"/>
          <w:color w:val="000000"/>
          <w:sz w:val="24"/>
        </w:rPr>
        <w:t>6</w:t>
      </w:r>
      <w:r w:rsidRPr="00D04450">
        <w:rPr>
          <w:rFonts w:hint="eastAsia"/>
          <w:color w:val="000000"/>
          <w:sz w:val="24"/>
        </w:rPr>
        <w:t>月</w:t>
      </w:r>
      <w:r w:rsidRPr="00D04450">
        <w:rPr>
          <w:rFonts w:hint="eastAsia"/>
          <w:color w:val="000000"/>
          <w:sz w:val="24"/>
        </w:rPr>
        <w:t>29</w:t>
      </w:r>
      <w:r w:rsidRPr="00D04450">
        <w:rPr>
          <w:rFonts w:hint="eastAsia"/>
          <w:color w:val="000000"/>
          <w:sz w:val="24"/>
        </w:rPr>
        <w:t>日起，本基金进入清算程序。</w:t>
      </w:r>
    </w:p>
    <w:p w:rsidR="00400FA6" w:rsidRPr="007F52FA" w:rsidRDefault="00400FA6" w:rsidP="007C14DF">
      <w:pPr>
        <w:spacing w:before="29" w:line="288" w:lineRule="auto"/>
        <w:ind w:firstLineChars="200" w:firstLine="480"/>
        <w:rPr>
          <w:color w:val="000000"/>
          <w:sz w:val="24"/>
        </w:rPr>
      </w:pPr>
    </w:p>
    <w:p w:rsidR="009238DB" w:rsidRPr="007C6127" w:rsidRDefault="009238DB" w:rsidP="00091C43">
      <w:pPr>
        <w:pStyle w:val="1"/>
        <w:spacing w:beforeLines="100" w:afterLines="100"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Pr="0028293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tbl>
      <w:tblPr>
        <w:tblStyle w:val="af2"/>
        <w:tblW w:w="8897" w:type="dxa"/>
        <w:tblInd w:w="108" w:type="dxa"/>
        <w:tblLayout w:type="fixed"/>
        <w:tblLook w:val="04A0"/>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r w:rsidRPr="0028293E">
              <w:rPr>
                <w:rFonts w:eastAsiaTheme="minorEastAsia"/>
                <w:color w:val="000000" w:themeColor="text1"/>
                <w:sz w:val="24"/>
              </w:rPr>
              <w:t>(</w:t>
            </w:r>
            <w:r w:rsidRPr="0028293E">
              <w:rPr>
                <w:rFonts w:eastAsiaTheme="minorEastAsia"/>
                <w:color w:val="000000" w:themeColor="text1"/>
                <w:sz w:val="24"/>
              </w:rPr>
              <w:t>元</w:t>
            </w: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3,240,142.23</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98.74</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41,410.91</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1.26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3,281,553.14</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tblPr>
      <w:tblGrid>
        <w:gridCol w:w="1246"/>
        <w:gridCol w:w="2778"/>
        <w:gridCol w:w="4844"/>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40,229.87</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1,181.04</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41,410.91</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96CC9" w:rsidRPr="00196CC9" w:rsidRDefault="00196CC9" w:rsidP="00196CC9">
      <w:pPr>
        <w:spacing w:before="29" w:line="288" w:lineRule="auto"/>
        <w:rPr>
          <w:rFonts w:eastAsiaTheme="minorEastAsia"/>
          <w:sz w:val="24"/>
        </w:rPr>
      </w:pPr>
      <w:r w:rsidRPr="00196CC9">
        <w:rPr>
          <w:rFonts w:eastAsiaTheme="minorEastAsia" w:hint="eastAsia"/>
          <w:sz w:val="24"/>
        </w:rPr>
        <w:t>1</w:t>
      </w:r>
      <w:r w:rsidRPr="00196CC9">
        <w:rPr>
          <w:rFonts w:eastAsiaTheme="minorEastAsia" w:hint="eastAsia"/>
          <w:sz w:val="24"/>
        </w:rPr>
        <w:t>、由于四舍五入的原因，分项之和与合计项之间可能存在尾差。</w:t>
      </w:r>
    </w:p>
    <w:p w:rsidR="00EB27DE" w:rsidRPr="00196CC9" w:rsidRDefault="00196CC9" w:rsidP="00196CC9">
      <w:pPr>
        <w:spacing w:before="29" w:line="288" w:lineRule="auto"/>
        <w:rPr>
          <w:rFonts w:eastAsiaTheme="minorEastAsia"/>
          <w:sz w:val="24"/>
        </w:rPr>
      </w:pPr>
      <w:r w:rsidRPr="00196CC9">
        <w:rPr>
          <w:rFonts w:eastAsiaTheme="minorEastAsia" w:hint="eastAsia"/>
          <w:sz w:val="24"/>
        </w:rPr>
        <w:t>2</w:t>
      </w:r>
      <w:r w:rsidRPr="00196CC9">
        <w:rPr>
          <w:rFonts w:eastAsiaTheme="minorEastAsia" w:hint="eastAsia"/>
          <w:sz w:val="24"/>
        </w:rPr>
        <w:t>、上述投资组合报告期末是指基金合同最后运作日，即</w:t>
      </w:r>
      <w:r w:rsidRPr="00196CC9">
        <w:rPr>
          <w:rFonts w:eastAsiaTheme="minorEastAsia" w:hint="eastAsia"/>
          <w:sz w:val="24"/>
        </w:rPr>
        <w:t>2018</w:t>
      </w:r>
      <w:r w:rsidRPr="00196CC9">
        <w:rPr>
          <w:rFonts w:eastAsiaTheme="minorEastAsia" w:hint="eastAsia"/>
          <w:sz w:val="24"/>
        </w:rPr>
        <w:t>年</w:t>
      </w:r>
      <w:r w:rsidRPr="00196CC9">
        <w:rPr>
          <w:rFonts w:eastAsiaTheme="minorEastAsia" w:hint="eastAsia"/>
          <w:sz w:val="24"/>
        </w:rPr>
        <w:t>6</w:t>
      </w:r>
      <w:r w:rsidRPr="00196CC9">
        <w:rPr>
          <w:rFonts w:eastAsiaTheme="minorEastAsia" w:hint="eastAsia"/>
          <w:sz w:val="24"/>
        </w:rPr>
        <w:t>月</w:t>
      </w:r>
      <w:r w:rsidRPr="00196CC9">
        <w:rPr>
          <w:rFonts w:eastAsiaTheme="minorEastAsia" w:hint="eastAsia"/>
          <w:sz w:val="24"/>
        </w:rPr>
        <w:t>28</w:t>
      </w:r>
      <w:r w:rsidRPr="00196CC9">
        <w:rPr>
          <w:rFonts w:eastAsiaTheme="minorEastAsia" w:hint="eastAsia"/>
          <w:sz w:val="24"/>
        </w:rPr>
        <w:t>日。</w:t>
      </w:r>
    </w:p>
    <w:p w:rsidR="00C51B4E" w:rsidRPr="00C51B4E" w:rsidRDefault="00C51B4E" w:rsidP="00091C43">
      <w:pPr>
        <w:pStyle w:val="1"/>
        <w:spacing w:beforeLines="100" w:afterLines="100" w:line="360" w:lineRule="auto"/>
        <w:jc w:val="center"/>
        <w:rPr>
          <w:rFonts w:eastAsiaTheme="minorEastAsia"/>
          <w:color w:val="000000" w:themeColor="text1"/>
          <w:kern w:val="0"/>
          <w:sz w:val="21"/>
          <w:szCs w:val="21"/>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基金中基金</w:t>
      </w:r>
    </w:p>
    <w:p w:rsidR="00C51B4E" w:rsidRPr="00C51B4E" w:rsidRDefault="00C51B4E" w:rsidP="00C51B4E">
      <w:pPr>
        <w:adjustRightInd w:val="0"/>
        <w:snapToGrid w:val="0"/>
        <w:spacing w:line="360" w:lineRule="auto"/>
        <w:rPr>
          <w:rFonts w:eastAsiaTheme="minorEastAsia"/>
          <w:b/>
          <w:color w:val="000000" w:themeColor="text1"/>
          <w:kern w:val="0"/>
          <w:szCs w:val="21"/>
        </w:rPr>
      </w:pPr>
      <w:r w:rsidRPr="00C51B4E">
        <w:rPr>
          <w:rFonts w:eastAsiaTheme="minorEastAsia"/>
          <w:b/>
          <w:color w:val="000000" w:themeColor="text1"/>
          <w:kern w:val="0"/>
          <w:szCs w:val="21"/>
        </w:rPr>
        <w:t>6.1</w:t>
      </w:r>
      <w:r w:rsidRPr="00C51B4E">
        <w:rPr>
          <w:rFonts w:eastAsiaTheme="minorEastAsia" w:hint="eastAsia"/>
          <w:b/>
          <w:color w:val="000000" w:themeColor="text1"/>
          <w:kern w:val="0"/>
          <w:szCs w:val="21"/>
        </w:rPr>
        <w:t>报告期末按公允价值占基金资产净值比例大小排序的前十名基金投资明细</w:t>
      </w:r>
    </w:p>
    <w:p w:rsidR="00C51B4E" w:rsidRPr="00C51B4E" w:rsidRDefault="00C51B4E" w:rsidP="00C51B4E">
      <w:pPr>
        <w:autoSpaceDE w:val="0"/>
        <w:autoSpaceDN w:val="0"/>
        <w:adjustRightInd w:val="0"/>
        <w:spacing w:line="360" w:lineRule="auto"/>
        <w:ind w:firstLineChars="200" w:firstLine="420"/>
        <w:jc w:val="left"/>
        <w:rPr>
          <w:rFonts w:eastAsiaTheme="minorEastAsia"/>
          <w:color w:val="000000" w:themeColor="text1"/>
          <w:szCs w:val="21"/>
        </w:rPr>
      </w:pPr>
      <w:r w:rsidRPr="00C51B4E">
        <w:rPr>
          <w:rFonts w:eastAsiaTheme="minorEastAsia"/>
          <w:color w:val="000000" w:themeColor="text1"/>
          <w:szCs w:val="21"/>
        </w:rPr>
        <w:t>本基金本报告期末未持有基金。</w:t>
      </w:r>
    </w:p>
    <w:p w:rsidR="00C51B4E" w:rsidRPr="00C51B4E" w:rsidRDefault="00C51B4E" w:rsidP="00091C43">
      <w:pPr>
        <w:adjustRightInd w:val="0"/>
        <w:snapToGrid w:val="0"/>
        <w:spacing w:beforeLines="50" w:line="360" w:lineRule="auto"/>
        <w:rPr>
          <w:rFonts w:eastAsiaTheme="minorEastAsia"/>
          <w:b/>
          <w:color w:val="000000" w:themeColor="text1"/>
          <w:kern w:val="0"/>
          <w:szCs w:val="21"/>
        </w:rPr>
      </w:pPr>
      <w:r w:rsidRPr="00C51B4E">
        <w:rPr>
          <w:rFonts w:eastAsiaTheme="minorEastAsia"/>
          <w:b/>
          <w:color w:val="000000" w:themeColor="text1"/>
          <w:kern w:val="0"/>
          <w:szCs w:val="21"/>
        </w:rPr>
        <w:t>6.2</w:t>
      </w:r>
      <w:r w:rsidRPr="00C51B4E">
        <w:rPr>
          <w:rFonts w:eastAsiaTheme="minorEastAsia" w:hint="eastAsia"/>
          <w:b/>
          <w:color w:val="000000" w:themeColor="text1"/>
          <w:kern w:val="0"/>
          <w:szCs w:val="21"/>
        </w:rPr>
        <w:t>当期交易及持有基金产生的费用</w:t>
      </w:r>
    </w:p>
    <w:p w:rsidR="00C51B4E" w:rsidRPr="00C51B4E" w:rsidRDefault="00C51B4E" w:rsidP="00C51B4E">
      <w:pPr>
        <w:autoSpaceDE w:val="0"/>
        <w:autoSpaceDN w:val="0"/>
        <w:adjustRightInd w:val="0"/>
        <w:spacing w:line="360" w:lineRule="auto"/>
        <w:ind w:firstLineChars="200" w:firstLine="420"/>
        <w:jc w:val="left"/>
        <w:rPr>
          <w:rFonts w:eastAsiaTheme="minorEastAsia"/>
          <w:color w:val="000000" w:themeColor="text1"/>
          <w:szCs w:val="21"/>
        </w:rPr>
      </w:pPr>
      <w:r w:rsidRPr="00C51B4E">
        <w:rPr>
          <w:rFonts w:eastAsiaTheme="minorEastAsia"/>
          <w:color w:val="000000" w:themeColor="text1"/>
          <w:szCs w:val="21"/>
        </w:rPr>
        <w:t>本基金本报告期内未交易或持有基金。</w:t>
      </w:r>
    </w:p>
    <w:p w:rsidR="00C51B4E" w:rsidRDefault="00C51B4E" w:rsidP="00091C43">
      <w:pPr>
        <w:adjustRightInd w:val="0"/>
        <w:snapToGrid w:val="0"/>
        <w:spacing w:beforeLines="50" w:line="360" w:lineRule="auto"/>
        <w:rPr>
          <w:rFonts w:eastAsiaTheme="minorEastAsia"/>
          <w:b/>
          <w:color w:val="000000" w:themeColor="text1"/>
          <w:kern w:val="0"/>
          <w:szCs w:val="21"/>
        </w:rPr>
      </w:pPr>
      <w:r w:rsidRPr="00C51B4E">
        <w:rPr>
          <w:rFonts w:eastAsiaTheme="minorEastAsia"/>
          <w:b/>
          <w:color w:val="000000" w:themeColor="text1"/>
          <w:kern w:val="0"/>
          <w:szCs w:val="21"/>
        </w:rPr>
        <w:t>6.3</w:t>
      </w:r>
      <w:r w:rsidRPr="00C51B4E">
        <w:rPr>
          <w:rFonts w:eastAsiaTheme="minorEastAsia" w:hint="eastAsia"/>
          <w:b/>
          <w:color w:val="000000" w:themeColor="text1"/>
          <w:kern w:val="0"/>
          <w:szCs w:val="21"/>
        </w:rPr>
        <w:t>本报告期持有的基金发生的重大影响事件</w:t>
      </w:r>
    </w:p>
    <w:p w:rsidR="00392A85" w:rsidRPr="00C51B4E" w:rsidRDefault="00392A85" w:rsidP="00091C43">
      <w:pPr>
        <w:adjustRightInd w:val="0"/>
        <w:snapToGrid w:val="0"/>
        <w:spacing w:beforeLines="50" w:line="360" w:lineRule="auto"/>
        <w:ind w:firstLineChars="200" w:firstLine="420"/>
        <w:rPr>
          <w:rFonts w:eastAsiaTheme="minorEastAsia"/>
          <w:b/>
          <w:color w:val="000000" w:themeColor="text1"/>
          <w:kern w:val="0"/>
          <w:szCs w:val="21"/>
        </w:rPr>
      </w:pPr>
      <w:bookmarkStart w:id="0" w:name="_GoBack"/>
      <w:bookmarkEnd w:id="0"/>
      <w:r w:rsidRPr="00C51B4E">
        <w:rPr>
          <w:rFonts w:eastAsiaTheme="minorEastAsia" w:hint="eastAsia"/>
          <w:color w:val="000000" w:themeColor="text1"/>
          <w:szCs w:val="21"/>
        </w:rPr>
        <w:t>无。</w:t>
      </w:r>
    </w:p>
    <w:p w:rsidR="009238DB" w:rsidRPr="007F52FA" w:rsidRDefault="00C51B4E" w:rsidP="00091C43">
      <w:pPr>
        <w:pStyle w:val="1"/>
        <w:spacing w:beforeLines="100" w:afterLines="100"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§7</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交银启通灵活配置混合</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交银启通灵活配置混合</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3,006,701.34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8,693.04</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3,700.93</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7,501.67</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3,003,000.41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1,191.37</w:t>
            </w:r>
          </w:p>
        </w:tc>
      </w:tr>
    </w:tbl>
    <w:p w:rsidR="00F25D07" w:rsidRDefault="003C4300">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注：注：</w:t>
      </w:r>
      <w:r>
        <w:rPr>
          <w:rFonts w:eastAsiaTheme="minorEastAsia"/>
          <w:color w:val="000000"/>
          <w:sz w:val="24"/>
        </w:rPr>
        <w:t>1</w:t>
      </w:r>
      <w:r>
        <w:rPr>
          <w:rFonts w:eastAsiaTheme="minorEastAsia"/>
          <w:color w:val="000000"/>
          <w:sz w:val="24"/>
        </w:rPr>
        <w:t>、如果本报告期间发生转换入、红利再投业务，则总申购份额中包含该业务；</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91C43">
      <w:pPr>
        <w:pStyle w:val="1"/>
        <w:tabs>
          <w:tab w:val="center" w:pos="4156"/>
          <w:tab w:val="right" w:pos="8312"/>
        </w:tabs>
        <w:spacing w:beforeLines="100" w:afterLines="100" w:line="288" w:lineRule="auto"/>
        <w:jc w:val="center"/>
        <w:rPr>
          <w:sz w:val="24"/>
          <w:szCs w:val="24"/>
        </w:rPr>
      </w:pPr>
      <w:r>
        <w:rPr>
          <w:color w:val="000000"/>
          <w:kern w:val="0"/>
          <w:sz w:val="24"/>
          <w:szCs w:val="24"/>
        </w:rPr>
        <w:t>§</w:t>
      </w:r>
      <w:r w:rsidR="000673DA" w:rsidRPr="000673DA">
        <w:rPr>
          <w:color w:val="000000"/>
          <w:kern w:val="0"/>
          <w:sz w:val="24"/>
          <w:szCs w:val="24"/>
        </w:rPr>
        <w:t xml:space="preserve">8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8.1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8</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91C43">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F25D07">
        <w:tc>
          <w:tcPr>
            <w:tcW w:w="992" w:type="dxa"/>
          </w:tcPr>
          <w:p w:rsidR="00F25D07" w:rsidRDefault="00F25D07"/>
          <w:p w:rsidR="00F25D07" w:rsidRDefault="003C4300">
            <w:r>
              <w:rPr>
                <w:rFonts w:ascii="宋体" w:hAnsi="宋体" w:hint="eastAsia"/>
                <w:bCs/>
                <w:color w:val="000000"/>
                <w:kern w:val="0"/>
                <w:szCs w:val="21"/>
              </w:rPr>
              <w:t>机构</w:t>
            </w:r>
          </w:p>
        </w:tc>
        <w:tc>
          <w:tcPr>
            <w:tcW w:w="991" w:type="dxa"/>
            <w:vAlign w:val="center"/>
          </w:tcPr>
          <w:p w:rsidR="00F25D07" w:rsidRDefault="003C4300">
            <w:pPr>
              <w:jc w:val="center"/>
            </w:pPr>
            <w:r>
              <w:rPr>
                <w:rFonts w:ascii="宋体" w:hAnsi="宋体" w:hint="eastAsia"/>
                <w:color w:val="000000"/>
                <w:kern w:val="0"/>
                <w:szCs w:val="21"/>
              </w:rPr>
              <w:t>1</w:t>
            </w:r>
          </w:p>
        </w:tc>
        <w:tc>
          <w:tcPr>
            <w:tcW w:w="1843" w:type="dxa"/>
            <w:vAlign w:val="center"/>
          </w:tcPr>
          <w:p w:rsidR="00F25D07" w:rsidRDefault="003C4300">
            <w:pPr>
              <w:jc w:val="center"/>
            </w:pPr>
            <w:r>
              <w:rPr>
                <w:rFonts w:ascii="宋体" w:hAnsi="宋体" w:hint="eastAsia"/>
                <w:color w:val="000000"/>
                <w:kern w:val="0"/>
                <w:szCs w:val="21"/>
              </w:rPr>
              <w:t>2018/4/1-2018/6/30</w:t>
            </w:r>
          </w:p>
        </w:tc>
        <w:tc>
          <w:tcPr>
            <w:tcW w:w="851" w:type="dxa"/>
            <w:vAlign w:val="center"/>
          </w:tcPr>
          <w:p w:rsidR="00F25D07" w:rsidRDefault="003C4300">
            <w:pPr>
              <w:jc w:val="center"/>
            </w:pPr>
            <w:r>
              <w:rPr>
                <w:rFonts w:ascii="宋体" w:hAnsi="宋体" w:hint="eastAsia"/>
                <w:color w:val="000000"/>
                <w:kern w:val="0"/>
                <w:szCs w:val="21"/>
              </w:rPr>
              <w:t>3,000,000.00</w:t>
            </w:r>
          </w:p>
        </w:tc>
        <w:tc>
          <w:tcPr>
            <w:tcW w:w="850" w:type="dxa"/>
            <w:vAlign w:val="center"/>
          </w:tcPr>
          <w:p w:rsidR="00F25D07" w:rsidRDefault="003C4300">
            <w:pPr>
              <w:jc w:val="center"/>
            </w:pPr>
            <w:r>
              <w:rPr>
                <w:rFonts w:ascii="宋体" w:hAnsi="宋体" w:hint="eastAsia"/>
                <w:color w:val="000000"/>
                <w:kern w:val="0"/>
                <w:szCs w:val="21"/>
              </w:rPr>
              <w:t>-</w:t>
            </w:r>
          </w:p>
        </w:tc>
        <w:tc>
          <w:tcPr>
            <w:tcW w:w="1134" w:type="dxa"/>
            <w:vAlign w:val="center"/>
          </w:tcPr>
          <w:p w:rsidR="00F25D07" w:rsidRDefault="003C4300">
            <w:pPr>
              <w:jc w:val="center"/>
            </w:pPr>
            <w:r>
              <w:rPr>
                <w:rFonts w:ascii="宋体" w:hAnsi="宋体" w:hint="eastAsia"/>
                <w:color w:val="000000"/>
                <w:kern w:val="0"/>
                <w:szCs w:val="21"/>
              </w:rPr>
              <w:t>-</w:t>
            </w:r>
          </w:p>
        </w:tc>
        <w:tc>
          <w:tcPr>
            <w:tcW w:w="1419" w:type="dxa"/>
            <w:vAlign w:val="center"/>
          </w:tcPr>
          <w:p w:rsidR="00F25D07" w:rsidRDefault="003C4300">
            <w:pPr>
              <w:jc w:val="center"/>
            </w:pPr>
            <w:r>
              <w:rPr>
                <w:rFonts w:ascii="宋体" w:hAnsi="宋体" w:hint="eastAsia"/>
                <w:color w:val="000000"/>
                <w:kern w:val="0"/>
                <w:szCs w:val="21"/>
              </w:rPr>
              <w:t>3,000,000.00</w:t>
            </w:r>
          </w:p>
        </w:tc>
        <w:tc>
          <w:tcPr>
            <w:tcW w:w="1130" w:type="dxa"/>
            <w:vAlign w:val="center"/>
          </w:tcPr>
          <w:p w:rsidR="00F25D07" w:rsidRDefault="003C4300">
            <w:pPr>
              <w:jc w:val="center"/>
            </w:pPr>
            <w:r>
              <w:rPr>
                <w:rFonts w:ascii="宋体" w:hAnsi="宋体" w:hint="eastAsia"/>
                <w:color w:val="000000"/>
                <w:kern w:val="0"/>
                <w:szCs w:val="21"/>
              </w:rPr>
              <w:t>99.89%</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9.2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本报告期内，本基金已连续六十个工作日出现基金资产净值低于5000 万元的情形，已触发基金合同中约定的本基金终止条款，为保护基金份额持有人利益，根据基金合同约定，本基金管理人已向中国证监会报告，本基金进行基金财产清算。自2018年6月29日起，本基金进入清算程序，进入清算程序后将不再开放办理申购、赎回业务。基金管理人按照本基金基金合同的约定，组织成立基金财产清算小组履行基金财产清算程序，并将及时公告清算结果。截止本报告期末，本基金尚处于清算程序之中。详情请查阅本基金管理人于2018年6月25日发布的《交银施罗德基金管理有限公司关于交银施罗德启通灵活配置混合型证券投资基金基金合同触发终止情形及进入基金财产清算程序的公告》以及2018年6月27日发布的《交银施罗德基金管理有限公司关于交银施罗德启通灵活配置混合型证券投资基金基金合同触发终止情形及进入基金财产清算程序的提示性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91C43">
      <w:pPr>
        <w:pStyle w:val="1"/>
        <w:spacing w:beforeLines="100" w:after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10</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、中国证监会准予交银施罗德启通灵活配置混合型证券投资基金募集注册的文件；</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、《交银施罗德启通灵活配置混合型证券投资基金基金合同》；</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、《交银施罗德启通灵活配置混合型证券投资基金招募说明书》；</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、《交银施罗德启通灵活配置混合型证券投资基金托管协议》；</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、关于申请募集注册交银施罗德启通灵活配置混合型证券投资基金的法律意见书；</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、报告期内交银施罗德启通灵活配置混合型证券投资基金在指定报刊上各项公告的原稿。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10.3</w:t>
      </w:r>
      <w:r w:rsidR="00FB3C94" w:rsidRPr="007F52FA">
        <w:rPr>
          <w:rFonts w:eastAsiaTheme="minorEastAsia"/>
          <w:b/>
          <w:bCs/>
          <w:color w:val="000000"/>
          <w:kern w:val="0"/>
          <w:sz w:val="24"/>
        </w:rPr>
        <w:t>查阅方式</w:t>
      </w:r>
    </w:p>
    <w:p w:rsidR="00F25D07" w:rsidRDefault="003C4300">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52F" w:rsidRDefault="0039352F">
      <w:r>
        <w:separator/>
      </w:r>
    </w:p>
  </w:endnote>
  <w:endnote w:type="continuationSeparator" w:id="1">
    <w:p w:rsidR="0039352F" w:rsidRDefault="00393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1D0DB0" w:rsidRDefault="007F50FB" w:rsidP="00F7094A">
    <w:pPr>
      <w:pStyle w:val="a6"/>
      <w:jc w:val="center"/>
    </w:pPr>
    <w:r>
      <w:rPr>
        <w:rFonts w:hint="eastAsia"/>
        <w:kern w:val="0"/>
        <w:szCs w:val="21"/>
      </w:rPr>
      <w:t>第</w:t>
    </w:r>
    <w:r w:rsidR="00A630C0">
      <w:rPr>
        <w:kern w:val="0"/>
        <w:szCs w:val="21"/>
      </w:rPr>
      <w:fldChar w:fldCharType="begin"/>
    </w:r>
    <w:r>
      <w:rPr>
        <w:kern w:val="0"/>
        <w:szCs w:val="21"/>
      </w:rPr>
      <w:instrText xml:space="preserve"> PAGE </w:instrText>
    </w:r>
    <w:r w:rsidR="00A630C0">
      <w:rPr>
        <w:kern w:val="0"/>
        <w:szCs w:val="21"/>
      </w:rPr>
      <w:fldChar w:fldCharType="separate"/>
    </w:r>
    <w:r w:rsidR="00091C43">
      <w:rPr>
        <w:noProof/>
        <w:kern w:val="0"/>
        <w:szCs w:val="21"/>
      </w:rPr>
      <w:t>2</w:t>
    </w:r>
    <w:r w:rsidR="00A630C0">
      <w:rPr>
        <w:kern w:val="0"/>
        <w:szCs w:val="21"/>
      </w:rPr>
      <w:fldChar w:fldCharType="end"/>
    </w:r>
    <w:r>
      <w:rPr>
        <w:rFonts w:hint="eastAsia"/>
        <w:kern w:val="0"/>
        <w:szCs w:val="21"/>
      </w:rPr>
      <w:t>页共</w:t>
    </w:r>
    <w:r w:rsidR="00A630C0">
      <w:rPr>
        <w:kern w:val="0"/>
        <w:szCs w:val="21"/>
      </w:rPr>
      <w:fldChar w:fldCharType="begin"/>
    </w:r>
    <w:r>
      <w:rPr>
        <w:kern w:val="0"/>
        <w:szCs w:val="21"/>
      </w:rPr>
      <w:instrText xml:space="preserve"> NUMPAGES </w:instrText>
    </w:r>
    <w:r w:rsidR="00A630C0">
      <w:rPr>
        <w:kern w:val="0"/>
        <w:szCs w:val="21"/>
      </w:rPr>
      <w:fldChar w:fldCharType="separate"/>
    </w:r>
    <w:r w:rsidR="00091C43">
      <w:rPr>
        <w:noProof/>
        <w:kern w:val="0"/>
        <w:szCs w:val="21"/>
      </w:rPr>
      <w:t>2</w:t>
    </w:r>
    <w:r w:rsidR="00A630C0">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Default="00A630C0">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52F" w:rsidRDefault="0039352F">
      <w:r>
        <w:separator/>
      </w:r>
    </w:p>
  </w:footnote>
  <w:footnote w:type="continuationSeparator" w:id="1">
    <w:p w:rsidR="0039352F" w:rsidRDefault="00393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交银施罗德启通灵活配置混合型证券投资基金</w:t>
    </w:r>
    <w:r w:rsidRPr="00D3445F">
      <w:rPr>
        <w:rFonts w:eastAsiaTheme="minorEastAsia"/>
        <w:sz w:val="24"/>
      </w:rPr>
      <w:t>2018</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4E" w:rsidRDefault="00C51B4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1C43"/>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96CC9"/>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2A85"/>
    <w:rsid w:val="0039352F"/>
    <w:rsid w:val="003976A3"/>
    <w:rsid w:val="00397960"/>
    <w:rsid w:val="00397F75"/>
    <w:rsid w:val="003A2008"/>
    <w:rsid w:val="003A3BC4"/>
    <w:rsid w:val="003A4AA3"/>
    <w:rsid w:val="003A7DDF"/>
    <w:rsid w:val="003B405E"/>
    <w:rsid w:val="003B4843"/>
    <w:rsid w:val="003B494E"/>
    <w:rsid w:val="003B6C23"/>
    <w:rsid w:val="003C4300"/>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19B4"/>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0C0"/>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416"/>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0F92"/>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4695"/>
    <w:rsid w:val="00CF58DF"/>
    <w:rsid w:val="00D00BC3"/>
    <w:rsid w:val="00D0316E"/>
    <w:rsid w:val="00D03538"/>
    <w:rsid w:val="00D04410"/>
    <w:rsid w:val="00D0445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39D5"/>
    <w:rsid w:val="00F1480B"/>
    <w:rsid w:val="00F1498D"/>
    <w:rsid w:val="00F20065"/>
    <w:rsid w:val="00F2038E"/>
    <w:rsid w:val="00F22211"/>
    <w:rsid w:val="00F22297"/>
    <w:rsid w:val="00F22341"/>
    <w:rsid w:val="00F22F1D"/>
    <w:rsid w:val="00F24039"/>
    <w:rsid w:val="00F24E0E"/>
    <w:rsid w:val="00F25D07"/>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8EEF-681F-4359-A7B2-2B073C24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1144</Words>
  <Characters>6521</Characters>
  <Application>Microsoft Office Word</Application>
  <DocSecurity>4</DocSecurity>
  <Lines>54</Lines>
  <Paragraphs>15</Paragraphs>
  <ScaleCrop>false</ScaleCrop>
  <Company>TRT. Ltd. Co.</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2018-07-17T16:51:00Z</dcterms:created>
  <dcterms:modified xsi:type="dcterms:W3CDTF">2018-07-17T16:51:00Z</dcterms:modified>
</cp:coreProperties>
</file>