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交银施罗德丰硕收益债券型证券投资基金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2712DE">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C1177" w:rsidRDefault="00357D3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8C1177" w:rsidRDefault="00357D31">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p>
    <w:p w:rsidR="008C1177" w:rsidRDefault="00357D3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8C1177" w:rsidRDefault="00357D3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F36A0A" w:rsidRPr="00F36A0A" w:rsidRDefault="00F36A0A" w:rsidP="00F36A0A">
      <w:pPr>
        <w:spacing w:before="29" w:line="288" w:lineRule="auto"/>
        <w:ind w:firstLineChars="200" w:firstLine="480"/>
        <w:rPr>
          <w:color w:val="000000"/>
          <w:sz w:val="24"/>
          <w:szCs w:val="24"/>
        </w:rPr>
      </w:pPr>
      <w:r w:rsidRPr="00F36A0A">
        <w:rPr>
          <w:rFonts w:hint="eastAsia"/>
          <w:color w:val="000000"/>
          <w:sz w:val="24"/>
          <w:szCs w:val="24"/>
        </w:rPr>
        <w:t>本基金自</w:t>
      </w:r>
      <w:r w:rsidRPr="00F36A0A">
        <w:rPr>
          <w:rFonts w:hint="eastAsia"/>
          <w:color w:val="000000"/>
          <w:sz w:val="24"/>
          <w:szCs w:val="24"/>
        </w:rPr>
        <w:t>2018</w:t>
      </w:r>
      <w:r w:rsidRPr="00F36A0A">
        <w:rPr>
          <w:rFonts w:hint="eastAsia"/>
          <w:color w:val="000000"/>
          <w:sz w:val="24"/>
          <w:szCs w:val="24"/>
        </w:rPr>
        <w:t>年</w:t>
      </w:r>
      <w:r w:rsidRPr="00F36A0A">
        <w:rPr>
          <w:rFonts w:hint="eastAsia"/>
          <w:color w:val="000000"/>
          <w:sz w:val="24"/>
          <w:szCs w:val="24"/>
        </w:rPr>
        <w:t>4</w:t>
      </w:r>
      <w:r w:rsidRPr="00F36A0A">
        <w:rPr>
          <w:rFonts w:hint="eastAsia"/>
          <w:color w:val="000000"/>
          <w:sz w:val="24"/>
          <w:szCs w:val="24"/>
        </w:rPr>
        <w:t>月</w:t>
      </w:r>
      <w:r w:rsidRPr="00F36A0A">
        <w:rPr>
          <w:rFonts w:hint="eastAsia"/>
          <w:color w:val="000000"/>
          <w:sz w:val="24"/>
          <w:szCs w:val="24"/>
        </w:rPr>
        <w:t>18</w:t>
      </w:r>
      <w:r w:rsidRPr="00F36A0A">
        <w:rPr>
          <w:rFonts w:hint="eastAsia"/>
          <w:color w:val="000000"/>
          <w:sz w:val="24"/>
          <w:szCs w:val="24"/>
        </w:rPr>
        <w:t>日起进入清算程序，财务报表数据披露截至</w:t>
      </w:r>
      <w:r w:rsidRPr="00F36A0A">
        <w:rPr>
          <w:rFonts w:hint="eastAsia"/>
          <w:color w:val="000000"/>
          <w:sz w:val="24"/>
          <w:szCs w:val="24"/>
        </w:rPr>
        <w:t>2018</w:t>
      </w:r>
      <w:r w:rsidRPr="00F36A0A">
        <w:rPr>
          <w:rFonts w:hint="eastAsia"/>
          <w:color w:val="000000"/>
          <w:sz w:val="24"/>
          <w:szCs w:val="24"/>
        </w:rPr>
        <w:t>年</w:t>
      </w:r>
      <w:r w:rsidRPr="00F36A0A">
        <w:rPr>
          <w:rFonts w:hint="eastAsia"/>
          <w:color w:val="000000"/>
          <w:sz w:val="24"/>
          <w:szCs w:val="24"/>
        </w:rPr>
        <w:t>4</w:t>
      </w:r>
      <w:r w:rsidRPr="00F36A0A">
        <w:rPr>
          <w:rFonts w:hint="eastAsia"/>
          <w:color w:val="000000"/>
          <w:sz w:val="24"/>
          <w:szCs w:val="24"/>
        </w:rPr>
        <w:t>月</w:t>
      </w:r>
      <w:r w:rsidRPr="00F36A0A">
        <w:rPr>
          <w:rFonts w:hint="eastAsia"/>
          <w:color w:val="000000"/>
          <w:sz w:val="24"/>
          <w:szCs w:val="24"/>
        </w:rPr>
        <w:t>17</w:t>
      </w:r>
      <w:r w:rsidRPr="00F36A0A">
        <w:rPr>
          <w:rFonts w:hint="eastAsia"/>
          <w:color w:val="000000"/>
          <w:sz w:val="24"/>
          <w:szCs w:val="24"/>
        </w:rPr>
        <w:t>日</w:t>
      </w:r>
      <w:r w:rsidRPr="00F36A0A">
        <w:rPr>
          <w:rFonts w:hint="eastAsia"/>
          <w:color w:val="000000"/>
          <w:sz w:val="24"/>
          <w:szCs w:val="24"/>
        </w:rPr>
        <w:t>(</w:t>
      </w:r>
      <w:r w:rsidRPr="00F36A0A">
        <w:rPr>
          <w:rFonts w:hint="eastAsia"/>
          <w:color w:val="000000"/>
          <w:sz w:val="24"/>
          <w:szCs w:val="24"/>
        </w:rPr>
        <w:t>基金最后运作日</w:t>
      </w:r>
      <w:r w:rsidRPr="00F36A0A">
        <w:rPr>
          <w:rFonts w:hint="eastAsia"/>
          <w:color w:val="000000"/>
          <w:sz w:val="24"/>
          <w:szCs w:val="24"/>
        </w:rPr>
        <w:t>)</w:t>
      </w:r>
      <w:r w:rsidRPr="00F36A0A">
        <w:rPr>
          <w:rFonts w:hint="eastAsia"/>
          <w:color w:val="000000"/>
          <w:sz w:val="24"/>
          <w:szCs w:val="24"/>
        </w:rPr>
        <w:t>，本报告中财务资料未经审计。</w:t>
      </w:r>
    </w:p>
    <w:p w:rsidR="00627E2D" w:rsidRDefault="00F36A0A" w:rsidP="00F36A0A">
      <w:pPr>
        <w:spacing w:before="29" w:line="288" w:lineRule="auto"/>
        <w:ind w:firstLineChars="200" w:firstLine="480"/>
        <w:rPr>
          <w:color w:val="000000"/>
          <w:sz w:val="24"/>
          <w:szCs w:val="24"/>
        </w:rPr>
      </w:pPr>
      <w:r w:rsidRPr="00F36A0A">
        <w:rPr>
          <w:rFonts w:hint="eastAsia"/>
          <w:color w:val="000000"/>
          <w:sz w:val="24"/>
          <w:szCs w:val="24"/>
        </w:rPr>
        <w:t>本报告期自</w:t>
      </w:r>
      <w:r w:rsidRPr="00F36A0A">
        <w:rPr>
          <w:rFonts w:hint="eastAsia"/>
          <w:color w:val="000000"/>
          <w:sz w:val="24"/>
          <w:szCs w:val="24"/>
        </w:rPr>
        <w:t>2018</w:t>
      </w:r>
      <w:r w:rsidRPr="00F36A0A">
        <w:rPr>
          <w:rFonts w:hint="eastAsia"/>
          <w:color w:val="000000"/>
          <w:sz w:val="24"/>
          <w:szCs w:val="24"/>
        </w:rPr>
        <w:t>年</w:t>
      </w:r>
      <w:r w:rsidRPr="00F36A0A">
        <w:rPr>
          <w:rFonts w:hint="eastAsia"/>
          <w:color w:val="000000"/>
          <w:sz w:val="24"/>
          <w:szCs w:val="24"/>
        </w:rPr>
        <w:t>4</w:t>
      </w:r>
      <w:r w:rsidRPr="00F36A0A">
        <w:rPr>
          <w:rFonts w:hint="eastAsia"/>
          <w:color w:val="000000"/>
          <w:sz w:val="24"/>
          <w:szCs w:val="24"/>
        </w:rPr>
        <w:t>月</w:t>
      </w:r>
      <w:r w:rsidRPr="00F36A0A">
        <w:rPr>
          <w:rFonts w:hint="eastAsia"/>
          <w:color w:val="000000"/>
          <w:sz w:val="24"/>
          <w:szCs w:val="24"/>
        </w:rPr>
        <w:t>1</w:t>
      </w:r>
      <w:r w:rsidRPr="00F36A0A">
        <w:rPr>
          <w:rFonts w:hint="eastAsia"/>
          <w:color w:val="000000"/>
          <w:sz w:val="24"/>
          <w:szCs w:val="24"/>
        </w:rPr>
        <w:t>日起至</w:t>
      </w:r>
      <w:r w:rsidRPr="00F36A0A">
        <w:rPr>
          <w:rFonts w:hint="eastAsia"/>
          <w:color w:val="000000"/>
          <w:sz w:val="24"/>
          <w:szCs w:val="24"/>
        </w:rPr>
        <w:t>4</w:t>
      </w:r>
      <w:r w:rsidRPr="00F36A0A">
        <w:rPr>
          <w:rFonts w:hint="eastAsia"/>
          <w:color w:val="000000"/>
          <w:sz w:val="24"/>
          <w:szCs w:val="24"/>
        </w:rPr>
        <w:t>月</w:t>
      </w:r>
      <w:r w:rsidRPr="00F36A0A">
        <w:rPr>
          <w:rFonts w:hint="eastAsia"/>
          <w:color w:val="000000"/>
          <w:sz w:val="24"/>
          <w:szCs w:val="24"/>
        </w:rPr>
        <w:t>17</w:t>
      </w:r>
      <w:r w:rsidRPr="00F36A0A">
        <w:rPr>
          <w:rFonts w:hint="eastAsia"/>
          <w:color w:val="000000"/>
          <w:sz w:val="24"/>
          <w:szCs w:val="24"/>
        </w:rPr>
        <w:t>日止。</w:t>
      </w:r>
    </w:p>
    <w:p w:rsidR="0071415B" w:rsidRPr="00F36A0A" w:rsidRDefault="0071415B" w:rsidP="00F36A0A">
      <w:pPr>
        <w:spacing w:before="29" w:line="288" w:lineRule="auto"/>
        <w:ind w:firstLineChars="200" w:firstLine="480"/>
        <w:rPr>
          <w:color w:val="000000"/>
          <w:sz w:val="24"/>
          <w:szCs w:val="24"/>
        </w:rPr>
      </w:pPr>
    </w:p>
    <w:p w:rsidR="004061AC" w:rsidRPr="00414345" w:rsidRDefault="004061AC" w:rsidP="002712DE">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交银丰硕收益债券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w:t>
            </w:r>
            <w:r w:rsidRPr="00414345">
              <w:rPr>
                <w:color w:val="000000"/>
                <w:kern w:val="0"/>
                <w:sz w:val="24"/>
                <w:szCs w:val="24"/>
              </w:rPr>
              <w:t>,</w:t>
            </w:r>
            <w:r w:rsidRPr="00414345">
              <w:rPr>
                <w:color w:val="000000"/>
                <w:kern w:val="0"/>
                <w:sz w:val="24"/>
                <w:szCs w:val="24"/>
              </w:rPr>
              <w:t>本基金在基金合同生效之日起两年（含两年）的期间内封闭式运作（按照基金合同的约定提前转换基金运作方式的除外），封闭期结束后转为开放式运作。</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17,340,809.88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在有效控制风险的前提下</w:t>
            </w:r>
            <w:r w:rsidRPr="00414345">
              <w:rPr>
                <w:color w:val="000000"/>
                <w:kern w:val="0"/>
                <w:sz w:val="24"/>
                <w:szCs w:val="24"/>
              </w:rPr>
              <w:t>,</w:t>
            </w:r>
            <w:r w:rsidRPr="00414345">
              <w:rPr>
                <w:color w:val="000000"/>
                <w:kern w:val="0"/>
                <w:sz w:val="24"/>
                <w:szCs w:val="24"/>
              </w:rPr>
              <w:t>力求获得高于业绩基准的投资收益。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8C1177" w:rsidRDefault="00357D31">
            <w:pPr>
              <w:adjustRightInd w:val="0"/>
              <w:spacing w:before="29" w:line="288" w:lineRule="auto"/>
              <w:ind w:left="17"/>
              <w:jc w:val="left"/>
              <w:rPr>
                <w:color w:val="000000"/>
                <w:sz w:val="24"/>
                <w:szCs w:val="24"/>
              </w:rPr>
            </w:pPr>
            <w:r>
              <w:rPr>
                <w:color w:val="000000"/>
                <w:kern w:val="0"/>
                <w:sz w:val="24"/>
                <w:szCs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8C1177" w:rsidRDefault="008C1177">
            <w:pPr>
              <w:adjustRightInd w:val="0"/>
              <w:spacing w:before="29" w:line="288" w:lineRule="auto"/>
              <w:ind w:left="17"/>
              <w:jc w:val="left"/>
              <w:rPr>
                <w:color w:val="000000"/>
                <w:sz w:val="24"/>
                <w:szCs w:val="24"/>
              </w:rPr>
            </w:pP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8C1177" w:rsidRDefault="00357D31">
            <w:pPr>
              <w:adjustRightInd w:val="0"/>
              <w:spacing w:before="29" w:line="288" w:lineRule="auto"/>
              <w:ind w:left="17"/>
              <w:jc w:val="left"/>
              <w:rPr>
                <w:color w:val="000000"/>
                <w:sz w:val="24"/>
                <w:szCs w:val="24"/>
              </w:rPr>
            </w:pPr>
            <w:r>
              <w:rPr>
                <w:color w:val="000000"/>
                <w:kern w:val="0"/>
                <w:sz w:val="24"/>
                <w:szCs w:val="24"/>
              </w:rPr>
              <w:t>封闭期内业绩比较基准：两年期银行定期存款税后收益率</w:t>
            </w:r>
            <w:r>
              <w:rPr>
                <w:color w:val="000000"/>
                <w:kern w:val="0"/>
                <w:sz w:val="24"/>
                <w:szCs w:val="24"/>
              </w:rPr>
              <w:t>+1.25%</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开放期内业绩比较基准：中债综合全价指数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本基金是一只债券型基金，其风险与预期收益高于货币市场基金，低于混合型基金和股票型基金，属于证券投资基金中中等风险的品种。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4061AC" w:rsidRPr="00414345" w:rsidRDefault="00357D31" w:rsidP="00C15CAC">
      <w:pPr>
        <w:autoSpaceDE w:val="0"/>
        <w:autoSpaceDN w:val="0"/>
        <w:adjustRightInd w:val="0"/>
        <w:spacing w:before="29" w:line="288" w:lineRule="auto"/>
        <w:jc w:val="left"/>
        <w:rPr>
          <w:color w:val="000000"/>
          <w:sz w:val="24"/>
          <w:szCs w:val="24"/>
        </w:rPr>
      </w:pPr>
      <w:r>
        <w:rPr>
          <w:color w:val="000000"/>
          <w:sz w:val="24"/>
          <w:szCs w:val="24"/>
        </w:rPr>
        <w:t>注：本基金自</w:t>
      </w:r>
      <w:r>
        <w:rPr>
          <w:color w:val="000000"/>
          <w:sz w:val="24"/>
          <w:szCs w:val="24"/>
        </w:rPr>
        <w:t>2017</w:t>
      </w:r>
      <w:r>
        <w:rPr>
          <w:color w:val="000000"/>
          <w:sz w:val="24"/>
          <w:szCs w:val="24"/>
        </w:rPr>
        <w:t>年</w:t>
      </w:r>
      <w:r>
        <w:rPr>
          <w:color w:val="000000"/>
          <w:sz w:val="24"/>
          <w:szCs w:val="24"/>
        </w:rPr>
        <w:t>11</w:t>
      </w:r>
      <w:r>
        <w:rPr>
          <w:color w:val="000000"/>
          <w:sz w:val="24"/>
          <w:szCs w:val="24"/>
        </w:rPr>
        <w:t>月</w:t>
      </w:r>
      <w:r>
        <w:rPr>
          <w:color w:val="000000"/>
          <w:sz w:val="24"/>
          <w:szCs w:val="24"/>
        </w:rPr>
        <w:t>10</w:t>
      </w:r>
      <w:r w:rsidR="00464438">
        <w:rPr>
          <w:color w:val="000000"/>
          <w:sz w:val="24"/>
          <w:szCs w:val="24"/>
        </w:rPr>
        <w:t>日起转为开放式运作</w:t>
      </w:r>
      <w:r w:rsidR="00464438">
        <w:rPr>
          <w:rFonts w:hint="eastAsia"/>
          <w:color w:val="000000"/>
          <w:sz w:val="24"/>
          <w:szCs w:val="24"/>
        </w:rPr>
        <w:t>，</w:t>
      </w:r>
      <w:r w:rsidR="00464438">
        <w:rPr>
          <w:color w:val="000000"/>
          <w:sz w:val="24"/>
          <w:szCs w:val="24"/>
        </w:rPr>
        <w:t>并</w:t>
      </w:r>
      <w:r w:rsidR="004061AC" w:rsidRPr="00414345">
        <w:rPr>
          <w:color w:val="000000"/>
          <w:sz w:val="24"/>
          <w:szCs w:val="24"/>
        </w:rPr>
        <w:t>自</w:t>
      </w:r>
      <w:r w:rsidR="004061AC" w:rsidRPr="00414345">
        <w:rPr>
          <w:color w:val="000000"/>
          <w:sz w:val="24"/>
          <w:szCs w:val="24"/>
        </w:rPr>
        <w:t>2018</w:t>
      </w:r>
      <w:r w:rsidR="004061AC" w:rsidRPr="00414345">
        <w:rPr>
          <w:color w:val="000000"/>
          <w:sz w:val="24"/>
          <w:szCs w:val="24"/>
        </w:rPr>
        <w:t>年</w:t>
      </w:r>
      <w:r w:rsidR="004061AC" w:rsidRPr="00414345">
        <w:rPr>
          <w:color w:val="000000"/>
          <w:sz w:val="24"/>
          <w:szCs w:val="24"/>
        </w:rPr>
        <w:t>4</w:t>
      </w:r>
      <w:r w:rsidR="004061AC" w:rsidRPr="00414345">
        <w:rPr>
          <w:color w:val="000000"/>
          <w:sz w:val="24"/>
          <w:szCs w:val="24"/>
        </w:rPr>
        <w:t>月</w:t>
      </w:r>
      <w:r w:rsidR="004061AC" w:rsidRPr="00414345">
        <w:rPr>
          <w:color w:val="000000"/>
          <w:sz w:val="24"/>
          <w:szCs w:val="24"/>
        </w:rPr>
        <w:t>18</w:t>
      </w:r>
      <w:r w:rsidR="004061AC" w:rsidRPr="00414345">
        <w:rPr>
          <w:color w:val="000000"/>
          <w:sz w:val="24"/>
          <w:szCs w:val="24"/>
        </w:rPr>
        <w:t>日起进入清算程序。</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2712DE">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357D31" w:rsidRPr="00414345" w:rsidTr="00357D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357D31">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00357D31">
              <w:rPr>
                <w:color w:val="000000"/>
                <w:sz w:val="24"/>
                <w:szCs w:val="24"/>
              </w:rPr>
              <w:t>4</w:t>
            </w:r>
            <w:r w:rsidRPr="00414345">
              <w:rPr>
                <w:color w:val="000000"/>
                <w:sz w:val="24"/>
                <w:szCs w:val="24"/>
              </w:rPr>
              <w:t>月</w:t>
            </w:r>
            <w:r w:rsidR="00357D31">
              <w:rPr>
                <w:color w:val="000000"/>
                <w:sz w:val="24"/>
                <w:szCs w:val="24"/>
              </w:rPr>
              <w:t>17</w:t>
            </w:r>
            <w:r w:rsidRPr="00414345">
              <w:rPr>
                <w:color w:val="000000"/>
                <w:sz w:val="24"/>
                <w:szCs w:val="24"/>
              </w:rPr>
              <w:t>日</w:t>
            </w:r>
            <w:r w:rsidRPr="00414345">
              <w:rPr>
                <w:color w:val="000000"/>
                <w:sz w:val="24"/>
                <w:szCs w:val="24"/>
              </w:rPr>
              <w:t>)</w:t>
            </w:r>
          </w:p>
        </w:tc>
      </w:tr>
      <w:tr w:rsidR="00357D31" w:rsidRPr="00414345" w:rsidTr="00357D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144,942.15</w:t>
            </w:r>
          </w:p>
        </w:tc>
      </w:tr>
      <w:tr w:rsidR="00357D31" w:rsidRPr="00414345" w:rsidTr="00357D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102,295.80</w:t>
            </w:r>
          </w:p>
        </w:tc>
      </w:tr>
      <w:tr w:rsidR="00357D31" w:rsidRPr="00414345" w:rsidTr="00357D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0.0039</w:t>
            </w:r>
          </w:p>
        </w:tc>
      </w:tr>
      <w:tr w:rsidR="00357D31" w:rsidRPr="00414345" w:rsidTr="00357D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17,599,651.19</w:t>
            </w:r>
          </w:p>
        </w:tc>
      </w:tr>
      <w:tr w:rsidR="00357D31" w:rsidRPr="00414345" w:rsidTr="00357D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1.015</w:t>
            </w:r>
          </w:p>
        </w:tc>
      </w:tr>
    </w:tbl>
    <w:p w:rsidR="008C1177" w:rsidRDefault="00357D3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C1177">
        <w:trPr>
          <w:jc w:val="center"/>
        </w:trPr>
        <w:tc>
          <w:tcPr>
            <w:tcW w:w="1701" w:type="dxa"/>
            <w:vAlign w:val="center"/>
          </w:tcPr>
          <w:p w:rsidR="008C1177" w:rsidRDefault="00357D31">
            <w:pPr>
              <w:jc w:val="left"/>
            </w:pPr>
            <w:r>
              <w:rPr>
                <w:color w:val="000000"/>
                <w:sz w:val="24"/>
                <w:szCs w:val="24"/>
              </w:rPr>
              <w:t>过去三个月</w:t>
            </w:r>
          </w:p>
        </w:tc>
        <w:tc>
          <w:tcPr>
            <w:tcW w:w="1045" w:type="dxa"/>
            <w:vAlign w:val="center"/>
          </w:tcPr>
          <w:p w:rsidR="008C1177" w:rsidRDefault="00357D31">
            <w:pPr>
              <w:jc w:val="center"/>
            </w:pPr>
            <w:r>
              <w:rPr>
                <w:color w:val="000000"/>
                <w:sz w:val="24"/>
                <w:szCs w:val="24"/>
              </w:rPr>
              <w:t>0.40%</w:t>
            </w:r>
          </w:p>
        </w:tc>
        <w:tc>
          <w:tcPr>
            <w:tcW w:w="1344" w:type="dxa"/>
            <w:vAlign w:val="center"/>
          </w:tcPr>
          <w:p w:rsidR="008C1177" w:rsidRDefault="00357D31">
            <w:pPr>
              <w:jc w:val="center"/>
            </w:pPr>
            <w:r>
              <w:rPr>
                <w:color w:val="000000"/>
                <w:sz w:val="24"/>
                <w:szCs w:val="24"/>
              </w:rPr>
              <w:t>0.11%</w:t>
            </w:r>
          </w:p>
        </w:tc>
        <w:tc>
          <w:tcPr>
            <w:tcW w:w="1194" w:type="dxa"/>
            <w:vAlign w:val="center"/>
          </w:tcPr>
          <w:p w:rsidR="008C1177" w:rsidRDefault="00357D31">
            <w:pPr>
              <w:jc w:val="center"/>
            </w:pPr>
            <w:r>
              <w:rPr>
                <w:color w:val="000000"/>
                <w:sz w:val="24"/>
                <w:szCs w:val="24"/>
              </w:rPr>
              <w:t>0.51%</w:t>
            </w:r>
          </w:p>
        </w:tc>
        <w:tc>
          <w:tcPr>
            <w:tcW w:w="1492" w:type="dxa"/>
            <w:vAlign w:val="center"/>
          </w:tcPr>
          <w:p w:rsidR="008C1177" w:rsidRDefault="00357D31">
            <w:pPr>
              <w:jc w:val="center"/>
            </w:pPr>
            <w:r>
              <w:rPr>
                <w:color w:val="000000"/>
                <w:sz w:val="24"/>
                <w:szCs w:val="24"/>
              </w:rPr>
              <w:t>0.05%</w:t>
            </w:r>
          </w:p>
        </w:tc>
        <w:tc>
          <w:tcPr>
            <w:tcW w:w="1194" w:type="dxa"/>
            <w:vAlign w:val="center"/>
          </w:tcPr>
          <w:p w:rsidR="008C1177" w:rsidRDefault="00357D31">
            <w:pPr>
              <w:jc w:val="center"/>
            </w:pPr>
            <w:r>
              <w:rPr>
                <w:color w:val="000000"/>
                <w:sz w:val="24"/>
                <w:szCs w:val="24"/>
              </w:rPr>
              <w:t>-0.11%</w:t>
            </w:r>
          </w:p>
        </w:tc>
        <w:tc>
          <w:tcPr>
            <w:tcW w:w="898" w:type="dxa"/>
            <w:vAlign w:val="center"/>
          </w:tcPr>
          <w:p w:rsidR="008C1177" w:rsidRDefault="00357D31">
            <w:pPr>
              <w:jc w:val="center"/>
            </w:pPr>
            <w:r>
              <w:rPr>
                <w:color w:val="000000"/>
                <w:sz w:val="24"/>
                <w:szCs w:val="24"/>
              </w:rPr>
              <w:t>0.06%</w:t>
            </w:r>
          </w:p>
        </w:tc>
      </w:tr>
    </w:tbl>
    <w:p w:rsidR="008C1177" w:rsidRDefault="00357D31">
      <w:pPr>
        <w:autoSpaceDE w:val="0"/>
        <w:autoSpaceDN w:val="0"/>
        <w:adjustRightInd w:val="0"/>
        <w:spacing w:before="29" w:line="288" w:lineRule="auto"/>
        <w:jc w:val="left"/>
        <w:rPr>
          <w:color w:val="000000"/>
          <w:sz w:val="24"/>
          <w:szCs w:val="24"/>
        </w:rPr>
      </w:pPr>
      <w:r>
        <w:rPr>
          <w:color w:val="000000"/>
          <w:sz w:val="24"/>
          <w:szCs w:val="24"/>
        </w:rPr>
        <w:t>注：本基金自</w:t>
      </w:r>
      <w:r>
        <w:rPr>
          <w:color w:val="000000"/>
          <w:sz w:val="24"/>
          <w:szCs w:val="24"/>
        </w:rPr>
        <w:t>2017</w:t>
      </w:r>
      <w:r>
        <w:rPr>
          <w:color w:val="000000"/>
          <w:sz w:val="24"/>
          <w:szCs w:val="24"/>
        </w:rPr>
        <w:t>年</w:t>
      </w:r>
      <w:r>
        <w:rPr>
          <w:color w:val="000000"/>
          <w:sz w:val="24"/>
          <w:szCs w:val="24"/>
        </w:rPr>
        <w:t>11</w:t>
      </w:r>
      <w:r>
        <w:rPr>
          <w:color w:val="000000"/>
          <w:sz w:val="24"/>
          <w:szCs w:val="24"/>
        </w:rPr>
        <w:t>月</w:t>
      </w:r>
      <w:r>
        <w:rPr>
          <w:color w:val="000000"/>
          <w:sz w:val="24"/>
          <w:szCs w:val="24"/>
        </w:rPr>
        <w:t>10</w:t>
      </w:r>
      <w:r>
        <w:rPr>
          <w:color w:val="000000"/>
          <w:sz w:val="24"/>
          <w:szCs w:val="24"/>
        </w:rPr>
        <w:t>日起转为开放式运作，本基金的业绩比较基准由</w:t>
      </w:r>
      <w:r>
        <w:rPr>
          <w:color w:val="000000"/>
          <w:sz w:val="24"/>
          <w:szCs w:val="24"/>
        </w:rPr>
        <w:t>“</w:t>
      </w:r>
      <w:r>
        <w:rPr>
          <w:color w:val="000000"/>
          <w:sz w:val="24"/>
          <w:szCs w:val="24"/>
        </w:rPr>
        <w:t>两年期银行定期存款税后收益率</w:t>
      </w:r>
      <w:r>
        <w:rPr>
          <w:color w:val="000000"/>
          <w:sz w:val="24"/>
          <w:szCs w:val="24"/>
        </w:rPr>
        <w:t>+1.25%”</w:t>
      </w:r>
      <w:r>
        <w:rPr>
          <w:color w:val="000000"/>
          <w:sz w:val="24"/>
          <w:szCs w:val="24"/>
        </w:rPr>
        <w:t>变更为</w:t>
      </w:r>
      <w:r>
        <w:rPr>
          <w:color w:val="000000"/>
          <w:sz w:val="24"/>
          <w:szCs w:val="24"/>
        </w:rPr>
        <w:t>“</w:t>
      </w:r>
      <w:r>
        <w:rPr>
          <w:color w:val="000000"/>
          <w:sz w:val="24"/>
          <w:szCs w:val="24"/>
        </w:rPr>
        <w:t>中债综合全价指数</w:t>
      </w:r>
      <w:r>
        <w:rPr>
          <w:color w:val="000000"/>
          <w:sz w:val="24"/>
          <w:szCs w:val="24"/>
        </w:rPr>
        <w:t>”</w:t>
      </w:r>
      <w:r>
        <w:rPr>
          <w:color w:val="000000"/>
          <w:sz w:val="24"/>
          <w:szCs w:val="24"/>
        </w:rPr>
        <w:t>。</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净值表现日期为</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日至</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17</w:t>
      </w:r>
      <w:r w:rsidRPr="00414345">
        <w:rPr>
          <w:color w:val="000000"/>
          <w:sz w:val="24"/>
          <w:szCs w:val="24"/>
        </w:rPr>
        <w:t>日，自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18</w:t>
      </w:r>
      <w:r w:rsidRPr="00414345">
        <w:rPr>
          <w:color w:val="000000"/>
          <w:sz w:val="24"/>
          <w:szCs w:val="24"/>
        </w:rPr>
        <w:t>日起，本基金进入清算程序。</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交银施罗德丰硕收益债券型证券投资基金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357D31">
        <w:rPr>
          <w:rFonts w:ascii="Times New Roman" w:hAnsi="Times New Roman" w:cs="Times New Roman"/>
          <w:sz w:val="24"/>
          <w:szCs w:val="24"/>
        </w:rPr>
        <w:t>4</w:t>
      </w:r>
      <w:r w:rsidR="00AE7962" w:rsidRPr="00414345">
        <w:rPr>
          <w:rFonts w:ascii="Times New Roman" w:hAnsi="Times New Roman" w:cs="Times New Roman"/>
          <w:sz w:val="24"/>
          <w:szCs w:val="24"/>
        </w:rPr>
        <w:t>月</w:t>
      </w:r>
      <w:r w:rsidR="00357D31">
        <w:rPr>
          <w:rFonts w:ascii="Times New Roman" w:hAnsi="Times New Roman" w:cs="Times New Roman"/>
          <w:sz w:val="24"/>
          <w:szCs w:val="24"/>
        </w:rPr>
        <w:t>17</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18</w:t>
      </w:r>
      <w:r w:rsidRPr="00414345">
        <w:rPr>
          <w:color w:val="000000"/>
          <w:sz w:val="24"/>
          <w:szCs w:val="24"/>
        </w:rPr>
        <w:t>日起，本基金进入清算程序，图示日期为</w:t>
      </w:r>
      <w:r w:rsidRPr="00414345">
        <w:rPr>
          <w:color w:val="000000"/>
          <w:sz w:val="24"/>
          <w:szCs w:val="24"/>
        </w:rPr>
        <w:t>2015</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9</w:t>
      </w:r>
      <w:r w:rsidRPr="00414345">
        <w:rPr>
          <w:color w:val="000000"/>
          <w:sz w:val="24"/>
          <w:szCs w:val="24"/>
        </w:rPr>
        <w:t>日至</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17</w:t>
      </w:r>
      <w:r w:rsidRPr="00414345">
        <w:rPr>
          <w:color w:val="000000"/>
          <w:sz w:val="24"/>
          <w:szCs w:val="24"/>
        </w:rPr>
        <w:t>日。</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2712DE">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C1177">
        <w:trPr>
          <w:jc w:val="center"/>
        </w:trPr>
        <w:tc>
          <w:tcPr>
            <w:tcW w:w="846" w:type="dxa"/>
            <w:vAlign w:val="center"/>
          </w:tcPr>
          <w:p w:rsidR="008C1177" w:rsidRDefault="00357D31">
            <w:pPr>
              <w:jc w:val="center"/>
            </w:pPr>
            <w:r>
              <w:rPr>
                <w:color w:val="000000"/>
                <w:sz w:val="24"/>
                <w:szCs w:val="24"/>
              </w:rPr>
              <w:t>于海颖</w:t>
            </w:r>
          </w:p>
        </w:tc>
        <w:tc>
          <w:tcPr>
            <w:tcW w:w="845" w:type="dxa"/>
            <w:vAlign w:val="center"/>
          </w:tcPr>
          <w:p w:rsidR="008C1177" w:rsidRDefault="00357D31">
            <w:pPr>
              <w:jc w:val="center"/>
            </w:pPr>
            <w:r>
              <w:rPr>
                <w:color w:val="000000"/>
                <w:sz w:val="24"/>
                <w:szCs w:val="24"/>
              </w:rPr>
              <w:t>交银增利债券、交银纯债债券发起、交银荣祥保本混合、交银定期支付月月丰债券、交银增强收益债券、交银强化回报债券、交银丰盈收益债券、交银丰硕收益债券、交银荣鑫保本混合、交银增利增强债券、交银丰晟收益债券、交银裕如纯债债券的基金经理，公司固定收益（公募）投资总监</w:t>
            </w:r>
          </w:p>
        </w:tc>
        <w:tc>
          <w:tcPr>
            <w:tcW w:w="1549" w:type="dxa"/>
            <w:vAlign w:val="center"/>
          </w:tcPr>
          <w:p w:rsidR="008C1177" w:rsidRDefault="00357D31">
            <w:pPr>
              <w:jc w:val="center"/>
            </w:pPr>
            <w:r>
              <w:rPr>
                <w:color w:val="000000"/>
                <w:sz w:val="24"/>
                <w:szCs w:val="24"/>
              </w:rPr>
              <w:t>2017-06-10</w:t>
            </w:r>
          </w:p>
        </w:tc>
        <w:tc>
          <w:tcPr>
            <w:tcW w:w="1548" w:type="dxa"/>
            <w:vAlign w:val="center"/>
          </w:tcPr>
          <w:p w:rsidR="008C1177" w:rsidRDefault="00357D31">
            <w:pPr>
              <w:jc w:val="center"/>
            </w:pPr>
            <w:r>
              <w:rPr>
                <w:color w:val="000000"/>
                <w:sz w:val="24"/>
                <w:szCs w:val="24"/>
              </w:rPr>
              <w:t>-</w:t>
            </w:r>
          </w:p>
        </w:tc>
        <w:tc>
          <w:tcPr>
            <w:tcW w:w="1407" w:type="dxa"/>
            <w:vAlign w:val="center"/>
          </w:tcPr>
          <w:p w:rsidR="008C1177" w:rsidRDefault="00357D31">
            <w:pPr>
              <w:jc w:val="center"/>
            </w:pPr>
            <w:r>
              <w:rPr>
                <w:color w:val="000000"/>
                <w:sz w:val="24"/>
                <w:szCs w:val="24"/>
              </w:rPr>
              <w:t>12</w:t>
            </w:r>
            <w:r>
              <w:rPr>
                <w:color w:val="000000"/>
                <w:sz w:val="24"/>
                <w:szCs w:val="24"/>
              </w:rPr>
              <w:t>年</w:t>
            </w:r>
          </w:p>
        </w:tc>
        <w:tc>
          <w:tcPr>
            <w:tcW w:w="2673" w:type="dxa"/>
            <w:vAlign w:val="center"/>
          </w:tcPr>
          <w:p w:rsidR="008C1177" w:rsidRDefault="00357D31">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C1177" w:rsidRDefault="00357D3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C1177" w:rsidRDefault="00357D3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C1177" w:rsidRDefault="00357D3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C1177" w:rsidRDefault="00357D31">
      <w:pPr>
        <w:spacing w:before="29" w:line="288" w:lineRule="auto"/>
        <w:ind w:firstLineChars="200" w:firstLine="480"/>
        <w:rPr>
          <w:color w:val="000000"/>
          <w:sz w:val="24"/>
          <w:szCs w:val="24"/>
        </w:rPr>
      </w:pPr>
      <w:r>
        <w:rPr>
          <w:color w:val="000000"/>
          <w:sz w:val="24"/>
          <w:szCs w:val="24"/>
        </w:rPr>
        <w:t>二季度以来在意外降准、表外融资持续收缩、经济通胀趋弱、贸易战局势反复等多方面因素交织的背景下，收益率呈现出先下后上继而再次大幅下行的宽幅波动。四月上旬收益率延续了一季度以来的下行趋势，稳步下行。央行在</w:t>
      </w:r>
      <w:r>
        <w:rPr>
          <w:color w:val="000000"/>
          <w:sz w:val="24"/>
          <w:szCs w:val="24"/>
        </w:rPr>
        <w:t>4</w:t>
      </w:r>
      <w:r>
        <w:rPr>
          <w:color w:val="000000"/>
          <w:sz w:val="24"/>
          <w:szCs w:val="24"/>
        </w:rPr>
        <w:t>月宣布降准</w:t>
      </w:r>
      <w:r>
        <w:rPr>
          <w:color w:val="000000"/>
          <w:sz w:val="24"/>
          <w:szCs w:val="24"/>
        </w:rPr>
        <w:t>1</w:t>
      </w:r>
      <w:r>
        <w:rPr>
          <w:color w:val="000000"/>
          <w:sz w:val="24"/>
          <w:szCs w:val="24"/>
        </w:rPr>
        <w:t>个百分点置换</w:t>
      </w:r>
      <w:r>
        <w:rPr>
          <w:color w:val="000000"/>
          <w:sz w:val="24"/>
          <w:szCs w:val="24"/>
        </w:rPr>
        <w:t>MLF</w:t>
      </w:r>
      <w:r>
        <w:rPr>
          <w:color w:val="000000"/>
          <w:sz w:val="24"/>
          <w:szCs w:val="24"/>
        </w:rPr>
        <w:t>操作，债券市场在反复预期中终于确认货币政策已经实质性转松，债市强势上涨，收益率大幅下行。</w:t>
      </w:r>
      <w:r>
        <w:rPr>
          <w:color w:val="000000"/>
          <w:sz w:val="24"/>
          <w:szCs w:val="24"/>
        </w:rPr>
        <w:t>4</w:t>
      </w:r>
      <w:r>
        <w:rPr>
          <w:color w:val="000000"/>
          <w:sz w:val="24"/>
          <w:szCs w:val="24"/>
        </w:rPr>
        <w:t>月下旬开始由于降准释放资金和缴税缴准错位，季末流动性紧张，叠加资管新规的出台，收益率震荡上行。进入</w:t>
      </w:r>
      <w:r>
        <w:rPr>
          <w:color w:val="000000"/>
          <w:sz w:val="24"/>
          <w:szCs w:val="24"/>
        </w:rPr>
        <w:t>6</w:t>
      </w:r>
      <w:r>
        <w:rPr>
          <w:color w:val="000000"/>
          <w:sz w:val="24"/>
          <w:szCs w:val="24"/>
        </w:rPr>
        <w:t>月后随着最新社会融资规模数据公布，信用收紧格局下收益率重回下行通道。</w:t>
      </w:r>
      <w:r>
        <w:rPr>
          <w:color w:val="000000"/>
          <w:sz w:val="24"/>
          <w:szCs w:val="24"/>
        </w:rPr>
        <w:t>6</w:t>
      </w:r>
      <w:r>
        <w:rPr>
          <w:color w:val="000000"/>
          <w:sz w:val="24"/>
          <w:szCs w:val="24"/>
        </w:rPr>
        <w:t>月底央行再一次降准</w:t>
      </w:r>
      <w:r>
        <w:rPr>
          <w:color w:val="000000"/>
          <w:sz w:val="24"/>
          <w:szCs w:val="24"/>
        </w:rPr>
        <w:t>0.5</w:t>
      </w:r>
      <w:r>
        <w:rPr>
          <w:color w:val="000000"/>
          <w:sz w:val="24"/>
          <w:szCs w:val="24"/>
        </w:rPr>
        <w:t>个百分点，收益率再次开启大幅下行。</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报告期内，本基金已经进入清盘程序，不再进行投资操作。</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17</w:t>
      </w:r>
      <w:r w:rsidRPr="00414345">
        <w:rPr>
          <w:color w:val="000000"/>
          <w:sz w:val="24"/>
          <w:szCs w:val="24"/>
        </w:rPr>
        <w:t>日，本基金份额净值为</w:t>
      </w:r>
      <w:r w:rsidRPr="00414345">
        <w:rPr>
          <w:color w:val="000000"/>
          <w:sz w:val="24"/>
          <w:szCs w:val="24"/>
        </w:rPr>
        <w:t>1.015</w:t>
      </w:r>
      <w:r w:rsidRPr="00414345">
        <w:rPr>
          <w:color w:val="000000"/>
          <w:sz w:val="24"/>
          <w:szCs w:val="24"/>
        </w:rPr>
        <w:t>元，本报告期份额净值增长率为</w:t>
      </w:r>
      <w:r w:rsidRPr="00414345">
        <w:rPr>
          <w:color w:val="000000"/>
          <w:sz w:val="24"/>
          <w:szCs w:val="24"/>
        </w:rPr>
        <w:t>0.40%</w:t>
      </w:r>
      <w:r w:rsidRPr="00414345">
        <w:rPr>
          <w:color w:val="000000"/>
          <w:sz w:val="24"/>
          <w:szCs w:val="24"/>
        </w:rPr>
        <w:t>，同期业绩比较基准增长率为</w:t>
      </w:r>
      <w:r w:rsidRPr="00414345">
        <w:rPr>
          <w:color w:val="000000"/>
          <w:sz w:val="24"/>
          <w:szCs w:val="24"/>
        </w:rPr>
        <w:t>0.51%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34603" w:rsidRPr="00CD732C" w:rsidRDefault="00834603" w:rsidP="00834603">
      <w:pPr>
        <w:spacing w:before="29" w:line="288" w:lineRule="auto"/>
        <w:ind w:firstLine="420"/>
        <w:rPr>
          <w:color w:val="000000" w:themeColor="text1"/>
          <w:sz w:val="24"/>
          <w:szCs w:val="24"/>
        </w:rPr>
      </w:pPr>
      <w:r w:rsidRPr="00CD732C">
        <w:rPr>
          <w:rFonts w:ascii="宋体" w:hAnsi="宋体"/>
          <w:color w:val="000000" w:themeColor="text1"/>
          <w:sz w:val="24"/>
          <w:szCs w:val="24"/>
        </w:rPr>
        <w:t>本报告期内，本基金已连续六十个工作日出现基金资产净值低于5000 万元的情形，已触发基金合同中约定的本基金终止条款，为保护基金份额持有人利益，根据基金合同约定，本基金管理人已向中国证监会报告，本基金进行基金财产清算。自2018年4月18日起，本基金进入清算程序。</w:t>
      </w:r>
    </w:p>
    <w:p w:rsidR="004061AC" w:rsidRPr="00414345" w:rsidRDefault="004061AC" w:rsidP="002712DE">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14,229,200.00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56.62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14,229,200.00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56.62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2,800,000.00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11.14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839,218.68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7,261,721.76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28.90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25,130,140.44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71415B" w:rsidRPr="00414345" w:rsidRDefault="0071415B" w:rsidP="00C15CAC">
      <w:pPr>
        <w:autoSpaceDE w:val="0"/>
        <w:autoSpaceDN w:val="0"/>
        <w:adjustRightInd w:val="0"/>
        <w:spacing w:before="29" w:line="288" w:lineRule="auto"/>
        <w:jc w:val="left"/>
        <w:rPr>
          <w:color w:val="000000"/>
          <w:sz w:val="24"/>
          <w:szCs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14,229,200.00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80.85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14,229,200.00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80.85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14,229,200.00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80.85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C1177">
        <w:trPr>
          <w:jc w:val="center"/>
        </w:trPr>
        <w:tc>
          <w:tcPr>
            <w:tcW w:w="850" w:type="dxa"/>
            <w:vAlign w:val="center"/>
          </w:tcPr>
          <w:p w:rsidR="008C1177" w:rsidRDefault="00357D31">
            <w:pPr>
              <w:jc w:val="center"/>
            </w:pPr>
            <w:r>
              <w:rPr>
                <w:color w:val="000000"/>
                <w:sz w:val="24"/>
                <w:szCs w:val="24"/>
              </w:rPr>
              <w:t>1</w:t>
            </w:r>
          </w:p>
        </w:tc>
        <w:tc>
          <w:tcPr>
            <w:tcW w:w="1475" w:type="dxa"/>
            <w:vAlign w:val="center"/>
          </w:tcPr>
          <w:p w:rsidR="008C1177" w:rsidRDefault="00357D31">
            <w:pPr>
              <w:jc w:val="center"/>
            </w:pPr>
            <w:r>
              <w:rPr>
                <w:color w:val="000000"/>
                <w:sz w:val="24"/>
                <w:szCs w:val="24"/>
              </w:rPr>
              <w:t>018005</w:t>
            </w:r>
          </w:p>
        </w:tc>
        <w:tc>
          <w:tcPr>
            <w:tcW w:w="1769" w:type="dxa"/>
            <w:vAlign w:val="center"/>
          </w:tcPr>
          <w:p w:rsidR="008C1177" w:rsidRDefault="00357D31">
            <w:pPr>
              <w:jc w:val="center"/>
            </w:pPr>
            <w:r>
              <w:rPr>
                <w:color w:val="000000"/>
                <w:sz w:val="24"/>
                <w:szCs w:val="24"/>
              </w:rPr>
              <w:t>国开</w:t>
            </w:r>
            <w:r>
              <w:rPr>
                <w:color w:val="000000"/>
                <w:sz w:val="24"/>
                <w:szCs w:val="24"/>
              </w:rPr>
              <w:t>1701</w:t>
            </w:r>
          </w:p>
        </w:tc>
        <w:tc>
          <w:tcPr>
            <w:tcW w:w="1387" w:type="dxa"/>
            <w:vAlign w:val="center"/>
          </w:tcPr>
          <w:p w:rsidR="008C1177" w:rsidRDefault="00357D31">
            <w:pPr>
              <w:jc w:val="right"/>
            </w:pPr>
            <w:r>
              <w:rPr>
                <w:color w:val="000000"/>
                <w:sz w:val="24"/>
                <w:szCs w:val="24"/>
              </w:rPr>
              <w:t>102,000</w:t>
            </w:r>
          </w:p>
        </w:tc>
        <w:tc>
          <w:tcPr>
            <w:tcW w:w="2150" w:type="dxa"/>
            <w:vAlign w:val="center"/>
          </w:tcPr>
          <w:p w:rsidR="008C1177" w:rsidRDefault="00357D31">
            <w:pPr>
              <w:jc w:val="right"/>
            </w:pPr>
            <w:r>
              <w:rPr>
                <w:color w:val="000000"/>
                <w:sz w:val="24"/>
                <w:szCs w:val="24"/>
              </w:rPr>
              <w:t>10,220,400.00</w:t>
            </w:r>
          </w:p>
        </w:tc>
        <w:tc>
          <w:tcPr>
            <w:tcW w:w="1237" w:type="dxa"/>
            <w:vAlign w:val="center"/>
          </w:tcPr>
          <w:p w:rsidR="008C1177" w:rsidRDefault="00357D31">
            <w:pPr>
              <w:jc w:val="right"/>
            </w:pPr>
            <w:r>
              <w:rPr>
                <w:color w:val="000000"/>
                <w:sz w:val="24"/>
                <w:szCs w:val="24"/>
              </w:rPr>
              <w:t>58.07</w:t>
            </w:r>
          </w:p>
        </w:tc>
      </w:tr>
      <w:tr w:rsidR="008C1177">
        <w:trPr>
          <w:jc w:val="center"/>
        </w:trPr>
        <w:tc>
          <w:tcPr>
            <w:tcW w:w="850" w:type="dxa"/>
            <w:vAlign w:val="center"/>
          </w:tcPr>
          <w:p w:rsidR="008C1177" w:rsidRDefault="00357D31">
            <w:pPr>
              <w:jc w:val="center"/>
            </w:pPr>
            <w:r>
              <w:rPr>
                <w:color w:val="000000"/>
                <w:sz w:val="24"/>
                <w:szCs w:val="24"/>
              </w:rPr>
              <w:t>2</w:t>
            </w:r>
          </w:p>
        </w:tc>
        <w:tc>
          <w:tcPr>
            <w:tcW w:w="1475" w:type="dxa"/>
            <w:vAlign w:val="center"/>
          </w:tcPr>
          <w:p w:rsidR="008C1177" w:rsidRDefault="00357D31">
            <w:pPr>
              <w:jc w:val="center"/>
            </w:pPr>
            <w:r>
              <w:rPr>
                <w:color w:val="000000"/>
                <w:sz w:val="24"/>
                <w:szCs w:val="24"/>
              </w:rPr>
              <w:t>170410</w:t>
            </w:r>
          </w:p>
        </w:tc>
        <w:tc>
          <w:tcPr>
            <w:tcW w:w="1769" w:type="dxa"/>
            <w:vAlign w:val="center"/>
          </w:tcPr>
          <w:p w:rsidR="008C1177" w:rsidRDefault="00357D31">
            <w:pPr>
              <w:jc w:val="center"/>
            </w:pPr>
            <w:r>
              <w:rPr>
                <w:color w:val="000000"/>
                <w:sz w:val="24"/>
                <w:szCs w:val="24"/>
              </w:rPr>
              <w:t>17</w:t>
            </w:r>
            <w:r>
              <w:rPr>
                <w:color w:val="000000"/>
                <w:sz w:val="24"/>
                <w:szCs w:val="24"/>
              </w:rPr>
              <w:t>农发</w:t>
            </w:r>
            <w:r>
              <w:rPr>
                <w:color w:val="000000"/>
                <w:sz w:val="24"/>
                <w:szCs w:val="24"/>
              </w:rPr>
              <w:t>10</w:t>
            </w:r>
          </w:p>
        </w:tc>
        <w:tc>
          <w:tcPr>
            <w:tcW w:w="1387" w:type="dxa"/>
            <w:vAlign w:val="center"/>
          </w:tcPr>
          <w:p w:rsidR="008C1177" w:rsidRDefault="00357D31">
            <w:pPr>
              <w:jc w:val="right"/>
            </w:pPr>
            <w:r>
              <w:rPr>
                <w:color w:val="000000"/>
                <w:sz w:val="24"/>
                <w:szCs w:val="24"/>
              </w:rPr>
              <w:t>40,000</w:t>
            </w:r>
          </w:p>
        </w:tc>
        <w:tc>
          <w:tcPr>
            <w:tcW w:w="2150" w:type="dxa"/>
            <w:vAlign w:val="center"/>
          </w:tcPr>
          <w:p w:rsidR="008C1177" w:rsidRDefault="00357D31">
            <w:pPr>
              <w:jc w:val="right"/>
            </w:pPr>
            <w:r>
              <w:rPr>
                <w:color w:val="000000"/>
                <w:sz w:val="24"/>
                <w:szCs w:val="24"/>
              </w:rPr>
              <w:t>4,008,800.00</w:t>
            </w:r>
          </w:p>
        </w:tc>
        <w:tc>
          <w:tcPr>
            <w:tcW w:w="1237" w:type="dxa"/>
            <w:vAlign w:val="center"/>
          </w:tcPr>
          <w:p w:rsidR="008C1177" w:rsidRDefault="00357D31">
            <w:pPr>
              <w:jc w:val="right"/>
            </w:pPr>
            <w:r>
              <w:rPr>
                <w:color w:val="000000"/>
                <w:sz w:val="24"/>
                <w:szCs w:val="24"/>
              </w:rPr>
              <w:t>22.78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19,588.32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7,124,381.76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117,751.68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7,261,721.76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705CEF" w:rsidP="00705CEF">
      <w:pPr>
        <w:spacing w:before="29" w:line="288" w:lineRule="auto"/>
        <w:ind w:firstLineChars="100" w:firstLine="240"/>
        <w:rPr>
          <w:color w:val="000000"/>
          <w:sz w:val="24"/>
          <w:szCs w:val="24"/>
        </w:rPr>
      </w:pPr>
      <w:r>
        <w:rPr>
          <w:rFonts w:hint="eastAsia"/>
          <w:color w:val="000000"/>
          <w:sz w:val="24"/>
          <w:szCs w:val="24"/>
        </w:rPr>
        <w:t>1</w:t>
      </w:r>
      <w:r>
        <w:rPr>
          <w:rFonts w:hint="eastAsia"/>
          <w:color w:val="000000"/>
          <w:sz w:val="24"/>
          <w:szCs w:val="24"/>
        </w:rPr>
        <w:t>、</w:t>
      </w:r>
      <w:r w:rsidR="004061AC" w:rsidRPr="00414345">
        <w:rPr>
          <w:color w:val="000000"/>
          <w:sz w:val="24"/>
          <w:szCs w:val="24"/>
        </w:rPr>
        <w:t>由于四舍五入的原因，分项之和与合计项之间可能存在尾差。</w:t>
      </w:r>
    </w:p>
    <w:p w:rsidR="006B2FF6" w:rsidRPr="00705CEF" w:rsidRDefault="00705CEF" w:rsidP="00705CEF">
      <w:pPr>
        <w:spacing w:before="29" w:line="288" w:lineRule="auto"/>
        <w:ind w:firstLineChars="100" w:firstLine="240"/>
        <w:rPr>
          <w:color w:val="000000"/>
          <w:sz w:val="24"/>
          <w:szCs w:val="24"/>
        </w:rPr>
      </w:pPr>
      <w:r>
        <w:rPr>
          <w:color w:val="000000"/>
          <w:sz w:val="24"/>
          <w:szCs w:val="24"/>
        </w:rPr>
        <w:t>2</w:t>
      </w:r>
      <w:r>
        <w:rPr>
          <w:rFonts w:hint="eastAsia"/>
          <w:color w:val="000000"/>
          <w:sz w:val="24"/>
          <w:szCs w:val="24"/>
        </w:rPr>
        <w:t>、上述</w:t>
      </w:r>
      <w:r>
        <w:rPr>
          <w:color w:val="000000"/>
          <w:sz w:val="24"/>
          <w:szCs w:val="24"/>
        </w:rPr>
        <w:t>投资组合报告期末是指基金合同最后运作日，</w:t>
      </w:r>
      <w:r>
        <w:rPr>
          <w:rFonts w:hint="eastAsia"/>
          <w:color w:val="000000"/>
          <w:sz w:val="24"/>
          <w:szCs w:val="24"/>
        </w:rPr>
        <w:t>即</w:t>
      </w:r>
      <w:r>
        <w:rPr>
          <w:rFonts w:hint="eastAsia"/>
          <w:color w:val="000000"/>
          <w:sz w:val="24"/>
          <w:szCs w:val="24"/>
        </w:rPr>
        <w:t>2018</w:t>
      </w:r>
      <w:r>
        <w:rPr>
          <w:rFonts w:hint="eastAsia"/>
          <w:color w:val="000000"/>
          <w:sz w:val="24"/>
          <w:szCs w:val="24"/>
        </w:rPr>
        <w:t>年</w:t>
      </w:r>
      <w:r>
        <w:rPr>
          <w:rFonts w:hint="eastAsia"/>
          <w:color w:val="000000"/>
          <w:sz w:val="24"/>
          <w:szCs w:val="24"/>
        </w:rPr>
        <w:t>4</w:t>
      </w:r>
      <w:r>
        <w:rPr>
          <w:rFonts w:hint="eastAsia"/>
          <w:color w:val="000000"/>
          <w:sz w:val="24"/>
          <w:szCs w:val="24"/>
        </w:rPr>
        <w:t>月</w:t>
      </w:r>
      <w:r>
        <w:rPr>
          <w:rFonts w:hint="eastAsia"/>
          <w:color w:val="000000"/>
          <w:sz w:val="24"/>
          <w:szCs w:val="24"/>
        </w:rPr>
        <w:t>17</w:t>
      </w:r>
      <w:r>
        <w:rPr>
          <w:rFonts w:hint="eastAsia"/>
          <w:color w:val="000000"/>
          <w:sz w:val="24"/>
          <w:szCs w:val="24"/>
        </w:rPr>
        <w:t>日</w:t>
      </w:r>
      <w:r>
        <w:rPr>
          <w:color w:val="000000"/>
          <w:sz w:val="24"/>
          <w:szCs w:val="24"/>
        </w:rPr>
        <w:t>。</w:t>
      </w:r>
    </w:p>
    <w:p w:rsidR="001F3E2A" w:rsidRDefault="001F3E2A" w:rsidP="00C15CAC">
      <w:pPr>
        <w:spacing w:before="29" w:line="288" w:lineRule="auto"/>
        <w:ind w:firstLineChars="200" w:firstLine="480"/>
        <w:rPr>
          <w:color w:val="000000"/>
          <w:sz w:val="24"/>
          <w:szCs w:val="24"/>
        </w:rPr>
      </w:pPr>
    </w:p>
    <w:p w:rsidR="001F3E2A" w:rsidRPr="00575270" w:rsidRDefault="001F3E2A" w:rsidP="002712DE">
      <w:pPr>
        <w:pStyle w:val="1"/>
        <w:spacing w:beforeLines="100" w:afterLines="100"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2712DE">
      <w:pPr>
        <w:adjustRightInd w:val="0"/>
        <w:snapToGrid w:val="0"/>
        <w:spacing w:beforeLines="50"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2712DE">
      <w:pPr>
        <w:adjustRightInd w:val="0"/>
        <w:snapToGrid w:val="0"/>
        <w:spacing w:beforeLines="50"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本报告期持有的基金发生的重大影响事件</w:t>
      </w:r>
    </w:p>
    <w:p w:rsidR="00FE6B92" w:rsidRDefault="00FE6B92" w:rsidP="00FE6B92">
      <w:pPr>
        <w:widowControl/>
        <w:ind w:firstLine="420"/>
        <w:jc w:val="left"/>
        <w:rPr>
          <w:rFonts w:eastAsiaTheme="minorEastAsia"/>
          <w:color w:val="000000" w:themeColor="text1"/>
        </w:rPr>
      </w:pPr>
      <w:r>
        <w:rPr>
          <w:rFonts w:eastAsiaTheme="minorEastAsia" w:hint="eastAsia"/>
          <w:color w:val="000000" w:themeColor="text1"/>
        </w:rPr>
        <w:t>无。</w:t>
      </w:r>
    </w:p>
    <w:p w:rsidR="001F3E2A" w:rsidRPr="00FE6B92" w:rsidRDefault="001F3E2A" w:rsidP="00C15CAC">
      <w:pPr>
        <w:spacing w:before="29" w:line="288" w:lineRule="auto"/>
        <w:ind w:firstLineChars="200" w:firstLine="480"/>
        <w:rPr>
          <w:color w:val="000000"/>
          <w:sz w:val="24"/>
          <w:szCs w:val="24"/>
        </w:rPr>
      </w:pPr>
    </w:p>
    <w:p w:rsidR="004061AC" w:rsidRPr="005A3D62" w:rsidRDefault="004061AC" w:rsidP="002712DE">
      <w:pPr>
        <w:pStyle w:val="1"/>
        <w:spacing w:beforeLines="100" w:afterLines="100"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27,547,234.35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1,083.55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10,207,508.02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17,340,809.88</w:t>
            </w:r>
          </w:p>
        </w:tc>
      </w:tr>
    </w:tbl>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2712DE">
      <w:pPr>
        <w:pStyle w:val="1"/>
        <w:tabs>
          <w:tab w:val="center" w:pos="4156"/>
          <w:tab w:val="right" w:pos="8312"/>
        </w:tabs>
        <w:spacing w:beforeLines="100" w:afterLines="100"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2712DE">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3C50AD" w:rsidRPr="0071415B" w:rsidRDefault="003C50AD" w:rsidP="003C50AD">
      <w:pPr>
        <w:spacing w:line="360" w:lineRule="auto"/>
        <w:ind w:firstLineChars="200" w:firstLine="480"/>
        <w:rPr>
          <w:color w:val="000000"/>
          <w:sz w:val="24"/>
          <w:szCs w:val="24"/>
        </w:rPr>
      </w:pPr>
      <w:bookmarkStart w:id="0" w:name="_GoBack"/>
      <w:r w:rsidRPr="0071415B">
        <w:rPr>
          <w:color w:val="000000"/>
          <w:sz w:val="24"/>
          <w:szCs w:val="24"/>
        </w:rPr>
        <w:t>本报告期内，本基金已连续六十个工作日出现基金资产净值低于</w:t>
      </w:r>
      <w:r w:rsidRPr="0071415B">
        <w:rPr>
          <w:color w:val="000000"/>
          <w:sz w:val="24"/>
          <w:szCs w:val="24"/>
        </w:rPr>
        <w:t xml:space="preserve">5000 </w:t>
      </w:r>
      <w:r w:rsidRPr="0071415B">
        <w:rPr>
          <w:color w:val="000000"/>
          <w:sz w:val="24"/>
          <w:szCs w:val="24"/>
        </w:rPr>
        <w:t>万元的情形，已触发基金合同中约定的本基金终止条款，为保护基金份额持有人利益，根据基金合同约定，本基金管理人已向中国证监会报告，本基金进行基金财产清算。自</w:t>
      </w:r>
      <w:r w:rsidRPr="0071415B">
        <w:rPr>
          <w:color w:val="000000"/>
          <w:sz w:val="24"/>
          <w:szCs w:val="24"/>
        </w:rPr>
        <w:t>2018</w:t>
      </w:r>
      <w:r w:rsidRPr="0071415B">
        <w:rPr>
          <w:color w:val="000000"/>
          <w:sz w:val="24"/>
          <w:szCs w:val="24"/>
        </w:rPr>
        <w:t>年</w:t>
      </w:r>
      <w:r w:rsidRPr="0071415B">
        <w:rPr>
          <w:color w:val="000000"/>
          <w:sz w:val="24"/>
          <w:szCs w:val="24"/>
        </w:rPr>
        <w:t>4</w:t>
      </w:r>
      <w:r w:rsidRPr="0071415B">
        <w:rPr>
          <w:color w:val="000000"/>
          <w:sz w:val="24"/>
          <w:szCs w:val="24"/>
        </w:rPr>
        <w:t>月</w:t>
      </w:r>
      <w:r w:rsidRPr="0071415B">
        <w:rPr>
          <w:color w:val="000000"/>
          <w:sz w:val="24"/>
          <w:szCs w:val="24"/>
        </w:rPr>
        <w:t>18</w:t>
      </w:r>
      <w:r w:rsidRPr="0071415B">
        <w:rPr>
          <w:color w:val="000000"/>
          <w:sz w:val="24"/>
          <w:szCs w:val="24"/>
        </w:rPr>
        <w:t>日起，本基金进入清算程序，进入清算程序后将不再开放办理申购、赎回业务。基金管理人按照本基金基金合同的约定，组织成立基金财产清算小组履行基金财产清算程序，并将及时公告清算结果。截止本报告期末，本基金尚处于清算程序之中。详情请查阅本基金管理人于</w:t>
      </w:r>
      <w:r w:rsidRPr="0071415B">
        <w:rPr>
          <w:color w:val="000000"/>
          <w:sz w:val="24"/>
          <w:szCs w:val="24"/>
        </w:rPr>
        <w:t>2018</w:t>
      </w:r>
      <w:r w:rsidRPr="0071415B">
        <w:rPr>
          <w:color w:val="000000"/>
          <w:sz w:val="24"/>
          <w:szCs w:val="24"/>
        </w:rPr>
        <w:t>年</w:t>
      </w:r>
      <w:r w:rsidRPr="0071415B">
        <w:rPr>
          <w:color w:val="000000"/>
          <w:sz w:val="24"/>
          <w:szCs w:val="24"/>
        </w:rPr>
        <w:t>4</w:t>
      </w:r>
      <w:r w:rsidRPr="0071415B">
        <w:rPr>
          <w:color w:val="000000"/>
          <w:sz w:val="24"/>
          <w:szCs w:val="24"/>
        </w:rPr>
        <w:t>月</w:t>
      </w:r>
      <w:r w:rsidRPr="0071415B">
        <w:rPr>
          <w:color w:val="000000"/>
          <w:sz w:val="24"/>
          <w:szCs w:val="24"/>
        </w:rPr>
        <w:t>12</w:t>
      </w:r>
      <w:r w:rsidRPr="0071415B">
        <w:rPr>
          <w:color w:val="000000"/>
          <w:sz w:val="24"/>
          <w:szCs w:val="24"/>
        </w:rPr>
        <w:t>日发布的《交银施罗德基金管理有限公司关于交银施罗德丰硕收益债券型证券投资基金基金合同触发终止情形及进入基金财产清算程序的公告》以及</w:t>
      </w:r>
      <w:r w:rsidRPr="0071415B">
        <w:rPr>
          <w:color w:val="000000"/>
          <w:sz w:val="24"/>
          <w:szCs w:val="24"/>
        </w:rPr>
        <w:t>2018</w:t>
      </w:r>
      <w:r w:rsidRPr="0071415B">
        <w:rPr>
          <w:color w:val="000000"/>
          <w:sz w:val="24"/>
          <w:szCs w:val="24"/>
        </w:rPr>
        <w:t>年</w:t>
      </w:r>
      <w:r w:rsidRPr="0071415B">
        <w:rPr>
          <w:color w:val="000000"/>
          <w:sz w:val="24"/>
          <w:szCs w:val="24"/>
        </w:rPr>
        <w:t>4</w:t>
      </w:r>
      <w:r w:rsidRPr="0071415B">
        <w:rPr>
          <w:color w:val="000000"/>
          <w:sz w:val="24"/>
          <w:szCs w:val="24"/>
        </w:rPr>
        <w:t>月</w:t>
      </w:r>
      <w:r w:rsidRPr="0071415B">
        <w:rPr>
          <w:color w:val="000000"/>
          <w:sz w:val="24"/>
          <w:szCs w:val="24"/>
        </w:rPr>
        <w:t>16</w:t>
      </w:r>
      <w:r w:rsidRPr="0071415B">
        <w:rPr>
          <w:color w:val="000000"/>
          <w:sz w:val="24"/>
          <w:szCs w:val="24"/>
        </w:rPr>
        <w:t>日发布的《交银施罗德基金管理有限公司关于交银施罗德丰硕收益债券型证券投资基金基金合同触发终止情形及进入基金财产清算程序的提示性公告》。</w:t>
      </w:r>
    </w:p>
    <w:bookmarkEnd w:id="0"/>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2712DE">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C1177" w:rsidRDefault="00357D3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、中国证监会准予交银施罗德丰硕收益债券型证券投资基金募集注册的文件；</w:t>
      </w:r>
    </w:p>
    <w:p w:rsidR="008C1177" w:rsidRDefault="00357D3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、《交银施罗德丰硕收益债券型证券投资基金基金合同》；</w:t>
      </w:r>
    </w:p>
    <w:p w:rsidR="008C1177" w:rsidRDefault="00357D3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、《交银施罗德丰硕收益债券型证券投资基金招募说明书》；</w:t>
      </w:r>
    </w:p>
    <w:p w:rsidR="008C1177" w:rsidRDefault="00357D3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、《交银施罗德丰硕收益债券型证券投资基金托管协议》；</w:t>
      </w:r>
    </w:p>
    <w:p w:rsidR="008C1177" w:rsidRDefault="00357D31">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、关于申请募集注册交银施罗德丰硕收益债券型证券投资基金的法律意见书；</w:t>
      </w:r>
    </w:p>
    <w:p w:rsidR="008C1177" w:rsidRDefault="00357D3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8C1177" w:rsidRDefault="00357D3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、报告期内交银施罗德丰硕收益债券型证券投资基金在指定报刊上各项公告的原稿。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C1177" w:rsidRDefault="00357D3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AD3" w:rsidRDefault="007A7AD3" w:rsidP="00876D65">
      <w:r>
        <w:separator/>
      </w:r>
    </w:p>
  </w:endnote>
  <w:endnote w:type="continuationSeparator" w:id="1">
    <w:p w:rsidR="007A7AD3" w:rsidRDefault="007A7AD3"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2DE" w:rsidRDefault="002712D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6829B9">
      <w:rPr>
        <w:kern w:val="0"/>
        <w:szCs w:val="21"/>
      </w:rPr>
      <w:fldChar w:fldCharType="begin"/>
    </w:r>
    <w:r>
      <w:rPr>
        <w:kern w:val="0"/>
        <w:szCs w:val="21"/>
      </w:rPr>
      <w:instrText xml:space="preserve"> PAGE </w:instrText>
    </w:r>
    <w:r w:rsidR="006829B9">
      <w:rPr>
        <w:kern w:val="0"/>
        <w:szCs w:val="21"/>
      </w:rPr>
      <w:fldChar w:fldCharType="separate"/>
    </w:r>
    <w:r w:rsidR="0071415B">
      <w:rPr>
        <w:noProof/>
        <w:kern w:val="0"/>
        <w:szCs w:val="21"/>
      </w:rPr>
      <w:t>11</w:t>
    </w:r>
    <w:r w:rsidR="006829B9">
      <w:rPr>
        <w:kern w:val="0"/>
        <w:szCs w:val="21"/>
      </w:rPr>
      <w:fldChar w:fldCharType="end"/>
    </w:r>
    <w:r>
      <w:rPr>
        <w:rFonts w:hint="eastAsia"/>
        <w:kern w:val="0"/>
        <w:szCs w:val="21"/>
      </w:rPr>
      <w:t>页共</w:t>
    </w:r>
    <w:r w:rsidR="006829B9">
      <w:rPr>
        <w:kern w:val="0"/>
        <w:szCs w:val="21"/>
      </w:rPr>
      <w:fldChar w:fldCharType="begin"/>
    </w:r>
    <w:r>
      <w:rPr>
        <w:kern w:val="0"/>
        <w:szCs w:val="21"/>
      </w:rPr>
      <w:instrText xml:space="preserve"> NUMPAGES </w:instrText>
    </w:r>
    <w:r w:rsidR="006829B9">
      <w:rPr>
        <w:kern w:val="0"/>
        <w:szCs w:val="21"/>
      </w:rPr>
      <w:fldChar w:fldCharType="separate"/>
    </w:r>
    <w:r w:rsidR="0071415B">
      <w:rPr>
        <w:noProof/>
        <w:kern w:val="0"/>
        <w:szCs w:val="21"/>
      </w:rPr>
      <w:t>13</w:t>
    </w:r>
    <w:r w:rsidR="006829B9">
      <w:rPr>
        <w:kern w:val="0"/>
        <w:szCs w:val="21"/>
      </w:rPr>
      <w:fldChar w:fldCharType="end"/>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2DE" w:rsidRDefault="002712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AD3" w:rsidRDefault="007A7AD3" w:rsidP="00876D65">
      <w:r>
        <w:separator/>
      </w:r>
    </w:p>
  </w:footnote>
  <w:footnote w:type="continuationSeparator" w:id="1">
    <w:p w:rsidR="007A7AD3" w:rsidRDefault="007A7AD3"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2DE" w:rsidRDefault="002712D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DC456F" w:rsidRDefault="00DC456F" w:rsidP="00090A26">
    <w:pPr>
      <w:pStyle w:val="a9"/>
      <w:pBdr>
        <w:bottom w:val="single" w:sz="6" w:space="0" w:color="auto"/>
      </w:pBdr>
      <w:jc w:val="right"/>
      <w:rPr>
        <w:sz w:val="24"/>
        <w:szCs w:val="24"/>
      </w:rPr>
    </w:pPr>
    <w:r w:rsidRPr="003E676C">
      <w:rPr>
        <w:sz w:val="24"/>
        <w:szCs w:val="24"/>
      </w:rPr>
      <w:t>交银施罗德丰硕收益债券型证券投资基金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2DE" w:rsidRDefault="002712D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05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12DE"/>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57D31"/>
    <w:rsid w:val="00364CCB"/>
    <w:rsid w:val="00365798"/>
    <w:rsid w:val="00371264"/>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16213"/>
    <w:rsid w:val="0042009D"/>
    <w:rsid w:val="004216D2"/>
    <w:rsid w:val="00421CD2"/>
    <w:rsid w:val="00426096"/>
    <w:rsid w:val="00427F58"/>
    <w:rsid w:val="00433805"/>
    <w:rsid w:val="00443869"/>
    <w:rsid w:val="00443ABF"/>
    <w:rsid w:val="00460575"/>
    <w:rsid w:val="00463EC0"/>
    <w:rsid w:val="00464438"/>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829B9"/>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5CEF"/>
    <w:rsid w:val="00706D60"/>
    <w:rsid w:val="007075E3"/>
    <w:rsid w:val="00707F66"/>
    <w:rsid w:val="00710AE0"/>
    <w:rsid w:val="00713A1A"/>
    <w:rsid w:val="00713B5F"/>
    <w:rsid w:val="0071415B"/>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A7AD3"/>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603"/>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177"/>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1F9E"/>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6A0A"/>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E6B92"/>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641078449">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BABEC-5108-44DF-A4F1-4C01F86B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1075</Words>
  <Characters>6132</Characters>
  <Application>Microsoft Office Word</Application>
  <DocSecurity>4</DocSecurity>
  <Lines>51</Lines>
  <Paragraphs>14</Paragraphs>
  <ScaleCrop>false</ScaleCrop>
  <Company/>
  <LinksUpToDate>false</LinksUpToDate>
  <CharactersWithSpaces>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2018-07-17T16:50:00Z</dcterms:created>
  <dcterms:modified xsi:type="dcterms:W3CDTF">2018-07-17T16:50:00Z</dcterms:modified>
</cp:coreProperties>
</file>