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E0" w:rsidRDefault="00FA54E0">
      <w:pPr>
        <w:autoSpaceDE w:val="0"/>
        <w:autoSpaceDN w:val="0"/>
        <w:adjustRightInd w:val="0"/>
        <w:spacing w:line="360" w:lineRule="auto"/>
        <w:jc w:val="left"/>
        <w:rPr>
          <w:rFonts w:eastAsiaTheme="minorEastAsia"/>
          <w:color w:val="000000" w:themeColor="text1"/>
          <w:kern w:val="0"/>
          <w:szCs w:val="21"/>
        </w:rPr>
      </w:pPr>
    </w:p>
    <w:p w:rsidR="00FA54E0" w:rsidRDefault="00FA54E0">
      <w:pPr>
        <w:autoSpaceDE w:val="0"/>
        <w:autoSpaceDN w:val="0"/>
        <w:adjustRightInd w:val="0"/>
        <w:spacing w:line="360" w:lineRule="auto"/>
        <w:jc w:val="left"/>
        <w:rPr>
          <w:rFonts w:eastAsiaTheme="minorEastAsia"/>
          <w:color w:val="000000" w:themeColor="text1"/>
          <w:kern w:val="0"/>
          <w:szCs w:val="21"/>
        </w:rPr>
      </w:pPr>
    </w:p>
    <w:p w:rsidR="00FA54E0" w:rsidRDefault="00FA54E0">
      <w:pPr>
        <w:autoSpaceDE w:val="0"/>
        <w:autoSpaceDN w:val="0"/>
        <w:adjustRightInd w:val="0"/>
        <w:spacing w:line="360" w:lineRule="auto"/>
        <w:jc w:val="left"/>
        <w:rPr>
          <w:rFonts w:eastAsiaTheme="minorEastAsia"/>
          <w:color w:val="000000" w:themeColor="text1"/>
          <w:kern w:val="0"/>
          <w:szCs w:val="21"/>
        </w:rPr>
      </w:pPr>
    </w:p>
    <w:p w:rsidR="00FA54E0" w:rsidRDefault="00FA54E0">
      <w:pPr>
        <w:autoSpaceDE w:val="0"/>
        <w:autoSpaceDN w:val="0"/>
        <w:adjustRightInd w:val="0"/>
        <w:spacing w:line="360" w:lineRule="auto"/>
        <w:jc w:val="left"/>
        <w:rPr>
          <w:rFonts w:eastAsiaTheme="minorEastAsia"/>
          <w:color w:val="000000" w:themeColor="text1"/>
          <w:kern w:val="0"/>
          <w:szCs w:val="21"/>
        </w:rPr>
      </w:pPr>
    </w:p>
    <w:p w:rsidR="00FA54E0" w:rsidRDefault="00FA54E0">
      <w:pPr>
        <w:autoSpaceDE w:val="0"/>
        <w:autoSpaceDN w:val="0"/>
        <w:adjustRightInd w:val="0"/>
        <w:spacing w:line="360" w:lineRule="auto"/>
        <w:jc w:val="left"/>
        <w:rPr>
          <w:rFonts w:eastAsiaTheme="minorEastAsia"/>
          <w:color w:val="000000" w:themeColor="text1"/>
          <w:kern w:val="0"/>
          <w:szCs w:val="21"/>
        </w:rPr>
      </w:pPr>
    </w:p>
    <w:p w:rsidR="00FA54E0" w:rsidRDefault="007327B3">
      <w:pPr>
        <w:spacing w:line="360" w:lineRule="auto"/>
        <w:jc w:val="center"/>
        <w:rPr>
          <w:rFonts w:eastAsiaTheme="minorEastAsia"/>
          <w:b/>
          <w:color w:val="000000" w:themeColor="text1"/>
          <w:sz w:val="36"/>
          <w:szCs w:val="36"/>
        </w:rPr>
      </w:pPr>
      <w:r>
        <w:rPr>
          <w:rFonts w:eastAsiaTheme="minorEastAsia"/>
          <w:b/>
          <w:color w:val="000000" w:themeColor="text1"/>
          <w:sz w:val="36"/>
          <w:szCs w:val="36"/>
        </w:rPr>
        <w:t>华安丰利</w:t>
      </w:r>
      <w:r>
        <w:rPr>
          <w:rFonts w:eastAsiaTheme="minorEastAsia"/>
          <w:b/>
          <w:color w:val="000000" w:themeColor="text1"/>
          <w:sz w:val="36"/>
          <w:szCs w:val="36"/>
        </w:rPr>
        <w:t>18</w:t>
      </w:r>
      <w:r>
        <w:rPr>
          <w:rFonts w:eastAsiaTheme="minorEastAsia"/>
          <w:b/>
          <w:color w:val="000000" w:themeColor="text1"/>
          <w:sz w:val="36"/>
          <w:szCs w:val="36"/>
        </w:rPr>
        <w:t>个月定期开放债券型证券投资基金</w:t>
      </w:r>
    </w:p>
    <w:p w:rsidR="00FA54E0" w:rsidRDefault="007327B3">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2018</w:t>
      </w:r>
      <w:r>
        <w:rPr>
          <w:rFonts w:eastAsiaTheme="minorEastAsia"/>
          <w:b/>
          <w:color w:val="000000" w:themeColor="text1"/>
          <w:sz w:val="36"/>
          <w:szCs w:val="36"/>
        </w:rPr>
        <w:t>年第</w:t>
      </w:r>
      <w:r>
        <w:rPr>
          <w:rFonts w:eastAsiaTheme="minorEastAsia"/>
          <w:b/>
          <w:color w:val="000000" w:themeColor="text1"/>
          <w:sz w:val="36"/>
          <w:szCs w:val="36"/>
        </w:rPr>
        <w:t>2</w:t>
      </w:r>
      <w:r>
        <w:rPr>
          <w:rFonts w:eastAsiaTheme="minorEastAsia"/>
          <w:b/>
          <w:color w:val="000000" w:themeColor="text1"/>
          <w:sz w:val="36"/>
          <w:szCs w:val="36"/>
        </w:rPr>
        <w:t>季度报告</w:t>
      </w:r>
    </w:p>
    <w:p w:rsidR="00FA54E0" w:rsidRDefault="007327B3">
      <w:pPr>
        <w:spacing w:line="360" w:lineRule="auto"/>
        <w:jc w:val="center"/>
        <w:rPr>
          <w:rFonts w:eastAsiaTheme="minorEastAsia"/>
          <w:b/>
          <w:color w:val="000000" w:themeColor="text1"/>
          <w:szCs w:val="21"/>
        </w:rPr>
      </w:pPr>
      <w:r>
        <w:rPr>
          <w:rFonts w:eastAsiaTheme="minorEastAsia"/>
          <w:b/>
          <w:color w:val="000000" w:themeColor="text1"/>
          <w:sz w:val="36"/>
          <w:szCs w:val="36"/>
        </w:rPr>
        <w:t>2018</w:t>
      </w:r>
      <w:r>
        <w:rPr>
          <w:rFonts w:eastAsiaTheme="minorEastAsia"/>
          <w:b/>
          <w:color w:val="000000" w:themeColor="text1"/>
          <w:sz w:val="36"/>
          <w:szCs w:val="36"/>
        </w:rPr>
        <w:t>年</w:t>
      </w:r>
      <w:r>
        <w:rPr>
          <w:rFonts w:eastAsiaTheme="minorEastAsia"/>
          <w:b/>
          <w:color w:val="000000" w:themeColor="text1"/>
          <w:sz w:val="36"/>
          <w:szCs w:val="36"/>
        </w:rPr>
        <w:t>6</w:t>
      </w:r>
      <w:r>
        <w:rPr>
          <w:rFonts w:eastAsiaTheme="minorEastAsia"/>
          <w:b/>
          <w:color w:val="000000" w:themeColor="text1"/>
          <w:sz w:val="36"/>
          <w:szCs w:val="36"/>
        </w:rPr>
        <w:t>月</w:t>
      </w:r>
      <w:r>
        <w:rPr>
          <w:rFonts w:eastAsiaTheme="minorEastAsia" w:hint="eastAsia"/>
          <w:b/>
          <w:color w:val="000000" w:themeColor="text1"/>
          <w:sz w:val="36"/>
          <w:szCs w:val="36"/>
        </w:rPr>
        <w:t>22</w:t>
      </w:r>
      <w:r>
        <w:rPr>
          <w:rFonts w:eastAsiaTheme="minorEastAsia"/>
          <w:b/>
          <w:color w:val="000000" w:themeColor="text1"/>
          <w:sz w:val="36"/>
          <w:szCs w:val="36"/>
        </w:rPr>
        <w:t>日</w:t>
      </w: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jc w:val="center"/>
        <w:rPr>
          <w:rFonts w:eastAsiaTheme="minorEastAsia"/>
          <w:b/>
          <w:color w:val="000000" w:themeColor="text1"/>
          <w:szCs w:val="21"/>
        </w:rPr>
      </w:pPr>
    </w:p>
    <w:p w:rsidR="00FA54E0" w:rsidRDefault="00FA54E0">
      <w:pPr>
        <w:spacing w:line="360" w:lineRule="auto"/>
        <w:rPr>
          <w:rFonts w:eastAsiaTheme="minorEastAsia"/>
          <w:b/>
          <w:color w:val="000000" w:themeColor="text1"/>
          <w:szCs w:val="21"/>
        </w:rPr>
      </w:pPr>
    </w:p>
    <w:p w:rsidR="00FA54E0" w:rsidRDefault="007327B3">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基金管理人：华安基金管理有限公司</w:t>
      </w:r>
    </w:p>
    <w:p w:rsidR="00FA54E0" w:rsidRDefault="007327B3">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基金托管人：渤海银行股份有限公司</w:t>
      </w:r>
    </w:p>
    <w:p w:rsidR="00FA54E0" w:rsidRDefault="007327B3">
      <w:pPr>
        <w:spacing w:line="360" w:lineRule="auto"/>
        <w:ind w:firstLineChars="900" w:firstLine="2168"/>
        <w:rPr>
          <w:rFonts w:eastAsiaTheme="minorEastAsia"/>
          <w:color w:val="000000" w:themeColor="text1"/>
          <w:szCs w:val="21"/>
        </w:rPr>
        <w:sectPr w:rsidR="00FA54E0">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报告送出日期：二〇一八年七月十八日</w:t>
      </w:r>
    </w:p>
    <w:p w:rsidR="00FA54E0" w:rsidRDefault="007327B3" w:rsidP="00701AB5">
      <w:pPr>
        <w:pStyle w:val="1"/>
        <w:spacing w:beforeLines="100" w:afterLines="100"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重要提示</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基金托管人渤海银行股份有限公司根据本基金合同规定，于</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13</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Pr>
          <w:rFonts w:eastAsiaTheme="minorEastAsia"/>
          <w:color w:val="000000" w:themeColor="text1"/>
          <w:szCs w:val="21"/>
        </w:rPr>
        <w:t>6</w:t>
      </w:r>
      <w:r>
        <w:rPr>
          <w:rFonts w:eastAsiaTheme="minorEastAsia"/>
          <w:color w:val="000000" w:themeColor="text1"/>
          <w:szCs w:val="21"/>
        </w:rPr>
        <w:t>月</w:t>
      </w:r>
      <w:r>
        <w:rPr>
          <w:rFonts w:eastAsiaTheme="minorEastAsia"/>
          <w:color w:val="000000" w:themeColor="text1"/>
          <w:szCs w:val="21"/>
        </w:rPr>
        <w:t>22</w:t>
      </w:r>
      <w:r>
        <w:rPr>
          <w:rFonts w:eastAsiaTheme="minorEastAsia"/>
          <w:color w:val="000000" w:themeColor="text1"/>
          <w:szCs w:val="21"/>
        </w:rPr>
        <w:t>日止。</w:t>
      </w:r>
    </w:p>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739"/>
        <w:gridCol w:w="2740"/>
      </w:tblGrid>
      <w:tr w:rsidR="00FA54E0">
        <w:tc>
          <w:tcPr>
            <w:tcW w:w="2835"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华安丰利</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002950</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契约型开放式</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2</w:t>
            </w:r>
            <w:r>
              <w:rPr>
                <w:rFonts w:eastAsiaTheme="minorEastAsia"/>
                <w:color w:val="000000" w:themeColor="text1"/>
                <w:kern w:val="0"/>
                <w:szCs w:val="21"/>
              </w:rPr>
              <w:t>月</w:t>
            </w:r>
            <w:r>
              <w:rPr>
                <w:rFonts w:eastAsiaTheme="minorEastAsia"/>
                <w:color w:val="000000" w:themeColor="text1"/>
                <w:kern w:val="0"/>
                <w:szCs w:val="21"/>
              </w:rPr>
              <w:t>9</w:t>
            </w:r>
            <w:r>
              <w:rPr>
                <w:rFonts w:eastAsiaTheme="minorEastAsia"/>
                <w:color w:val="000000" w:themeColor="text1"/>
                <w:kern w:val="0"/>
                <w:szCs w:val="21"/>
              </w:rPr>
              <w:t>日</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40,892.55</w:t>
            </w:r>
            <w:r>
              <w:rPr>
                <w:rFonts w:eastAsiaTheme="minorEastAsia"/>
                <w:color w:val="000000" w:themeColor="text1"/>
                <w:kern w:val="0"/>
                <w:szCs w:val="21"/>
              </w:rPr>
              <w:t>份</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在合理控制风险的前提下，通过积极主动的投资管理把握债券市场投资机会，力争实现基金资产的长期稳定增值。</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通过对宏观经济运行情况、国家货币及财政政策、资本市场资金环境等重要因素的研究和预测，结合投资时钟理论并利用公司研究开发的多因子模型等数量工具，优化基金资产在利率债、信用债以及货币市场工具等各类固定收益类金融工具之间的配置比例。</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业绩比较基准</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中债综合全价指数</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本基金为债券型基金，其预期的风险和收益水平低于股票</w:t>
            </w:r>
            <w:r>
              <w:rPr>
                <w:rFonts w:eastAsiaTheme="minorEastAsia"/>
                <w:color w:val="000000" w:themeColor="text1"/>
                <w:kern w:val="0"/>
                <w:szCs w:val="21"/>
              </w:rPr>
              <w:lastRenderedPageBreak/>
              <w:t>型基金和混合型基金，高于货币市场基金，属于证券投资基金中的中等风险投资品种。</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基金管理人</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华安基金管理有限公司</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渤海银行股份有限公司</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FA54E0" w:rsidRDefault="007327B3">
            <w:pPr>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A</w:t>
            </w:r>
          </w:p>
        </w:tc>
        <w:tc>
          <w:tcPr>
            <w:tcW w:w="2740" w:type="dxa"/>
            <w:vAlign w:val="center"/>
          </w:tcPr>
          <w:p w:rsidR="00FA54E0" w:rsidRDefault="007327B3">
            <w:pPr>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C</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FA54E0" w:rsidRDefault="007327B3">
            <w:pPr>
              <w:rPr>
                <w:rFonts w:eastAsiaTheme="minorEastAsia"/>
                <w:color w:val="000000" w:themeColor="text1"/>
                <w:szCs w:val="21"/>
              </w:rPr>
            </w:pPr>
            <w:r>
              <w:rPr>
                <w:rFonts w:eastAsiaTheme="minorEastAsia"/>
                <w:color w:val="000000" w:themeColor="text1"/>
                <w:szCs w:val="21"/>
              </w:rPr>
              <w:t>002950</w:t>
            </w:r>
          </w:p>
        </w:tc>
        <w:tc>
          <w:tcPr>
            <w:tcW w:w="2740" w:type="dxa"/>
            <w:vAlign w:val="center"/>
          </w:tcPr>
          <w:p w:rsidR="00FA54E0" w:rsidRDefault="007327B3">
            <w:pPr>
              <w:rPr>
                <w:rFonts w:eastAsiaTheme="minorEastAsia"/>
                <w:color w:val="000000" w:themeColor="text1"/>
                <w:szCs w:val="21"/>
              </w:rPr>
            </w:pPr>
            <w:r>
              <w:rPr>
                <w:rFonts w:eastAsiaTheme="minorEastAsia"/>
                <w:color w:val="000000" w:themeColor="text1"/>
                <w:szCs w:val="21"/>
              </w:rPr>
              <w:t>002951</w:t>
            </w:r>
          </w:p>
        </w:tc>
      </w:tr>
      <w:tr w:rsidR="00FA54E0">
        <w:tc>
          <w:tcPr>
            <w:tcW w:w="2835" w:type="dxa"/>
            <w:vAlign w:val="center"/>
          </w:tcPr>
          <w:p w:rsidR="00FA54E0" w:rsidRDefault="007327B3">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FA54E0" w:rsidRDefault="007327B3">
            <w:pPr>
              <w:rPr>
                <w:rFonts w:eastAsiaTheme="minorEastAsia"/>
                <w:color w:val="000000" w:themeColor="text1"/>
                <w:szCs w:val="21"/>
              </w:rPr>
            </w:pPr>
            <w:r>
              <w:rPr>
                <w:rFonts w:eastAsiaTheme="minorEastAsia"/>
                <w:color w:val="000000" w:themeColor="text1"/>
                <w:szCs w:val="21"/>
              </w:rPr>
              <w:t>30,566.99</w:t>
            </w:r>
            <w:r>
              <w:rPr>
                <w:rFonts w:eastAsiaTheme="minorEastAsia"/>
                <w:color w:val="000000" w:themeColor="text1"/>
                <w:kern w:val="0"/>
                <w:szCs w:val="21"/>
              </w:rPr>
              <w:t>份</w:t>
            </w:r>
          </w:p>
        </w:tc>
        <w:tc>
          <w:tcPr>
            <w:tcW w:w="2740" w:type="dxa"/>
            <w:vAlign w:val="center"/>
          </w:tcPr>
          <w:p w:rsidR="00FA54E0" w:rsidRDefault="007327B3">
            <w:pPr>
              <w:rPr>
                <w:rFonts w:eastAsiaTheme="minorEastAsia"/>
                <w:color w:val="000000" w:themeColor="text1"/>
                <w:szCs w:val="21"/>
              </w:rPr>
            </w:pPr>
            <w:r>
              <w:rPr>
                <w:rFonts w:eastAsiaTheme="minorEastAsia"/>
                <w:color w:val="000000" w:themeColor="text1"/>
                <w:szCs w:val="21"/>
              </w:rPr>
              <w:t>10,325.56</w:t>
            </w:r>
            <w:r>
              <w:rPr>
                <w:rFonts w:eastAsiaTheme="minorEastAsia"/>
                <w:color w:val="000000" w:themeColor="text1"/>
                <w:kern w:val="0"/>
                <w:szCs w:val="21"/>
              </w:rPr>
              <w:t>份</w:t>
            </w:r>
          </w:p>
        </w:tc>
      </w:tr>
    </w:tbl>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FA54E0" w:rsidRDefault="007327B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FA54E0" w:rsidRDefault="007327B3">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481"/>
        <w:gridCol w:w="2481"/>
      </w:tblGrid>
      <w:tr w:rsidR="00FA54E0">
        <w:tc>
          <w:tcPr>
            <w:tcW w:w="3402" w:type="dxa"/>
            <w:vMerge w:val="restart"/>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FA54E0" w:rsidRDefault="007327B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FA54E0" w:rsidRDefault="007327B3" w:rsidP="00EC0298">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w:t>
            </w:r>
            <w:r w:rsidR="00EC0298">
              <w:rPr>
                <w:rFonts w:eastAsiaTheme="minorEastAsia" w:hint="eastAsia"/>
                <w:color w:val="000000" w:themeColor="text1"/>
                <w:szCs w:val="21"/>
              </w:rPr>
              <w:t>22</w:t>
            </w:r>
            <w:r>
              <w:rPr>
                <w:rFonts w:eastAsiaTheme="minorEastAsia"/>
                <w:color w:val="000000" w:themeColor="text1"/>
                <w:szCs w:val="21"/>
              </w:rPr>
              <w:t>日</w:t>
            </w:r>
            <w:r>
              <w:rPr>
                <w:rFonts w:eastAsiaTheme="minorEastAsia"/>
                <w:color w:val="000000" w:themeColor="text1"/>
                <w:szCs w:val="21"/>
              </w:rPr>
              <w:t>)</w:t>
            </w:r>
          </w:p>
        </w:tc>
      </w:tr>
      <w:tr w:rsidR="00FA54E0">
        <w:tc>
          <w:tcPr>
            <w:tcW w:w="3402" w:type="dxa"/>
            <w:vMerge/>
            <w:vAlign w:val="center"/>
          </w:tcPr>
          <w:p w:rsidR="00FA54E0" w:rsidRDefault="00FA54E0">
            <w:pPr>
              <w:adjustRightInd w:val="0"/>
              <w:spacing w:before="29" w:line="360" w:lineRule="auto"/>
              <w:ind w:left="17"/>
              <w:rPr>
                <w:rFonts w:eastAsiaTheme="minorEastAsia"/>
                <w:color w:val="000000" w:themeColor="text1"/>
                <w:kern w:val="0"/>
                <w:szCs w:val="21"/>
              </w:rPr>
            </w:pPr>
          </w:p>
        </w:tc>
        <w:tc>
          <w:tcPr>
            <w:tcW w:w="2481" w:type="dxa"/>
            <w:vAlign w:val="center"/>
          </w:tcPr>
          <w:p w:rsidR="00FA54E0" w:rsidRDefault="007327B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A</w:t>
            </w:r>
          </w:p>
        </w:tc>
        <w:tc>
          <w:tcPr>
            <w:tcW w:w="2481" w:type="dxa"/>
            <w:vAlign w:val="center"/>
          </w:tcPr>
          <w:p w:rsidR="00FA54E0" w:rsidRDefault="007327B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C</w:t>
            </w:r>
          </w:p>
        </w:tc>
      </w:tr>
      <w:tr w:rsidR="00FA54E0">
        <w:tc>
          <w:tcPr>
            <w:tcW w:w="3402"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1,728,284.20</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1,814.72</w:t>
            </w:r>
          </w:p>
        </w:tc>
      </w:tr>
      <w:tr w:rsidR="00FA54E0">
        <w:tc>
          <w:tcPr>
            <w:tcW w:w="3402"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1,728,284.20</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1,814.72</w:t>
            </w:r>
          </w:p>
        </w:tc>
      </w:tr>
      <w:tr w:rsidR="00FA54E0">
        <w:tc>
          <w:tcPr>
            <w:tcW w:w="3402"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0.0078</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0.1758</w:t>
            </w:r>
          </w:p>
        </w:tc>
      </w:tr>
      <w:tr w:rsidR="00FA54E0">
        <w:tc>
          <w:tcPr>
            <w:tcW w:w="3402"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35,412.41</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12,196.21</w:t>
            </w:r>
          </w:p>
        </w:tc>
      </w:tr>
      <w:tr w:rsidR="00FA54E0">
        <w:trPr>
          <w:trHeight w:val="158"/>
        </w:trPr>
        <w:tc>
          <w:tcPr>
            <w:tcW w:w="3402" w:type="dxa"/>
            <w:vAlign w:val="center"/>
          </w:tcPr>
          <w:p w:rsidR="00FA54E0" w:rsidRDefault="007327B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1.1585</w:t>
            </w:r>
          </w:p>
        </w:tc>
        <w:tc>
          <w:tcPr>
            <w:tcW w:w="2481" w:type="dxa"/>
            <w:vAlign w:val="center"/>
          </w:tcPr>
          <w:p w:rsidR="00FA54E0" w:rsidRDefault="007327B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1.1812</w:t>
            </w:r>
          </w:p>
        </w:tc>
      </w:tr>
    </w:tbl>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、所述基金业绩指标不包括持有人认购或交易基金的各项费用（例如：封闭式基金交易佣金，开放式基金的申购赎回费、红利再投资费、基金转换费等），计入费用后实际收益水平要低于所列数字。</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、本期已实现收益指基金本期利息收入、投资收益、其他收入（不含公允价值变动收益）扣除相关费用后的余额，本期利润为本期已实现收益加上本期公允价值变动收益。</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FA54E0" w:rsidRDefault="007327B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FA54E0" w:rsidRDefault="007327B3">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华安丰利</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FA54E0">
        <w:tc>
          <w:tcPr>
            <w:tcW w:w="1290"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FA54E0">
        <w:tc>
          <w:tcPr>
            <w:tcW w:w="1290" w:type="dxa"/>
            <w:vAlign w:val="center"/>
          </w:tcPr>
          <w:p w:rsidR="00FA54E0" w:rsidRDefault="007327B3">
            <w:pPr>
              <w:jc w:val="left"/>
            </w:pPr>
            <w:r>
              <w:rPr>
                <w:rFonts w:eastAsiaTheme="minorEastAsia"/>
                <w:color w:val="000000" w:themeColor="text1"/>
                <w:szCs w:val="21"/>
              </w:rPr>
              <w:t>过去三个月</w:t>
            </w:r>
          </w:p>
        </w:tc>
        <w:tc>
          <w:tcPr>
            <w:tcW w:w="1291" w:type="dxa"/>
            <w:vAlign w:val="center"/>
          </w:tcPr>
          <w:p w:rsidR="00FA54E0" w:rsidRDefault="007327B3">
            <w:pPr>
              <w:jc w:val="right"/>
            </w:pPr>
            <w:r>
              <w:rPr>
                <w:rFonts w:eastAsiaTheme="minorEastAsia"/>
                <w:color w:val="000000" w:themeColor="text1"/>
                <w:szCs w:val="21"/>
              </w:rPr>
              <w:t>15.20%</w:t>
            </w:r>
          </w:p>
        </w:tc>
        <w:tc>
          <w:tcPr>
            <w:tcW w:w="1291" w:type="dxa"/>
            <w:vAlign w:val="center"/>
          </w:tcPr>
          <w:p w:rsidR="00FA54E0" w:rsidRDefault="007327B3">
            <w:pPr>
              <w:jc w:val="right"/>
            </w:pPr>
            <w:r>
              <w:rPr>
                <w:rFonts w:eastAsiaTheme="minorEastAsia"/>
                <w:color w:val="000000" w:themeColor="text1"/>
                <w:szCs w:val="21"/>
              </w:rPr>
              <w:t>1.35%</w:t>
            </w:r>
          </w:p>
        </w:tc>
        <w:tc>
          <w:tcPr>
            <w:tcW w:w="1291" w:type="dxa"/>
            <w:vAlign w:val="center"/>
          </w:tcPr>
          <w:p w:rsidR="00FA54E0" w:rsidRDefault="007327B3">
            <w:pPr>
              <w:jc w:val="right"/>
            </w:pPr>
            <w:r>
              <w:rPr>
                <w:rFonts w:eastAsiaTheme="minorEastAsia"/>
                <w:color w:val="000000" w:themeColor="text1"/>
                <w:szCs w:val="21"/>
              </w:rPr>
              <w:t>1.18%</w:t>
            </w:r>
          </w:p>
        </w:tc>
        <w:tc>
          <w:tcPr>
            <w:tcW w:w="1291" w:type="dxa"/>
            <w:vAlign w:val="center"/>
          </w:tcPr>
          <w:p w:rsidR="00FA54E0" w:rsidRDefault="007327B3">
            <w:pPr>
              <w:jc w:val="right"/>
            </w:pPr>
            <w:r>
              <w:rPr>
                <w:rFonts w:eastAsiaTheme="minorEastAsia"/>
                <w:color w:val="000000" w:themeColor="text1"/>
                <w:szCs w:val="21"/>
              </w:rPr>
              <w:t>0.15%</w:t>
            </w:r>
          </w:p>
        </w:tc>
        <w:tc>
          <w:tcPr>
            <w:tcW w:w="1291" w:type="dxa"/>
            <w:vAlign w:val="center"/>
          </w:tcPr>
          <w:p w:rsidR="00FA54E0" w:rsidRDefault="007327B3">
            <w:pPr>
              <w:jc w:val="right"/>
            </w:pPr>
            <w:r>
              <w:rPr>
                <w:rFonts w:eastAsiaTheme="minorEastAsia"/>
                <w:color w:val="000000" w:themeColor="text1"/>
                <w:szCs w:val="21"/>
              </w:rPr>
              <w:t>14.02%</w:t>
            </w:r>
          </w:p>
        </w:tc>
        <w:tc>
          <w:tcPr>
            <w:tcW w:w="1291" w:type="dxa"/>
            <w:vAlign w:val="center"/>
          </w:tcPr>
          <w:p w:rsidR="00FA54E0" w:rsidRDefault="007327B3">
            <w:pPr>
              <w:jc w:val="right"/>
            </w:pPr>
            <w:r>
              <w:rPr>
                <w:rFonts w:eastAsiaTheme="minorEastAsia"/>
                <w:color w:val="000000" w:themeColor="text1"/>
                <w:szCs w:val="21"/>
              </w:rPr>
              <w:t>1.20%</w:t>
            </w:r>
          </w:p>
        </w:tc>
      </w:tr>
    </w:tbl>
    <w:p w:rsidR="00FA54E0" w:rsidRDefault="007327B3" w:rsidP="00701AB5">
      <w:pPr>
        <w:adjustRightInd w:val="0"/>
        <w:spacing w:beforeLines="100"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华安丰利</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FA54E0">
        <w:tc>
          <w:tcPr>
            <w:tcW w:w="1290"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FA54E0" w:rsidRDefault="007327B3">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FA54E0" w:rsidRDefault="007327B3">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FA54E0" w:rsidRDefault="007327B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FA54E0">
        <w:tc>
          <w:tcPr>
            <w:tcW w:w="1290" w:type="dxa"/>
            <w:vAlign w:val="center"/>
          </w:tcPr>
          <w:p w:rsidR="00FA54E0" w:rsidRDefault="007327B3">
            <w:pPr>
              <w:jc w:val="left"/>
            </w:pPr>
            <w:r>
              <w:rPr>
                <w:rFonts w:eastAsiaTheme="minorEastAsia"/>
                <w:color w:val="000000" w:themeColor="text1"/>
                <w:szCs w:val="21"/>
              </w:rPr>
              <w:t>过去三个月</w:t>
            </w:r>
          </w:p>
        </w:tc>
        <w:tc>
          <w:tcPr>
            <w:tcW w:w="1291" w:type="dxa"/>
            <w:vAlign w:val="center"/>
          </w:tcPr>
          <w:p w:rsidR="00FA54E0" w:rsidRDefault="007327B3">
            <w:pPr>
              <w:jc w:val="right"/>
            </w:pPr>
            <w:r>
              <w:rPr>
                <w:rFonts w:eastAsiaTheme="minorEastAsia"/>
                <w:color w:val="000000" w:themeColor="text1"/>
                <w:szCs w:val="21"/>
              </w:rPr>
              <w:t>17.49%</w:t>
            </w:r>
          </w:p>
        </w:tc>
        <w:tc>
          <w:tcPr>
            <w:tcW w:w="1291" w:type="dxa"/>
            <w:vAlign w:val="center"/>
          </w:tcPr>
          <w:p w:rsidR="00FA54E0" w:rsidRDefault="007327B3">
            <w:pPr>
              <w:jc w:val="right"/>
            </w:pPr>
            <w:r>
              <w:rPr>
                <w:rFonts w:eastAsiaTheme="minorEastAsia"/>
                <w:color w:val="000000" w:themeColor="text1"/>
                <w:szCs w:val="21"/>
              </w:rPr>
              <w:t>1.61%</w:t>
            </w:r>
          </w:p>
        </w:tc>
        <w:tc>
          <w:tcPr>
            <w:tcW w:w="1291" w:type="dxa"/>
            <w:vAlign w:val="center"/>
          </w:tcPr>
          <w:p w:rsidR="00FA54E0" w:rsidRDefault="007327B3">
            <w:pPr>
              <w:jc w:val="right"/>
            </w:pPr>
            <w:r>
              <w:rPr>
                <w:rFonts w:eastAsiaTheme="minorEastAsia"/>
                <w:color w:val="000000" w:themeColor="text1"/>
                <w:szCs w:val="21"/>
              </w:rPr>
              <w:t>1.18%</w:t>
            </w:r>
          </w:p>
        </w:tc>
        <w:tc>
          <w:tcPr>
            <w:tcW w:w="1291" w:type="dxa"/>
            <w:vAlign w:val="center"/>
          </w:tcPr>
          <w:p w:rsidR="00FA54E0" w:rsidRDefault="007327B3">
            <w:pPr>
              <w:jc w:val="right"/>
            </w:pPr>
            <w:r>
              <w:rPr>
                <w:rFonts w:eastAsiaTheme="minorEastAsia"/>
                <w:color w:val="000000" w:themeColor="text1"/>
                <w:szCs w:val="21"/>
              </w:rPr>
              <w:t>0.15%</w:t>
            </w:r>
          </w:p>
        </w:tc>
        <w:tc>
          <w:tcPr>
            <w:tcW w:w="1291" w:type="dxa"/>
            <w:vAlign w:val="center"/>
          </w:tcPr>
          <w:p w:rsidR="00FA54E0" w:rsidRDefault="007327B3">
            <w:pPr>
              <w:jc w:val="right"/>
            </w:pPr>
            <w:r>
              <w:rPr>
                <w:rFonts w:eastAsiaTheme="minorEastAsia"/>
                <w:color w:val="000000" w:themeColor="text1"/>
                <w:szCs w:val="21"/>
              </w:rPr>
              <w:t>16.31%</w:t>
            </w:r>
          </w:p>
        </w:tc>
        <w:tc>
          <w:tcPr>
            <w:tcW w:w="1291" w:type="dxa"/>
            <w:vAlign w:val="center"/>
          </w:tcPr>
          <w:p w:rsidR="00FA54E0" w:rsidRDefault="007327B3">
            <w:pPr>
              <w:jc w:val="right"/>
            </w:pPr>
            <w:r>
              <w:rPr>
                <w:rFonts w:eastAsiaTheme="minorEastAsia"/>
                <w:color w:val="000000" w:themeColor="text1"/>
                <w:szCs w:val="21"/>
              </w:rPr>
              <w:t>1.46%</w:t>
            </w:r>
          </w:p>
        </w:tc>
      </w:tr>
    </w:tbl>
    <w:p w:rsidR="00FA54E0" w:rsidRDefault="007327B3" w:rsidP="00701AB5">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FA54E0" w:rsidRDefault="007327B3">
      <w:pPr>
        <w:spacing w:line="360" w:lineRule="auto"/>
        <w:jc w:val="center"/>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18</w:t>
      </w:r>
      <w:r>
        <w:rPr>
          <w:rFonts w:eastAsiaTheme="minorEastAsia"/>
          <w:color w:val="000000" w:themeColor="text1"/>
          <w:szCs w:val="21"/>
        </w:rPr>
        <w:t>个月定期开放债券型证券投资基金</w:t>
      </w:r>
    </w:p>
    <w:p w:rsidR="00FA54E0" w:rsidRDefault="007327B3">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FA54E0" w:rsidRDefault="007327B3">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t>(2018</w:t>
      </w:r>
      <w:r>
        <w:rPr>
          <w:rFonts w:ascii="Times New Roman" w:eastAsiaTheme="minorEastAsia" w:hAnsi="Times New Roman"/>
          <w:color w:val="000000" w:themeColor="text1"/>
        </w:rPr>
        <w:t>年</w:t>
      </w:r>
      <w:r>
        <w:rPr>
          <w:rFonts w:ascii="Times New Roman" w:eastAsiaTheme="minorEastAsia" w:hAnsi="Times New Roman"/>
          <w:color w:val="000000" w:themeColor="text1"/>
        </w:rPr>
        <w:t>2</w:t>
      </w:r>
      <w:r>
        <w:rPr>
          <w:rFonts w:ascii="Times New Roman" w:eastAsiaTheme="minorEastAsia" w:hAnsi="Times New Roman"/>
          <w:color w:val="000000" w:themeColor="text1"/>
        </w:rPr>
        <w:t>月</w:t>
      </w:r>
      <w:r>
        <w:rPr>
          <w:rFonts w:ascii="Times New Roman" w:eastAsiaTheme="minorEastAsia" w:hAnsi="Times New Roman"/>
          <w:color w:val="000000" w:themeColor="text1"/>
        </w:rPr>
        <w:t>9</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2018</w:t>
      </w:r>
      <w:r>
        <w:rPr>
          <w:rFonts w:ascii="Times New Roman" w:eastAsiaTheme="minorEastAsia" w:hAnsi="Times New Roman"/>
          <w:color w:val="000000" w:themeColor="text1"/>
        </w:rPr>
        <w:t>年</w:t>
      </w:r>
      <w:r>
        <w:rPr>
          <w:rFonts w:ascii="Times New Roman" w:eastAsiaTheme="minorEastAsia" w:hAnsi="Times New Roman"/>
          <w:color w:val="000000" w:themeColor="text1"/>
        </w:rPr>
        <w:t>6</w:t>
      </w:r>
      <w:r>
        <w:rPr>
          <w:rFonts w:ascii="Times New Roman" w:eastAsiaTheme="minorEastAsia" w:hAnsi="Times New Roman"/>
          <w:color w:val="000000" w:themeColor="text1"/>
        </w:rPr>
        <w:t>月</w:t>
      </w:r>
      <w:r>
        <w:rPr>
          <w:rFonts w:ascii="Times New Roman" w:eastAsiaTheme="minorEastAsia" w:hAnsi="Times New Roman" w:hint="eastAsia"/>
          <w:color w:val="000000" w:themeColor="text1"/>
        </w:rPr>
        <w:t>22</w:t>
      </w:r>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FA54E0" w:rsidRDefault="007327B3">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．华安丰利</w:t>
      </w:r>
      <w:r>
        <w:rPr>
          <w:rFonts w:eastAsiaTheme="minorEastAsia"/>
          <w:color w:val="000000" w:themeColor="text1"/>
          <w:szCs w:val="21"/>
        </w:rPr>
        <w:t>A</w:t>
      </w:r>
      <w:r>
        <w:rPr>
          <w:rFonts w:eastAsiaTheme="minorEastAsia"/>
          <w:color w:val="000000" w:themeColor="text1"/>
          <w:szCs w:val="21"/>
        </w:rPr>
        <w:t>：</w:t>
      </w:r>
    </w:p>
    <w:p w:rsidR="00FA54E0" w:rsidRDefault="007327B3">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a:xfrm>
                      <a:off x="0" y="0"/>
                      <a:ext cx="5591175" cy="3276600"/>
                    </a:xfrm>
                    <a:prstGeom prst="rect">
                      <a:avLst/>
                    </a:prstGeom>
                    <a:noFill/>
                    <a:ln>
                      <a:noFill/>
                    </a:ln>
                  </pic:spPr>
                </pic:pic>
              </a:graphicData>
            </a:graphic>
          </wp:inline>
        </w:drawing>
      </w:r>
    </w:p>
    <w:p w:rsidR="00FA54E0" w:rsidRDefault="007327B3" w:rsidP="00701AB5">
      <w:pPr>
        <w:snapToGrid w:val="0"/>
        <w:spacing w:beforeLines="100"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．华安丰利</w:t>
      </w:r>
      <w:r>
        <w:rPr>
          <w:rFonts w:eastAsiaTheme="minorEastAsia"/>
          <w:color w:val="000000" w:themeColor="text1"/>
          <w:szCs w:val="21"/>
        </w:rPr>
        <w:t>C</w:t>
      </w:r>
      <w:r>
        <w:rPr>
          <w:rFonts w:eastAsiaTheme="minorEastAsia"/>
          <w:color w:val="000000" w:themeColor="text1"/>
          <w:szCs w:val="21"/>
        </w:rPr>
        <w:t>：</w:t>
      </w:r>
    </w:p>
    <w:p w:rsidR="00FA54E0" w:rsidRDefault="007327B3">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a:xfrm>
                      <a:off x="0" y="0"/>
                      <a:ext cx="5591175" cy="3276600"/>
                    </a:xfrm>
                    <a:prstGeom prst="rect">
                      <a:avLst/>
                    </a:prstGeom>
                    <a:noFill/>
                    <a:ln>
                      <a:noFill/>
                    </a:ln>
                  </pic:spPr>
                </pic:pic>
              </a:graphicData>
            </a:graphic>
          </wp:inline>
        </w:drawing>
      </w:r>
    </w:p>
    <w:p w:rsidR="00FA54E0" w:rsidRDefault="00FA54E0">
      <w:pPr>
        <w:spacing w:line="360" w:lineRule="auto"/>
        <w:ind w:firstLineChars="200" w:firstLine="420"/>
        <w:rPr>
          <w:rFonts w:eastAsiaTheme="minorEastAsia"/>
          <w:color w:val="000000" w:themeColor="text1"/>
          <w:szCs w:val="21"/>
        </w:rPr>
      </w:pPr>
    </w:p>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FA54E0" w:rsidRDefault="007327B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30"/>
        <w:gridCol w:w="1210"/>
        <w:gridCol w:w="1309"/>
        <w:gridCol w:w="1254"/>
        <w:gridCol w:w="3276"/>
      </w:tblGrid>
      <w:tr w:rsidR="00FA54E0">
        <w:tc>
          <w:tcPr>
            <w:tcW w:w="952" w:type="dxa"/>
            <w:vMerge w:val="restart"/>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FA54E0">
        <w:tc>
          <w:tcPr>
            <w:tcW w:w="952" w:type="dxa"/>
            <w:vMerge/>
            <w:vAlign w:val="center"/>
          </w:tcPr>
          <w:p w:rsidR="00FA54E0" w:rsidRDefault="00FA54E0">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FA54E0" w:rsidRDefault="00FA54E0">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FA54E0" w:rsidRDefault="007327B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FA54E0" w:rsidRDefault="00FA54E0">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FA54E0" w:rsidRDefault="00FA54E0">
            <w:pPr>
              <w:autoSpaceDE w:val="0"/>
              <w:autoSpaceDN w:val="0"/>
              <w:adjustRightInd w:val="0"/>
              <w:spacing w:before="29" w:line="288" w:lineRule="auto"/>
              <w:ind w:left="15"/>
              <w:jc w:val="center"/>
              <w:rPr>
                <w:rFonts w:eastAsiaTheme="minorEastAsia"/>
                <w:color w:val="000000" w:themeColor="text1"/>
                <w:kern w:val="0"/>
                <w:szCs w:val="21"/>
              </w:rPr>
            </w:pPr>
          </w:p>
        </w:tc>
      </w:tr>
      <w:tr w:rsidR="00FA54E0">
        <w:tc>
          <w:tcPr>
            <w:tcW w:w="952" w:type="dxa"/>
            <w:vAlign w:val="center"/>
          </w:tcPr>
          <w:p w:rsidR="00FA54E0" w:rsidRDefault="007327B3">
            <w:pPr>
              <w:jc w:val="center"/>
            </w:pPr>
            <w:r>
              <w:rPr>
                <w:rFonts w:eastAsiaTheme="minorEastAsia"/>
                <w:color w:val="000000" w:themeColor="text1"/>
                <w:szCs w:val="21"/>
              </w:rPr>
              <w:t>贺涛</w:t>
            </w:r>
          </w:p>
        </w:tc>
        <w:tc>
          <w:tcPr>
            <w:tcW w:w="930" w:type="dxa"/>
            <w:vAlign w:val="center"/>
          </w:tcPr>
          <w:p w:rsidR="00FA54E0" w:rsidRDefault="007327B3">
            <w:pPr>
              <w:jc w:val="center"/>
            </w:pPr>
            <w:r>
              <w:rPr>
                <w:rFonts w:eastAsiaTheme="minorEastAsia"/>
                <w:color w:val="000000" w:themeColor="text1"/>
                <w:szCs w:val="21"/>
              </w:rPr>
              <w:t>本基金的基金经理，固定收益部总监</w:t>
            </w:r>
          </w:p>
        </w:tc>
        <w:tc>
          <w:tcPr>
            <w:tcW w:w="1210" w:type="dxa"/>
            <w:vAlign w:val="center"/>
          </w:tcPr>
          <w:p w:rsidR="00FA54E0" w:rsidRDefault="007327B3">
            <w:pPr>
              <w:jc w:val="center"/>
            </w:pPr>
            <w:r>
              <w:rPr>
                <w:rFonts w:eastAsiaTheme="minorEastAsia"/>
                <w:color w:val="000000" w:themeColor="text1"/>
                <w:szCs w:val="21"/>
              </w:rPr>
              <w:t>2018-02-09</w:t>
            </w:r>
          </w:p>
        </w:tc>
        <w:tc>
          <w:tcPr>
            <w:tcW w:w="1309" w:type="dxa"/>
            <w:vAlign w:val="center"/>
          </w:tcPr>
          <w:p w:rsidR="00FA54E0" w:rsidRDefault="007327B3">
            <w:pPr>
              <w:jc w:val="center"/>
            </w:pPr>
            <w:r>
              <w:rPr>
                <w:rFonts w:eastAsiaTheme="minorEastAsia"/>
                <w:color w:val="000000" w:themeColor="text1"/>
                <w:szCs w:val="21"/>
              </w:rPr>
              <w:t>-</w:t>
            </w:r>
          </w:p>
        </w:tc>
        <w:tc>
          <w:tcPr>
            <w:tcW w:w="1254" w:type="dxa"/>
            <w:vAlign w:val="center"/>
          </w:tcPr>
          <w:p w:rsidR="00FA54E0" w:rsidRDefault="007327B3">
            <w:pPr>
              <w:jc w:val="center"/>
            </w:pPr>
            <w:r>
              <w:rPr>
                <w:rFonts w:eastAsiaTheme="minorEastAsia"/>
                <w:color w:val="000000" w:themeColor="text1"/>
                <w:szCs w:val="21"/>
              </w:rPr>
              <w:t>20</w:t>
            </w:r>
            <w:r>
              <w:rPr>
                <w:rFonts w:eastAsiaTheme="minorEastAsia"/>
                <w:color w:val="000000" w:themeColor="text1"/>
                <w:szCs w:val="21"/>
              </w:rPr>
              <w:t>年</w:t>
            </w:r>
          </w:p>
        </w:tc>
        <w:tc>
          <w:tcPr>
            <w:tcW w:w="3276" w:type="dxa"/>
            <w:vAlign w:val="center"/>
          </w:tcPr>
          <w:p w:rsidR="00FA54E0" w:rsidRDefault="007327B3">
            <w:r>
              <w:rPr>
                <w:rFonts w:eastAsiaTheme="minorEastAsia"/>
                <w:color w:val="000000" w:themeColor="text1"/>
                <w:szCs w:val="21"/>
              </w:rPr>
              <w:t>金融学硕士（金融工程方向），</w:t>
            </w:r>
            <w:r>
              <w:rPr>
                <w:rFonts w:eastAsiaTheme="minorEastAsia"/>
                <w:color w:val="000000" w:themeColor="text1"/>
                <w:szCs w:val="21"/>
              </w:rPr>
              <w:t>20</w:t>
            </w:r>
            <w:r>
              <w:rPr>
                <w:rFonts w:eastAsiaTheme="minorEastAsia"/>
                <w:color w:val="000000" w:themeColor="text1"/>
                <w:szCs w:val="21"/>
              </w:rPr>
              <w:t>年证券、基金从业经历。曾任长城证券有限责任公司债券研究员，华安基金管理有限公司债券研究员、债券投资风险管理员、固定收益投资经理。</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月起担任华安稳定收益债券基金的基金经理。</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月起同时担任华安可转换债券债券型证券投资基金的基金经理。</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月担任华安信用增强债券型证券投资基金的基金经理。</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月起同时担任华安双债添利债券型证券投资基金的基金经理、固定收益部助理总监。</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月起担任固定收益部副总监。</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月同时担任华安月月鑫短期理财债券型证券投资基金、华安季季鑫短期理财债券型证券投资基金、华安月安鑫短期理财债券型证券投资基金、华安现金富利投资基金的基金经理。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月同时担任华安汇财通货币市场基金的基金经理。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月担任华安年年盈定期开放债券型证券投资基金的基金经理。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月起担任固定收益部总监。</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月，担任华安新回报灵活配置混合型证券投资基金的基金经理。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月起担任华安新乐享保本混合型证券投资基金的基金经理。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月，同时担任华安乐惠保本混合型证券投资基金的基金经理。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月起，同时担任华安安华保本混合型证券投资基金的基金经理。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月起同时担任华安安进保本混合型发起式证券投资基金的基金经理。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月，同时担任华安新希望灵活配置混合型证券投资基金的基金经理。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月起，同时担任华安睿享定期开放混合型发起式证券投资基金的基金经理。</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月起，同时担任华安新活力灵活配置混合型证券投资基金的基金经理。</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月起，同时担任本基金的基金经理。</w:t>
            </w:r>
          </w:p>
        </w:tc>
      </w:tr>
      <w:tr w:rsidR="00FA54E0">
        <w:tc>
          <w:tcPr>
            <w:tcW w:w="952" w:type="dxa"/>
            <w:vAlign w:val="center"/>
          </w:tcPr>
          <w:p w:rsidR="00FA54E0" w:rsidRDefault="007327B3">
            <w:pPr>
              <w:jc w:val="center"/>
            </w:pPr>
            <w:r>
              <w:rPr>
                <w:rFonts w:eastAsiaTheme="minorEastAsia"/>
                <w:color w:val="000000" w:themeColor="text1"/>
                <w:szCs w:val="21"/>
              </w:rPr>
              <w:t>石雨欣</w:t>
            </w:r>
          </w:p>
        </w:tc>
        <w:tc>
          <w:tcPr>
            <w:tcW w:w="930" w:type="dxa"/>
            <w:vAlign w:val="center"/>
          </w:tcPr>
          <w:p w:rsidR="00FA54E0" w:rsidRDefault="007327B3">
            <w:pPr>
              <w:jc w:val="center"/>
            </w:pPr>
            <w:r>
              <w:rPr>
                <w:rFonts w:eastAsiaTheme="minorEastAsia"/>
                <w:color w:val="000000" w:themeColor="text1"/>
                <w:szCs w:val="21"/>
              </w:rPr>
              <w:t>本基金的基金经理</w:t>
            </w:r>
          </w:p>
        </w:tc>
        <w:tc>
          <w:tcPr>
            <w:tcW w:w="1210" w:type="dxa"/>
            <w:vAlign w:val="center"/>
          </w:tcPr>
          <w:p w:rsidR="00FA54E0" w:rsidRDefault="007327B3">
            <w:pPr>
              <w:jc w:val="center"/>
            </w:pPr>
            <w:r>
              <w:rPr>
                <w:rFonts w:eastAsiaTheme="minorEastAsia"/>
                <w:color w:val="000000" w:themeColor="text1"/>
                <w:szCs w:val="21"/>
              </w:rPr>
              <w:t>2018-02-09</w:t>
            </w:r>
          </w:p>
        </w:tc>
        <w:tc>
          <w:tcPr>
            <w:tcW w:w="1309" w:type="dxa"/>
            <w:vAlign w:val="center"/>
          </w:tcPr>
          <w:p w:rsidR="00FA54E0" w:rsidRDefault="007327B3">
            <w:pPr>
              <w:jc w:val="center"/>
            </w:pPr>
            <w:r>
              <w:rPr>
                <w:rFonts w:eastAsiaTheme="minorEastAsia"/>
                <w:color w:val="000000" w:themeColor="text1"/>
                <w:szCs w:val="21"/>
              </w:rPr>
              <w:t>-</w:t>
            </w:r>
          </w:p>
        </w:tc>
        <w:tc>
          <w:tcPr>
            <w:tcW w:w="1254" w:type="dxa"/>
            <w:vAlign w:val="center"/>
          </w:tcPr>
          <w:p w:rsidR="00FA54E0" w:rsidRDefault="007327B3">
            <w:pPr>
              <w:jc w:val="center"/>
            </w:pPr>
            <w:r>
              <w:rPr>
                <w:rFonts w:eastAsiaTheme="minorEastAsia"/>
                <w:color w:val="000000" w:themeColor="text1"/>
                <w:szCs w:val="21"/>
              </w:rPr>
              <w:t>11</w:t>
            </w:r>
            <w:r>
              <w:rPr>
                <w:rFonts w:eastAsiaTheme="minorEastAsia"/>
                <w:color w:val="000000" w:themeColor="text1"/>
                <w:szCs w:val="21"/>
              </w:rPr>
              <w:t>年</w:t>
            </w:r>
          </w:p>
        </w:tc>
        <w:tc>
          <w:tcPr>
            <w:tcW w:w="3276" w:type="dxa"/>
            <w:vAlign w:val="center"/>
          </w:tcPr>
          <w:p w:rsidR="00FA54E0" w:rsidRDefault="007327B3">
            <w:r>
              <w:rPr>
                <w:rFonts w:eastAsiaTheme="minorEastAsia"/>
                <w:color w:val="000000" w:themeColor="text1"/>
                <w:szCs w:val="21"/>
              </w:rPr>
              <w:t>硕士研究生，</w:t>
            </w:r>
            <w:r>
              <w:rPr>
                <w:rFonts w:eastAsiaTheme="minorEastAsia"/>
                <w:color w:val="000000" w:themeColor="text1"/>
                <w:szCs w:val="21"/>
              </w:rPr>
              <w:t>11</w:t>
            </w:r>
            <w:r>
              <w:rPr>
                <w:rFonts w:eastAsiaTheme="minorEastAsia"/>
                <w:color w:val="000000" w:themeColor="text1"/>
                <w:szCs w:val="21"/>
              </w:rPr>
              <w:t>年相关行业从业经验，曾任联合资信评估有限公司高级分析师。</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月加入华安基金管理有限公司，任固定收益部信用分析师。</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月，担任华安信用四季红债券型证券投资基金的基金经理。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月起，担任华安稳固收益债券型证券投资基金的基金经理。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月起担任华安安康保本混合型证券投资基金的基金经理。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月起同时担任华安聚利</w:t>
            </w:r>
            <w:r>
              <w:rPr>
                <w:rFonts w:eastAsiaTheme="minorEastAsia"/>
                <w:color w:val="000000" w:themeColor="text1"/>
                <w:szCs w:val="21"/>
              </w:rPr>
              <w:t>18</w:t>
            </w:r>
            <w:r>
              <w:rPr>
                <w:rFonts w:eastAsiaTheme="minorEastAsia"/>
                <w:color w:val="000000" w:themeColor="text1"/>
                <w:szCs w:val="21"/>
              </w:rPr>
              <w:t>个月定期开放债券型证券投资基金的基金经理。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月起，同时担任华安新恒利灵活配置混合型证券投资基金、华安新瑞利灵活配置混合型证券投资基金的基金经理。</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月起，同时担任华安新安平灵活配置混合型证券投资基金的基金经理。</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月起，同时担任本基金的基金经理。</w:t>
            </w:r>
          </w:p>
        </w:tc>
      </w:tr>
    </w:tbl>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注：此处的任职日期和离任日期均指公司作出决定之日，即以公告日为准。证券从业的含义遵从行业协会《证券业从业人员资格管理办法》的相关规定。</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管理人对报告期内本基金运作遵规守信情况的说明</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内，本基金管理人严格遵守《证券投资基金法》等有关法律法规及基金合同、招募说明书等有关基金法律文件的规定，本着诚实信用、勤勉尽责的原则管理和运用基金资产，在控制风险的前提下，为基金份额持有人谋求最大利益，不存在违法违规或未履行基金合同承诺的情形。</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FA54E0" w:rsidRDefault="007327B3">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国证监会《证券投资基金管理公司公平交易制度指导意见》，公司制定了《华安基金管理有限公司公平交易管理制度》，将封闭式基金、开放式基金、特定客户资产管理组合及其他投资组合资产在研究分析、投资决策、交易执行等方面全部纳入公平交易管理中。控制措施包括：在研究环节，研究员在为公司管理的各类投资组合提供研究信息、投资建议过程中，使用晨会发言、发送邮件、登录在研究报告管理系统中等方式来确保各类投资组合经理可以公平享有信息获取机会。在投资环节，公司各投资组合经理根据投资组合的风格和投资策略，制定并严格执行交易决策规则，以保证各投资组合交易决策的客观性和独立性。同时严格执行投资决策委员会、投资总监、投资组合经理等各投资决策主体授权机制，投资组合经理在授权范围内自主决策，超过投资权限的操作需要经过严格的审批程序。在交易环节，公司实行强制公平交易机制，确保各投资组合享有公平的交易执行机会。（</w:t>
      </w:r>
      <w:r>
        <w:rPr>
          <w:rFonts w:eastAsiaTheme="minorEastAsia"/>
          <w:color w:val="000000" w:themeColor="text1"/>
          <w:szCs w:val="21"/>
        </w:rPr>
        <w:t>1</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交易所二级市场业务，遵循价格优先、时间优先、比例分配、综合平衡的控制原则，实现同一时间下达指令的投资组合在交易时机上的公平性。（</w:t>
      </w:r>
      <w:r>
        <w:rPr>
          <w:rFonts w:eastAsiaTheme="minorEastAsia"/>
          <w:color w:val="000000" w:themeColor="text1"/>
          <w:szCs w:val="21"/>
        </w:rPr>
        <w:t>2</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交易所一级市场业务，投资组合经理按意愿独立进行业务申报，集中交易部以投资组合名义对外进行申报。若该业务以公司名义进行申报与中签，则按实际中签情况以价格优先、比例分配原则进行分配。若中签量过小无法合理进行比例分配，且以公司名义获得，则投资部门在合规监察员监督参与下，进行公平协商分配。（</w:t>
      </w:r>
      <w:r>
        <w:rPr>
          <w:rFonts w:eastAsiaTheme="minorEastAsia"/>
          <w:color w:val="000000" w:themeColor="text1"/>
          <w:szCs w:val="21"/>
        </w:rPr>
        <w:t>3</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银行间市场业务遵循指令时间优先原则，先到先询价的控制原则。通过内部共同的</w:t>
      </w:r>
      <w:r>
        <w:rPr>
          <w:rFonts w:eastAsiaTheme="minorEastAsia"/>
          <w:color w:val="000000" w:themeColor="text1"/>
          <w:szCs w:val="21"/>
        </w:rPr>
        <w:t>iwind</w:t>
      </w:r>
      <w:r>
        <w:rPr>
          <w:rFonts w:eastAsiaTheme="minorEastAsia"/>
          <w:color w:val="000000" w:themeColor="text1"/>
          <w:szCs w:val="21"/>
        </w:rPr>
        <w:t>群，发布询价需求和结果，做到信息公开。若是多个投资组合进行一级市场投标，则各投资组合经理须以各投资组合名义向集中交易部下达投资意向，交易员以此进行投标，以确保中签结果与投资组合投标意向一一对应。若中签量过小无法合理进行比例分配，且以公司名义获得，则投资部门在风控部门的监督参与下，进行公平协商分配。交易监控、分析与评估环节，公司风险管理部对公司旗下的各投资组合投资境内证券市场上市交易的投资品种、进行场外的非公开发行股票申购、以公司名义进行的债券一级市场申购、不同投资组合同日和临近交易日的反向交易以及可能导致不公平交易和利益输送的异常交易行为进行监控；风险管理部根据市场公认的第三方信息（如：中债登的债券估值），定期对各投资组合与交易对手之间议价交易的交易价格公允性进行审查，对不同投资组合临近交易日的同向交易的交易时机和交易价差进行分析。</w:t>
      </w:r>
      <w:r>
        <w:rPr>
          <w:rFonts w:eastAsiaTheme="minorEastAsia"/>
          <w:color w:val="000000" w:themeColor="text1"/>
          <w:szCs w:val="21"/>
        </w:rPr>
        <w:t xml:space="preserve"> </w:t>
      </w:r>
      <w:r>
        <w:rPr>
          <w:rFonts w:eastAsiaTheme="minorEastAsia"/>
          <w:color w:val="000000" w:themeColor="text1"/>
          <w:szCs w:val="21"/>
        </w:rPr>
        <w:t>本报告期内，公司公平交易制度总体执行情况良好。</w:t>
      </w:r>
    </w:p>
    <w:p w:rsidR="00FA54E0" w:rsidRDefault="007327B3">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国证监会《证券投资基金管理公司公平交易制度指导意见》，公司合规监察稽核部会同基金投资、交易部门讨论制定了公募基金、专户针对股票、债券、回购等投资品种在交易所及银行间的同日反向交易控制规则，并在投资系统中进行了设置，实现了完全的系统控制。同时加强了对基金、专户间的同日反向交易的监控与隔日反向交易的检查；风险管理部开发了同向交易分析系统，对相关同向交易指标进行持续监控，并定期对组合间的同向交易行为进行了重点分析。本报告期内，除指数基金以外的所有投资组合参与的交易所公开竞价交易中，出现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的次数为</w:t>
      </w:r>
      <w:r>
        <w:rPr>
          <w:rFonts w:eastAsiaTheme="minorEastAsia"/>
          <w:color w:val="000000" w:themeColor="text1"/>
          <w:szCs w:val="21"/>
        </w:rPr>
        <w:t>2</w:t>
      </w:r>
      <w:r>
        <w:rPr>
          <w:rFonts w:eastAsiaTheme="minorEastAsia"/>
          <w:color w:val="000000" w:themeColor="text1"/>
          <w:szCs w:val="21"/>
        </w:rPr>
        <w:t>次，未出现异常交易。</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4.4 </w:t>
      </w:r>
      <w:r>
        <w:rPr>
          <w:rFonts w:eastAsiaTheme="minorEastAsia"/>
          <w:b/>
          <w:color w:val="000000" w:themeColor="text1"/>
          <w:kern w:val="0"/>
          <w:szCs w:val="21"/>
        </w:rPr>
        <w:t>报告期内基金的投资策略和业绩表现说明</w:t>
      </w:r>
    </w:p>
    <w:p w:rsidR="00FA54E0" w:rsidRDefault="007327B3">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2018</w:t>
      </w:r>
      <w:r>
        <w:rPr>
          <w:rFonts w:eastAsiaTheme="minorEastAsia"/>
          <w:color w:val="000000" w:themeColor="text1"/>
          <w:szCs w:val="21"/>
        </w:rPr>
        <w:t>年二季度国内经济稳中趋缓，由于全球经济增速放缓以及中美贸易摩擦升级，外需对经济形成拖累；投资总体上小幅下滑，由于地方债务整顿及财政支出下滑导致基建投资增速下滑，制造业投资有所好转但幅度有限，房地产投资成为增长的主要支撑；消费增速受居民可支配收入下滑的影响，增速继续放缓。通胀继续保持温和态势，央行货币政策边际上有所放松，</w:t>
      </w:r>
      <w:r>
        <w:rPr>
          <w:rFonts w:eastAsiaTheme="minorEastAsia"/>
          <w:color w:val="000000" w:themeColor="text1"/>
          <w:szCs w:val="21"/>
        </w:rPr>
        <w:t>4</w:t>
      </w:r>
      <w:r>
        <w:rPr>
          <w:rFonts w:eastAsiaTheme="minorEastAsia"/>
          <w:color w:val="000000" w:themeColor="text1"/>
          <w:szCs w:val="21"/>
        </w:rPr>
        <w:t>月份央行宣布降准</w:t>
      </w:r>
      <w:r>
        <w:rPr>
          <w:rFonts w:eastAsiaTheme="minorEastAsia"/>
          <w:color w:val="000000" w:themeColor="text1"/>
          <w:szCs w:val="21"/>
        </w:rPr>
        <w:t>1</w:t>
      </w:r>
      <w:r>
        <w:rPr>
          <w:rFonts w:eastAsiaTheme="minorEastAsia"/>
          <w:color w:val="000000" w:themeColor="text1"/>
          <w:szCs w:val="21"/>
        </w:rPr>
        <w:t>个百分点进行部分置换</w:t>
      </w:r>
      <w:r>
        <w:rPr>
          <w:rFonts w:eastAsiaTheme="minorEastAsia"/>
          <w:color w:val="000000" w:themeColor="text1"/>
          <w:szCs w:val="21"/>
        </w:rPr>
        <w:t>MLF</w:t>
      </w:r>
      <w:r>
        <w:rPr>
          <w:rFonts w:eastAsiaTheme="minorEastAsia"/>
          <w:color w:val="000000" w:themeColor="text1"/>
          <w:szCs w:val="21"/>
        </w:rPr>
        <w:t>，</w:t>
      </w:r>
      <w:r>
        <w:rPr>
          <w:rFonts w:eastAsiaTheme="minorEastAsia"/>
          <w:color w:val="000000" w:themeColor="text1"/>
          <w:szCs w:val="21"/>
        </w:rPr>
        <w:t>6</w:t>
      </w:r>
      <w:r>
        <w:rPr>
          <w:rFonts w:eastAsiaTheme="minorEastAsia"/>
          <w:color w:val="000000" w:themeColor="text1"/>
          <w:szCs w:val="21"/>
        </w:rPr>
        <w:t>月底宣布降准</w:t>
      </w:r>
      <w:r>
        <w:rPr>
          <w:rFonts w:eastAsiaTheme="minorEastAsia"/>
          <w:color w:val="000000" w:themeColor="text1"/>
          <w:szCs w:val="21"/>
        </w:rPr>
        <w:t>0.5</w:t>
      </w:r>
      <w:r>
        <w:rPr>
          <w:rFonts w:eastAsiaTheme="minorEastAsia"/>
          <w:color w:val="000000" w:themeColor="text1"/>
          <w:szCs w:val="21"/>
        </w:rPr>
        <w:t>个百分点支持</w:t>
      </w:r>
      <w:r>
        <w:rPr>
          <w:rFonts w:eastAsiaTheme="minorEastAsia"/>
          <w:color w:val="000000" w:themeColor="text1"/>
          <w:szCs w:val="21"/>
        </w:rPr>
        <w:t>“</w:t>
      </w:r>
      <w:r>
        <w:rPr>
          <w:rFonts w:eastAsiaTheme="minorEastAsia"/>
          <w:color w:val="000000" w:themeColor="text1"/>
          <w:szCs w:val="21"/>
        </w:rPr>
        <w:t>债转股</w:t>
      </w:r>
      <w:r>
        <w:rPr>
          <w:rFonts w:eastAsiaTheme="minorEastAsia"/>
          <w:color w:val="000000" w:themeColor="text1"/>
          <w:szCs w:val="21"/>
        </w:rPr>
        <w:t>”</w:t>
      </w:r>
      <w:r>
        <w:rPr>
          <w:rFonts w:eastAsiaTheme="minorEastAsia"/>
          <w:color w:val="000000" w:themeColor="text1"/>
          <w:szCs w:val="21"/>
        </w:rPr>
        <w:t>及小微企业融资，另外央行宣布扩大</w:t>
      </w:r>
      <w:r>
        <w:rPr>
          <w:rFonts w:eastAsiaTheme="minorEastAsia"/>
          <w:color w:val="000000" w:themeColor="text1"/>
          <w:szCs w:val="21"/>
        </w:rPr>
        <w:t>MLF</w:t>
      </w:r>
      <w:r>
        <w:rPr>
          <w:rFonts w:eastAsiaTheme="minorEastAsia"/>
          <w:color w:val="000000" w:themeColor="text1"/>
          <w:szCs w:val="21"/>
        </w:rPr>
        <w:t>抵押品范围提高中低等级信用债流动性，货币市场资金相对宽裕，资金利率中枢下移。二季度资管新规正式出台，监管靴子落地，受资管新规影响，社融增速显著下滑，信用紧缩导致信用违约事件频发，中低等级信用风险扩大。二季度债券市场收益率总体震荡下行，但低等级信用债收益率走高，利差显著扩大。</w:t>
      </w:r>
      <w:r>
        <w:rPr>
          <w:rFonts w:eastAsiaTheme="minorEastAsia"/>
          <w:color w:val="000000" w:themeColor="text1"/>
          <w:szCs w:val="21"/>
        </w:rPr>
        <w:t xml:space="preserve"> </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本基金期内以银行存款为主，由于巨额赎回导致净值增幅较高。</w:t>
      </w:r>
    </w:p>
    <w:p w:rsidR="00FA54E0" w:rsidRDefault="007327B3">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截至</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w:t>
      </w:r>
      <w:r>
        <w:rPr>
          <w:rFonts w:eastAsiaTheme="minorEastAsia"/>
          <w:color w:val="000000" w:themeColor="text1"/>
          <w:szCs w:val="21"/>
        </w:rPr>
        <w:t>22</w:t>
      </w:r>
      <w:r>
        <w:rPr>
          <w:rFonts w:eastAsiaTheme="minorEastAsia"/>
          <w:color w:val="000000" w:themeColor="text1"/>
          <w:szCs w:val="21"/>
        </w:rPr>
        <w:t>日，华安丰利</w:t>
      </w:r>
      <w:r>
        <w:rPr>
          <w:rFonts w:eastAsiaTheme="minorEastAsia"/>
          <w:color w:val="000000" w:themeColor="text1"/>
          <w:szCs w:val="21"/>
        </w:rPr>
        <w:t>18</w:t>
      </w:r>
      <w:r>
        <w:rPr>
          <w:rFonts w:eastAsiaTheme="minorEastAsia"/>
          <w:color w:val="000000" w:themeColor="text1"/>
          <w:szCs w:val="21"/>
        </w:rPr>
        <w:t>个月</w:t>
      </w:r>
      <w:r>
        <w:rPr>
          <w:rFonts w:eastAsiaTheme="minorEastAsia"/>
          <w:color w:val="000000" w:themeColor="text1"/>
          <w:szCs w:val="21"/>
        </w:rPr>
        <w:t>A</w:t>
      </w:r>
      <w:r>
        <w:rPr>
          <w:rFonts w:eastAsiaTheme="minorEastAsia"/>
          <w:color w:val="000000" w:themeColor="text1"/>
          <w:szCs w:val="21"/>
        </w:rPr>
        <w:t>份额净值为</w:t>
      </w:r>
      <w:r>
        <w:rPr>
          <w:rFonts w:eastAsiaTheme="minorEastAsia"/>
          <w:color w:val="000000" w:themeColor="text1"/>
          <w:szCs w:val="21"/>
        </w:rPr>
        <w:t>1.1585</w:t>
      </w:r>
      <w:r>
        <w:rPr>
          <w:rFonts w:eastAsiaTheme="minorEastAsia"/>
          <w:color w:val="000000" w:themeColor="text1"/>
          <w:szCs w:val="21"/>
        </w:rPr>
        <w:t>元，</w:t>
      </w:r>
      <w:r>
        <w:rPr>
          <w:rFonts w:eastAsiaTheme="minorEastAsia"/>
          <w:color w:val="000000" w:themeColor="text1"/>
          <w:szCs w:val="21"/>
        </w:rPr>
        <w:t>C</w:t>
      </w:r>
      <w:r>
        <w:rPr>
          <w:rFonts w:eastAsiaTheme="minorEastAsia"/>
          <w:color w:val="000000" w:themeColor="text1"/>
          <w:szCs w:val="21"/>
        </w:rPr>
        <w:t>份额净值为</w:t>
      </w:r>
      <w:r>
        <w:rPr>
          <w:rFonts w:eastAsiaTheme="minorEastAsia"/>
          <w:color w:val="000000" w:themeColor="text1"/>
          <w:szCs w:val="21"/>
        </w:rPr>
        <w:t>1.1812</w:t>
      </w:r>
      <w:r>
        <w:rPr>
          <w:rFonts w:eastAsiaTheme="minorEastAsia"/>
          <w:color w:val="000000" w:themeColor="text1"/>
          <w:szCs w:val="21"/>
        </w:rPr>
        <w:t>元；华安丰利</w:t>
      </w:r>
      <w:r>
        <w:rPr>
          <w:rFonts w:eastAsiaTheme="minorEastAsia"/>
          <w:color w:val="000000" w:themeColor="text1"/>
          <w:szCs w:val="21"/>
        </w:rPr>
        <w:t>18</w:t>
      </w:r>
      <w:r>
        <w:rPr>
          <w:rFonts w:eastAsiaTheme="minorEastAsia"/>
          <w:color w:val="000000" w:themeColor="text1"/>
          <w:szCs w:val="21"/>
        </w:rPr>
        <w:t>个月</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15.</w:t>
      </w:r>
      <w:r w:rsidR="00846D43">
        <w:rPr>
          <w:rFonts w:eastAsiaTheme="minorEastAsia" w:hint="eastAsia"/>
          <w:color w:val="000000" w:themeColor="text1"/>
          <w:szCs w:val="21"/>
        </w:rPr>
        <w:t>20</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C</w:t>
      </w:r>
      <w:r>
        <w:rPr>
          <w:rFonts w:eastAsiaTheme="minorEastAsia"/>
          <w:color w:val="000000" w:themeColor="text1"/>
          <w:szCs w:val="21"/>
        </w:rPr>
        <w:t>份额净值增长率为</w:t>
      </w:r>
      <w:r w:rsidR="00846D43">
        <w:rPr>
          <w:rFonts w:eastAsiaTheme="minorEastAsia" w:hint="eastAsia"/>
          <w:color w:val="000000" w:themeColor="text1"/>
          <w:szCs w:val="21"/>
        </w:rPr>
        <w:t>17.49</w:t>
      </w:r>
      <w:r>
        <w:rPr>
          <w:rFonts w:eastAsiaTheme="minorEastAsia"/>
          <w:color w:val="000000" w:themeColor="text1"/>
          <w:szCs w:val="21"/>
        </w:rPr>
        <w:t>%</w:t>
      </w:r>
      <w:r>
        <w:rPr>
          <w:rFonts w:eastAsiaTheme="minorEastAsia"/>
          <w:color w:val="000000" w:themeColor="text1"/>
          <w:szCs w:val="21"/>
        </w:rPr>
        <w:t>，同期业绩比较基准增长率</w:t>
      </w:r>
      <w:r>
        <w:rPr>
          <w:rFonts w:eastAsiaTheme="minorEastAsia"/>
          <w:color w:val="000000" w:themeColor="text1"/>
          <w:szCs w:val="21"/>
        </w:rPr>
        <w:t>1.18%</w:t>
      </w:r>
      <w:r>
        <w:rPr>
          <w:rFonts w:eastAsiaTheme="minorEastAsia"/>
          <w:color w:val="000000" w:themeColor="text1"/>
          <w:szCs w:val="21"/>
        </w:rPr>
        <w:t>。</w:t>
      </w:r>
    </w:p>
    <w:p w:rsidR="00FA54E0" w:rsidRDefault="00FA54E0">
      <w:pPr>
        <w:spacing w:line="360" w:lineRule="auto"/>
        <w:ind w:firstLineChars="200" w:firstLine="420"/>
        <w:rPr>
          <w:rFonts w:eastAsiaTheme="minorEastAsia"/>
          <w:color w:val="000000" w:themeColor="text1"/>
          <w:szCs w:val="21"/>
        </w:rPr>
      </w:pPr>
    </w:p>
    <w:p w:rsidR="00FA54E0" w:rsidRDefault="007327B3">
      <w:pPr>
        <w:autoSpaceDE w:val="0"/>
        <w:autoSpaceDN w:val="0"/>
        <w:adjustRightInd w:val="0"/>
        <w:spacing w:line="360" w:lineRule="auto"/>
        <w:jc w:val="left"/>
        <w:rPr>
          <w:rFonts w:eastAsiaTheme="minorEastAsia"/>
          <w:b/>
          <w:color w:val="000000" w:themeColor="text1"/>
          <w:kern w:val="0"/>
          <w:szCs w:val="21"/>
        </w:rPr>
      </w:pPr>
      <w:bookmarkStart w:id="0" w:name="_Toc245193825"/>
      <w:bookmarkStart w:id="1" w:name="_Toc255486598"/>
      <w:r>
        <w:rPr>
          <w:rFonts w:eastAsiaTheme="minorEastAsia"/>
          <w:b/>
          <w:color w:val="000000" w:themeColor="text1"/>
          <w:kern w:val="0"/>
          <w:szCs w:val="21"/>
        </w:rPr>
        <w:t>4</w:t>
      </w:r>
      <w:r>
        <w:rPr>
          <w:rFonts w:eastAsiaTheme="minorEastAsia" w:hint="eastAsia"/>
          <w:b/>
          <w:color w:val="000000" w:themeColor="text1"/>
          <w:kern w:val="0"/>
          <w:szCs w:val="21"/>
        </w:rPr>
        <w:t>.5</w:t>
      </w:r>
      <w:r>
        <w:rPr>
          <w:rFonts w:eastAsiaTheme="minorEastAsia"/>
          <w:b/>
          <w:color w:val="000000" w:themeColor="text1"/>
          <w:kern w:val="0"/>
          <w:szCs w:val="21"/>
        </w:rPr>
        <w:t>管理人对宏观经济、证券市场及行业走势的简要展望</w:t>
      </w:r>
      <w:bookmarkEnd w:id="0"/>
      <w:bookmarkEnd w:id="1"/>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三季度，中美贸易战对经济的冲击仍存在很大不确定性，全球经济增长将继续趋缓。国内随着社融增速的持续下降，经济增长的动能有所减弱，但总体的下滑幅度有限。通胀总体上保持温和，货币政策将继续维持稳健。债市在经济基本面和政策面均有利的情况下，利率中枢仍有一定下行空间，但中低等级信用风险仍将继续释放。</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本基金将秉承稳健、专业的投资理念，勤勉尽责地维护持有人的利益。</w:t>
      </w:r>
    </w:p>
    <w:p w:rsidR="00FA54E0" w:rsidRDefault="00FA54E0">
      <w:pPr>
        <w:spacing w:line="360" w:lineRule="auto"/>
        <w:ind w:firstLineChars="200" w:firstLine="420"/>
        <w:rPr>
          <w:rFonts w:eastAsiaTheme="minorEastAsia"/>
          <w:color w:val="000000" w:themeColor="text1"/>
          <w:szCs w:val="21"/>
        </w:rPr>
      </w:pPr>
    </w:p>
    <w:p w:rsidR="00FA54E0" w:rsidRDefault="007327B3">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.6</w:t>
      </w:r>
      <w:r>
        <w:rPr>
          <w:rFonts w:asciiTheme="minorEastAsia" w:eastAsiaTheme="minorEastAsia" w:hAnsiTheme="minorEastAsia" w:hint="eastAsia"/>
          <w:b/>
          <w:color w:val="000000" w:themeColor="text1"/>
          <w:kern w:val="0"/>
          <w:szCs w:val="21"/>
        </w:rPr>
        <w:t>报告期内基金持有人数或基金资产净值预警说明</w:t>
      </w:r>
    </w:p>
    <w:p w:rsidR="00FA54E0" w:rsidRDefault="007327B3">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本基金报告期内不存在基金持有人数连续二十个工作日低于</w:t>
      </w:r>
      <w:r>
        <w:rPr>
          <w:rFonts w:eastAsiaTheme="minorEastAsia"/>
          <w:color w:val="000000" w:themeColor="text1"/>
          <w:kern w:val="0"/>
          <w:szCs w:val="21"/>
        </w:rPr>
        <w:t>200</w:t>
      </w:r>
      <w:r>
        <w:rPr>
          <w:rFonts w:eastAsiaTheme="minorEastAsia"/>
          <w:color w:val="000000" w:themeColor="text1"/>
          <w:kern w:val="0"/>
          <w:szCs w:val="21"/>
        </w:rPr>
        <w:t>人或基金资产净值低于</w:t>
      </w:r>
      <w:r>
        <w:rPr>
          <w:rFonts w:eastAsiaTheme="minorEastAsia"/>
          <w:color w:val="000000" w:themeColor="text1"/>
          <w:kern w:val="0"/>
          <w:szCs w:val="21"/>
        </w:rPr>
        <w:t>5000</w:t>
      </w:r>
      <w:r>
        <w:rPr>
          <w:rFonts w:eastAsiaTheme="minorEastAsia"/>
          <w:color w:val="000000" w:themeColor="text1"/>
          <w:kern w:val="0"/>
          <w:szCs w:val="21"/>
        </w:rPr>
        <w:t>万元的情形。</w:t>
      </w:r>
    </w:p>
    <w:p w:rsidR="00FA54E0" w:rsidRDefault="00FA54E0">
      <w:pPr>
        <w:spacing w:line="360" w:lineRule="auto"/>
        <w:ind w:firstLineChars="200" w:firstLine="420"/>
        <w:rPr>
          <w:rFonts w:asciiTheme="minorEastAsia" w:eastAsiaTheme="minorEastAsia" w:hAnsiTheme="minorEastAsia"/>
          <w:color w:val="000000" w:themeColor="text1"/>
          <w:szCs w:val="21"/>
        </w:rPr>
      </w:pPr>
    </w:p>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FA54E0" w:rsidRDefault="007327B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tblPr>
      <w:tblGrid>
        <w:gridCol w:w="720"/>
        <w:gridCol w:w="3357"/>
        <w:gridCol w:w="2977"/>
        <w:gridCol w:w="1843"/>
      </w:tblGrid>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357"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FA54E0">
            <w:pPr>
              <w:spacing w:before="29" w:line="360" w:lineRule="auto"/>
              <w:ind w:left="17"/>
              <w:jc w:val="center"/>
              <w:rPr>
                <w:rFonts w:eastAsiaTheme="minorEastAsia"/>
                <w:color w:val="000000" w:themeColor="text1"/>
                <w:szCs w:val="21"/>
              </w:rPr>
            </w:pP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FA54E0">
            <w:pPr>
              <w:spacing w:before="29" w:line="360" w:lineRule="auto"/>
              <w:ind w:left="17"/>
              <w:jc w:val="center"/>
              <w:rPr>
                <w:rFonts w:eastAsiaTheme="minorEastAsia"/>
                <w:color w:val="000000" w:themeColor="text1"/>
                <w:szCs w:val="21"/>
              </w:rPr>
            </w:pP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FA54E0">
            <w:pPr>
              <w:spacing w:before="29" w:line="360" w:lineRule="auto"/>
              <w:ind w:left="17"/>
              <w:jc w:val="center"/>
              <w:rPr>
                <w:rFonts w:eastAsiaTheme="minorEastAsia"/>
                <w:color w:val="000000" w:themeColor="text1"/>
                <w:szCs w:val="21"/>
              </w:rPr>
            </w:pPr>
          </w:p>
        </w:tc>
        <w:tc>
          <w:tcPr>
            <w:tcW w:w="3357" w:type="dxa"/>
            <w:vAlign w:val="center"/>
          </w:tcPr>
          <w:p w:rsidR="00FA54E0" w:rsidRDefault="007327B3">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FA54E0" w:rsidRDefault="007327B3">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FA54E0">
            <w:pPr>
              <w:spacing w:before="29" w:line="360" w:lineRule="auto"/>
              <w:ind w:left="17"/>
              <w:jc w:val="center"/>
              <w:rPr>
                <w:rFonts w:eastAsiaTheme="minorEastAsia"/>
                <w:color w:val="000000" w:themeColor="text1"/>
                <w:szCs w:val="21"/>
              </w:rPr>
            </w:pP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FA54E0" w:rsidRDefault="007327B3">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28,483,368.51</w:t>
            </w:r>
          </w:p>
        </w:tc>
        <w:tc>
          <w:tcPr>
            <w:tcW w:w="1843" w:type="dxa"/>
            <w:vAlign w:val="center"/>
          </w:tcPr>
          <w:p w:rsidR="00FA54E0" w:rsidRDefault="007327B3">
            <w:pPr>
              <w:spacing w:before="29" w:line="360" w:lineRule="auto"/>
              <w:ind w:left="17"/>
              <w:jc w:val="right"/>
              <w:rPr>
                <w:rFonts w:eastAsiaTheme="minorEastAsia"/>
                <w:color w:val="000000" w:themeColor="text1"/>
                <w:szCs w:val="21"/>
              </w:rPr>
            </w:pPr>
            <w:r>
              <w:rPr>
                <w:rFonts w:eastAsiaTheme="minorEastAsia"/>
                <w:color w:val="000000" w:themeColor="text1"/>
                <w:szCs w:val="21"/>
              </w:rPr>
              <w:t>99.99</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FA54E0" w:rsidRDefault="007327B3">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FA54E0" w:rsidRDefault="007327B3">
            <w:pPr>
              <w:jc w:val="right"/>
              <w:rPr>
                <w:rFonts w:eastAsiaTheme="minorEastAsia"/>
                <w:color w:val="000000" w:themeColor="text1"/>
                <w:szCs w:val="21"/>
              </w:rPr>
            </w:pPr>
            <w:r>
              <w:rPr>
                <w:rFonts w:eastAsiaTheme="minorEastAsia"/>
                <w:color w:val="000000" w:themeColor="text1"/>
                <w:szCs w:val="21"/>
              </w:rPr>
              <w:t>2,886.96</w:t>
            </w:r>
          </w:p>
        </w:tc>
        <w:tc>
          <w:tcPr>
            <w:tcW w:w="1843" w:type="dxa"/>
            <w:vAlign w:val="center"/>
          </w:tcPr>
          <w:p w:rsidR="00FA54E0" w:rsidRDefault="007327B3">
            <w:pPr>
              <w:jc w:val="right"/>
              <w:rPr>
                <w:rFonts w:eastAsiaTheme="minorEastAsia"/>
                <w:color w:val="000000" w:themeColor="text1"/>
                <w:szCs w:val="21"/>
              </w:rPr>
            </w:pPr>
            <w:r>
              <w:rPr>
                <w:rFonts w:eastAsiaTheme="minorEastAsia"/>
                <w:color w:val="000000" w:themeColor="text1"/>
                <w:szCs w:val="21"/>
              </w:rPr>
              <w:t>0.01</w:t>
            </w:r>
          </w:p>
        </w:tc>
      </w:tr>
      <w:tr w:rsidR="00FA54E0">
        <w:tc>
          <w:tcPr>
            <w:tcW w:w="720" w:type="dxa"/>
            <w:vAlign w:val="center"/>
          </w:tcPr>
          <w:p w:rsidR="00FA54E0" w:rsidRDefault="007327B3">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FA54E0" w:rsidRDefault="007327B3">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FA54E0" w:rsidRDefault="007327B3">
            <w:pPr>
              <w:jc w:val="right"/>
              <w:rPr>
                <w:rFonts w:eastAsiaTheme="minorEastAsia"/>
                <w:color w:val="000000" w:themeColor="text1"/>
                <w:szCs w:val="21"/>
              </w:rPr>
            </w:pPr>
            <w:r>
              <w:rPr>
                <w:rFonts w:eastAsiaTheme="minorEastAsia"/>
                <w:color w:val="000000" w:themeColor="text1"/>
                <w:szCs w:val="21"/>
              </w:rPr>
              <w:t>28,486,255.47</w:t>
            </w:r>
          </w:p>
        </w:tc>
        <w:tc>
          <w:tcPr>
            <w:tcW w:w="1843" w:type="dxa"/>
            <w:vAlign w:val="center"/>
          </w:tcPr>
          <w:p w:rsidR="00FA54E0" w:rsidRDefault="007327B3">
            <w:pPr>
              <w:jc w:val="right"/>
              <w:rPr>
                <w:rFonts w:eastAsiaTheme="minorEastAsia"/>
                <w:color w:val="000000" w:themeColor="text1"/>
                <w:szCs w:val="21"/>
              </w:rPr>
            </w:pPr>
            <w:r>
              <w:rPr>
                <w:rFonts w:eastAsiaTheme="minorEastAsia"/>
                <w:color w:val="000000" w:themeColor="text1"/>
                <w:szCs w:val="21"/>
              </w:rPr>
              <w:t>100.00</w:t>
            </w:r>
          </w:p>
        </w:tc>
      </w:tr>
    </w:tbl>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5.2 </w:t>
      </w:r>
      <w:r>
        <w:rPr>
          <w:rFonts w:eastAsiaTheme="minorEastAsia"/>
          <w:b/>
          <w:color w:val="000000" w:themeColor="text1"/>
          <w:kern w:val="0"/>
          <w:szCs w:val="21"/>
        </w:rPr>
        <w:t>报告期末按行业分类的股票投资组合</w:t>
      </w:r>
    </w:p>
    <w:p w:rsidR="00FA54E0" w:rsidRDefault="007327B3">
      <w:pPr>
        <w:rPr>
          <w:b/>
        </w:rPr>
      </w:pP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本基金本报告期末未持有债券。</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本基金本报告期末未持有债券。</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本基金本报告期末未持有资产支持证券。</w:t>
      </w:r>
    </w:p>
    <w:p w:rsidR="00FA54E0" w:rsidRDefault="007327B3" w:rsidP="00701AB5">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FA54E0" w:rsidRDefault="007327B3">
      <w:pPr>
        <w:widowControl/>
        <w:spacing w:line="360" w:lineRule="auto"/>
        <w:ind w:firstLineChars="200" w:firstLine="420"/>
        <w:jc w:val="left"/>
        <w:rPr>
          <w:color w:val="000000" w:themeColor="text1"/>
          <w:szCs w:val="21"/>
        </w:rPr>
      </w:pPr>
      <w:r>
        <w:rPr>
          <w:color w:val="000000" w:themeColor="text1"/>
          <w:szCs w:val="21"/>
        </w:rPr>
        <w:t>本基金本报告期末未持有贵金属。</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w:t>
      </w:r>
    </w:p>
    <w:p w:rsidR="00FA54E0" w:rsidRDefault="007327B3" w:rsidP="00701AB5">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FA54E0" w:rsidRDefault="007327B3">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5.9.1 </w:t>
      </w:r>
      <w:r>
        <w:rPr>
          <w:rFonts w:eastAsiaTheme="minorEastAsia"/>
          <w:b/>
          <w:color w:val="000000" w:themeColor="text1"/>
          <w:szCs w:val="21"/>
        </w:rPr>
        <w:t>报告期末本基金投资的股指期货持仓和损益明细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FA54E0" w:rsidRDefault="007327B3" w:rsidP="00701AB5">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5.9.2 </w:t>
      </w:r>
      <w:r>
        <w:rPr>
          <w:rFonts w:eastAsiaTheme="minorEastAsia"/>
          <w:b/>
          <w:color w:val="000000" w:themeColor="text1"/>
          <w:szCs w:val="21"/>
        </w:rPr>
        <w:t>本基金投资股指期货的投资政策</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根据本基金基金合同，本基金不能投资于股指期货。</w:t>
      </w:r>
    </w:p>
    <w:p w:rsidR="00FA54E0" w:rsidRDefault="007327B3" w:rsidP="00701AB5">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FA54E0" w:rsidRDefault="007327B3">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5.10.1 </w:t>
      </w:r>
      <w:r>
        <w:rPr>
          <w:rFonts w:eastAsiaTheme="minorEastAsia"/>
          <w:b/>
          <w:color w:val="000000" w:themeColor="text1"/>
          <w:szCs w:val="21"/>
        </w:rPr>
        <w:t>本期国债期货投资政策</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根据本基金基金合同，本基金不能投资于国债期货。</w:t>
      </w:r>
    </w:p>
    <w:p w:rsidR="00FA54E0" w:rsidRDefault="007327B3">
      <w:pPr>
        <w:autoSpaceDE w:val="0"/>
        <w:autoSpaceDN w:val="0"/>
        <w:adjustRightInd w:val="0"/>
        <w:spacing w:line="360" w:lineRule="auto"/>
        <w:jc w:val="left"/>
        <w:rPr>
          <w:rFonts w:eastAsiaTheme="minorEastAsia"/>
          <w:b/>
          <w:color w:val="000000" w:themeColor="text1"/>
          <w:szCs w:val="21"/>
        </w:rPr>
      </w:pPr>
      <w:r>
        <w:rPr>
          <w:rFonts w:eastAsiaTheme="minorEastAsia"/>
          <w:b/>
          <w:color w:val="000000" w:themeColor="text1"/>
          <w:szCs w:val="21"/>
        </w:rPr>
        <w:t xml:space="preserve">5.10.2 </w:t>
      </w:r>
      <w:r>
        <w:rPr>
          <w:rFonts w:eastAsiaTheme="minorEastAsia"/>
          <w:b/>
          <w:color w:val="000000" w:themeColor="text1"/>
          <w:szCs w:val="21"/>
        </w:rPr>
        <w:t>报告期末本基金投资的国债期货持仓和损益明细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FA54E0" w:rsidRDefault="007327B3">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5.10.3 </w:t>
      </w:r>
      <w:r>
        <w:rPr>
          <w:rFonts w:eastAsiaTheme="minorEastAsia"/>
          <w:b/>
          <w:color w:val="000000" w:themeColor="text1"/>
          <w:szCs w:val="21"/>
        </w:rPr>
        <w:t>本期国债期货投资评价</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无。</w:t>
      </w:r>
    </w:p>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w:t>
      </w:r>
      <w:r>
        <w:rPr>
          <w:rFonts w:eastAsiaTheme="minorEastAsia"/>
          <w:b/>
          <w:color w:val="000000" w:themeColor="text1"/>
          <w:kern w:val="0"/>
          <w:szCs w:val="21"/>
        </w:rPr>
        <w:t>投资组合报告附注</w:t>
      </w:r>
    </w:p>
    <w:p w:rsidR="00FA54E0" w:rsidRDefault="007327B3">
      <w:pPr>
        <w:widowControl/>
        <w:spacing w:line="360" w:lineRule="auto"/>
        <w:rPr>
          <w:rFonts w:eastAsiaTheme="minorEastAsia"/>
          <w:color w:val="000000" w:themeColor="text1"/>
          <w:szCs w:val="21"/>
        </w:rPr>
      </w:pPr>
      <w:r>
        <w:rPr>
          <w:rFonts w:eastAsiaTheme="minorEastAsia"/>
          <w:color w:val="000000" w:themeColor="text1"/>
          <w:szCs w:val="21"/>
        </w:rPr>
        <w:t>5.11.1</w:t>
      </w:r>
      <w:r>
        <w:rPr>
          <w:rFonts w:eastAsiaTheme="minorEastAsia"/>
          <w:color w:val="000000" w:themeColor="text1"/>
          <w:szCs w:val="21"/>
        </w:rPr>
        <w:t>本报告期内，本基金投资的前十名证券的发行主体没有被监管部门立案调查的，也没有在报告编制日前一年内受到公开谴责、处罚的情况。</w:t>
      </w:r>
    </w:p>
    <w:p w:rsidR="00FA54E0" w:rsidRDefault="007327B3">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本基金投资的前十名股票中，不存在投资于超出基金合同规定备选股票库之外的股票。</w:t>
      </w:r>
    </w:p>
    <w:p w:rsidR="00FA54E0" w:rsidRDefault="007327B3">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tblPr>
      <w:tblGrid>
        <w:gridCol w:w="1110"/>
        <w:gridCol w:w="2761"/>
        <w:gridCol w:w="4808"/>
      </w:tblGrid>
      <w:tr w:rsidR="00FA54E0">
        <w:tc>
          <w:tcPr>
            <w:tcW w:w="1110" w:type="dxa"/>
            <w:vAlign w:val="center"/>
          </w:tcPr>
          <w:p w:rsidR="00FA54E0" w:rsidRDefault="007327B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FA54E0" w:rsidRDefault="007327B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FA54E0" w:rsidRDefault="007327B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2,886.96</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A54E0">
        <w:tc>
          <w:tcPr>
            <w:tcW w:w="1110" w:type="dxa"/>
            <w:vAlign w:val="center"/>
          </w:tcPr>
          <w:p w:rsidR="00FA54E0" w:rsidRDefault="007327B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FA54E0" w:rsidRDefault="007327B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FA54E0" w:rsidRDefault="007327B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2,886.96</w:t>
            </w:r>
          </w:p>
        </w:tc>
      </w:tr>
    </w:tbl>
    <w:p w:rsidR="00FA54E0" w:rsidRDefault="007327B3" w:rsidP="00701AB5">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本基金本报告期末未持有处于转股期的可转换债券。</w:t>
      </w:r>
    </w:p>
    <w:p w:rsidR="00FA54E0" w:rsidRDefault="007327B3" w:rsidP="00701AB5">
      <w:pPr>
        <w:autoSpaceDE w:val="0"/>
        <w:autoSpaceDN w:val="0"/>
        <w:adjustRightInd w:val="0"/>
        <w:spacing w:beforeLines="100"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本基金本报告期末未持有存在流通受限情况的股票。</w:t>
      </w:r>
    </w:p>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FA54E0" w:rsidRDefault="007327B3">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tblPr>
      <w:tblGrid>
        <w:gridCol w:w="3900"/>
        <w:gridCol w:w="2367"/>
        <w:gridCol w:w="2367"/>
      </w:tblGrid>
      <w:tr w:rsidR="00FA54E0">
        <w:tc>
          <w:tcPr>
            <w:tcW w:w="3900"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华安丰利</w:t>
            </w:r>
            <w:r>
              <w:rPr>
                <w:rFonts w:eastAsiaTheme="minorEastAsia"/>
                <w:color w:val="000000" w:themeColor="text1"/>
                <w:szCs w:val="21"/>
              </w:rPr>
              <w:t>C</w:t>
            </w:r>
          </w:p>
        </w:tc>
      </w:tr>
      <w:tr w:rsidR="00FA54E0">
        <w:tc>
          <w:tcPr>
            <w:tcW w:w="3900"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232,062,091.94</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10,325.56</w:t>
            </w:r>
          </w:p>
        </w:tc>
      </w:tr>
      <w:tr w:rsidR="00FA54E0">
        <w:tc>
          <w:tcPr>
            <w:tcW w:w="3900"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3900"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232,031,524.95</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3900"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A54E0">
        <w:tc>
          <w:tcPr>
            <w:tcW w:w="3900"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30,566.99</w:t>
            </w:r>
          </w:p>
        </w:tc>
        <w:tc>
          <w:tcPr>
            <w:tcW w:w="2367" w:type="dxa"/>
            <w:tcBorders>
              <w:top w:val="single" w:sz="8" w:space="0" w:color="000000"/>
              <w:left w:val="single" w:sz="8" w:space="0" w:color="000000"/>
              <w:bottom w:val="single" w:sz="8" w:space="0" w:color="000000"/>
              <w:right w:val="single" w:sz="8" w:space="0" w:color="000000"/>
            </w:tcBorders>
            <w:vAlign w:val="center"/>
          </w:tcPr>
          <w:p w:rsidR="00FA54E0" w:rsidRDefault="007327B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10,325.56</w:t>
            </w:r>
          </w:p>
        </w:tc>
      </w:tr>
    </w:tbl>
    <w:p w:rsidR="00FA54E0" w:rsidRDefault="007327B3" w:rsidP="00701AB5">
      <w:pPr>
        <w:pStyle w:val="1"/>
        <w:tabs>
          <w:tab w:val="center" w:pos="4156"/>
          <w:tab w:val="right" w:pos="8312"/>
        </w:tabs>
        <w:spacing w:beforeLines="100" w:afterLines="100"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FA54E0" w:rsidRDefault="007327B3">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FA54E0" w:rsidRDefault="007327B3" w:rsidP="00701AB5">
      <w:pPr>
        <w:spacing w:beforeLines="100" w:line="360" w:lineRule="auto"/>
        <w:jc w:val="left"/>
        <w:rPr>
          <w:color w:val="000000" w:themeColor="text1"/>
          <w:szCs w:val="21"/>
        </w:rPr>
      </w:pPr>
      <w:r>
        <w:rPr>
          <w:b/>
          <w:color w:val="000000" w:themeColor="text1"/>
          <w:szCs w:val="21"/>
        </w:rPr>
        <w:t>7.2</w:t>
      </w:r>
      <w:r>
        <w:rPr>
          <w:rFonts w:hint="eastAsia"/>
          <w:b/>
          <w:color w:val="000000"/>
          <w:szCs w:val="21"/>
          <w:shd w:val="clear" w:color="auto" w:fill="FFFFFF"/>
        </w:rPr>
        <w:t>基金管理人运用固有资金投资本基金交易明细</w:t>
      </w:r>
    </w:p>
    <w:p w:rsidR="00FA54E0" w:rsidRDefault="007327B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FA54E0" w:rsidRDefault="007327B3">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8.</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FA54E0">
        <w:tc>
          <w:tcPr>
            <w:tcW w:w="993" w:type="dxa"/>
            <w:vMerge w:val="restart"/>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p>
        </w:tc>
        <w:tc>
          <w:tcPr>
            <w:tcW w:w="5670" w:type="dxa"/>
            <w:gridSpan w:val="5"/>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FA54E0">
        <w:tc>
          <w:tcPr>
            <w:tcW w:w="993" w:type="dxa"/>
            <w:vMerge/>
            <w:vAlign w:val="center"/>
          </w:tcPr>
          <w:p w:rsidR="00FA54E0" w:rsidRDefault="00FA54E0">
            <w:pPr>
              <w:autoSpaceDE w:val="0"/>
              <w:autoSpaceDN w:val="0"/>
              <w:adjustRightInd w:val="0"/>
              <w:jc w:val="center"/>
              <w:rPr>
                <w:rFonts w:ascii="宋体" w:hAnsi="宋体"/>
                <w:b/>
                <w:bCs/>
                <w:color w:val="000000"/>
                <w:kern w:val="0"/>
                <w:szCs w:val="21"/>
              </w:rPr>
            </w:pPr>
          </w:p>
        </w:tc>
        <w:tc>
          <w:tcPr>
            <w:tcW w:w="992" w:type="dxa"/>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FA54E0" w:rsidRDefault="007327B3">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FA54E0" w:rsidRDefault="007327B3">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FA54E0" w:rsidRDefault="007327B3">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FA54E0" w:rsidRDefault="007327B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FA54E0">
        <w:tc>
          <w:tcPr>
            <w:tcW w:w="993" w:type="dxa"/>
            <w:vMerge w:val="restart"/>
          </w:tcPr>
          <w:p w:rsidR="00FA54E0" w:rsidRDefault="00FA54E0"/>
          <w:p w:rsidR="00FA54E0" w:rsidRDefault="007327B3">
            <w:r>
              <w:rPr>
                <w:rFonts w:ascii="宋体" w:hAnsi="宋体" w:hint="eastAsia"/>
                <w:bCs/>
                <w:color w:val="000000"/>
                <w:kern w:val="0"/>
                <w:szCs w:val="21"/>
              </w:rPr>
              <w:t>机构</w:t>
            </w:r>
          </w:p>
        </w:tc>
        <w:tc>
          <w:tcPr>
            <w:tcW w:w="992" w:type="dxa"/>
            <w:vAlign w:val="center"/>
          </w:tcPr>
          <w:p w:rsidR="00FA54E0" w:rsidRDefault="007327B3">
            <w:pPr>
              <w:jc w:val="center"/>
            </w:pPr>
            <w:r>
              <w:rPr>
                <w:rFonts w:ascii="宋体" w:hAnsi="宋体"/>
                <w:color w:val="000000"/>
                <w:kern w:val="0"/>
                <w:szCs w:val="21"/>
              </w:rPr>
              <w:t>1</w:t>
            </w:r>
          </w:p>
        </w:tc>
        <w:tc>
          <w:tcPr>
            <w:tcW w:w="1843" w:type="dxa"/>
            <w:vAlign w:val="center"/>
          </w:tcPr>
          <w:p w:rsidR="00FA54E0" w:rsidRDefault="007327B3">
            <w:pPr>
              <w:jc w:val="center"/>
            </w:pPr>
            <w:r>
              <w:rPr>
                <w:rFonts w:ascii="宋体" w:hAnsi="宋体"/>
                <w:color w:val="000000"/>
                <w:kern w:val="0"/>
                <w:szCs w:val="21"/>
              </w:rPr>
              <w:t>20180615-20180619</w:t>
            </w:r>
          </w:p>
        </w:tc>
        <w:tc>
          <w:tcPr>
            <w:tcW w:w="851" w:type="dxa"/>
            <w:vAlign w:val="center"/>
          </w:tcPr>
          <w:p w:rsidR="00FA54E0" w:rsidRDefault="007327B3">
            <w:pPr>
              <w:jc w:val="center"/>
            </w:pPr>
            <w:r>
              <w:rPr>
                <w:rFonts w:ascii="宋体" w:hAnsi="宋体"/>
                <w:color w:val="000000"/>
                <w:kern w:val="0"/>
                <w:szCs w:val="21"/>
              </w:rPr>
              <w:t>30,003,050.00</w:t>
            </w:r>
          </w:p>
        </w:tc>
        <w:tc>
          <w:tcPr>
            <w:tcW w:w="850" w:type="dxa"/>
            <w:vAlign w:val="center"/>
          </w:tcPr>
          <w:p w:rsidR="00FA54E0" w:rsidRDefault="007327B3">
            <w:pPr>
              <w:jc w:val="center"/>
            </w:pPr>
            <w:r>
              <w:rPr>
                <w:rFonts w:ascii="宋体" w:hAnsi="宋体"/>
                <w:color w:val="000000"/>
                <w:kern w:val="0"/>
                <w:szCs w:val="21"/>
              </w:rPr>
              <w:t>0.00</w:t>
            </w:r>
          </w:p>
        </w:tc>
        <w:tc>
          <w:tcPr>
            <w:tcW w:w="1134" w:type="dxa"/>
            <w:vAlign w:val="center"/>
          </w:tcPr>
          <w:p w:rsidR="00FA54E0" w:rsidRDefault="007327B3">
            <w:pPr>
              <w:jc w:val="center"/>
            </w:pPr>
            <w:r>
              <w:rPr>
                <w:rFonts w:ascii="宋体" w:hAnsi="宋体"/>
                <w:color w:val="000000"/>
                <w:kern w:val="0"/>
                <w:szCs w:val="21"/>
              </w:rPr>
              <w:t>30,003,050.00</w:t>
            </w:r>
          </w:p>
        </w:tc>
        <w:tc>
          <w:tcPr>
            <w:tcW w:w="1419" w:type="dxa"/>
            <w:vAlign w:val="center"/>
          </w:tcPr>
          <w:p w:rsidR="00FA54E0" w:rsidRDefault="007327B3">
            <w:pPr>
              <w:jc w:val="center"/>
            </w:pPr>
            <w:r>
              <w:rPr>
                <w:rFonts w:ascii="宋体" w:hAnsi="宋体"/>
                <w:color w:val="000000"/>
                <w:kern w:val="0"/>
                <w:szCs w:val="21"/>
              </w:rPr>
              <w:t>0.00</w:t>
            </w:r>
          </w:p>
        </w:tc>
        <w:tc>
          <w:tcPr>
            <w:tcW w:w="1130" w:type="dxa"/>
            <w:vAlign w:val="center"/>
          </w:tcPr>
          <w:p w:rsidR="00FA54E0" w:rsidRDefault="007327B3">
            <w:pPr>
              <w:jc w:val="center"/>
            </w:pPr>
            <w:r>
              <w:rPr>
                <w:rFonts w:ascii="宋体" w:hAnsi="宋体"/>
                <w:color w:val="000000"/>
                <w:kern w:val="0"/>
                <w:szCs w:val="21"/>
              </w:rPr>
              <w:t>0.00%</w:t>
            </w:r>
          </w:p>
        </w:tc>
      </w:tr>
      <w:tr w:rsidR="00FA54E0">
        <w:tc>
          <w:tcPr>
            <w:tcW w:w="993" w:type="dxa"/>
            <w:vMerge/>
          </w:tcPr>
          <w:p w:rsidR="00FA54E0" w:rsidRDefault="00FA54E0"/>
        </w:tc>
        <w:tc>
          <w:tcPr>
            <w:tcW w:w="992" w:type="dxa"/>
            <w:vAlign w:val="center"/>
          </w:tcPr>
          <w:p w:rsidR="00FA54E0" w:rsidRDefault="007327B3">
            <w:pPr>
              <w:jc w:val="center"/>
            </w:pPr>
            <w:r>
              <w:rPr>
                <w:rFonts w:ascii="宋体" w:hAnsi="宋体"/>
                <w:color w:val="000000"/>
                <w:kern w:val="0"/>
                <w:szCs w:val="21"/>
              </w:rPr>
              <w:t>2</w:t>
            </w:r>
          </w:p>
        </w:tc>
        <w:tc>
          <w:tcPr>
            <w:tcW w:w="1843" w:type="dxa"/>
            <w:vAlign w:val="center"/>
          </w:tcPr>
          <w:p w:rsidR="00FA54E0" w:rsidRDefault="007327B3">
            <w:pPr>
              <w:jc w:val="center"/>
            </w:pPr>
            <w:r>
              <w:rPr>
                <w:rFonts w:ascii="宋体" w:hAnsi="宋体"/>
                <w:color w:val="000000"/>
                <w:kern w:val="0"/>
                <w:szCs w:val="21"/>
              </w:rPr>
              <w:t>20180615-20180619</w:t>
            </w:r>
          </w:p>
        </w:tc>
        <w:tc>
          <w:tcPr>
            <w:tcW w:w="851" w:type="dxa"/>
            <w:vAlign w:val="center"/>
          </w:tcPr>
          <w:p w:rsidR="00FA54E0" w:rsidRDefault="007327B3">
            <w:pPr>
              <w:jc w:val="center"/>
            </w:pPr>
            <w:r>
              <w:rPr>
                <w:rFonts w:ascii="宋体" w:hAnsi="宋体"/>
                <w:color w:val="000000"/>
                <w:kern w:val="0"/>
                <w:szCs w:val="21"/>
              </w:rPr>
              <w:t>30,003,050.00</w:t>
            </w:r>
          </w:p>
        </w:tc>
        <w:tc>
          <w:tcPr>
            <w:tcW w:w="850" w:type="dxa"/>
            <w:vAlign w:val="center"/>
          </w:tcPr>
          <w:p w:rsidR="00FA54E0" w:rsidRDefault="007327B3">
            <w:pPr>
              <w:jc w:val="center"/>
            </w:pPr>
            <w:r>
              <w:rPr>
                <w:rFonts w:ascii="宋体" w:hAnsi="宋体"/>
                <w:color w:val="000000"/>
                <w:kern w:val="0"/>
                <w:szCs w:val="21"/>
              </w:rPr>
              <w:t>0.00</w:t>
            </w:r>
          </w:p>
        </w:tc>
        <w:tc>
          <w:tcPr>
            <w:tcW w:w="1134" w:type="dxa"/>
            <w:vAlign w:val="center"/>
          </w:tcPr>
          <w:p w:rsidR="00FA54E0" w:rsidRDefault="007327B3">
            <w:pPr>
              <w:jc w:val="center"/>
            </w:pPr>
            <w:r>
              <w:rPr>
                <w:rFonts w:ascii="宋体" w:hAnsi="宋体"/>
                <w:color w:val="000000"/>
                <w:kern w:val="0"/>
                <w:szCs w:val="21"/>
              </w:rPr>
              <w:t>30,003,050.00</w:t>
            </w:r>
          </w:p>
        </w:tc>
        <w:tc>
          <w:tcPr>
            <w:tcW w:w="1419" w:type="dxa"/>
            <w:vAlign w:val="center"/>
          </w:tcPr>
          <w:p w:rsidR="00FA54E0" w:rsidRDefault="007327B3">
            <w:pPr>
              <w:jc w:val="center"/>
            </w:pPr>
            <w:r>
              <w:rPr>
                <w:rFonts w:ascii="宋体" w:hAnsi="宋体"/>
                <w:color w:val="000000"/>
                <w:kern w:val="0"/>
                <w:szCs w:val="21"/>
              </w:rPr>
              <w:t>0.00</w:t>
            </w:r>
          </w:p>
        </w:tc>
        <w:tc>
          <w:tcPr>
            <w:tcW w:w="1130" w:type="dxa"/>
            <w:vAlign w:val="center"/>
          </w:tcPr>
          <w:p w:rsidR="00FA54E0" w:rsidRDefault="007327B3">
            <w:pPr>
              <w:jc w:val="center"/>
            </w:pPr>
            <w:r>
              <w:rPr>
                <w:rFonts w:ascii="宋体" w:hAnsi="宋体"/>
                <w:color w:val="000000"/>
                <w:kern w:val="0"/>
                <w:szCs w:val="21"/>
              </w:rPr>
              <w:t>0.00%</w:t>
            </w:r>
          </w:p>
        </w:tc>
      </w:tr>
      <w:tr w:rsidR="00FA54E0">
        <w:tc>
          <w:tcPr>
            <w:tcW w:w="993" w:type="dxa"/>
            <w:vMerge/>
          </w:tcPr>
          <w:p w:rsidR="00FA54E0" w:rsidRDefault="00FA54E0"/>
        </w:tc>
        <w:tc>
          <w:tcPr>
            <w:tcW w:w="992" w:type="dxa"/>
            <w:vAlign w:val="center"/>
          </w:tcPr>
          <w:p w:rsidR="00FA54E0" w:rsidRDefault="007327B3">
            <w:pPr>
              <w:jc w:val="center"/>
            </w:pPr>
            <w:r>
              <w:rPr>
                <w:rFonts w:ascii="宋体" w:hAnsi="宋体"/>
                <w:color w:val="000000"/>
                <w:kern w:val="0"/>
                <w:szCs w:val="21"/>
              </w:rPr>
              <w:t>3</w:t>
            </w:r>
          </w:p>
        </w:tc>
        <w:tc>
          <w:tcPr>
            <w:tcW w:w="1843" w:type="dxa"/>
            <w:vAlign w:val="center"/>
          </w:tcPr>
          <w:p w:rsidR="00FA54E0" w:rsidRDefault="007327B3">
            <w:pPr>
              <w:jc w:val="center"/>
            </w:pPr>
            <w:r>
              <w:rPr>
                <w:rFonts w:ascii="宋体" w:hAnsi="宋体"/>
                <w:color w:val="000000"/>
                <w:kern w:val="0"/>
                <w:szCs w:val="21"/>
              </w:rPr>
              <w:t>20180615-20180620</w:t>
            </w:r>
          </w:p>
        </w:tc>
        <w:tc>
          <w:tcPr>
            <w:tcW w:w="851" w:type="dxa"/>
            <w:vAlign w:val="center"/>
          </w:tcPr>
          <w:p w:rsidR="00FA54E0" w:rsidRDefault="007327B3">
            <w:pPr>
              <w:jc w:val="center"/>
            </w:pPr>
            <w:r>
              <w:rPr>
                <w:rFonts w:ascii="宋体" w:hAnsi="宋体"/>
                <w:color w:val="000000"/>
                <w:kern w:val="0"/>
                <w:szCs w:val="21"/>
              </w:rPr>
              <w:t>28,015,380.00</w:t>
            </w:r>
          </w:p>
        </w:tc>
        <w:tc>
          <w:tcPr>
            <w:tcW w:w="850" w:type="dxa"/>
            <w:vAlign w:val="center"/>
          </w:tcPr>
          <w:p w:rsidR="00FA54E0" w:rsidRDefault="007327B3">
            <w:pPr>
              <w:jc w:val="center"/>
            </w:pPr>
            <w:r>
              <w:rPr>
                <w:rFonts w:ascii="宋体" w:hAnsi="宋体"/>
                <w:color w:val="000000"/>
                <w:kern w:val="0"/>
                <w:szCs w:val="21"/>
              </w:rPr>
              <w:t>0.00</w:t>
            </w:r>
          </w:p>
        </w:tc>
        <w:tc>
          <w:tcPr>
            <w:tcW w:w="1134" w:type="dxa"/>
            <w:vAlign w:val="center"/>
          </w:tcPr>
          <w:p w:rsidR="00FA54E0" w:rsidRDefault="007327B3">
            <w:pPr>
              <w:jc w:val="center"/>
            </w:pPr>
            <w:r>
              <w:rPr>
                <w:rFonts w:ascii="宋体" w:hAnsi="宋体"/>
                <w:color w:val="000000"/>
                <w:kern w:val="0"/>
                <w:szCs w:val="21"/>
              </w:rPr>
              <w:t>28,015,380.00</w:t>
            </w:r>
          </w:p>
        </w:tc>
        <w:tc>
          <w:tcPr>
            <w:tcW w:w="1419" w:type="dxa"/>
            <w:vAlign w:val="center"/>
          </w:tcPr>
          <w:p w:rsidR="00FA54E0" w:rsidRDefault="007327B3">
            <w:pPr>
              <w:jc w:val="center"/>
            </w:pPr>
            <w:r>
              <w:rPr>
                <w:rFonts w:ascii="宋体" w:hAnsi="宋体"/>
                <w:color w:val="000000"/>
                <w:kern w:val="0"/>
                <w:szCs w:val="21"/>
              </w:rPr>
              <w:t>0.00</w:t>
            </w:r>
          </w:p>
        </w:tc>
        <w:tc>
          <w:tcPr>
            <w:tcW w:w="1130" w:type="dxa"/>
            <w:vAlign w:val="center"/>
          </w:tcPr>
          <w:p w:rsidR="00FA54E0" w:rsidRDefault="007327B3">
            <w:pPr>
              <w:jc w:val="center"/>
            </w:pPr>
            <w:r>
              <w:rPr>
                <w:rFonts w:ascii="宋体" w:hAnsi="宋体"/>
                <w:color w:val="000000"/>
                <w:kern w:val="0"/>
                <w:szCs w:val="21"/>
              </w:rPr>
              <w:t>0.00%</w:t>
            </w:r>
          </w:p>
        </w:tc>
      </w:tr>
      <w:tr w:rsidR="00FA54E0">
        <w:tc>
          <w:tcPr>
            <w:tcW w:w="993" w:type="dxa"/>
            <w:vMerge w:val="restart"/>
          </w:tcPr>
          <w:p w:rsidR="00FA54E0" w:rsidRDefault="00FA54E0"/>
          <w:p w:rsidR="00FA54E0" w:rsidRDefault="007327B3">
            <w:r>
              <w:rPr>
                <w:rFonts w:ascii="宋体" w:hAnsi="宋体" w:hint="eastAsia"/>
                <w:bCs/>
                <w:color w:val="000000"/>
                <w:kern w:val="0"/>
                <w:szCs w:val="21"/>
              </w:rPr>
              <w:t>个人</w:t>
            </w:r>
          </w:p>
        </w:tc>
        <w:tc>
          <w:tcPr>
            <w:tcW w:w="992" w:type="dxa"/>
            <w:vAlign w:val="center"/>
          </w:tcPr>
          <w:p w:rsidR="00FA54E0" w:rsidRDefault="007327B3">
            <w:pPr>
              <w:jc w:val="center"/>
            </w:pPr>
            <w:r>
              <w:rPr>
                <w:rFonts w:ascii="宋体" w:hAnsi="宋体"/>
                <w:kern w:val="0"/>
                <w:szCs w:val="21"/>
              </w:rPr>
              <w:t>1</w:t>
            </w:r>
          </w:p>
        </w:tc>
        <w:tc>
          <w:tcPr>
            <w:tcW w:w="1843" w:type="dxa"/>
            <w:vAlign w:val="center"/>
          </w:tcPr>
          <w:p w:rsidR="00FA54E0" w:rsidRDefault="007327B3" w:rsidP="00AC4E60">
            <w:pPr>
              <w:jc w:val="center"/>
            </w:pPr>
            <w:r>
              <w:rPr>
                <w:rFonts w:ascii="宋体" w:hAnsi="宋体"/>
                <w:kern w:val="0"/>
                <w:szCs w:val="21"/>
              </w:rPr>
              <w:t>20180620-201806</w:t>
            </w:r>
            <w:r w:rsidR="00AC4E60">
              <w:rPr>
                <w:rFonts w:ascii="宋体" w:hAnsi="宋体" w:hint="eastAsia"/>
                <w:kern w:val="0"/>
                <w:szCs w:val="21"/>
              </w:rPr>
              <w:t>22</w:t>
            </w:r>
          </w:p>
        </w:tc>
        <w:tc>
          <w:tcPr>
            <w:tcW w:w="851" w:type="dxa"/>
            <w:vAlign w:val="center"/>
          </w:tcPr>
          <w:p w:rsidR="00FA54E0" w:rsidRDefault="007327B3">
            <w:pPr>
              <w:jc w:val="center"/>
            </w:pPr>
            <w:r>
              <w:rPr>
                <w:rFonts w:ascii="宋体" w:hAnsi="宋体"/>
                <w:kern w:val="0"/>
                <w:szCs w:val="21"/>
              </w:rPr>
              <w:t>10,001.35</w:t>
            </w:r>
          </w:p>
        </w:tc>
        <w:tc>
          <w:tcPr>
            <w:tcW w:w="850" w:type="dxa"/>
            <w:vAlign w:val="center"/>
          </w:tcPr>
          <w:p w:rsidR="00FA54E0" w:rsidRDefault="007327B3">
            <w:pPr>
              <w:jc w:val="center"/>
            </w:pPr>
            <w:r>
              <w:rPr>
                <w:rFonts w:ascii="宋体" w:hAnsi="宋体"/>
                <w:kern w:val="0"/>
                <w:szCs w:val="21"/>
              </w:rPr>
              <w:t>0.00</w:t>
            </w:r>
          </w:p>
        </w:tc>
        <w:tc>
          <w:tcPr>
            <w:tcW w:w="1134" w:type="dxa"/>
            <w:vAlign w:val="center"/>
          </w:tcPr>
          <w:p w:rsidR="00FA54E0" w:rsidRDefault="007327B3">
            <w:pPr>
              <w:jc w:val="center"/>
            </w:pPr>
            <w:r>
              <w:rPr>
                <w:rFonts w:ascii="宋体" w:hAnsi="宋体"/>
                <w:kern w:val="0"/>
                <w:szCs w:val="21"/>
              </w:rPr>
              <w:t>0.00</w:t>
            </w:r>
          </w:p>
        </w:tc>
        <w:tc>
          <w:tcPr>
            <w:tcW w:w="1419" w:type="dxa"/>
            <w:vAlign w:val="center"/>
          </w:tcPr>
          <w:p w:rsidR="00FA54E0" w:rsidRDefault="007327B3">
            <w:pPr>
              <w:jc w:val="center"/>
            </w:pPr>
            <w:r>
              <w:rPr>
                <w:rFonts w:ascii="宋体" w:hAnsi="宋体"/>
                <w:kern w:val="0"/>
                <w:szCs w:val="21"/>
              </w:rPr>
              <w:t>10,001.35</w:t>
            </w:r>
          </w:p>
        </w:tc>
        <w:tc>
          <w:tcPr>
            <w:tcW w:w="1130" w:type="dxa"/>
            <w:vAlign w:val="center"/>
          </w:tcPr>
          <w:p w:rsidR="00FA54E0" w:rsidRDefault="007327B3">
            <w:pPr>
              <w:jc w:val="center"/>
            </w:pPr>
            <w:r>
              <w:rPr>
                <w:rFonts w:ascii="宋体" w:hAnsi="宋体"/>
                <w:kern w:val="0"/>
                <w:szCs w:val="21"/>
              </w:rPr>
              <w:t>24.46%</w:t>
            </w:r>
          </w:p>
        </w:tc>
      </w:tr>
      <w:tr w:rsidR="00FA54E0">
        <w:tc>
          <w:tcPr>
            <w:tcW w:w="993" w:type="dxa"/>
            <w:vMerge/>
          </w:tcPr>
          <w:p w:rsidR="00FA54E0" w:rsidRDefault="00FA54E0"/>
        </w:tc>
        <w:tc>
          <w:tcPr>
            <w:tcW w:w="992" w:type="dxa"/>
            <w:vAlign w:val="center"/>
          </w:tcPr>
          <w:p w:rsidR="00FA54E0" w:rsidRDefault="007327B3">
            <w:pPr>
              <w:jc w:val="center"/>
            </w:pPr>
            <w:r>
              <w:rPr>
                <w:rFonts w:ascii="宋体" w:hAnsi="宋体"/>
                <w:kern w:val="0"/>
                <w:szCs w:val="21"/>
              </w:rPr>
              <w:t>2</w:t>
            </w:r>
          </w:p>
        </w:tc>
        <w:tc>
          <w:tcPr>
            <w:tcW w:w="1843" w:type="dxa"/>
            <w:vAlign w:val="center"/>
          </w:tcPr>
          <w:p w:rsidR="00FA54E0" w:rsidRDefault="007327B3" w:rsidP="00AC4E60">
            <w:pPr>
              <w:jc w:val="center"/>
            </w:pPr>
            <w:r>
              <w:rPr>
                <w:rFonts w:ascii="宋体" w:hAnsi="宋体"/>
                <w:kern w:val="0"/>
                <w:szCs w:val="21"/>
              </w:rPr>
              <w:t>20180620-201806</w:t>
            </w:r>
            <w:r w:rsidR="00AC4E60">
              <w:rPr>
                <w:rFonts w:ascii="宋体" w:hAnsi="宋体" w:hint="eastAsia"/>
                <w:kern w:val="0"/>
                <w:szCs w:val="21"/>
              </w:rPr>
              <w:t>22</w:t>
            </w:r>
          </w:p>
        </w:tc>
        <w:tc>
          <w:tcPr>
            <w:tcW w:w="851" w:type="dxa"/>
            <w:vAlign w:val="center"/>
          </w:tcPr>
          <w:p w:rsidR="00FA54E0" w:rsidRDefault="007327B3">
            <w:pPr>
              <w:jc w:val="center"/>
            </w:pPr>
            <w:r>
              <w:rPr>
                <w:rFonts w:ascii="宋体" w:hAnsi="宋体"/>
                <w:kern w:val="0"/>
                <w:szCs w:val="21"/>
              </w:rPr>
              <w:t>20,051.30</w:t>
            </w:r>
          </w:p>
        </w:tc>
        <w:tc>
          <w:tcPr>
            <w:tcW w:w="850" w:type="dxa"/>
            <w:vAlign w:val="center"/>
          </w:tcPr>
          <w:p w:rsidR="00FA54E0" w:rsidRDefault="007327B3">
            <w:pPr>
              <w:jc w:val="center"/>
            </w:pPr>
            <w:r>
              <w:rPr>
                <w:rFonts w:ascii="宋体" w:hAnsi="宋体"/>
                <w:kern w:val="0"/>
                <w:szCs w:val="21"/>
              </w:rPr>
              <w:t>0.00</w:t>
            </w:r>
          </w:p>
        </w:tc>
        <w:tc>
          <w:tcPr>
            <w:tcW w:w="1134" w:type="dxa"/>
            <w:vAlign w:val="center"/>
          </w:tcPr>
          <w:p w:rsidR="00FA54E0" w:rsidRDefault="007327B3">
            <w:pPr>
              <w:jc w:val="center"/>
            </w:pPr>
            <w:r>
              <w:rPr>
                <w:rFonts w:ascii="宋体" w:hAnsi="宋体"/>
                <w:kern w:val="0"/>
                <w:szCs w:val="21"/>
              </w:rPr>
              <w:t>0.00</w:t>
            </w:r>
          </w:p>
        </w:tc>
        <w:tc>
          <w:tcPr>
            <w:tcW w:w="1419" w:type="dxa"/>
            <w:vAlign w:val="center"/>
          </w:tcPr>
          <w:p w:rsidR="00FA54E0" w:rsidRDefault="007327B3">
            <w:pPr>
              <w:jc w:val="center"/>
            </w:pPr>
            <w:r>
              <w:rPr>
                <w:rFonts w:ascii="宋体" w:hAnsi="宋体"/>
                <w:kern w:val="0"/>
                <w:szCs w:val="21"/>
              </w:rPr>
              <w:t>20,051.30</w:t>
            </w:r>
          </w:p>
        </w:tc>
        <w:tc>
          <w:tcPr>
            <w:tcW w:w="1130" w:type="dxa"/>
            <w:vAlign w:val="center"/>
          </w:tcPr>
          <w:p w:rsidR="00FA54E0" w:rsidRDefault="007327B3">
            <w:pPr>
              <w:jc w:val="center"/>
            </w:pPr>
            <w:r>
              <w:rPr>
                <w:rFonts w:ascii="宋体" w:hAnsi="宋体"/>
                <w:kern w:val="0"/>
                <w:szCs w:val="21"/>
              </w:rPr>
              <w:t>49.03%</w:t>
            </w:r>
          </w:p>
        </w:tc>
      </w:tr>
      <w:tr w:rsidR="00FA54E0">
        <w:tc>
          <w:tcPr>
            <w:tcW w:w="993" w:type="dxa"/>
            <w:vMerge/>
          </w:tcPr>
          <w:p w:rsidR="00FA54E0" w:rsidRDefault="00FA54E0"/>
        </w:tc>
        <w:tc>
          <w:tcPr>
            <w:tcW w:w="992" w:type="dxa"/>
            <w:vAlign w:val="center"/>
          </w:tcPr>
          <w:p w:rsidR="00FA54E0" w:rsidRDefault="007327B3">
            <w:pPr>
              <w:jc w:val="center"/>
            </w:pPr>
            <w:r>
              <w:rPr>
                <w:rFonts w:ascii="宋体" w:hAnsi="宋体"/>
                <w:kern w:val="0"/>
                <w:szCs w:val="21"/>
              </w:rPr>
              <w:t>3</w:t>
            </w:r>
          </w:p>
        </w:tc>
        <w:tc>
          <w:tcPr>
            <w:tcW w:w="1843" w:type="dxa"/>
            <w:vAlign w:val="center"/>
          </w:tcPr>
          <w:p w:rsidR="00FA54E0" w:rsidRDefault="007327B3" w:rsidP="00AC4E60">
            <w:pPr>
              <w:jc w:val="center"/>
            </w:pPr>
            <w:r>
              <w:rPr>
                <w:rFonts w:ascii="宋体" w:hAnsi="宋体"/>
                <w:kern w:val="0"/>
                <w:szCs w:val="21"/>
              </w:rPr>
              <w:t>20180620-201806</w:t>
            </w:r>
            <w:r w:rsidR="00AC4E60">
              <w:rPr>
                <w:rFonts w:ascii="宋体" w:hAnsi="宋体" w:hint="eastAsia"/>
                <w:kern w:val="0"/>
                <w:szCs w:val="21"/>
              </w:rPr>
              <w:t>22</w:t>
            </w:r>
          </w:p>
        </w:tc>
        <w:tc>
          <w:tcPr>
            <w:tcW w:w="851" w:type="dxa"/>
            <w:vAlign w:val="center"/>
          </w:tcPr>
          <w:p w:rsidR="00FA54E0" w:rsidRDefault="007327B3">
            <w:pPr>
              <w:jc w:val="center"/>
            </w:pPr>
            <w:r>
              <w:rPr>
                <w:rFonts w:ascii="宋体" w:hAnsi="宋体"/>
                <w:kern w:val="0"/>
                <w:szCs w:val="21"/>
              </w:rPr>
              <w:t>9,941.71</w:t>
            </w:r>
          </w:p>
        </w:tc>
        <w:tc>
          <w:tcPr>
            <w:tcW w:w="850" w:type="dxa"/>
            <w:vAlign w:val="center"/>
          </w:tcPr>
          <w:p w:rsidR="00FA54E0" w:rsidRDefault="007327B3">
            <w:pPr>
              <w:jc w:val="center"/>
            </w:pPr>
            <w:r>
              <w:rPr>
                <w:rFonts w:ascii="宋体" w:hAnsi="宋体"/>
                <w:kern w:val="0"/>
                <w:szCs w:val="21"/>
              </w:rPr>
              <w:t>0.00</w:t>
            </w:r>
          </w:p>
        </w:tc>
        <w:tc>
          <w:tcPr>
            <w:tcW w:w="1134" w:type="dxa"/>
            <w:vAlign w:val="center"/>
          </w:tcPr>
          <w:p w:rsidR="00FA54E0" w:rsidRDefault="007327B3">
            <w:pPr>
              <w:jc w:val="center"/>
            </w:pPr>
            <w:r>
              <w:rPr>
                <w:rFonts w:ascii="宋体" w:hAnsi="宋体"/>
                <w:kern w:val="0"/>
                <w:szCs w:val="21"/>
              </w:rPr>
              <w:t>0.00</w:t>
            </w:r>
          </w:p>
        </w:tc>
        <w:tc>
          <w:tcPr>
            <w:tcW w:w="1419" w:type="dxa"/>
            <w:vAlign w:val="center"/>
          </w:tcPr>
          <w:p w:rsidR="00FA54E0" w:rsidRDefault="007327B3">
            <w:pPr>
              <w:jc w:val="center"/>
            </w:pPr>
            <w:r>
              <w:rPr>
                <w:rFonts w:ascii="宋体" w:hAnsi="宋体"/>
                <w:kern w:val="0"/>
                <w:szCs w:val="21"/>
              </w:rPr>
              <w:t>9,941.71</w:t>
            </w:r>
          </w:p>
        </w:tc>
        <w:tc>
          <w:tcPr>
            <w:tcW w:w="1130" w:type="dxa"/>
            <w:vAlign w:val="center"/>
          </w:tcPr>
          <w:p w:rsidR="00FA54E0" w:rsidRDefault="007327B3">
            <w:pPr>
              <w:jc w:val="center"/>
            </w:pPr>
            <w:r>
              <w:rPr>
                <w:rFonts w:ascii="宋体" w:hAnsi="宋体"/>
                <w:kern w:val="0"/>
                <w:szCs w:val="21"/>
              </w:rPr>
              <w:t>24.31%</w:t>
            </w:r>
          </w:p>
        </w:tc>
      </w:tr>
      <w:tr w:rsidR="00FA54E0">
        <w:tc>
          <w:tcPr>
            <w:tcW w:w="9212" w:type="dxa"/>
            <w:gridSpan w:val="8"/>
            <w:vAlign w:val="center"/>
          </w:tcPr>
          <w:p w:rsidR="00FA54E0" w:rsidRDefault="007327B3">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FA54E0">
        <w:tc>
          <w:tcPr>
            <w:tcW w:w="9212" w:type="dxa"/>
            <w:gridSpan w:val="8"/>
            <w:vAlign w:val="center"/>
          </w:tcPr>
          <w:p w:rsidR="00FA54E0" w:rsidRDefault="007327B3">
            <w:pPr>
              <w:autoSpaceDE w:val="0"/>
              <w:autoSpaceDN w:val="0"/>
              <w:adjustRightInd w:val="0"/>
              <w:jc w:val="left"/>
              <w:rPr>
                <w:rFonts w:ascii="宋体" w:hAnsi="宋体"/>
                <w:kern w:val="0"/>
                <w:szCs w:val="21"/>
              </w:rPr>
            </w:pPr>
            <w:r>
              <w:rPr>
                <w:rFonts w:ascii="宋体" w:hAnsi="宋体" w:hint="eastAsia"/>
                <w:kern w:val="0"/>
                <w:szCs w:val="21"/>
              </w:rPr>
              <w:t>本基金报告期内出现单一投资者持有基金份额比例达到或者超过20%的情形。如该单一投资者大额赎回将可能导致基金份额净值波动风险、基金流动性风险等特定风险。</w:t>
            </w:r>
          </w:p>
        </w:tc>
      </w:tr>
    </w:tbl>
    <w:p w:rsidR="00FA54E0" w:rsidRDefault="007327B3">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8.2 影响投资者决策的其他重要信息</w:t>
      </w:r>
    </w:p>
    <w:p w:rsidR="00FA54E0" w:rsidRDefault="007327B3">
      <w:pPr>
        <w:spacing w:line="360" w:lineRule="auto"/>
        <w:ind w:firstLineChars="200" w:firstLine="420"/>
        <w:rPr>
          <w:rFonts w:ascii="宋体" w:hAnsi="宋体"/>
          <w:color w:val="000000"/>
          <w:szCs w:val="21"/>
        </w:rPr>
      </w:pPr>
      <w:r>
        <w:rPr>
          <w:rFonts w:ascii="宋体" w:hAnsi="宋体"/>
          <w:color w:val="000000"/>
          <w:szCs w:val="21"/>
        </w:rPr>
        <w:t>无。</w:t>
      </w:r>
    </w:p>
    <w:p w:rsidR="00FA54E0" w:rsidRDefault="007327B3" w:rsidP="00701AB5">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color w:val="000000" w:themeColor="text1"/>
          <w:kern w:val="0"/>
          <w:sz w:val="21"/>
          <w:szCs w:val="21"/>
        </w:rPr>
        <w:t>备查文件目录</w:t>
      </w:r>
    </w:p>
    <w:p w:rsidR="00FA54E0" w:rsidRDefault="007327B3">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9.1</w:t>
      </w:r>
      <w:r>
        <w:rPr>
          <w:rFonts w:eastAsiaTheme="minorEastAsia"/>
          <w:b/>
          <w:bCs/>
          <w:color w:val="000000" w:themeColor="text1"/>
          <w:kern w:val="0"/>
          <w:szCs w:val="21"/>
        </w:rPr>
        <w:t>备查文件目录</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《华安丰利</w:t>
      </w:r>
      <w:r>
        <w:rPr>
          <w:rFonts w:eastAsiaTheme="minorEastAsia"/>
          <w:color w:val="000000" w:themeColor="text1"/>
          <w:szCs w:val="21"/>
        </w:rPr>
        <w:t>18</w:t>
      </w:r>
      <w:r>
        <w:rPr>
          <w:rFonts w:eastAsiaTheme="minorEastAsia"/>
          <w:color w:val="000000" w:themeColor="text1"/>
          <w:szCs w:val="21"/>
        </w:rPr>
        <w:t>个月定期开放债券型证券投资基金基金合同》</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《华安丰利</w:t>
      </w:r>
      <w:r>
        <w:rPr>
          <w:rFonts w:eastAsiaTheme="minorEastAsia"/>
          <w:color w:val="000000" w:themeColor="text1"/>
          <w:szCs w:val="21"/>
        </w:rPr>
        <w:t>18</w:t>
      </w:r>
      <w:r>
        <w:rPr>
          <w:rFonts w:eastAsiaTheme="minorEastAsia"/>
          <w:color w:val="000000" w:themeColor="text1"/>
          <w:szCs w:val="21"/>
        </w:rPr>
        <w:t>个月定期开放债券型证券投资基金招募说明书》</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《华安丰利</w:t>
      </w:r>
      <w:r>
        <w:rPr>
          <w:rFonts w:eastAsiaTheme="minorEastAsia"/>
          <w:color w:val="000000" w:themeColor="text1"/>
          <w:szCs w:val="21"/>
        </w:rPr>
        <w:t>18</w:t>
      </w:r>
      <w:r>
        <w:rPr>
          <w:rFonts w:eastAsiaTheme="minorEastAsia"/>
          <w:color w:val="000000" w:themeColor="text1"/>
          <w:szCs w:val="21"/>
        </w:rPr>
        <w:t>个月定期开放债券型证券投资基金托管协议》</w:t>
      </w:r>
    </w:p>
    <w:p w:rsidR="00FA54E0" w:rsidRDefault="007327B3" w:rsidP="00701AB5">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9.2</w:t>
      </w:r>
      <w:r>
        <w:rPr>
          <w:rFonts w:eastAsiaTheme="minorEastAsia"/>
          <w:b/>
          <w:bCs/>
          <w:color w:val="000000" w:themeColor="text1"/>
          <w:kern w:val="0"/>
          <w:szCs w:val="21"/>
        </w:rPr>
        <w:t>存放地点</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基金管理人和基金托管人的办公场所，并登载于基金管理人互联网站</w:t>
      </w:r>
      <w:r>
        <w:rPr>
          <w:rFonts w:eastAsiaTheme="minorEastAsia"/>
          <w:color w:val="000000" w:themeColor="text1"/>
          <w:szCs w:val="21"/>
        </w:rPr>
        <w:t>http://www.huaan.com.cn</w:t>
      </w:r>
      <w:r>
        <w:rPr>
          <w:rFonts w:eastAsiaTheme="minorEastAsia"/>
          <w:color w:val="000000" w:themeColor="text1"/>
          <w:szCs w:val="21"/>
        </w:rPr>
        <w:t>。</w:t>
      </w:r>
    </w:p>
    <w:p w:rsidR="00FA54E0" w:rsidRDefault="007327B3" w:rsidP="00701AB5">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9.3</w:t>
      </w:r>
      <w:r>
        <w:rPr>
          <w:rFonts w:eastAsiaTheme="minorEastAsia"/>
          <w:b/>
          <w:bCs/>
          <w:color w:val="000000" w:themeColor="text1"/>
          <w:kern w:val="0"/>
          <w:szCs w:val="21"/>
        </w:rPr>
        <w:t>查阅方式</w:t>
      </w:r>
    </w:p>
    <w:p w:rsidR="00FA54E0" w:rsidRDefault="007327B3">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投资者可登录基金管理人互联网站查阅，或在营业时间内至基金管理人或基金托管人的办公场所免费查阅。</w:t>
      </w:r>
    </w:p>
    <w:p w:rsidR="00FA54E0" w:rsidRDefault="00FA54E0">
      <w:pPr>
        <w:spacing w:line="360" w:lineRule="auto"/>
        <w:ind w:left="840"/>
        <w:jc w:val="right"/>
        <w:rPr>
          <w:rFonts w:eastAsiaTheme="minorEastAsia"/>
          <w:color w:val="000000" w:themeColor="text1"/>
          <w:szCs w:val="21"/>
        </w:rPr>
      </w:pPr>
    </w:p>
    <w:p w:rsidR="00FA54E0" w:rsidRDefault="00FA54E0">
      <w:pPr>
        <w:spacing w:line="360" w:lineRule="auto"/>
        <w:ind w:left="840"/>
        <w:jc w:val="center"/>
        <w:rPr>
          <w:rFonts w:eastAsiaTheme="minorEastAsia"/>
          <w:b/>
          <w:color w:val="000000" w:themeColor="text1"/>
          <w:szCs w:val="21"/>
        </w:rPr>
      </w:pPr>
    </w:p>
    <w:p w:rsidR="00FA54E0" w:rsidRDefault="007327B3">
      <w:pPr>
        <w:spacing w:line="360" w:lineRule="auto"/>
        <w:jc w:val="right"/>
        <w:rPr>
          <w:rFonts w:eastAsiaTheme="minorEastAsia"/>
          <w:b/>
          <w:bCs/>
          <w:color w:val="000000" w:themeColor="text1"/>
          <w:szCs w:val="21"/>
        </w:rPr>
      </w:pPr>
      <w:r>
        <w:rPr>
          <w:rFonts w:eastAsiaTheme="minorEastAsia"/>
          <w:b/>
          <w:bCs/>
          <w:color w:val="000000" w:themeColor="text1"/>
          <w:szCs w:val="21"/>
        </w:rPr>
        <w:t>华安基金管理有限公司</w:t>
      </w:r>
    </w:p>
    <w:p w:rsidR="00FA54E0" w:rsidRDefault="007327B3">
      <w:pPr>
        <w:spacing w:line="360" w:lineRule="auto"/>
        <w:jc w:val="right"/>
        <w:rPr>
          <w:rFonts w:eastAsiaTheme="minorEastAsia"/>
          <w:b/>
          <w:bCs/>
          <w:color w:val="000000" w:themeColor="text1"/>
          <w:szCs w:val="21"/>
        </w:rPr>
      </w:pPr>
      <w:r>
        <w:rPr>
          <w:rFonts w:eastAsiaTheme="minorEastAsia"/>
          <w:b/>
          <w:bCs/>
          <w:color w:val="000000" w:themeColor="text1"/>
          <w:szCs w:val="21"/>
        </w:rPr>
        <w:t>二〇一八年七月十八日</w:t>
      </w:r>
    </w:p>
    <w:sectPr w:rsidR="00FA54E0" w:rsidSect="00FA54E0">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4E0" w:rsidRDefault="00FA54E0" w:rsidP="00FA54E0">
      <w:r>
        <w:separator/>
      </w:r>
    </w:p>
  </w:endnote>
  <w:endnote w:type="continuationSeparator" w:id="1">
    <w:p w:rsidR="00FA54E0" w:rsidRDefault="00FA54E0" w:rsidP="00FA5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E0" w:rsidRDefault="007327B3">
    <w:pPr>
      <w:pStyle w:val="ac"/>
      <w:jc w:val="center"/>
    </w:pPr>
    <w:r>
      <w:rPr>
        <w:rFonts w:hint="eastAsia"/>
        <w:kern w:val="0"/>
        <w:szCs w:val="21"/>
      </w:rPr>
      <w:t>第</w:t>
    </w:r>
    <w:r w:rsidR="001F2278">
      <w:rPr>
        <w:kern w:val="0"/>
        <w:szCs w:val="21"/>
      </w:rPr>
      <w:fldChar w:fldCharType="begin"/>
    </w:r>
    <w:r>
      <w:rPr>
        <w:kern w:val="0"/>
        <w:szCs w:val="21"/>
      </w:rPr>
      <w:instrText xml:space="preserve"> PAGE </w:instrText>
    </w:r>
    <w:r w:rsidR="001F2278">
      <w:rPr>
        <w:kern w:val="0"/>
        <w:szCs w:val="21"/>
      </w:rPr>
      <w:fldChar w:fldCharType="separate"/>
    </w:r>
    <w:r w:rsidR="00701AB5">
      <w:rPr>
        <w:noProof/>
        <w:kern w:val="0"/>
        <w:szCs w:val="21"/>
      </w:rPr>
      <w:t>1</w:t>
    </w:r>
    <w:r w:rsidR="001F2278">
      <w:rPr>
        <w:kern w:val="0"/>
        <w:szCs w:val="21"/>
      </w:rPr>
      <w:fldChar w:fldCharType="end"/>
    </w:r>
    <w:r>
      <w:rPr>
        <w:rFonts w:hint="eastAsia"/>
        <w:kern w:val="0"/>
        <w:szCs w:val="21"/>
      </w:rPr>
      <w:t>页共</w:t>
    </w:r>
    <w:r w:rsidR="001F2278">
      <w:rPr>
        <w:kern w:val="0"/>
        <w:szCs w:val="21"/>
      </w:rPr>
      <w:fldChar w:fldCharType="begin"/>
    </w:r>
    <w:r>
      <w:rPr>
        <w:kern w:val="0"/>
        <w:szCs w:val="21"/>
      </w:rPr>
      <w:instrText xml:space="preserve"> NUMPAGES </w:instrText>
    </w:r>
    <w:r w:rsidR="001F2278">
      <w:rPr>
        <w:kern w:val="0"/>
        <w:szCs w:val="21"/>
      </w:rPr>
      <w:fldChar w:fldCharType="separate"/>
    </w:r>
    <w:r w:rsidR="00701AB5">
      <w:rPr>
        <w:noProof/>
        <w:kern w:val="0"/>
        <w:szCs w:val="21"/>
      </w:rPr>
      <w:t>3</w:t>
    </w:r>
    <w:r w:rsidR="001F2278">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E0" w:rsidRDefault="001F2278">
    <w:pPr>
      <w:pStyle w:val="ac"/>
      <w:framePr w:wrap="around" w:vAnchor="text" w:hAnchor="margin" w:xAlign="center" w:y="1"/>
      <w:rPr>
        <w:rStyle w:val="af2"/>
      </w:rPr>
    </w:pPr>
    <w:r>
      <w:rPr>
        <w:rStyle w:val="af2"/>
      </w:rPr>
      <w:fldChar w:fldCharType="begin"/>
    </w:r>
    <w:r w:rsidR="007327B3">
      <w:rPr>
        <w:rStyle w:val="af2"/>
      </w:rPr>
      <w:instrText xml:space="preserve">PAGE  </w:instrText>
    </w:r>
    <w:r>
      <w:rPr>
        <w:rStyle w:val="af2"/>
      </w:rPr>
      <w:fldChar w:fldCharType="end"/>
    </w:r>
  </w:p>
  <w:p w:rsidR="00FA54E0" w:rsidRDefault="00FA54E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E0" w:rsidRDefault="001F2278">
    <w:pPr>
      <w:pStyle w:val="ac"/>
      <w:framePr w:wrap="around" w:vAnchor="text" w:hAnchor="margin" w:xAlign="center" w:y="1"/>
      <w:rPr>
        <w:rStyle w:val="af2"/>
      </w:rPr>
    </w:pPr>
    <w:r>
      <w:rPr>
        <w:rStyle w:val="af2"/>
      </w:rPr>
      <w:fldChar w:fldCharType="begin"/>
    </w:r>
    <w:r w:rsidR="007327B3">
      <w:rPr>
        <w:rStyle w:val="af2"/>
      </w:rPr>
      <w:instrText xml:space="preserve">PAGE  </w:instrText>
    </w:r>
    <w:r>
      <w:rPr>
        <w:rStyle w:val="af2"/>
      </w:rPr>
      <w:fldChar w:fldCharType="separate"/>
    </w:r>
    <w:r w:rsidR="00701AB5">
      <w:rPr>
        <w:rStyle w:val="af2"/>
        <w:noProof/>
      </w:rPr>
      <w:t>2</w:t>
    </w:r>
    <w:r>
      <w:rPr>
        <w:rStyle w:val="af2"/>
      </w:rPr>
      <w:fldChar w:fldCharType="end"/>
    </w:r>
  </w:p>
  <w:p w:rsidR="00FA54E0" w:rsidRDefault="00FA54E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4E0" w:rsidRDefault="00FA54E0" w:rsidP="00FA54E0">
      <w:r>
        <w:separator/>
      </w:r>
    </w:p>
  </w:footnote>
  <w:footnote w:type="continuationSeparator" w:id="1">
    <w:p w:rsidR="00FA54E0" w:rsidRDefault="00FA54E0" w:rsidP="00FA5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E0" w:rsidRDefault="007327B3">
    <w:pPr>
      <w:pStyle w:val="ad"/>
      <w:pBdr>
        <w:bottom w:val="single" w:sz="6" w:space="0" w:color="auto"/>
      </w:pBdr>
      <w:jc w:val="right"/>
    </w:pPr>
    <w:r>
      <w:t>华安丰利</w:t>
    </w:r>
    <w:r>
      <w:t>18</w:t>
    </w:r>
    <w:r>
      <w:t>个月定期开放债券型证券投资基金</w:t>
    </w:r>
    <w:r>
      <w:t>2018</w:t>
    </w:r>
    <w:r>
      <w:t>年第</w:t>
    </w:r>
    <w:r>
      <w:t>2</w:t>
    </w:r>
    <w:r>
      <w:t>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6B97"/>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43C"/>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47F8"/>
    <w:rsid w:val="000C5956"/>
    <w:rsid w:val="000C757F"/>
    <w:rsid w:val="000C7DD4"/>
    <w:rsid w:val="000D0474"/>
    <w:rsid w:val="000D1164"/>
    <w:rsid w:val="000D1BBE"/>
    <w:rsid w:val="000D3773"/>
    <w:rsid w:val="000D4DE9"/>
    <w:rsid w:val="000D6660"/>
    <w:rsid w:val="000D6BA0"/>
    <w:rsid w:val="000D7ECA"/>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278"/>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80E"/>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2BFF"/>
    <w:rsid w:val="00343016"/>
    <w:rsid w:val="0034447B"/>
    <w:rsid w:val="00346037"/>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2BA"/>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AB5"/>
    <w:rsid w:val="00701F57"/>
    <w:rsid w:val="00703E8A"/>
    <w:rsid w:val="0070571B"/>
    <w:rsid w:val="00706046"/>
    <w:rsid w:val="007112F0"/>
    <w:rsid w:val="00711343"/>
    <w:rsid w:val="00714309"/>
    <w:rsid w:val="007143C1"/>
    <w:rsid w:val="0071450F"/>
    <w:rsid w:val="00717772"/>
    <w:rsid w:val="00721DBE"/>
    <w:rsid w:val="007226EC"/>
    <w:rsid w:val="00722B5E"/>
    <w:rsid w:val="00724F6D"/>
    <w:rsid w:val="0072678C"/>
    <w:rsid w:val="007327B3"/>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2CF"/>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6D43"/>
    <w:rsid w:val="008473F2"/>
    <w:rsid w:val="0085139A"/>
    <w:rsid w:val="008524F6"/>
    <w:rsid w:val="008532F3"/>
    <w:rsid w:val="00854B3F"/>
    <w:rsid w:val="00861C2C"/>
    <w:rsid w:val="00863744"/>
    <w:rsid w:val="008668B8"/>
    <w:rsid w:val="0086748F"/>
    <w:rsid w:val="0086758B"/>
    <w:rsid w:val="00867B4D"/>
    <w:rsid w:val="00867CF3"/>
    <w:rsid w:val="00871677"/>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3E0"/>
    <w:rsid w:val="008A6501"/>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E7A52"/>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B14"/>
    <w:rsid w:val="00AC3E87"/>
    <w:rsid w:val="00AC469F"/>
    <w:rsid w:val="00AC4E60"/>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3FA"/>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298"/>
    <w:rsid w:val="00EC0FC0"/>
    <w:rsid w:val="00EC2E3A"/>
    <w:rsid w:val="00EC3CCB"/>
    <w:rsid w:val="00EC476D"/>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0"/>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46AC1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4E0"/>
    <w:pPr>
      <w:widowControl w:val="0"/>
      <w:jc w:val="both"/>
    </w:pPr>
    <w:rPr>
      <w:kern w:val="2"/>
      <w:sz w:val="21"/>
      <w:szCs w:val="24"/>
    </w:rPr>
  </w:style>
  <w:style w:type="paragraph" w:styleId="1">
    <w:name w:val="heading 1"/>
    <w:basedOn w:val="a"/>
    <w:next w:val="a"/>
    <w:link w:val="1Char"/>
    <w:qFormat/>
    <w:rsid w:val="00FA54E0"/>
    <w:pPr>
      <w:keepNext/>
      <w:keepLines/>
      <w:spacing w:before="340" w:after="330" w:line="578" w:lineRule="auto"/>
      <w:outlineLvl w:val="0"/>
    </w:pPr>
    <w:rPr>
      <w:b/>
      <w:bCs/>
      <w:kern w:val="44"/>
      <w:sz w:val="44"/>
      <w:szCs w:val="44"/>
    </w:rPr>
  </w:style>
  <w:style w:type="paragraph" w:styleId="2">
    <w:name w:val="heading 2"/>
    <w:basedOn w:val="a"/>
    <w:next w:val="a0"/>
    <w:qFormat/>
    <w:rsid w:val="00FA54E0"/>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rsid w:val="00FA54E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A54E0"/>
    <w:pPr>
      <w:ind w:firstLineChars="200" w:firstLine="420"/>
    </w:pPr>
  </w:style>
  <w:style w:type="paragraph" w:styleId="a4">
    <w:name w:val="annotation subject"/>
    <w:basedOn w:val="a5"/>
    <w:next w:val="a5"/>
    <w:semiHidden/>
    <w:qFormat/>
    <w:rsid w:val="00FA54E0"/>
    <w:rPr>
      <w:b/>
      <w:bCs/>
    </w:rPr>
  </w:style>
  <w:style w:type="paragraph" w:styleId="a5">
    <w:name w:val="annotation text"/>
    <w:basedOn w:val="a"/>
    <w:semiHidden/>
    <w:qFormat/>
    <w:rsid w:val="00FA54E0"/>
    <w:pPr>
      <w:jc w:val="left"/>
    </w:pPr>
  </w:style>
  <w:style w:type="paragraph" w:styleId="a6">
    <w:name w:val="Document Map"/>
    <w:basedOn w:val="a"/>
    <w:semiHidden/>
    <w:qFormat/>
    <w:rsid w:val="00FA54E0"/>
    <w:pPr>
      <w:shd w:val="clear" w:color="auto" w:fill="000080"/>
    </w:pPr>
  </w:style>
  <w:style w:type="paragraph" w:styleId="a7">
    <w:name w:val="Body Text"/>
    <w:basedOn w:val="a"/>
    <w:qFormat/>
    <w:rsid w:val="00FA54E0"/>
    <w:pPr>
      <w:spacing w:after="120"/>
    </w:pPr>
  </w:style>
  <w:style w:type="paragraph" w:styleId="a8">
    <w:name w:val="Body Text Indent"/>
    <w:basedOn w:val="a"/>
    <w:qFormat/>
    <w:rsid w:val="00FA54E0"/>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sid w:val="00FA54E0"/>
    <w:rPr>
      <w:rFonts w:ascii="宋体" w:hAnsi="Courier New"/>
      <w:szCs w:val="21"/>
    </w:rPr>
  </w:style>
  <w:style w:type="paragraph" w:styleId="aa">
    <w:name w:val="Date"/>
    <w:basedOn w:val="a"/>
    <w:next w:val="a"/>
    <w:link w:val="Char0"/>
    <w:qFormat/>
    <w:rsid w:val="00FA54E0"/>
    <w:rPr>
      <w:sz w:val="24"/>
      <w:szCs w:val="20"/>
    </w:rPr>
  </w:style>
  <w:style w:type="paragraph" w:styleId="20">
    <w:name w:val="Body Text Indent 2"/>
    <w:basedOn w:val="a"/>
    <w:qFormat/>
    <w:rsid w:val="00FA54E0"/>
    <w:pPr>
      <w:spacing w:line="560" w:lineRule="exact"/>
      <w:ind w:firstLineChars="200" w:firstLine="480"/>
    </w:pPr>
    <w:rPr>
      <w:rFonts w:ascii="宋体" w:hAnsi="宋体"/>
      <w:color w:val="FF0000"/>
      <w:sz w:val="24"/>
    </w:rPr>
  </w:style>
  <w:style w:type="paragraph" w:styleId="ab">
    <w:name w:val="Balloon Text"/>
    <w:basedOn w:val="a"/>
    <w:semiHidden/>
    <w:qFormat/>
    <w:rsid w:val="00FA54E0"/>
    <w:rPr>
      <w:sz w:val="18"/>
      <w:szCs w:val="18"/>
    </w:rPr>
  </w:style>
  <w:style w:type="paragraph" w:styleId="ac">
    <w:name w:val="footer"/>
    <w:basedOn w:val="a"/>
    <w:qFormat/>
    <w:rsid w:val="00FA54E0"/>
    <w:pPr>
      <w:tabs>
        <w:tab w:val="center" w:pos="4153"/>
        <w:tab w:val="right" w:pos="8306"/>
      </w:tabs>
      <w:snapToGrid w:val="0"/>
      <w:jc w:val="left"/>
    </w:pPr>
    <w:rPr>
      <w:sz w:val="18"/>
      <w:szCs w:val="18"/>
    </w:rPr>
  </w:style>
  <w:style w:type="paragraph" w:styleId="ad">
    <w:name w:val="header"/>
    <w:basedOn w:val="a"/>
    <w:link w:val="Char1"/>
    <w:uiPriority w:val="99"/>
    <w:qFormat/>
    <w:rsid w:val="00FA54E0"/>
    <w:pPr>
      <w:pBdr>
        <w:bottom w:val="single" w:sz="6" w:space="1" w:color="auto"/>
      </w:pBdr>
      <w:tabs>
        <w:tab w:val="center" w:pos="4153"/>
        <w:tab w:val="right" w:pos="8306"/>
      </w:tabs>
      <w:snapToGrid w:val="0"/>
      <w:jc w:val="center"/>
    </w:pPr>
    <w:rPr>
      <w:sz w:val="18"/>
      <w:szCs w:val="18"/>
    </w:rPr>
  </w:style>
  <w:style w:type="paragraph" w:styleId="ae">
    <w:name w:val="List"/>
    <w:basedOn w:val="a7"/>
    <w:qFormat/>
    <w:rsid w:val="00FA54E0"/>
    <w:pPr>
      <w:spacing w:after="220" w:line="220" w:lineRule="atLeast"/>
      <w:ind w:left="1440" w:hanging="360"/>
    </w:pPr>
    <w:rPr>
      <w:szCs w:val="20"/>
    </w:rPr>
  </w:style>
  <w:style w:type="paragraph" w:styleId="af">
    <w:name w:val="footnote text"/>
    <w:basedOn w:val="a"/>
    <w:link w:val="Char2"/>
    <w:qFormat/>
    <w:rsid w:val="00FA54E0"/>
    <w:pPr>
      <w:snapToGrid w:val="0"/>
      <w:jc w:val="left"/>
    </w:pPr>
    <w:rPr>
      <w:sz w:val="18"/>
      <w:szCs w:val="18"/>
    </w:rPr>
  </w:style>
  <w:style w:type="paragraph" w:styleId="30">
    <w:name w:val="Body Text Indent 3"/>
    <w:basedOn w:val="a"/>
    <w:qFormat/>
    <w:rsid w:val="00FA54E0"/>
    <w:pPr>
      <w:spacing w:line="560" w:lineRule="exact"/>
      <w:ind w:firstLineChars="200" w:firstLine="420"/>
    </w:pPr>
    <w:rPr>
      <w:rFonts w:ascii="Arial" w:hAnsi="Arial" w:cs="Arial"/>
      <w:color w:val="FF0000"/>
    </w:rPr>
  </w:style>
  <w:style w:type="paragraph" w:styleId="af0">
    <w:name w:val="Normal (Web)"/>
    <w:basedOn w:val="a"/>
    <w:qFormat/>
    <w:rsid w:val="00FA54E0"/>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rsid w:val="00FA54E0"/>
    <w:pPr>
      <w:jc w:val="right"/>
    </w:pPr>
    <w:rPr>
      <w:color w:val="008000"/>
    </w:rPr>
  </w:style>
  <w:style w:type="character" w:styleId="af1">
    <w:name w:val="Strong"/>
    <w:basedOn w:val="a1"/>
    <w:uiPriority w:val="22"/>
    <w:qFormat/>
    <w:rsid w:val="00FA54E0"/>
    <w:rPr>
      <w:b/>
      <w:bCs/>
    </w:rPr>
  </w:style>
  <w:style w:type="character" w:styleId="af2">
    <w:name w:val="page number"/>
    <w:basedOn w:val="a1"/>
    <w:qFormat/>
    <w:rsid w:val="00FA54E0"/>
  </w:style>
  <w:style w:type="character" w:styleId="af3">
    <w:name w:val="Hyperlink"/>
    <w:basedOn w:val="a1"/>
    <w:qFormat/>
    <w:rsid w:val="00FA54E0"/>
    <w:rPr>
      <w:color w:val="0000FF"/>
      <w:u w:val="single"/>
    </w:rPr>
  </w:style>
  <w:style w:type="character" w:styleId="af4">
    <w:name w:val="annotation reference"/>
    <w:basedOn w:val="a1"/>
    <w:semiHidden/>
    <w:qFormat/>
    <w:rsid w:val="00FA54E0"/>
    <w:rPr>
      <w:sz w:val="21"/>
      <w:szCs w:val="21"/>
    </w:rPr>
  </w:style>
  <w:style w:type="character" w:styleId="af5">
    <w:name w:val="footnote reference"/>
    <w:basedOn w:val="a1"/>
    <w:qFormat/>
    <w:rsid w:val="00FA54E0"/>
    <w:rPr>
      <w:vertAlign w:val="superscript"/>
    </w:rPr>
  </w:style>
  <w:style w:type="table" w:styleId="af6">
    <w:name w:val="Table Grid"/>
    <w:basedOn w:val="a2"/>
    <w:qFormat/>
    <w:rsid w:val="00FA54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sid w:val="00FA54E0"/>
    <w:rPr>
      <w:color w:val="800080"/>
      <w:u w:val="single"/>
    </w:rPr>
  </w:style>
  <w:style w:type="character" w:customStyle="1" w:styleId="c1">
    <w:name w:val="c1"/>
    <w:basedOn w:val="a1"/>
    <w:qFormat/>
    <w:rsid w:val="00FA54E0"/>
    <w:rPr>
      <w:color w:val="000000"/>
      <w:sz w:val="18"/>
      <w:szCs w:val="18"/>
    </w:rPr>
  </w:style>
  <w:style w:type="paragraph" w:customStyle="1" w:styleId="font5">
    <w:name w:val="font5"/>
    <w:basedOn w:val="a"/>
    <w:qFormat/>
    <w:rsid w:val="00FA54E0"/>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rsid w:val="00FA54E0"/>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rsid w:val="00FA54E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rsid w:val="00FA54E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rsid w:val="00FA54E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FA54E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rsid w:val="00FA54E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rsid w:val="00FA54E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rsid w:val="00FA54E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rsid w:val="00FA54E0"/>
  </w:style>
  <w:style w:type="paragraph" w:customStyle="1" w:styleId="Char10">
    <w:name w:val="Char1"/>
    <w:basedOn w:val="a"/>
    <w:qFormat/>
    <w:rsid w:val="00FA54E0"/>
  </w:style>
  <w:style w:type="character" w:customStyle="1" w:styleId="t1">
    <w:name w:val="t1"/>
    <w:basedOn w:val="a1"/>
    <w:qFormat/>
    <w:rsid w:val="00FA54E0"/>
    <w:rPr>
      <w:color w:val="990000"/>
    </w:rPr>
  </w:style>
  <w:style w:type="character" w:customStyle="1" w:styleId="Char">
    <w:name w:val="纯文本 Char"/>
    <w:basedOn w:val="a1"/>
    <w:link w:val="a9"/>
    <w:uiPriority w:val="99"/>
    <w:rsid w:val="00FA54E0"/>
    <w:rPr>
      <w:rFonts w:ascii="宋体" w:hAnsi="Courier New"/>
      <w:kern w:val="2"/>
      <w:sz w:val="21"/>
      <w:szCs w:val="21"/>
    </w:rPr>
  </w:style>
  <w:style w:type="character" w:customStyle="1" w:styleId="Char2">
    <w:name w:val="脚注文本 Char"/>
    <w:basedOn w:val="a1"/>
    <w:link w:val="af"/>
    <w:qFormat/>
    <w:rsid w:val="00FA54E0"/>
    <w:rPr>
      <w:kern w:val="2"/>
      <w:sz w:val="18"/>
      <w:szCs w:val="18"/>
    </w:rPr>
  </w:style>
  <w:style w:type="paragraph" w:customStyle="1" w:styleId="Default">
    <w:name w:val="Default"/>
    <w:qFormat/>
    <w:rsid w:val="00FA54E0"/>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sid w:val="00FA54E0"/>
    <w:rPr>
      <w:kern w:val="2"/>
      <w:sz w:val="18"/>
      <w:szCs w:val="18"/>
    </w:rPr>
  </w:style>
  <w:style w:type="character" w:customStyle="1" w:styleId="1Char">
    <w:name w:val="标题 1 Char"/>
    <w:basedOn w:val="a1"/>
    <w:link w:val="1"/>
    <w:qFormat/>
    <w:rsid w:val="00FA54E0"/>
    <w:rPr>
      <w:b/>
      <w:bCs/>
      <w:kern w:val="44"/>
      <w:sz w:val="44"/>
      <w:szCs w:val="44"/>
    </w:rPr>
  </w:style>
  <w:style w:type="character" w:customStyle="1" w:styleId="Char0">
    <w:name w:val="日期 Char"/>
    <w:basedOn w:val="a1"/>
    <w:link w:val="aa"/>
    <w:qFormat/>
    <w:rsid w:val="00FA54E0"/>
    <w:rPr>
      <w:kern w:val="2"/>
      <w:sz w:val="24"/>
    </w:rPr>
  </w:style>
  <w:style w:type="character" w:customStyle="1" w:styleId="3Char">
    <w:name w:val="标题 3 Char"/>
    <w:basedOn w:val="a1"/>
    <w:link w:val="3"/>
    <w:uiPriority w:val="9"/>
    <w:qFormat/>
    <w:rsid w:val="00FA54E0"/>
    <w:rPr>
      <w:rFonts w:asciiTheme="minorHAnsi" w:eastAsiaTheme="minorEastAsia" w:hAnsiTheme="minorHAnsi" w:cstheme="minorBidi"/>
      <w:b/>
      <w:bCs/>
      <w:kern w:val="2"/>
      <w:sz w:val="32"/>
      <w:szCs w:val="32"/>
    </w:rPr>
  </w:style>
  <w:style w:type="table" w:customStyle="1" w:styleId="12">
    <w:name w:val="网格型1"/>
    <w:basedOn w:val="a2"/>
    <w:qFormat/>
    <w:rsid w:val="00FA54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qFormat/>
    <w:rsid w:val="00FA54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F644C13-61A5-40BA-BC52-D6B10E505E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1160</Words>
  <Characters>6614</Characters>
  <Application>Microsoft Office Word</Application>
  <DocSecurity>4</DocSecurity>
  <Lines>55</Lines>
  <Paragraphs>15</Paragraphs>
  <ScaleCrop>false</ScaleCrop>
  <Company>TRT. Ltd. Co.</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2018-07-17T16:39:00Z</dcterms:created>
  <dcterms:modified xsi:type="dcterms:W3CDTF">2018-07-17T16:39:00Z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