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华安慧增优选定期开放灵活配置混合型证券投资基金</w:t>
      </w:r>
    </w:p>
    <w:p w:rsidR="000D6173" w:rsidRDefault="00AA716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2018年第2季度报告</w:t>
      </w:r>
    </w:p>
    <w:p w:rsidR="000D6173" w:rsidRDefault="00AA7166">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2018年</w:t>
      </w:r>
      <w:r w:rsidR="00A85FE0">
        <w:rPr>
          <w:rFonts w:asciiTheme="minorEastAsia" w:eastAsiaTheme="minorEastAsia" w:hAnsiTheme="minorEastAsia" w:hint="eastAsia"/>
          <w:b/>
          <w:color w:val="000000" w:themeColor="text1"/>
          <w:sz w:val="24"/>
          <w:szCs w:val="24"/>
        </w:rPr>
        <w:t>5</w:t>
      </w:r>
      <w:r>
        <w:rPr>
          <w:rFonts w:asciiTheme="minorEastAsia" w:eastAsiaTheme="minorEastAsia" w:hAnsiTheme="minorEastAsia"/>
          <w:b/>
          <w:color w:val="000000" w:themeColor="text1"/>
          <w:sz w:val="24"/>
          <w:szCs w:val="24"/>
        </w:rPr>
        <w:t>月</w:t>
      </w:r>
      <w:r w:rsidR="00A85FE0">
        <w:rPr>
          <w:rFonts w:asciiTheme="minorEastAsia" w:eastAsiaTheme="minorEastAsia" w:hAnsiTheme="minorEastAsia" w:hint="eastAsia"/>
          <w:b/>
          <w:color w:val="000000" w:themeColor="text1"/>
          <w:sz w:val="24"/>
          <w:szCs w:val="24"/>
        </w:rPr>
        <w:t>25</w:t>
      </w:r>
      <w:r>
        <w:rPr>
          <w:rFonts w:asciiTheme="minorEastAsia" w:eastAsiaTheme="minorEastAsia" w:hAnsiTheme="minorEastAsia"/>
          <w:b/>
          <w:color w:val="000000" w:themeColor="text1"/>
          <w:sz w:val="24"/>
          <w:szCs w:val="24"/>
        </w:rPr>
        <w:t>日</w:t>
      </w: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jc w:val="center"/>
        <w:rPr>
          <w:rFonts w:asciiTheme="minorEastAsia" w:eastAsiaTheme="minorEastAsia" w:hAnsiTheme="minorEastAsia"/>
          <w:b/>
          <w:bCs/>
          <w:color w:val="000000" w:themeColor="text1"/>
          <w:sz w:val="24"/>
          <w:szCs w:val="24"/>
        </w:rPr>
      </w:pPr>
    </w:p>
    <w:p w:rsidR="000D6173" w:rsidRDefault="000D6173">
      <w:pPr>
        <w:spacing w:line="360" w:lineRule="auto"/>
        <w:rPr>
          <w:rFonts w:asciiTheme="minorEastAsia" w:eastAsiaTheme="minorEastAsia" w:hAnsiTheme="minorEastAsia"/>
          <w:b/>
          <w:bCs/>
          <w:color w:val="000000" w:themeColor="text1"/>
          <w:sz w:val="24"/>
          <w:szCs w:val="24"/>
        </w:rPr>
      </w:pPr>
    </w:p>
    <w:p w:rsidR="000D6173" w:rsidRDefault="00AA716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华安基金管理有限公司</w:t>
      </w:r>
    </w:p>
    <w:p w:rsidR="000D6173" w:rsidRDefault="00AA716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北京银行股份有限公司</w:t>
      </w:r>
    </w:p>
    <w:p w:rsidR="000D6173" w:rsidRDefault="00AA7166">
      <w:pPr>
        <w:spacing w:line="360" w:lineRule="auto"/>
        <w:ind w:firstLineChars="900" w:firstLine="2168"/>
        <w:rPr>
          <w:rFonts w:asciiTheme="minorEastAsia" w:eastAsiaTheme="minorEastAsia" w:hAnsiTheme="minorEastAsia"/>
          <w:b/>
          <w:color w:val="000000" w:themeColor="text1"/>
          <w:sz w:val="24"/>
          <w:szCs w:val="24"/>
        </w:rPr>
        <w:sectPr w:rsidR="000D6173">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二〇一八年七月</w:t>
      </w:r>
      <w:r w:rsidR="004B71C7">
        <w:rPr>
          <w:rFonts w:asciiTheme="minorEastAsia" w:eastAsiaTheme="minorEastAsia" w:hAnsiTheme="minorEastAsia" w:hint="eastAsia"/>
          <w:b/>
          <w:color w:val="000000" w:themeColor="text1"/>
          <w:sz w:val="24"/>
          <w:szCs w:val="24"/>
        </w:rPr>
        <w:t>十八</w:t>
      </w:r>
      <w:r>
        <w:rPr>
          <w:rFonts w:asciiTheme="minorEastAsia" w:eastAsiaTheme="minorEastAsia" w:hAnsiTheme="minorEastAsia"/>
          <w:b/>
          <w:color w:val="000000" w:themeColor="text1"/>
          <w:sz w:val="24"/>
          <w:szCs w:val="24"/>
        </w:rPr>
        <w:t>日</w:t>
      </w:r>
    </w:p>
    <w:p w:rsidR="000D6173" w:rsidRDefault="00AA7166" w:rsidP="00D473E9">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基金托管人北京银行股份有限公司根据本基金合同规定，于2018年7月</w:t>
      </w:r>
      <w:r w:rsidR="00A85FE0">
        <w:rPr>
          <w:rFonts w:asciiTheme="minorEastAsia" w:eastAsiaTheme="minorEastAsia" w:hAnsiTheme="minorEastAsia" w:hint="eastAsia"/>
          <w:color w:val="000000" w:themeColor="text1"/>
        </w:rPr>
        <w:t>16</w:t>
      </w:r>
      <w:r>
        <w:rPr>
          <w:rFonts w:asciiTheme="minorEastAsia" w:eastAsiaTheme="minorEastAsia" w:hAnsiTheme="minorEastAsia"/>
          <w:color w:val="000000" w:themeColor="text1"/>
        </w:rPr>
        <w:t xml:space="preserve">日复核了本报告中的财务指标、净值表现和投资组合报告等内容，保证复核内容不存在虚假记载、误导性陈述或者重大遗漏。 </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本报告期自2018年4月1日起至</w:t>
      </w:r>
      <w:r w:rsidR="00A85FE0">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月</w:t>
      </w:r>
      <w:r w:rsidR="00A85FE0">
        <w:rPr>
          <w:rFonts w:asciiTheme="minorEastAsia" w:eastAsiaTheme="minorEastAsia" w:hAnsiTheme="minorEastAsia" w:hint="eastAsia"/>
          <w:color w:val="000000" w:themeColor="text1"/>
        </w:rPr>
        <w:t>25</w:t>
      </w:r>
      <w:r>
        <w:rPr>
          <w:rFonts w:asciiTheme="minorEastAsia" w:eastAsiaTheme="minorEastAsia" w:hAnsiTheme="minorEastAsia"/>
          <w:color w:val="000000" w:themeColor="text1"/>
        </w:rPr>
        <w:t>日止。</w:t>
      </w:r>
    </w:p>
    <w:p w:rsidR="000D6173" w:rsidRDefault="00AA7166" w:rsidP="00D473E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华安慧增优选定期开放灵活配置混合</w:t>
            </w:r>
          </w:p>
        </w:tc>
      </w:tr>
      <w:tr w:rsidR="000D6173">
        <w:tc>
          <w:tcPr>
            <w:tcW w:w="2835" w:type="dxa"/>
            <w:vAlign w:val="center"/>
          </w:tcPr>
          <w:p w:rsidR="000D6173" w:rsidRDefault="00AA7166">
            <w:pPr>
              <w:rPr>
                <w:rFonts w:ascii="宋体" w:hAnsi="宋体"/>
                <w:color w:val="000000" w:themeColor="text1"/>
              </w:rPr>
            </w:pPr>
            <w:r>
              <w:rPr>
                <w:rFonts w:ascii="宋体" w:hAnsi="宋体" w:hint="eastAsia"/>
                <w:color w:val="000000" w:themeColor="text1"/>
              </w:rPr>
              <w:t>场内简称</w:t>
            </w:r>
          </w:p>
        </w:tc>
        <w:tc>
          <w:tcPr>
            <w:tcW w:w="5479" w:type="dxa"/>
            <w:vAlign w:val="center"/>
          </w:tcPr>
          <w:p w:rsidR="000D6173" w:rsidRDefault="00AA7166">
            <w:pPr>
              <w:rPr>
                <w:rFonts w:ascii="宋体" w:hAnsi="宋体"/>
                <w:color w:val="000000" w:themeColor="text1"/>
              </w:rPr>
            </w:pPr>
            <w:r>
              <w:rPr>
                <w:rFonts w:ascii="宋体" w:hAnsi="宋体" w:hint="eastAsia"/>
                <w:color w:val="000000" w:themeColor="text1"/>
              </w:rPr>
              <w:t>华安慧增</w:t>
            </w:r>
          </w:p>
        </w:tc>
      </w:tr>
      <w:tr w:rsidR="000D6173">
        <w:tc>
          <w:tcPr>
            <w:tcW w:w="2835" w:type="dxa"/>
            <w:tcBorders>
              <w:top w:val="single" w:sz="4" w:space="0" w:color="auto"/>
              <w:left w:val="single" w:sz="4" w:space="0" w:color="auto"/>
              <w:bottom w:val="single" w:sz="4" w:space="0" w:color="auto"/>
              <w:right w:val="single" w:sz="4" w:space="0" w:color="auto"/>
            </w:tcBorders>
            <w:vAlign w:val="center"/>
          </w:tcPr>
          <w:p w:rsidR="000D6173" w:rsidRDefault="00AA716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160423</w:t>
            </w:r>
          </w:p>
        </w:tc>
      </w:tr>
      <w:tr w:rsidR="000D6173">
        <w:tc>
          <w:tcPr>
            <w:tcW w:w="2835" w:type="dxa"/>
            <w:tcBorders>
              <w:top w:val="single" w:sz="4" w:space="0" w:color="auto"/>
              <w:left w:val="single" w:sz="4" w:space="0" w:color="auto"/>
              <w:bottom w:val="single" w:sz="4" w:space="0" w:color="auto"/>
              <w:right w:val="single" w:sz="4" w:space="0" w:color="auto"/>
            </w:tcBorders>
            <w:vAlign w:val="center"/>
          </w:tcPr>
          <w:p w:rsidR="000D6173" w:rsidRDefault="00AA716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160423</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2018年2月6日</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23,153,244.32</w:t>
            </w:r>
            <w:r>
              <w:rPr>
                <w:rFonts w:asciiTheme="minorEastAsia" w:eastAsiaTheme="minorEastAsia" w:hAnsiTheme="minorEastAsia" w:hint="eastAsia"/>
                <w:color w:val="000000" w:themeColor="text1"/>
                <w:kern w:val="0"/>
              </w:rPr>
              <w:t>份</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本基金将灵活运用多种投资策略，充分挖掘和利用市场中潜在的投资机会，力争为基金份额持有人创造长期稳定的投资回报。</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沪深300指数收益率×50%+中国债券总指数收益率×50%</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本基金为混合型基金，其预期收益及预期风险水平高于债券型基金和货币市场基金，但低于股票型基金，属于中高预期收益风险水平的投资品种。</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华安基金管理有限公司</w:t>
            </w:r>
          </w:p>
        </w:tc>
      </w:tr>
      <w:tr w:rsidR="000D6173">
        <w:tc>
          <w:tcPr>
            <w:tcW w:w="2835"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北京银行股份有限公司</w:t>
            </w:r>
          </w:p>
        </w:tc>
      </w:tr>
    </w:tbl>
    <w:p w:rsidR="000D6173" w:rsidRDefault="00AA7166" w:rsidP="00D473E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A85FE0" w:rsidTr="00A85FE0">
        <w:tc>
          <w:tcPr>
            <w:tcW w:w="3402" w:type="dxa"/>
            <w:vAlign w:val="center"/>
          </w:tcPr>
          <w:p w:rsidR="000D6173" w:rsidRDefault="00AA7166">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0D6173" w:rsidRDefault="00AA7166">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0D6173" w:rsidRDefault="00AA7166" w:rsidP="00A85FE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2018年4月1日-2018年</w:t>
            </w:r>
            <w:r w:rsidR="00A85FE0">
              <w:rPr>
                <w:rFonts w:asciiTheme="minorEastAsia" w:eastAsiaTheme="minorEastAsia" w:hAnsiTheme="minorEastAsia" w:cs="宋体" w:hint="eastAsia"/>
                <w:color w:val="000000" w:themeColor="text1"/>
              </w:rPr>
              <w:t>5</w:t>
            </w:r>
            <w:r>
              <w:rPr>
                <w:rFonts w:asciiTheme="minorEastAsia" w:eastAsiaTheme="minorEastAsia" w:hAnsiTheme="minorEastAsia" w:cs="宋体"/>
                <w:color w:val="000000" w:themeColor="text1"/>
              </w:rPr>
              <w:t>月</w:t>
            </w:r>
            <w:r w:rsidR="00A85FE0">
              <w:rPr>
                <w:rFonts w:asciiTheme="minorEastAsia" w:eastAsiaTheme="minorEastAsia" w:hAnsiTheme="minorEastAsia" w:cs="宋体" w:hint="eastAsia"/>
                <w:color w:val="000000" w:themeColor="text1"/>
              </w:rPr>
              <w:t>25</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A85FE0" w:rsidTr="00A85FE0">
        <w:tc>
          <w:tcPr>
            <w:tcW w:w="3402"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0D6173" w:rsidRDefault="00AA716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1,731,760.91</w:t>
            </w:r>
          </w:p>
        </w:tc>
      </w:tr>
      <w:tr w:rsidR="00A85FE0" w:rsidTr="00A85FE0">
        <w:tc>
          <w:tcPr>
            <w:tcW w:w="3402"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0D6173" w:rsidRDefault="00AA716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1,731,760.91</w:t>
            </w:r>
          </w:p>
        </w:tc>
      </w:tr>
      <w:tr w:rsidR="00A85FE0" w:rsidTr="00A85FE0">
        <w:tc>
          <w:tcPr>
            <w:tcW w:w="3402"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0D6173" w:rsidRDefault="00AA716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0.0085</w:t>
            </w:r>
          </w:p>
        </w:tc>
      </w:tr>
      <w:tr w:rsidR="00A85FE0" w:rsidTr="00A85FE0">
        <w:tc>
          <w:tcPr>
            <w:tcW w:w="3402"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0D6173" w:rsidRDefault="00AA716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23,629,942.88</w:t>
            </w:r>
          </w:p>
        </w:tc>
      </w:tr>
      <w:tr w:rsidR="00A85FE0" w:rsidTr="00A85FE0">
        <w:trPr>
          <w:trHeight w:val="158"/>
        </w:trPr>
        <w:tc>
          <w:tcPr>
            <w:tcW w:w="3402" w:type="dxa"/>
            <w:vAlign w:val="center"/>
          </w:tcPr>
          <w:p w:rsidR="000D6173" w:rsidRDefault="00AA716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0D6173" w:rsidRDefault="00AA716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1.0206</w:t>
            </w:r>
          </w:p>
        </w:tc>
      </w:tr>
    </w:tbl>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0D6173" w:rsidRDefault="00AA7166">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tblPr>
      <w:tblGrid>
        <w:gridCol w:w="1395"/>
        <w:gridCol w:w="1092"/>
        <w:gridCol w:w="1161"/>
        <w:gridCol w:w="1181"/>
        <w:gridCol w:w="1188"/>
        <w:gridCol w:w="1199"/>
        <w:gridCol w:w="1204"/>
      </w:tblGrid>
      <w:tr w:rsidR="000D6173">
        <w:tc>
          <w:tcPr>
            <w:tcW w:w="1395"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0D6173">
        <w:tc>
          <w:tcPr>
            <w:tcW w:w="1395" w:type="dxa"/>
            <w:vAlign w:val="center"/>
          </w:tcPr>
          <w:p w:rsidR="000D6173" w:rsidRDefault="00AA7166">
            <w:pPr>
              <w:jc w:val="left"/>
            </w:pPr>
            <w:r>
              <w:rPr>
                <w:rFonts w:asciiTheme="minorEastAsia" w:eastAsiaTheme="minorEastAsia" w:hAnsiTheme="minorEastAsia"/>
                <w:color w:val="000000" w:themeColor="text1"/>
                <w:kern w:val="0"/>
              </w:rPr>
              <w:t>过去三个月</w:t>
            </w:r>
          </w:p>
        </w:tc>
        <w:tc>
          <w:tcPr>
            <w:tcW w:w="1092" w:type="dxa"/>
            <w:vAlign w:val="center"/>
          </w:tcPr>
          <w:p w:rsidR="000D6173" w:rsidRDefault="00AA7166">
            <w:pPr>
              <w:jc w:val="center"/>
            </w:pPr>
            <w:r>
              <w:rPr>
                <w:rFonts w:asciiTheme="minorEastAsia" w:eastAsiaTheme="minorEastAsia" w:hAnsiTheme="minorEastAsia"/>
                <w:color w:val="000000" w:themeColor="text1"/>
                <w:kern w:val="0"/>
              </w:rPr>
              <w:t>1.50%</w:t>
            </w:r>
          </w:p>
        </w:tc>
        <w:tc>
          <w:tcPr>
            <w:tcW w:w="1161" w:type="dxa"/>
            <w:vAlign w:val="center"/>
          </w:tcPr>
          <w:p w:rsidR="000D6173" w:rsidRDefault="00AA7166">
            <w:pPr>
              <w:jc w:val="center"/>
            </w:pPr>
            <w:r>
              <w:rPr>
                <w:rFonts w:asciiTheme="minorEastAsia" w:eastAsiaTheme="minorEastAsia" w:hAnsiTheme="minorEastAsia"/>
                <w:color w:val="000000" w:themeColor="text1"/>
                <w:kern w:val="0"/>
              </w:rPr>
              <w:t>0.10%</w:t>
            </w:r>
          </w:p>
        </w:tc>
        <w:tc>
          <w:tcPr>
            <w:tcW w:w="1181" w:type="dxa"/>
            <w:vAlign w:val="center"/>
          </w:tcPr>
          <w:p w:rsidR="000D6173" w:rsidRDefault="00AA7166">
            <w:pPr>
              <w:jc w:val="center"/>
            </w:pPr>
            <w:r>
              <w:rPr>
                <w:rFonts w:asciiTheme="minorEastAsia" w:eastAsiaTheme="minorEastAsia" w:hAnsiTheme="minorEastAsia"/>
                <w:color w:val="000000" w:themeColor="text1"/>
                <w:kern w:val="0"/>
              </w:rPr>
              <w:t>-0.70%</w:t>
            </w:r>
          </w:p>
        </w:tc>
        <w:tc>
          <w:tcPr>
            <w:tcW w:w="1188" w:type="dxa"/>
            <w:vAlign w:val="center"/>
          </w:tcPr>
          <w:p w:rsidR="000D6173" w:rsidRDefault="00AA7166">
            <w:pPr>
              <w:jc w:val="center"/>
            </w:pPr>
            <w:r>
              <w:rPr>
                <w:rFonts w:asciiTheme="minorEastAsia" w:eastAsiaTheme="minorEastAsia" w:hAnsiTheme="minorEastAsia"/>
                <w:color w:val="000000" w:themeColor="text1"/>
                <w:kern w:val="0"/>
              </w:rPr>
              <w:t>0.49%</w:t>
            </w:r>
          </w:p>
        </w:tc>
        <w:tc>
          <w:tcPr>
            <w:tcW w:w="1199" w:type="dxa"/>
            <w:vAlign w:val="center"/>
          </w:tcPr>
          <w:p w:rsidR="000D6173" w:rsidRDefault="00AA7166">
            <w:pPr>
              <w:jc w:val="center"/>
            </w:pPr>
            <w:r>
              <w:rPr>
                <w:rFonts w:asciiTheme="minorEastAsia" w:eastAsiaTheme="minorEastAsia" w:hAnsiTheme="minorEastAsia"/>
                <w:color w:val="000000" w:themeColor="text1"/>
                <w:kern w:val="0"/>
              </w:rPr>
              <w:t>2.20%</w:t>
            </w:r>
          </w:p>
        </w:tc>
        <w:tc>
          <w:tcPr>
            <w:tcW w:w="1204" w:type="dxa"/>
            <w:vAlign w:val="center"/>
          </w:tcPr>
          <w:p w:rsidR="000D6173" w:rsidRDefault="00AA7166">
            <w:pPr>
              <w:jc w:val="center"/>
            </w:pPr>
            <w:r>
              <w:rPr>
                <w:rFonts w:asciiTheme="minorEastAsia" w:eastAsiaTheme="minorEastAsia" w:hAnsiTheme="minorEastAsia"/>
                <w:color w:val="000000" w:themeColor="text1"/>
                <w:kern w:val="0"/>
              </w:rPr>
              <w:t>-0.39%</w:t>
            </w:r>
          </w:p>
        </w:tc>
      </w:tr>
    </w:tbl>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0D6173" w:rsidRDefault="00AA7166">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华安慧增优选定期开放灵活配置混合型证券投资基金</w:t>
      </w:r>
    </w:p>
    <w:p w:rsidR="000D6173" w:rsidRDefault="00AA7166">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0D6173" w:rsidRDefault="00AA7166">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2018年2月6日</w:t>
      </w:r>
      <w:r>
        <w:rPr>
          <w:rFonts w:asciiTheme="minorEastAsia" w:eastAsiaTheme="minorEastAsia" w:hAnsiTheme="minorEastAsia" w:hint="eastAsia"/>
          <w:color w:val="000000" w:themeColor="text1"/>
        </w:rPr>
        <w:t>至2018年</w:t>
      </w:r>
      <w:r w:rsidR="00A85FE0">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月</w:t>
      </w:r>
      <w:r w:rsidR="00A85FE0">
        <w:rPr>
          <w:rFonts w:asciiTheme="minorEastAsia" w:eastAsiaTheme="minorEastAsia" w:hAnsiTheme="minorEastAsia" w:hint="eastAsia"/>
          <w:color w:val="000000" w:themeColor="text1"/>
        </w:rPr>
        <w:t>25</w:t>
      </w:r>
      <w:r>
        <w:rPr>
          <w:rFonts w:asciiTheme="minorEastAsia" w:eastAsiaTheme="minorEastAsia" w:hAnsiTheme="minorEastAsia" w:hint="eastAsia"/>
          <w:color w:val="000000" w:themeColor="text1"/>
        </w:rPr>
        <w:t>日)</w:t>
      </w:r>
    </w:p>
    <w:p w:rsidR="000D6173" w:rsidRDefault="00AA7166">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6850" cy="3086100"/>
                    </a:xfrm>
                    <a:prstGeom prst="rect">
                      <a:avLst/>
                    </a:prstGeom>
                    <a:noFill/>
                    <a:ln>
                      <a:noFill/>
                    </a:ln>
                  </pic:spPr>
                </pic:pic>
              </a:graphicData>
            </a:graphic>
          </wp:inline>
        </w:drawing>
      </w:r>
    </w:p>
    <w:p w:rsidR="000D6173" w:rsidRDefault="000D6173">
      <w:pPr>
        <w:tabs>
          <w:tab w:val="left" w:pos="1800"/>
        </w:tabs>
        <w:spacing w:line="360" w:lineRule="auto"/>
        <w:rPr>
          <w:rFonts w:asciiTheme="minorEastAsia" w:eastAsiaTheme="minorEastAsia" w:hAnsiTheme="minorEastAsia"/>
          <w:color w:val="000000" w:themeColor="text1"/>
          <w:sz w:val="24"/>
          <w:szCs w:val="24"/>
        </w:rPr>
      </w:pPr>
    </w:p>
    <w:p w:rsidR="000D6173" w:rsidRDefault="00AA7166" w:rsidP="00D473E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1559"/>
        <w:gridCol w:w="1417"/>
        <w:gridCol w:w="2694"/>
      </w:tblGrid>
      <w:tr w:rsidR="000D6173">
        <w:trPr>
          <w:cantSplit/>
          <w:trHeight w:val="292"/>
        </w:trPr>
        <w:tc>
          <w:tcPr>
            <w:tcW w:w="851" w:type="dxa"/>
            <w:vMerge w:val="restart"/>
            <w:vAlign w:val="center"/>
          </w:tcPr>
          <w:p w:rsidR="000D6173" w:rsidRDefault="00AA716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0D6173" w:rsidRDefault="00AA716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0D6173" w:rsidRDefault="00AA716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0D6173">
        <w:trPr>
          <w:cantSplit/>
        </w:trPr>
        <w:tc>
          <w:tcPr>
            <w:tcW w:w="851" w:type="dxa"/>
            <w:vMerge/>
            <w:vAlign w:val="center"/>
          </w:tcPr>
          <w:p w:rsidR="000D6173" w:rsidRDefault="000D6173">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0D6173" w:rsidRDefault="000D6173">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0D6173" w:rsidRDefault="000D6173">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0D6173" w:rsidRDefault="000D6173">
            <w:pPr>
              <w:widowControl/>
              <w:spacing w:line="360" w:lineRule="auto"/>
              <w:jc w:val="left"/>
              <w:rPr>
                <w:rFonts w:asciiTheme="minorEastAsia" w:eastAsiaTheme="minorEastAsia" w:hAnsiTheme="minorEastAsia"/>
                <w:color w:val="000000" w:themeColor="text1"/>
                <w:kern w:val="0"/>
              </w:rPr>
            </w:pPr>
          </w:p>
        </w:tc>
      </w:tr>
      <w:tr w:rsidR="000D6173">
        <w:tc>
          <w:tcPr>
            <w:tcW w:w="851" w:type="dxa"/>
            <w:vAlign w:val="center"/>
          </w:tcPr>
          <w:p w:rsidR="000D6173" w:rsidRDefault="00AA7166">
            <w:pPr>
              <w:jc w:val="center"/>
            </w:pPr>
            <w:r>
              <w:rPr>
                <w:rFonts w:asciiTheme="minorEastAsia" w:eastAsiaTheme="minorEastAsia" w:hAnsiTheme="minorEastAsia"/>
                <w:color w:val="000000" w:themeColor="text1"/>
              </w:rPr>
              <w:t>刘伟亭</w:t>
            </w:r>
          </w:p>
        </w:tc>
        <w:tc>
          <w:tcPr>
            <w:tcW w:w="850" w:type="dxa"/>
            <w:vAlign w:val="center"/>
          </w:tcPr>
          <w:p w:rsidR="000D6173" w:rsidRDefault="00AA7166">
            <w:pPr>
              <w:jc w:val="center"/>
            </w:pPr>
            <w:r>
              <w:rPr>
                <w:rFonts w:asciiTheme="minorEastAsia" w:eastAsiaTheme="minorEastAsia" w:hAnsiTheme="minorEastAsia"/>
                <w:color w:val="000000" w:themeColor="text1"/>
              </w:rPr>
              <w:t>本基金的基金经理</w:t>
            </w:r>
          </w:p>
        </w:tc>
        <w:tc>
          <w:tcPr>
            <w:tcW w:w="1560" w:type="dxa"/>
            <w:vAlign w:val="center"/>
          </w:tcPr>
          <w:p w:rsidR="000D6173" w:rsidRDefault="00AA7166">
            <w:pPr>
              <w:jc w:val="center"/>
            </w:pPr>
            <w:r>
              <w:rPr>
                <w:rFonts w:asciiTheme="minorEastAsia" w:eastAsiaTheme="minorEastAsia" w:hAnsiTheme="minorEastAsia"/>
                <w:color w:val="000000" w:themeColor="text1"/>
              </w:rPr>
              <w:t>2018-02-06</w:t>
            </w:r>
          </w:p>
        </w:tc>
        <w:tc>
          <w:tcPr>
            <w:tcW w:w="1559" w:type="dxa"/>
            <w:vAlign w:val="center"/>
          </w:tcPr>
          <w:p w:rsidR="000D6173" w:rsidRDefault="00AA7166">
            <w:pPr>
              <w:jc w:val="center"/>
            </w:pPr>
            <w:r>
              <w:rPr>
                <w:rFonts w:asciiTheme="minorEastAsia" w:eastAsiaTheme="minorEastAsia" w:hAnsiTheme="minorEastAsia"/>
                <w:color w:val="000000" w:themeColor="text1"/>
              </w:rPr>
              <w:t>2018-05-25</w:t>
            </w:r>
          </w:p>
        </w:tc>
        <w:tc>
          <w:tcPr>
            <w:tcW w:w="1417" w:type="dxa"/>
            <w:vAlign w:val="center"/>
          </w:tcPr>
          <w:p w:rsidR="000D6173" w:rsidRDefault="00AA7166">
            <w:pPr>
              <w:jc w:val="center"/>
            </w:pPr>
            <w:r>
              <w:rPr>
                <w:rFonts w:asciiTheme="minorEastAsia" w:eastAsiaTheme="minorEastAsia" w:hAnsiTheme="minorEastAsia"/>
                <w:color w:val="000000" w:themeColor="text1"/>
              </w:rPr>
              <w:t>12年</w:t>
            </w:r>
          </w:p>
        </w:tc>
        <w:tc>
          <w:tcPr>
            <w:tcW w:w="2694" w:type="dxa"/>
            <w:vAlign w:val="center"/>
          </w:tcPr>
          <w:p w:rsidR="000D6173" w:rsidRDefault="00AA7166">
            <w:r>
              <w:rPr>
                <w:rFonts w:asciiTheme="minorEastAsia" w:eastAsiaTheme="minorEastAsia" w:hAnsiTheme="minorEastAsia"/>
                <w:color w:val="000000" w:themeColor="text1"/>
              </w:rPr>
              <w:t>硕士研究生，12年证券、基金从业经验，曾任长江巴黎百富勤证券有限公司助理经理、国海富兰克林基金基金经理。2015年6月加入华安基金管理有限公司，2015年9月至2018年5月担任华安宝利配置证券投资基金及华安生态优先混合型证券投资基金的基金经理。2016年9月至2018年6月，担任华安智增精选灵活配置混合型证券投资基金的基金经理。2018年2月至2018年5月，同时担任本基金的基金经理。</w:t>
            </w:r>
          </w:p>
        </w:tc>
      </w:tr>
      <w:tr w:rsidR="000D6173">
        <w:tc>
          <w:tcPr>
            <w:tcW w:w="851" w:type="dxa"/>
            <w:vAlign w:val="center"/>
          </w:tcPr>
          <w:p w:rsidR="000D6173" w:rsidRDefault="00AA7166">
            <w:pPr>
              <w:jc w:val="center"/>
            </w:pPr>
            <w:r>
              <w:rPr>
                <w:rFonts w:asciiTheme="minorEastAsia" w:eastAsiaTheme="minorEastAsia" w:hAnsiTheme="minorEastAsia"/>
                <w:color w:val="000000" w:themeColor="text1"/>
              </w:rPr>
              <w:t>郑如熙</w:t>
            </w:r>
          </w:p>
        </w:tc>
        <w:tc>
          <w:tcPr>
            <w:tcW w:w="850" w:type="dxa"/>
            <w:vAlign w:val="center"/>
          </w:tcPr>
          <w:p w:rsidR="000D6173" w:rsidRDefault="00AA7166">
            <w:pPr>
              <w:jc w:val="center"/>
            </w:pPr>
            <w:r>
              <w:rPr>
                <w:rFonts w:asciiTheme="minorEastAsia" w:eastAsiaTheme="minorEastAsia" w:hAnsiTheme="minorEastAsia"/>
                <w:color w:val="000000" w:themeColor="text1"/>
              </w:rPr>
              <w:t>本基金的基金经理</w:t>
            </w:r>
          </w:p>
        </w:tc>
        <w:tc>
          <w:tcPr>
            <w:tcW w:w="1560" w:type="dxa"/>
            <w:vAlign w:val="center"/>
          </w:tcPr>
          <w:p w:rsidR="000D6173" w:rsidRDefault="00AA7166">
            <w:pPr>
              <w:jc w:val="center"/>
            </w:pPr>
            <w:r>
              <w:rPr>
                <w:rFonts w:asciiTheme="minorEastAsia" w:eastAsiaTheme="minorEastAsia" w:hAnsiTheme="minorEastAsia"/>
                <w:color w:val="000000" w:themeColor="text1"/>
              </w:rPr>
              <w:t>2018-02-26</w:t>
            </w:r>
          </w:p>
        </w:tc>
        <w:tc>
          <w:tcPr>
            <w:tcW w:w="1559" w:type="dxa"/>
            <w:vAlign w:val="center"/>
          </w:tcPr>
          <w:p w:rsidR="000D6173" w:rsidRDefault="00AA7166">
            <w:pPr>
              <w:jc w:val="center"/>
            </w:pPr>
            <w:r>
              <w:rPr>
                <w:rFonts w:asciiTheme="minorEastAsia" w:eastAsiaTheme="minorEastAsia" w:hAnsiTheme="minorEastAsia"/>
                <w:color w:val="000000" w:themeColor="text1"/>
              </w:rPr>
              <w:t>2018-05-25</w:t>
            </w:r>
          </w:p>
        </w:tc>
        <w:tc>
          <w:tcPr>
            <w:tcW w:w="1417" w:type="dxa"/>
            <w:vAlign w:val="center"/>
          </w:tcPr>
          <w:p w:rsidR="000D6173" w:rsidRDefault="00AA7166">
            <w:pPr>
              <w:jc w:val="center"/>
            </w:pPr>
            <w:r>
              <w:rPr>
                <w:rFonts w:asciiTheme="minorEastAsia" w:eastAsiaTheme="minorEastAsia" w:hAnsiTheme="minorEastAsia"/>
                <w:color w:val="000000" w:themeColor="text1"/>
              </w:rPr>
              <w:t>14年</w:t>
            </w:r>
          </w:p>
        </w:tc>
        <w:tc>
          <w:tcPr>
            <w:tcW w:w="2694" w:type="dxa"/>
            <w:vAlign w:val="center"/>
          </w:tcPr>
          <w:p w:rsidR="000D6173" w:rsidRDefault="00AA7166">
            <w:r>
              <w:rPr>
                <w:rFonts w:asciiTheme="minorEastAsia" w:eastAsiaTheme="minorEastAsia" w:hAnsiTheme="minorEastAsia"/>
                <w:color w:val="000000" w:themeColor="text1"/>
              </w:rPr>
              <w:t>复旦大学硕士，14年相关从业经验。历任上海远东资信评估有限公司评级分析师、太平资产管理有限公司信用研究员、华泰证券股份有限公司投资经理、交易团队负责人，2017年5月加入华安基金，任固定收益部研究员。2017年7月起，担任华安纯债债券型发起式证券投资基金的基金经理。2018年2月至2018年5月，同时担任本基金的基金经理。2018年3月起，同时担任华安安悦债券型证券投资基金、华安安逸半年定期开放债券型发起式证券投资基金的基金经理。</w:t>
            </w:r>
          </w:p>
        </w:tc>
      </w:tr>
    </w:tbl>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注：此处的任职日期和离任日期均指公司作出决定之日，即以公告日为准。证券从业的含义遵从行业协会《证券业从业人员资格管理办法》的相关规定。</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0D6173" w:rsidRDefault="00AA71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中国证监会《证券投资基金管理公司公平交易制度指导意见》，公司制定了《华安基金管理有限公司公平交易管理制度》，将封闭式基金、开放式基金、特定客户资产管理组合及其他投资组合资产在研究分析、投资决策、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1） 交易所二级市场业务，遵循价格优先、时间优先、比例分配、综合平衡的控制原则，实现同一时间下达指令的投资组合在交易时机上的公平性。（2） 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3） 银行间市场业务遵循指令时间优先原则，先到先询价的控制原则。通过内部共同的iwind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控部门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 本报告期内，公司公平交易制度总体执行情况良好。</w:t>
      </w:r>
    </w:p>
    <w:p w:rsidR="000D6173" w:rsidRDefault="00AA71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根据中国证监会《证券投资基金管理公司公平交易制度指导意见》，公司合规监察稽核部会同基金投资、交易部门讨论制定了公募基金、专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数基金以外的所有投资组合参与的交易所公开竞价交易中，出现同日反向交易成交较少的单边交易量超过该证券当日成交量的5%的次数为2次，未出现异常交易。</w:t>
      </w:r>
    </w:p>
    <w:p w:rsidR="000D6173" w:rsidRDefault="000D6173">
      <w:pPr>
        <w:spacing w:line="360" w:lineRule="auto"/>
        <w:ind w:firstLineChars="200" w:firstLine="480"/>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0D6173" w:rsidRDefault="00AA71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2018年二季度欧美经济分化，美国经济维持强势，美联储6月第二次调高基准利率。欧洲经济走弱，欧央行决定明年夏天之前都维持利率稳定。油价大涨，但受中美贸易战影响，美债和欧债收益率均冲高回落。国内经济在出口和房地产的带动下表现出较强韧性。而金融防风险、地方融资平台整肃、基建增速下滑，影子银行收缩、非标回表、社融增速走低。CPI走弱、PPI温和反弹，人民币兑美元汇率由升转贬。货币政策转向稳健中性，二季度降准二次，公开市场操作利率并未跟随美国6月加息。货币市场流动性整体宽裕，NCD利率震荡下行。金融周期向下，信用违约事件增多、信用利差分化，高等级债券收益率跟随利率债下行，而中低信用等级债券收益率不降反升。股票市场受贸易战和金融紧缩的影响大幅下行，医药、白酒、旅游等防御性品种表现较好。可转债受股市下跌影响出现大面破发，市场整体“债性”特征明显。</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合同于2018年2月6日生效。为适应市场环境变化，更好地满足投资者需求，保护基金份额持有人的利益，基金管理人依据《中华人民共和国证券投资基金法》、《公开募集证券投资基金运作管理办法》和《基金合同》的有关规定，终止《基金合同》。根据本基金管理人2018年5月12日发布的《关于华安慧增基金份额持有人大会表决结果暨决议生效的公告》，本基金基金份额持有人大会于2018年5月10日表决通过了《关于终止华安慧增优选定期开放灵活配置混合型证券投资基金基金合同有关事项的议案》，大会决议自该日起生效。根据决议生效公告，本基金最后运作日为2018年5月25日，自2018年5月26日进入清算期。</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自本基金基金合同生效日至最后运作日期间，本基金主要进行定存投资。</w:t>
      </w:r>
    </w:p>
    <w:p w:rsidR="000D6173" w:rsidRDefault="00AA71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截至2018年5月25日，本基金份额净值为1.0206元，本报告期份额净值增长率为1.50%，同期业绩比较基准增长率为-0.70%。</w:t>
      </w:r>
    </w:p>
    <w:p w:rsidR="000D6173" w:rsidRDefault="000D6173">
      <w:pPr>
        <w:spacing w:line="360" w:lineRule="auto"/>
        <w:ind w:firstLineChars="200" w:firstLine="480"/>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股市方面：从盈利角度，宏观经济短期韧性仍在，但金融去杠杆导致投资增速预期下行和中美贸易战导致出口预期下行这两个因素叠加下，后续经济存在下行压力，对应上市公司整体业绩增速2季度或继续上行，但3季度往后面临回落风险。从估值角度，中美贸易战加剧的背景下预计国内去杠杆的力度和节奏都会有所缓和，3季度信用环境的环比改善将有助于股市风险偏好的阶段性回升。综上，我们乐观判断3季度股市存在阶段性反弹机会。虽然中美贸易战带来的经济下行压力和美联储持续加息带来的利率上行压力是两大灰犀牛，对权益市场会形成长期压制，但短期股市已过分担忧。我们认为决定短期股市方向的最核心因素仍是国内货币政策的取向，底线思维告诉我们大概率不会出现处置风险的风险，国内政策有足够的微调空间以确保市场平稳。</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债市方面：4月和7月央行两次降准之后，货币政策呈现边际上趋松的迹象，M2、信贷与社融增速均可能出现企稳，但预计M2增速的回升幅度将强于信贷与社融增速，整体上“偏宽货币、偏紧信用”的环境短期内尚难扭转，因此债市整体面临的国内宏观环境仍偏积极。在两次降准、央行加量mlf的作用下，流动性预计将保持中性偏松的格局，这将有利于短久期信用债。同时也应看到，在监管新规公布、各项细则陆续落地的现阶段，理财规模的收缩或低速增长预计将是大概率事件。尽管银行表内的自营资金将有稳定的债券配置需求，但大额风险暴露等监管指标的限制，将使银行委外资金对债券（尤其是信用债）的需求显著不如往年。</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本基金目前已进入清算期。</w:t>
      </w:r>
    </w:p>
    <w:p w:rsidR="000D6173" w:rsidRDefault="000D6173">
      <w:pPr>
        <w:spacing w:line="360" w:lineRule="auto"/>
        <w:rPr>
          <w:rFonts w:asciiTheme="minorEastAsia" w:eastAsiaTheme="minorEastAsia" w:hAnsiTheme="minorEastAsia"/>
          <w:color w:val="000000" w:themeColor="text1"/>
        </w:rPr>
      </w:pPr>
    </w:p>
    <w:p w:rsidR="000D6173" w:rsidRDefault="00AA71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.6报告期内基金持有人数或基金资产净值预警说明</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本基金报告期内基金持有人数不低于200人；基金资产净值也没有连续超过20个工作日低于5000万元的情况。</w:t>
      </w:r>
    </w:p>
    <w:p w:rsidR="000D6173" w:rsidRDefault="00AA7166" w:rsidP="00D473E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§5投资组合报告</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0D6173" w:rsidRDefault="00AA716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0D61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D6173" w:rsidRDefault="00AA716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0D6173" w:rsidRDefault="00AA716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0D61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D6173" w:rsidRDefault="00AA716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0D61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D6173" w:rsidRDefault="00AA7166">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tcPr>
          <w:p w:rsidR="000D6173" w:rsidRDefault="00AA716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0D6173" w:rsidRDefault="00AA7166">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0D6173" w:rsidRDefault="00AA716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0D6173" w:rsidRDefault="00AA716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0D617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D6173" w:rsidRDefault="00AA716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0D6173" w:rsidRDefault="00AA716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57,066,926.15</w:t>
            </w:r>
          </w:p>
        </w:tc>
        <w:tc>
          <w:tcPr>
            <w:tcW w:w="1843" w:type="dxa"/>
            <w:vAlign w:val="center"/>
          </w:tcPr>
          <w:p w:rsidR="000D6173" w:rsidRDefault="00AA716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99.97</w:t>
            </w:r>
          </w:p>
        </w:tc>
      </w:tr>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0D6173" w:rsidRDefault="00AA716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0D6173" w:rsidRDefault="00AA716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19,654.04</w:t>
            </w:r>
          </w:p>
        </w:tc>
        <w:tc>
          <w:tcPr>
            <w:tcW w:w="1843" w:type="dxa"/>
            <w:vAlign w:val="center"/>
          </w:tcPr>
          <w:p w:rsidR="000D6173" w:rsidRDefault="00AA716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0.03</w:t>
            </w:r>
          </w:p>
        </w:tc>
      </w:tr>
      <w:tr w:rsidR="000D6173">
        <w:trPr>
          <w:jc w:val="center"/>
        </w:trPr>
        <w:tc>
          <w:tcPr>
            <w:tcW w:w="720" w:type="dxa"/>
            <w:vAlign w:val="center"/>
          </w:tcPr>
          <w:p w:rsidR="000D6173" w:rsidRDefault="00AA716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0D6173" w:rsidRDefault="00AA716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0D6173" w:rsidRDefault="00AA716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57,086,580.19</w:t>
            </w:r>
          </w:p>
        </w:tc>
        <w:tc>
          <w:tcPr>
            <w:tcW w:w="1843" w:type="dxa"/>
            <w:vAlign w:val="center"/>
          </w:tcPr>
          <w:p w:rsidR="000D6173" w:rsidRDefault="00AA716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0D6173" w:rsidRDefault="000D6173">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0D6173" w:rsidRDefault="00AA7166">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本基金本报告期末未持有股票。</w:t>
      </w:r>
    </w:p>
    <w:p w:rsidR="000D6173" w:rsidRDefault="00AA7166">
      <w:pPr>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 5.2.2报告期末按行业分类的港股通投资股票投资组合</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无。</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本基金本报告期末未持有股票投资。</w:t>
      </w:r>
    </w:p>
    <w:p w:rsidR="000D6173" w:rsidRDefault="000D61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本基金本报告期末未持有债券投资。</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本基金本报告期末未持有债券投资。</w:t>
      </w:r>
    </w:p>
    <w:p w:rsidR="000D6173" w:rsidRDefault="000D61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0D6173" w:rsidRDefault="00AA7166">
      <w:pPr>
        <w:widowControl/>
        <w:spacing w:line="360" w:lineRule="auto"/>
        <w:jc w:val="left"/>
        <w:rPr>
          <w:rFonts w:ascii="宋体" w:hAnsi="宋体"/>
          <w:color w:val="000000" w:themeColor="text1"/>
        </w:rPr>
      </w:pPr>
      <w:r>
        <w:rPr>
          <w:rFonts w:ascii="宋体" w:hAnsi="宋体"/>
          <w:color w:val="000000" w:themeColor="text1"/>
        </w:rPr>
        <w:t>本基金本报告期末未持有贵金属投资。</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5.8报告期末按公允价值占基金资产净值比例大小排序的前五名权证投资明细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本基金本报告期末未持有权证投资。</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5.9.1 报告期末本基金投资的股指期货持仓和损益明细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0D6173" w:rsidRDefault="000D6173">
      <w:pPr>
        <w:adjustRightInd w:val="0"/>
        <w:snapToGrid w:val="0"/>
        <w:spacing w:line="360" w:lineRule="exact"/>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5.9.2 本基金投资股指期货的投资政策</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本基金本报告期未投资股指期货。若本基金投资股指期货，本基金将根据风险管理的原则，以套期保值为主要目的，有选择地投资于股指期货。套期保值将主要采用流动性好、交易活跃的期货合约。</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本基金在进行股指期货投资时，将通过对证券市场和期货市场运行趋势的研究，并结合股指期货的定价模型寻求其合理的估值水平。</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本基金管理人将充分考虑股指期货的收益性、流动性及风险特征，通过资产配置、品种选择，谨慎进行投资，以降低投资组合的整体风险。</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法律法规对于基金投资股指期货的投资策略另有规定的，本基金将按法律法规的规定执行。</w:t>
      </w:r>
    </w:p>
    <w:p w:rsidR="000D6173" w:rsidRDefault="000D617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5.10.1 本期国债期货投资政策</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根据本基金基金合同，本基金不能投资于国债期货。</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11投资组合报告附注</w:t>
      </w:r>
    </w:p>
    <w:p w:rsidR="000D6173" w:rsidRDefault="00AA71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本报告期内，本基金投资的前十名证券的发行主体没有被监管部门立案调查的，也没有在报告编制日前一年内受到公开谴责、处罚的情况。</w:t>
      </w:r>
    </w:p>
    <w:p w:rsidR="000D6173" w:rsidRDefault="00AA71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本基金投资的前十名股票中，不存在投资于超出基金合同规定备选股票库之外的股票。</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3其他资产构成</w:t>
      </w:r>
    </w:p>
    <w:tbl>
      <w:tblPr>
        <w:tblStyle w:val="af8"/>
        <w:tblW w:w="8513" w:type="dxa"/>
        <w:tblInd w:w="15" w:type="dxa"/>
        <w:tblLayout w:type="fixed"/>
        <w:tblLook w:val="04A0"/>
      </w:tblPr>
      <w:tblGrid>
        <w:gridCol w:w="1235"/>
        <w:gridCol w:w="2470"/>
        <w:gridCol w:w="4808"/>
      </w:tblGrid>
      <w:tr w:rsidR="000D6173">
        <w:tc>
          <w:tcPr>
            <w:tcW w:w="1235"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0D6173" w:rsidRDefault="00AA716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19,654.04</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D6173">
        <w:tc>
          <w:tcPr>
            <w:tcW w:w="1235" w:type="dxa"/>
            <w:vAlign w:val="center"/>
          </w:tcPr>
          <w:p w:rsidR="000D6173" w:rsidRDefault="00AA716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0D6173" w:rsidRDefault="00AA716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19,654.04</w:t>
            </w:r>
          </w:p>
        </w:tc>
      </w:tr>
    </w:tbl>
    <w:p w:rsidR="000D6173" w:rsidRDefault="000D6173">
      <w:pPr>
        <w:autoSpaceDE w:val="0"/>
        <w:autoSpaceDN w:val="0"/>
        <w:adjustRightInd w:val="0"/>
        <w:spacing w:line="360" w:lineRule="auto"/>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0D6173" w:rsidRDefault="000D6173">
      <w:pPr>
        <w:autoSpaceDE w:val="0"/>
        <w:autoSpaceDN w:val="0"/>
        <w:adjustRightInd w:val="0"/>
        <w:spacing w:line="360" w:lineRule="auto"/>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本基金本报告期末未持有存在流通受限情况的股票。</w:t>
      </w:r>
    </w:p>
    <w:p w:rsidR="000D6173" w:rsidRDefault="000D6173">
      <w:pPr>
        <w:autoSpaceDE w:val="0"/>
        <w:autoSpaceDN w:val="0"/>
        <w:adjustRightInd w:val="0"/>
        <w:spacing w:line="360" w:lineRule="auto"/>
        <w:rPr>
          <w:rFonts w:asciiTheme="minorEastAsia" w:eastAsiaTheme="minorEastAsia" w:hAnsiTheme="minorEastAsia"/>
          <w:color w:val="000000" w:themeColor="text1"/>
          <w:sz w:val="24"/>
          <w:szCs w:val="24"/>
        </w:rPr>
      </w:pPr>
    </w:p>
    <w:p w:rsidR="000D6173" w:rsidRDefault="00AA7166" w:rsidP="00D473E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0D6173" w:rsidRDefault="00AA7166">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tblPr>
      <w:tblGrid>
        <w:gridCol w:w="4609"/>
        <w:gridCol w:w="4025"/>
      </w:tblGrid>
      <w:tr w:rsidR="000D6173">
        <w:tc>
          <w:tcPr>
            <w:tcW w:w="4609"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217,180,444.61</w:t>
            </w:r>
          </w:p>
        </w:tc>
      </w:tr>
      <w:tr w:rsidR="000D6173">
        <w:tc>
          <w:tcPr>
            <w:tcW w:w="4609"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0D6173">
        <w:tc>
          <w:tcPr>
            <w:tcW w:w="4609"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194,027,200.29</w:t>
            </w:r>
          </w:p>
        </w:tc>
      </w:tr>
      <w:tr w:rsidR="000D6173">
        <w:tc>
          <w:tcPr>
            <w:tcW w:w="4609"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0D6173">
        <w:tc>
          <w:tcPr>
            <w:tcW w:w="4609"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D6173" w:rsidRDefault="00AA716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23,153,244.32</w:t>
            </w:r>
          </w:p>
        </w:tc>
      </w:tr>
    </w:tbl>
    <w:p w:rsidR="000D6173" w:rsidRDefault="00AA7166" w:rsidP="00D473E9">
      <w:pPr>
        <w:pStyle w:val="1"/>
        <w:tabs>
          <w:tab w:val="center" w:pos="4156"/>
          <w:tab w:val="right" w:pos="8312"/>
        </w:tabs>
        <w:spacing w:beforeLines="100" w:afterLines="100"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0D6173" w:rsidRDefault="00AA7166">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0D6173" w:rsidRDefault="000D617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0D6173" w:rsidRDefault="00AA7166">
      <w:pPr>
        <w:spacing w:line="360" w:lineRule="auto"/>
        <w:jc w:val="left"/>
        <w:rPr>
          <w:color w:val="000000" w:themeColor="text1"/>
          <w:sz w:val="24"/>
        </w:rPr>
      </w:pPr>
      <w:r>
        <w:rPr>
          <w:b/>
          <w:color w:val="000000" w:themeColor="text1"/>
          <w:sz w:val="24"/>
        </w:rPr>
        <w:t xml:space="preserve">7.2 </w:t>
      </w:r>
      <w:r>
        <w:rPr>
          <w:rFonts w:hint="eastAsia"/>
          <w:b/>
          <w:color w:val="000000" w:themeColor="text1"/>
          <w:sz w:val="24"/>
        </w:rPr>
        <w:t>基金管理人运用固有资金投资本基金交易明细</w:t>
      </w:r>
    </w:p>
    <w:p w:rsidR="000D6173" w:rsidRDefault="00AA716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0D6173" w:rsidRDefault="00AA7166" w:rsidP="00D473E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§8影响投资者决策的其他重要信息</w:t>
      </w:r>
      <w:bookmarkStart w:id="2" w:name="_GoBack"/>
      <w:bookmarkEnd w:id="2"/>
    </w:p>
    <w:p w:rsidR="000D6173" w:rsidRDefault="00AA7166">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8.</w:t>
      </w:r>
      <w:r>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0D6173">
        <w:tc>
          <w:tcPr>
            <w:tcW w:w="993" w:type="dxa"/>
            <w:vMerge w:val="restart"/>
            <w:vAlign w:val="center"/>
          </w:tcPr>
          <w:p w:rsidR="000D6173" w:rsidRDefault="00AA7166">
            <w:pPr>
              <w:autoSpaceDE w:val="0"/>
              <w:autoSpaceDN w:val="0"/>
              <w:adjustRightInd w:val="0"/>
              <w:jc w:val="center"/>
              <w:rPr>
                <w:rFonts w:ascii="宋体" w:hAnsi="宋体"/>
                <w:b/>
                <w:bCs/>
                <w:color w:val="000000"/>
                <w:kern w:val="0"/>
              </w:rPr>
            </w:pPr>
            <w:r>
              <w:rPr>
                <w:rFonts w:ascii="宋体" w:hAnsi="宋体" w:hint="eastAsia"/>
                <w:color w:val="000000"/>
                <w:kern w:val="0"/>
              </w:rPr>
              <w:t>投资者类别</w:t>
            </w:r>
          </w:p>
        </w:tc>
        <w:tc>
          <w:tcPr>
            <w:tcW w:w="5670" w:type="dxa"/>
            <w:gridSpan w:val="5"/>
            <w:vAlign w:val="center"/>
          </w:tcPr>
          <w:p w:rsidR="000D6173" w:rsidRDefault="00AA7166">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w="2549" w:type="dxa"/>
            <w:gridSpan w:val="2"/>
            <w:vAlign w:val="center"/>
          </w:tcPr>
          <w:p w:rsidR="000D6173" w:rsidRDefault="00AA7166">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rsidR="000D6173">
        <w:tc>
          <w:tcPr>
            <w:tcW w:w="993" w:type="dxa"/>
            <w:vMerge/>
            <w:vAlign w:val="center"/>
          </w:tcPr>
          <w:p w:rsidR="000D6173" w:rsidRDefault="000D6173">
            <w:pPr>
              <w:autoSpaceDE w:val="0"/>
              <w:autoSpaceDN w:val="0"/>
              <w:adjustRightInd w:val="0"/>
              <w:jc w:val="center"/>
              <w:rPr>
                <w:rFonts w:ascii="宋体" w:hAnsi="宋体"/>
                <w:b/>
                <w:bCs/>
                <w:color w:val="000000"/>
                <w:kern w:val="0"/>
              </w:rPr>
            </w:pPr>
          </w:p>
        </w:tc>
        <w:tc>
          <w:tcPr>
            <w:tcW w:w="992" w:type="dxa"/>
            <w:vAlign w:val="center"/>
          </w:tcPr>
          <w:p w:rsidR="000D6173" w:rsidRDefault="00AA7166">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w="1843" w:type="dxa"/>
            <w:vAlign w:val="center"/>
          </w:tcPr>
          <w:p w:rsidR="000D6173" w:rsidRDefault="00AA7166">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w="851" w:type="dxa"/>
            <w:vAlign w:val="center"/>
          </w:tcPr>
          <w:p w:rsidR="000D6173" w:rsidRDefault="00AA7166">
            <w:pPr>
              <w:widowControl/>
              <w:jc w:val="center"/>
              <w:rPr>
                <w:rFonts w:ascii="宋体" w:hAnsi="宋体"/>
                <w:b/>
                <w:bCs/>
                <w:color w:val="000000"/>
                <w:kern w:val="0"/>
              </w:rPr>
            </w:pPr>
            <w:r>
              <w:rPr>
                <w:rFonts w:ascii="宋体" w:hAnsi="宋体" w:hint="eastAsia"/>
                <w:color w:val="000000"/>
                <w:kern w:val="0"/>
              </w:rPr>
              <w:t>期初份额</w:t>
            </w:r>
          </w:p>
        </w:tc>
        <w:tc>
          <w:tcPr>
            <w:tcW w:w="850" w:type="dxa"/>
            <w:vAlign w:val="center"/>
          </w:tcPr>
          <w:p w:rsidR="000D6173" w:rsidRDefault="00AA7166">
            <w:pPr>
              <w:widowControl/>
              <w:jc w:val="center"/>
              <w:rPr>
                <w:rFonts w:ascii="宋体" w:hAnsi="宋体"/>
                <w:b/>
                <w:bCs/>
                <w:color w:val="000000"/>
                <w:kern w:val="0"/>
              </w:rPr>
            </w:pPr>
            <w:r>
              <w:rPr>
                <w:rFonts w:ascii="宋体" w:hAnsi="宋体" w:hint="eastAsia"/>
                <w:color w:val="000000"/>
                <w:kern w:val="0"/>
              </w:rPr>
              <w:t>申购份额</w:t>
            </w:r>
          </w:p>
        </w:tc>
        <w:tc>
          <w:tcPr>
            <w:tcW w:w="1134" w:type="dxa"/>
            <w:vAlign w:val="center"/>
          </w:tcPr>
          <w:p w:rsidR="000D6173" w:rsidRDefault="00AA7166">
            <w:pPr>
              <w:widowControl/>
              <w:jc w:val="center"/>
              <w:rPr>
                <w:rFonts w:ascii="宋体" w:hAnsi="宋体"/>
                <w:b/>
                <w:bCs/>
                <w:color w:val="000000"/>
                <w:kern w:val="0"/>
              </w:rPr>
            </w:pPr>
            <w:r>
              <w:rPr>
                <w:rFonts w:ascii="宋体" w:hAnsi="宋体" w:hint="eastAsia"/>
                <w:color w:val="000000"/>
                <w:kern w:val="0"/>
              </w:rPr>
              <w:t>赎回份额</w:t>
            </w:r>
          </w:p>
        </w:tc>
        <w:tc>
          <w:tcPr>
            <w:tcW w:w="1419" w:type="dxa"/>
            <w:vAlign w:val="center"/>
          </w:tcPr>
          <w:p w:rsidR="000D6173" w:rsidRDefault="00AA7166">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w="1130" w:type="dxa"/>
            <w:vAlign w:val="center"/>
          </w:tcPr>
          <w:p w:rsidR="000D6173" w:rsidRDefault="00AA7166">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rsidR="000D6173">
        <w:tc>
          <w:tcPr>
            <w:tcW w:w="993" w:type="dxa"/>
            <w:vMerge w:val="restart"/>
          </w:tcPr>
          <w:p w:rsidR="000D6173" w:rsidRDefault="000D6173"/>
          <w:p w:rsidR="000D6173" w:rsidRDefault="00AA7166">
            <w:r>
              <w:rPr>
                <w:rFonts w:ascii="宋体" w:hAnsi="宋体" w:hint="eastAsia"/>
                <w:bCs/>
                <w:color w:val="000000"/>
                <w:kern w:val="0"/>
              </w:rPr>
              <w:t>机构</w:t>
            </w:r>
          </w:p>
        </w:tc>
        <w:tc>
          <w:tcPr>
            <w:tcW w:w="992" w:type="dxa"/>
            <w:vAlign w:val="center"/>
          </w:tcPr>
          <w:p w:rsidR="000D6173" w:rsidRDefault="00AA7166">
            <w:pPr>
              <w:jc w:val="center"/>
            </w:pPr>
            <w:r>
              <w:rPr>
                <w:rFonts w:ascii="宋体" w:hAnsi="宋体"/>
                <w:color w:val="000000"/>
                <w:kern w:val="0"/>
              </w:rPr>
              <w:t>1</w:t>
            </w:r>
          </w:p>
        </w:tc>
        <w:tc>
          <w:tcPr>
            <w:tcW w:w="1843" w:type="dxa"/>
            <w:vAlign w:val="center"/>
          </w:tcPr>
          <w:p w:rsidR="000D6173" w:rsidRDefault="002E528E">
            <w:pPr>
              <w:jc w:val="center"/>
            </w:pPr>
            <w:r>
              <w:rPr>
                <w:rFonts w:ascii="宋体" w:hAnsi="宋体"/>
                <w:color w:val="000000"/>
                <w:kern w:val="0"/>
              </w:rPr>
              <w:t>20180523-20180</w:t>
            </w:r>
            <w:r>
              <w:rPr>
                <w:rFonts w:ascii="宋体" w:hAnsi="宋体" w:hint="eastAsia"/>
                <w:color w:val="000000"/>
                <w:kern w:val="0"/>
              </w:rPr>
              <w:t>525</w:t>
            </w:r>
          </w:p>
        </w:tc>
        <w:tc>
          <w:tcPr>
            <w:tcW w:w="851" w:type="dxa"/>
            <w:vAlign w:val="center"/>
          </w:tcPr>
          <w:p w:rsidR="000D6173" w:rsidRDefault="00AA7166">
            <w:pPr>
              <w:jc w:val="center"/>
            </w:pPr>
            <w:r>
              <w:rPr>
                <w:rFonts w:ascii="宋体" w:hAnsi="宋体"/>
                <w:color w:val="000000"/>
                <w:kern w:val="0"/>
              </w:rPr>
              <w:t>5,976,635.62</w:t>
            </w:r>
          </w:p>
        </w:tc>
        <w:tc>
          <w:tcPr>
            <w:tcW w:w="850" w:type="dxa"/>
            <w:vAlign w:val="center"/>
          </w:tcPr>
          <w:p w:rsidR="000D6173" w:rsidRDefault="00AA7166">
            <w:pPr>
              <w:jc w:val="center"/>
            </w:pPr>
            <w:r>
              <w:rPr>
                <w:rFonts w:ascii="宋体" w:hAnsi="宋体"/>
                <w:color w:val="000000"/>
                <w:kern w:val="0"/>
              </w:rPr>
              <w:t>0.00</w:t>
            </w:r>
          </w:p>
        </w:tc>
        <w:tc>
          <w:tcPr>
            <w:tcW w:w="1134" w:type="dxa"/>
            <w:vAlign w:val="center"/>
          </w:tcPr>
          <w:p w:rsidR="000D6173" w:rsidRDefault="00AA7166">
            <w:pPr>
              <w:jc w:val="center"/>
            </w:pPr>
            <w:r>
              <w:rPr>
                <w:rFonts w:ascii="宋体" w:hAnsi="宋体"/>
                <w:color w:val="000000"/>
                <w:kern w:val="0"/>
              </w:rPr>
              <w:t>5,000,000.00</w:t>
            </w:r>
          </w:p>
        </w:tc>
        <w:tc>
          <w:tcPr>
            <w:tcW w:w="1419" w:type="dxa"/>
            <w:vAlign w:val="center"/>
          </w:tcPr>
          <w:p w:rsidR="000D6173" w:rsidRDefault="00AA7166">
            <w:pPr>
              <w:jc w:val="center"/>
            </w:pPr>
            <w:r>
              <w:rPr>
                <w:rFonts w:ascii="宋体" w:hAnsi="宋体"/>
                <w:color w:val="000000"/>
                <w:kern w:val="0"/>
              </w:rPr>
              <w:t>976,635.62</w:t>
            </w:r>
          </w:p>
        </w:tc>
        <w:tc>
          <w:tcPr>
            <w:tcW w:w="1130" w:type="dxa"/>
            <w:vAlign w:val="center"/>
          </w:tcPr>
          <w:p w:rsidR="000D6173" w:rsidRDefault="002E528E">
            <w:pPr>
              <w:jc w:val="center"/>
            </w:pPr>
            <w:r>
              <w:rPr>
                <w:rFonts w:ascii="宋体" w:hAnsi="宋体"/>
                <w:color w:val="000000"/>
                <w:kern w:val="0"/>
              </w:rPr>
              <w:t>4.22</w:t>
            </w:r>
            <w:r>
              <w:rPr>
                <w:rFonts w:ascii="宋体" w:hAnsi="宋体" w:hint="eastAsia"/>
                <w:color w:val="000000"/>
                <w:kern w:val="0"/>
              </w:rPr>
              <w:t>%</w:t>
            </w:r>
          </w:p>
        </w:tc>
      </w:tr>
      <w:tr w:rsidR="000D6173">
        <w:tc>
          <w:tcPr>
            <w:tcW w:w="9212" w:type="dxa"/>
            <w:gridSpan w:val="8"/>
            <w:vAlign w:val="center"/>
          </w:tcPr>
          <w:p w:rsidR="000D6173" w:rsidRDefault="00AA7166">
            <w:pPr>
              <w:autoSpaceDE w:val="0"/>
              <w:autoSpaceDN w:val="0"/>
              <w:adjustRightInd w:val="0"/>
              <w:jc w:val="center"/>
              <w:rPr>
                <w:rFonts w:ascii="宋体" w:hAnsi="宋体"/>
                <w:kern w:val="0"/>
              </w:rPr>
            </w:pPr>
            <w:r>
              <w:rPr>
                <w:rFonts w:ascii="宋体" w:hAnsi="宋体"/>
                <w:color w:val="000000"/>
                <w:kern w:val="0"/>
              </w:rPr>
              <w:t>产品特有风险</w:t>
            </w:r>
          </w:p>
        </w:tc>
      </w:tr>
      <w:tr w:rsidR="000D6173">
        <w:tc>
          <w:tcPr>
            <w:tcW w:w="9212" w:type="dxa"/>
            <w:gridSpan w:val="8"/>
            <w:vAlign w:val="center"/>
          </w:tcPr>
          <w:p w:rsidR="000D6173" w:rsidRDefault="00AA7166">
            <w:pPr>
              <w:autoSpaceDE w:val="0"/>
              <w:autoSpaceDN w:val="0"/>
              <w:adjustRightInd w:val="0"/>
              <w:jc w:val="left"/>
              <w:rPr>
                <w:rFonts w:ascii="宋体" w:hAnsi="宋体"/>
                <w:kern w:val="0"/>
              </w:rPr>
            </w:pPr>
            <w:r>
              <w:rPr>
                <w:rFonts w:ascii="宋体" w:hAnsi="宋体" w:hint="eastAsia"/>
                <w:kern w:val="0"/>
              </w:rPr>
              <w:t>本基金报告期内出现单一投资者持有基金份额比例达到或者超过20%的情形。如该单一投资者大额赎回将可能导致基金份额净值波动风险、基金流动性风险等特定风险。</w:t>
            </w:r>
          </w:p>
        </w:tc>
      </w:tr>
    </w:tbl>
    <w:p w:rsidR="000D6173" w:rsidRDefault="00AA7166">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8.2 影响投资者决策的其他重要信息</w:t>
      </w:r>
    </w:p>
    <w:p w:rsidR="000D6173" w:rsidRDefault="00AA7166">
      <w:pPr>
        <w:spacing w:line="360" w:lineRule="auto"/>
        <w:ind w:firstLineChars="200" w:firstLine="420"/>
        <w:rPr>
          <w:rFonts w:ascii="宋体" w:hAnsi="宋体"/>
          <w:color w:val="000000"/>
        </w:rPr>
      </w:pPr>
      <w:r>
        <w:rPr>
          <w:rFonts w:ascii="宋体" w:hAnsi="宋体"/>
          <w:color w:val="000000"/>
        </w:rPr>
        <w:t>无。</w:t>
      </w:r>
    </w:p>
    <w:p w:rsidR="000D6173" w:rsidRDefault="00AA7166" w:rsidP="00D473E9">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§9备查文件目录</w:t>
      </w: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1备查文件目录</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1、《华安慧增优选定期开放灵活配置混合型证券投资基金基金合同》</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2、《华安慧增优选定期开放灵活配置混合型证券投资基金招募说明书》</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3、《华安慧增优选定期开放灵活配置混合型证券投资基金托管协议》</w:t>
      </w:r>
    </w:p>
    <w:p w:rsidR="000D6173" w:rsidRDefault="000D6173">
      <w:pPr>
        <w:spacing w:line="360" w:lineRule="auto"/>
        <w:ind w:firstLineChars="200" w:firstLine="480"/>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2存放地点</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基金管理人和基金托管人的办公场所，并登载于基金管理人互联网站http://www.huaan.com.cn。</w:t>
      </w:r>
    </w:p>
    <w:p w:rsidR="000D6173" w:rsidRDefault="000D6173">
      <w:pPr>
        <w:spacing w:line="360" w:lineRule="auto"/>
        <w:ind w:firstLineChars="200" w:firstLine="480"/>
        <w:rPr>
          <w:rFonts w:asciiTheme="minorEastAsia" w:eastAsiaTheme="minorEastAsia" w:hAnsiTheme="minorEastAsia"/>
          <w:color w:val="000000" w:themeColor="text1"/>
          <w:sz w:val="24"/>
          <w:szCs w:val="24"/>
        </w:rPr>
      </w:pPr>
    </w:p>
    <w:p w:rsidR="000D6173" w:rsidRDefault="00AA716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3查阅方式</w:t>
      </w:r>
    </w:p>
    <w:p w:rsidR="000D6173" w:rsidRDefault="00AA716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投资者可登录基金管理人互联网站查阅，或在营业时间内至基金管理人或基金托管人的办公场所免费查阅。</w:t>
      </w: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0D6173">
      <w:pPr>
        <w:spacing w:line="360" w:lineRule="auto"/>
        <w:ind w:left="840"/>
        <w:jc w:val="right"/>
        <w:rPr>
          <w:rFonts w:asciiTheme="minorEastAsia" w:eastAsiaTheme="minorEastAsia" w:hAnsiTheme="minorEastAsia"/>
          <w:color w:val="000000" w:themeColor="text1"/>
          <w:sz w:val="24"/>
          <w:szCs w:val="24"/>
        </w:rPr>
      </w:pPr>
    </w:p>
    <w:p w:rsidR="000D6173" w:rsidRDefault="00AA716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华安基金管理有限公司</w:t>
      </w:r>
    </w:p>
    <w:p w:rsidR="000D6173" w:rsidRDefault="00AA716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二〇一八年七月</w:t>
      </w:r>
      <w:r w:rsidR="00A85FE0">
        <w:rPr>
          <w:rFonts w:asciiTheme="minorEastAsia" w:eastAsiaTheme="minorEastAsia" w:hAnsiTheme="minorEastAsia" w:hint="eastAsia"/>
          <w:b/>
          <w:bCs/>
          <w:color w:val="000000" w:themeColor="text1"/>
          <w:sz w:val="24"/>
          <w:szCs w:val="24"/>
        </w:rPr>
        <w:t>十八</w:t>
      </w:r>
      <w:r>
        <w:rPr>
          <w:rFonts w:asciiTheme="minorEastAsia" w:eastAsiaTheme="minorEastAsia" w:hAnsiTheme="minorEastAsia"/>
          <w:b/>
          <w:bCs/>
          <w:color w:val="000000" w:themeColor="text1"/>
          <w:sz w:val="24"/>
          <w:szCs w:val="24"/>
        </w:rPr>
        <w:t>日</w:t>
      </w:r>
    </w:p>
    <w:p w:rsidR="000D6173" w:rsidRDefault="000D6173">
      <w:pPr>
        <w:spacing w:line="360" w:lineRule="auto"/>
        <w:ind w:left="840"/>
        <w:jc w:val="right"/>
        <w:rPr>
          <w:rFonts w:asciiTheme="minorEastAsia" w:eastAsiaTheme="minorEastAsia" w:hAnsiTheme="minorEastAsia"/>
          <w:b/>
          <w:bCs/>
          <w:color w:val="000000" w:themeColor="text1"/>
          <w:sz w:val="24"/>
          <w:szCs w:val="24"/>
        </w:rPr>
      </w:pPr>
    </w:p>
    <w:p w:rsidR="000D6173" w:rsidRDefault="000D6173">
      <w:pPr>
        <w:rPr>
          <w:rFonts w:asciiTheme="minorEastAsia" w:eastAsiaTheme="minorEastAsia" w:hAnsiTheme="minorEastAsia"/>
          <w:color w:val="000000" w:themeColor="text1"/>
          <w:sz w:val="24"/>
          <w:szCs w:val="24"/>
        </w:rPr>
      </w:pPr>
    </w:p>
    <w:sectPr w:rsidR="000D6173" w:rsidSect="007E70FC">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73" w:rsidRDefault="009F5773">
      <w:r>
        <w:separator/>
      </w:r>
    </w:p>
  </w:endnote>
  <w:endnote w:type="continuationSeparator" w:id="1">
    <w:p w:rsidR="009F5773" w:rsidRDefault="009F5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73" w:rsidRDefault="00AA7166">
    <w:pPr>
      <w:pStyle w:val="ac"/>
      <w:tabs>
        <w:tab w:val="left" w:pos="4215"/>
        <w:tab w:val="center" w:pos="4545"/>
      </w:tabs>
    </w:pPr>
    <w:r>
      <w:ptab w:relativeTo="margin" w:alignment="center" w:leader="none"/>
    </w:r>
    <w:r>
      <w:ptab w:relativeTo="margin" w:alignment="center" w:leader="none"/>
    </w:r>
    <w:r w:rsidR="007E70FC" w:rsidRPr="007E70FC">
      <w:fldChar w:fldCharType="begin"/>
    </w:r>
    <w:r>
      <w:instrText xml:space="preserve"> PAGE   \* MERGEFORMAT </w:instrText>
    </w:r>
    <w:r w:rsidR="007E70FC" w:rsidRPr="007E70FC">
      <w:fldChar w:fldCharType="separate"/>
    </w:r>
    <w:r w:rsidR="00D473E9" w:rsidRPr="00D473E9">
      <w:rPr>
        <w:noProof/>
        <w:lang w:val="zh-CN"/>
      </w:rPr>
      <w:t>1</w:t>
    </w:r>
    <w:r w:rsidR="007E70FC">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73" w:rsidRDefault="007E70FC">
    <w:pPr>
      <w:pStyle w:val="ac"/>
      <w:framePr w:wrap="around" w:vAnchor="text" w:hAnchor="margin" w:xAlign="center" w:y="1"/>
      <w:rPr>
        <w:rStyle w:val="af3"/>
      </w:rPr>
    </w:pPr>
    <w:r>
      <w:rPr>
        <w:rStyle w:val="af3"/>
      </w:rPr>
      <w:fldChar w:fldCharType="begin"/>
    </w:r>
    <w:r w:rsidR="00AA7166">
      <w:rPr>
        <w:rStyle w:val="af3"/>
      </w:rPr>
      <w:instrText xml:space="preserve">PAGE  </w:instrText>
    </w:r>
    <w:r>
      <w:rPr>
        <w:rStyle w:val="af3"/>
      </w:rPr>
      <w:fldChar w:fldCharType="separate"/>
    </w:r>
    <w:r w:rsidR="00D473E9">
      <w:rPr>
        <w:rStyle w:val="af3"/>
        <w:noProof/>
      </w:rPr>
      <w:t>2</w:t>
    </w:r>
    <w:r>
      <w:rPr>
        <w:rStyle w:val="af3"/>
      </w:rPr>
      <w:fldChar w:fldCharType="end"/>
    </w:r>
  </w:p>
  <w:p w:rsidR="000D6173" w:rsidRDefault="000D61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73" w:rsidRDefault="009F5773">
      <w:r>
        <w:separator/>
      </w:r>
    </w:p>
  </w:footnote>
  <w:footnote w:type="continuationSeparator" w:id="1">
    <w:p w:rsidR="009F5773" w:rsidRDefault="009F5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73" w:rsidRDefault="00AA7166">
    <w:pPr>
      <w:pStyle w:val="ad"/>
      <w:pBdr>
        <w:bottom w:val="single" w:sz="6" w:space="0" w:color="auto"/>
      </w:pBdr>
      <w:jc w:val="right"/>
    </w:pPr>
    <w:r>
      <w:rPr>
        <w:rFonts w:hint="eastAsia"/>
      </w:rPr>
      <w:t>华安慧增优选定期开放灵活配置混合型证券投资基金</w:t>
    </w:r>
    <w:r>
      <w:rPr>
        <w:rFonts w:hint="eastAsia"/>
      </w:rPr>
      <w:t>2018</w:t>
    </w:r>
    <w:r>
      <w:rPr>
        <w:rFonts w:hint="eastAsia"/>
      </w:rPr>
      <w:t>年第</w:t>
    </w:r>
    <w:r>
      <w:rPr>
        <w:rFonts w:hint="eastAsia"/>
      </w:rPr>
      <w:t>2</w:t>
    </w:r>
    <w:r>
      <w:rPr>
        <w:rFonts w:hint="eastAsia"/>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B7CCA"/>
    <w:rsid w:val="000C190B"/>
    <w:rsid w:val="000C1E17"/>
    <w:rsid w:val="000C3A61"/>
    <w:rsid w:val="000C5216"/>
    <w:rsid w:val="000C65DE"/>
    <w:rsid w:val="000D0E6C"/>
    <w:rsid w:val="000D3ED4"/>
    <w:rsid w:val="000D6173"/>
    <w:rsid w:val="000E45EC"/>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5FC"/>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8E"/>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1E8D"/>
    <w:rsid w:val="003A6061"/>
    <w:rsid w:val="003B6FBC"/>
    <w:rsid w:val="003C2B36"/>
    <w:rsid w:val="003E2240"/>
    <w:rsid w:val="003E62FB"/>
    <w:rsid w:val="003F39DF"/>
    <w:rsid w:val="003F63BE"/>
    <w:rsid w:val="004061AC"/>
    <w:rsid w:val="00406C52"/>
    <w:rsid w:val="004149AC"/>
    <w:rsid w:val="0042009D"/>
    <w:rsid w:val="00422082"/>
    <w:rsid w:val="00427F58"/>
    <w:rsid w:val="00433805"/>
    <w:rsid w:val="00465285"/>
    <w:rsid w:val="00471408"/>
    <w:rsid w:val="004858E0"/>
    <w:rsid w:val="004934E9"/>
    <w:rsid w:val="004943C2"/>
    <w:rsid w:val="004A11A7"/>
    <w:rsid w:val="004B71C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2540"/>
    <w:rsid w:val="00796CA8"/>
    <w:rsid w:val="00797305"/>
    <w:rsid w:val="007B035B"/>
    <w:rsid w:val="007B490D"/>
    <w:rsid w:val="007B4C04"/>
    <w:rsid w:val="007B4D7A"/>
    <w:rsid w:val="007B5AFB"/>
    <w:rsid w:val="007C5862"/>
    <w:rsid w:val="007E70FC"/>
    <w:rsid w:val="007F2613"/>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5773"/>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85FE0"/>
    <w:rsid w:val="00A90049"/>
    <w:rsid w:val="00A917BF"/>
    <w:rsid w:val="00A96A94"/>
    <w:rsid w:val="00AA3A38"/>
    <w:rsid w:val="00AA4F94"/>
    <w:rsid w:val="00AA7166"/>
    <w:rsid w:val="00AB047E"/>
    <w:rsid w:val="00AB2D90"/>
    <w:rsid w:val="00AC592E"/>
    <w:rsid w:val="00AC6C10"/>
    <w:rsid w:val="00AC7BC6"/>
    <w:rsid w:val="00AD24AA"/>
    <w:rsid w:val="00AE7962"/>
    <w:rsid w:val="00B12B7D"/>
    <w:rsid w:val="00B16910"/>
    <w:rsid w:val="00B16985"/>
    <w:rsid w:val="00B170D9"/>
    <w:rsid w:val="00B20170"/>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473E9"/>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C6B61"/>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5713B"/>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4FC353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qFormat="1"/>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qFormat="1"/>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E70FC"/>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7E70F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7E70F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7E70F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7E70FC"/>
    <w:pPr>
      <w:ind w:firstLineChars="200" w:firstLine="420"/>
    </w:pPr>
  </w:style>
  <w:style w:type="paragraph" w:styleId="a4">
    <w:name w:val="annotation subject"/>
    <w:basedOn w:val="a5"/>
    <w:next w:val="a5"/>
    <w:link w:val="Char"/>
    <w:uiPriority w:val="99"/>
    <w:semiHidden/>
    <w:rsid w:val="007E70FC"/>
    <w:rPr>
      <w:b/>
      <w:bCs/>
    </w:rPr>
  </w:style>
  <w:style w:type="paragraph" w:styleId="a5">
    <w:name w:val="annotation text"/>
    <w:basedOn w:val="a"/>
    <w:link w:val="Char0"/>
    <w:uiPriority w:val="99"/>
    <w:semiHidden/>
    <w:qFormat/>
    <w:rsid w:val="007E70FC"/>
    <w:pPr>
      <w:jc w:val="left"/>
    </w:pPr>
  </w:style>
  <w:style w:type="paragraph" w:styleId="a6">
    <w:name w:val="Document Map"/>
    <w:basedOn w:val="a"/>
    <w:link w:val="Char1"/>
    <w:uiPriority w:val="99"/>
    <w:semiHidden/>
    <w:rsid w:val="007E70FC"/>
    <w:pPr>
      <w:shd w:val="clear" w:color="auto" w:fill="000080"/>
    </w:pPr>
  </w:style>
  <w:style w:type="paragraph" w:styleId="a7">
    <w:name w:val="Body Text"/>
    <w:basedOn w:val="a"/>
    <w:link w:val="Char2"/>
    <w:uiPriority w:val="99"/>
    <w:qFormat/>
    <w:rsid w:val="007E70FC"/>
    <w:pPr>
      <w:spacing w:after="120"/>
    </w:pPr>
  </w:style>
  <w:style w:type="paragraph" w:styleId="a8">
    <w:name w:val="Body Text Indent"/>
    <w:basedOn w:val="a"/>
    <w:link w:val="Char3"/>
    <w:uiPriority w:val="99"/>
    <w:qFormat/>
    <w:rsid w:val="007E70FC"/>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qFormat/>
    <w:rsid w:val="007E70FC"/>
    <w:rPr>
      <w:rFonts w:ascii="宋体" w:hAnsi="Courier New" w:cs="宋体"/>
    </w:rPr>
  </w:style>
  <w:style w:type="paragraph" w:styleId="aa">
    <w:name w:val="Date"/>
    <w:basedOn w:val="a"/>
    <w:next w:val="a"/>
    <w:link w:val="Char5"/>
    <w:rsid w:val="007E70FC"/>
    <w:rPr>
      <w:sz w:val="24"/>
      <w:szCs w:val="24"/>
    </w:rPr>
  </w:style>
  <w:style w:type="paragraph" w:styleId="20">
    <w:name w:val="Body Text Indent 2"/>
    <w:basedOn w:val="a"/>
    <w:link w:val="2Char0"/>
    <w:uiPriority w:val="99"/>
    <w:qFormat/>
    <w:rsid w:val="007E70FC"/>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rsid w:val="007E70FC"/>
    <w:rPr>
      <w:sz w:val="18"/>
      <w:szCs w:val="18"/>
    </w:rPr>
  </w:style>
  <w:style w:type="paragraph" w:styleId="ac">
    <w:name w:val="footer"/>
    <w:basedOn w:val="a"/>
    <w:link w:val="Char7"/>
    <w:uiPriority w:val="99"/>
    <w:qFormat/>
    <w:rsid w:val="007E70FC"/>
    <w:pPr>
      <w:tabs>
        <w:tab w:val="center" w:pos="4153"/>
        <w:tab w:val="right" w:pos="8306"/>
      </w:tabs>
      <w:snapToGrid w:val="0"/>
      <w:jc w:val="left"/>
    </w:pPr>
    <w:rPr>
      <w:sz w:val="18"/>
      <w:szCs w:val="18"/>
    </w:rPr>
  </w:style>
  <w:style w:type="paragraph" w:styleId="ad">
    <w:name w:val="header"/>
    <w:basedOn w:val="a"/>
    <w:link w:val="Char8"/>
    <w:uiPriority w:val="99"/>
    <w:rsid w:val="007E70FC"/>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rsid w:val="007E70FC"/>
    <w:pPr>
      <w:spacing w:after="220" w:line="220" w:lineRule="atLeast"/>
      <w:ind w:left="1440" w:hanging="360"/>
    </w:pPr>
  </w:style>
  <w:style w:type="paragraph" w:styleId="af">
    <w:name w:val="footnote text"/>
    <w:basedOn w:val="a"/>
    <w:link w:val="Char9"/>
    <w:qFormat/>
    <w:rsid w:val="007E70FC"/>
    <w:pPr>
      <w:snapToGrid w:val="0"/>
      <w:jc w:val="left"/>
    </w:pPr>
    <w:rPr>
      <w:sz w:val="18"/>
      <w:szCs w:val="18"/>
    </w:rPr>
  </w:style>
  <w:style w:type="paragraph" w:styleId="30">
    <w:name w:val="Body Text Indent 3"/>
    <w:basedOn w:val="a"/>
    <w:link w:val="3Char0"/>
    <w:uiPriority w:val="99"/>
    <w:rsid w:val="007E70FC"/>
    <w:pPr>
      <w:spacing w:line="560" w:lineRule="exact"/>
      <w:ind w:firstLineChars="200" w:firstLine="420"/>
    </w:pPr>
    <w:rPr>
      <w:rFonts w:ascii="Arial" w:hAnsi="Arial" w:cs="Arial"/>
      <w:color w:val="FF0000"/>
    </w:rPr>
  </w:style>
  <w:style w:type="paragraph" w:styleId="af0">
    <w:name w:val="Normal (Web)"/>
    <w:basedOn w:val="a"/>
    <w:uiPriority w:val="99"/>
    <w:rsid w:val="007E70FC"/>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rsid w:val="007E70FC"/>
    <w:pPr>
      <w:jc w:val="right"/>
    </w:pPr>
    <w:rPr>
      <w:color w:val="008000"/>
    </w:rPr>
  </w:style>
  <w:style w:type="paragraph" w:styleId="af1">
    <w:name w:val="Title"/>
    <w:basedOn w:val="a"/>
    <w:next w:val="a"/>
    <w:link w:val="Chara"/>
    <w:uiPriority w:val="99"/>
    <w:qFormat/>
    <w:rsid w:val="007E70FC"/>
    <w:pPr>
      <w:spacing w:before="240" w:after="60"/>
      <w:jc w:val="center"/>
      <w:outlineLvl w:val="0"/>
    </w:pPr>
    <w:rPr>
      <w:rFonts w:ascii="Cambria" w:hAnsi="Cambria" w:cs="Cambria"/>
      <w:b/>
      <w:bCs/>
      <w:sz w:val="32"/>
      <w:szCs w:val="32"/>
    </w:rPr>
  </w:style>
  <w:style w:type="character" w:styleId="af2">
    <w:name w:val="Strong"/>
    <w:basedOn w:val="a1"/>
    <w:uiPriority w:val="22"/>
    <w:qFormat/>
    <w:rsid w:val="007E70FC"/>
    <w:rPr>
      <w:b/>
      <w:bCs/>
    </w:rPr>
  </w:style>
  <w:style w:type="character" w:styleId="af3">
    <w:name w:val="page number"/>
    <w:basedOn w:val="a1"/>
    <w:uiPriority w:val="99"/>
    <w:qFormat/>
    <w:rsid w:val="007E70FC"/>
  </w:style>
  <w:style w:type="character" w:styleId="af4">
    <w:name w:val="FollowedHyperlink"/>
    <w:basedOn w:val="a1"/>
    <w:uiPriority w:val="99"/>
    <w:qFormat/>
    <w:rsid w:val="007E70FC"/>
    <w:rPr>
      <w:color w:val="800080"/>
      <w:u w:val="single"/>
    </w:rPr>
  </w:style>
  <w:style w:type="character" w:styleId="af5">
    <w:name w:val="Hyperlink"/>
    <w:basedOn w:val="a1"/>
    <w:uiPriority w:val="99"/>
    <w:rsid w:val="007E70FC"/>
    <w:rPr>
      <w:color w:val="0000FF"/>
      <w:u w:val="single"/>
    </w:rPr>
  </w:style>
  <w:style w:type="character" w:styleId="af6">
    <w:name w:val="annotation reference"/>
    <w:basedOn w:val="a1"/>
    <w:uiPriority w:val="99"/>
    <w:semiHidden/>
    <w:qFormat/>
    <w:rsid w:val="007E70FC"/>
    <w:rPr>
      <w:sz w:val="21"/>
      <w:szCs w:val="21"/>
    </w:rPr>
  </w:style>
  <w:style w:type="character" w:styleId="af7">
    <w:name w:val="footnote reference"/>
    <w:basedOn w:val="a1"/>
    <w:rsid w:val="007E70FC"/>
    <w:rPr>
      <w:vertAlign w:val="superscript"/>
    </w:rPr>
  </w:style>
  <w:style w:type="table" w:styleId="af8">
    <w:name w:val="Table Grid"/>
    <w:basedOn w:val="a2"/>
    <w:qFormat/>
    <w:rsid w:val="007E70F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7E70FC"/>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7E70FC"/>
    <w:rPr>
      <w:rFonts w:ascii="Arial" w:eastAsia="宋体" w:hAnsi="Arial" w:cs="Arial"/>
      <w:b/>
      <w:bCs/>
      <w:sz w:val="24"/>
      <w:szCs w:val="24"/>
    </w:rPr>
  </w:style>
  <w:style w:type="character" w:customStyle="1" w:styleId="3Char">
    <w:name w:val="标题 3 Char"/>
    <w:basedOn w:val="a1"/>
    <w:link w:val="3"/>
    <w:uiPriority w:val="99"/>
    <w:qFormat/>
    <w:rsid w:val="007E70FC"/>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7E70FC"/>
    <w:rPr>
      <w:rFonts w:ascii="Arial Unicode MS" w:eastAsia="Arial Unicode MS" w:hAnsi="Arial Unicode MS" w:cs="Arial Unicode MS"/>
      <w:kern w:val="0"/>
      <w:sz w:val="24"/>
      <w:szCs w:val="24"/>
    </w:rPr>
  </w:style>
  <w:style w:type="character" w:customStyle="1" w:styleId="Char4">
    <w:name w:val="纯文本 Char"/>
    <w:basedOn w:val="a1"/>
    <w:link w:val="a9"/>
    <w:uiPriority w:val="99"/>
    <w:qFormat/>
    <w:rsid w:val="007E70FC"/>
    <w:rPr>
      <w:rFonts w:ascii="宋体" w:eastAsia="宋体" w:hAnsi="Courier New" w:cs="宋体"/>
      <w:szCs w:val="21"/>
    </w:rPr>
  </w:style>
  <w:style w:type="character" w:customStyle="1" w:styleId="2Char0">
    <w:name w:val="正文文本缩进 2 Char"/>
    <w:basedOn w:val="a1"/>
    <w:link w:val="20"/>
    <w:uiPriority w:val="99"/>
    <w:qFormat/>
    <w:rsid w:val="007E70FC"/>
    <w:rPr>
      <w:rFonts w:ascii="宋体" w:eastAsia="宋体" w:hAnsi="宋体" w:cs="宋体"/>
      <w:color w:val="FF0000"/>
      <w:sz w:val="24"/>
      <w:szCs w:val="24"/>
    </w:rPr>
  </w:style>
  <w:style w:type="character" w:customStyle="1" w:styleId="Char7">
    <w:name w:val="页脚 Char"/>
    <w:basedOn w:val="a1"/>
    <w:link w:val="ac"/>
    <w:uiPriority w:val="99"/>
    <w:rsid w:val="007E70FC"/>
    <w:rPr>
      <w:rFonts w:ascii="Times New Roman" w:eastAsia="宋体" w:hAnsi="Times New Roman" w:cs="Times New Roman"/>
      <w:sz w:val="18"/>
      <w:szCs w:val="18"/>
    </w:rPr>
  </w:style>
  <w:style w:type="character" w:customStyle="1" w:styleId="3Char0">
    <w:name w:val="正文文本缩进 3 Char"/>
    <w:basedOn w:val="a1"/>
    <w:link w:val="30"/>
    <w:uiPriority w:val="99"/>
    <w:rsid w:val="007E70FC"/>
    <w:rPr>
      <w:rFonts w:ascii="Arial" w:eastAsia="宋体" w:hAnsi="Arial" w:cs="Arial"/>
      <w:color w:val="FF0000"/>
      <w:szCs w:val="21"/>
    </w:rPr>
  </w:style>
  <w:style w:type="character" w:customStyle="1" w:styleId="Char8">
    <w:name w:val="页眉 Char"/>
    <w:basedOn w:val="a1"/>
    <w:link w:val="ad"/>
    <w:uiPriority w:val="99"/>
    <w:qFormat/>
    <w:rsid w:val="007E70FC"/>
    <w:rPr>
      <w:rFonts w:ascii="Times New Roman" w:eastAsia="宋体" w:hAnsi="Times New Roman" w:cs="Times New Roman"/>
      <w:sz w:val="18"/>
      <w:szCs w:val="18"/>
    </w:rPr>
  </w:style>
  <w:style w:type="character" w:customStyle="1" w:styleId="Char2">
    <w:name w:val="正文文本 Char"/>
    <w:basedOn w:val="a1"/>
    <w:link w:val="a7"/>
    <w:uiPriority w:val="99"/>
    <w:qFormat/>
    <w:rsid w:val="007E70FC"/>
    <w:rPr>
      <w:rFonts w:ascii="Times New Roman" w:eastAsia="宋体" w:hAnsi="Times New Roman" w:cs="Times New Roman"/>
      <w:szCs w:val="21"/>
    </w:rPr>
  </w:style>
  <w:style w:type="character" w:customStyle="1" w:styleId="Char5">
    <w:name w:val="日期 Char"/>
    <w:basedOn w:val="a1"/>
    <w:link w:val="aa"/>
    <w:qFormat/>
    <w:rsid w:val="007E70FC"/>
    <w:rPr>
      <w:rFonts w:ascii="Times New Roman" w:eastAsia="宋体" w:hAnsi="Times New Roman" w:cs="Times New Roman"/>
      <w:sz w:val="24"/>
      <w:szCs w:val="24"/>
    </w:rPr>
  </w:style>
  <w:style w:type="character" w:customStyle="1" w:styleId="c1">
    <w:name w:val="c1"/>
    <w:basedOn w:val="a1"/>
    <w:uiPriority w:val="99"/>
    <w:rsid w:val="007E70FC"/>
    <w:rPr>
      <w:color w:val="000000"/>
      <w:sz w:val="18"/>
      <w:szCs w:val="18"/>
    </w:rPr>
  </w:style>
  <w:style w:type="paragraph" w:customStyle="1" w:styleId="font5">
    <w:name w:val="font5"/>
    <w:basedOn w:val="a"/>
    <w:uiPriority w:val="99"/>
    <w:rsid w:val="007E70F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7E70F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7E70F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7E70F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7E70F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7E70F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7E70F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7E70F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7E70F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7E70FC"/>
    <w:rPr>
      <w:rFonts w:ascii="Times New Roman" w:eastAsia="宋体" w:hAnsi="Times New Roman" w:cs="Times New Roman"/>
      <w:sz w:val="18"/>
      <w:szCs w:val="18"/>
    </w:rPr>
  </w:style>
  <w:style w:type="character" w:customStyle="1" w:styleId="Char0">
    <w:name w:val="批注文字 Char"/>
    <w:basedOn w:val="a1"/>
    <w:link w:val="a5"/>
    <w:uiPriority w:val="99"/>
    <w:semiHidden/>
    <w:rsid w:val="007E70FC"/>
    <w:rPr>
      <w:rFonts w:ascii="Times New Roman" w:eastAsia="宋体" w:hAnsi="Times New Roman" w:cs="Times New Roman"/>
      <w:szCs w:val="21"/>
    </w:rPr>
  </w:style>
  <w:style w:type="character" w:customStyle="1" w:styleId="Char">
    <w:name w:val="批注主题 Char"/>
    <w:basedOn w:val="Char0"/>
    <w:link w:val="a4"/>
    <w:uiPriority w:val="99"/>
    <w:semiHidden/>
    <w:rsid w:val="007E70FC"/>
    <w:rPr>
      <w:rFonts w:ascii="Times New Roman" w:eastAsia="宋体" w:hAnsi="Times New Roman" w:cs="Times New Roman"/>
      <w:b/>
      <w:bCs/>
      <w:szCs w:val="21"/>
    </w:rPr>
  </w:style>
  <w:style w:type="paragraph" w:customStyle="1" w:styleId="Charb">
    <w:name w:val="Char"/>
    <w:basedOn w:val="a"/>
    <w:uiPriority w:val="99"/>
    <w:qFormat/>
    <w:rsid w:val="007E70FC"/>
  </w:style>
  <w:style w:type="character" w:customStyle="1" w:styleId="Char1">
    <w:name w:val="文档结构图 Char"/>
    <w:basedOn w:val="a1"/>
    <w:link w:val="a6"/>
    <w:uiPriority w:val="99"/>
    <w:semiHidden/>
    <w:rsid w:val="007E70FC"/>
    <w:rPr>
      <w:rFonts w:ascii="Times New Roman" w:eastAsia="宋体" w:hAnsi="Times New Roman" w:cs="Times New Roman"/>
      <w:szCs w:val="21"/>
      <w:shd w:val="clear" w:color="auto" w:fill="000080"/>
    </w:rPr>
  </w:style>
  <w:style w:type="paragraph" w:customStyle="1" w:styleId="af9">
    <w:name w:val="正文 + (符号) 宋体"/>
    <w:basedOn w:val="a"/>
    <w:uiPriority w:val="99"/>
    <w:rsid w:val="007E70FC"/>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sid w:val="007E70FC"/>
    <w:rPr>
      <w:rFonts w:ascii="Times New Roman" w:eastAsia="宋体" w:hAnsi="Times New Roman" w:cs="Times New Roman"/>
      <w:sz w:val="18"/>
      <w:szCs w:val="18"/>
    </w:rPr>
  </w:style>
  <w:style w:type="paragraph" w:customStyle="1" w:styleId="Char10">
    <w:name w:val="Char1"/>
    <w:basedOn w:val="a"/>
    <w:uiPriority w:val="99"/>
    <w:rsid w:val="007E70FC"/>
  </w:style>
  <w:style w:type="paragraph" w:customStyle="1" w:styleId="CharCharCharCharCharChar1CharCharChar">
    <w:name w:val="Char Char Char Char Char Char1 Char Char Char"/>
    <w:basedOn w:val="a"/>
    <w:uiPriority w:val="99"/>
    <w:rsid w:val="007E70F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7E70FC"/>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sid w:val="007E70F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7E70FC"/>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7E70FC"/>
    <w:rPr>
      <w:rFonts w:ascii="Calibri" w:eastAsia="宋体" w:hAnsi="Calibri" w:cs="Calibri"/>
      <w:sz w:val="22"/>
      <w:szCs w:val="22"/>
    </w:rPr>
  </w:style>
  <w:style w:type="character" w:customStyle="1" w:styleId="Charc">
    <w:name w:val="无间隔 Char"/>
    <w:basedOn w:val="a1"/>
    <w:link w:val="11"/>
    <w:uiPriority w:val="1"/>
    <w:locked/>
    <w:rsid w:val="007E70FC"/>
    <w:rPr>
      <w:rFonts w:ascii="Calibri" w:eastAsia="宋体" w:hAnsi="Calibri" w:cs="Calibri"/>
      <w:kern w:val="0"/>
      <w:sz w:val="22"/>
    </w:rPr>
  </w:style>
  <w:style w:type="character" w:customStyle="1" w:styleId="t1">
    <w:name w:val="t1"/>
    <w:basedOn w:val="a1"/>
    <w:uiPriority w:val="99"/>
    <w:rsid w:val="007E70FC"/>
    <w:rPr>
      <w:color w:val="auto"/>
    </w:rPr>
  </w:style>
  <w:style w:type="paragraph" w:customStyle="1" w:styleId="12">
    <w:name w:val="列出段落1"/>
    <w:basedOn w:val="a"/>
    <w:uiPriority w:val="34"/>
    <w:qFormat/>
    <w:rsid w:val="007E70FC"/>
    <w:pPr>
      <w:ind w:firstLineChars="200" w:firstLine="420"/>
    </w:pPr>
  </w:style>
  <w:style w:type="paragraph" w:customStyle="1" w:styleId="Default">
    <w:name w:val="Default"/>
    <w:rsid w:val="007E70FC"/>
    <w:pPr>
      <w:widowControl w:val="0"/>
      <w:autoSpaceDE w:val="0"/>
      <w:autoSpaceDN w:val="0"/>
      <w:adjustRightInd w:val="0"/>
    </w:pPr>
    <w:rPr>
      <w:rFonts w:ascii="仿宋" w:eastAsia="宋体" w:hAnsi="仿宋" w:cs="仿宋"/>
      <w:color w:val="000000"/>
      <w:sz w:val="24"/>
      <w:szCs w:val="24"/>
    </w:rPr>
  </w:style>
  <w:style w:type="paragraph" w:styleId="afa">
    <w:name w:val="Revision"/>
    <w:hidden/>
    <w:uiPriority w:val="99"/>
    <w:unhideWhenUsed/>
    <w:rsid w:val="002E528E"/>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qFormat="1"/>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qFormat="1"/>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qFormat/>
    <w:rPr>
      <w:rFonts w:ascii="宋体" w:hAnsi="Courier New" w:cs="宋体"/>
    </w:rPr>
  </w:style>
  <w:style w:type="paragraph" w:styleId="aa">
    <w:name w:val="Date"/>
    <w:basedOn w:val="a"/>
    <w:next w:val="a"/>
    <w:link w:val="Char5"/>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qFormat/>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qFormat/>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Pr>
      <w:rFonts w:ascii="Arial" w:eastAsia="宋体" w:hAnsi="Arial" w:cs="Arial"/>
      <w:b/>
      <w:bCs/>
      <w:sz w:val="24"/>
      <w:szCs w:val="24"/>
    </w:rPr>
  </w:style>
  <w:style w:type="character" w:customStyle="1" w:styleId="3Char">
    <w:name w:val="标题 3 Char"/>
    <w:basedOn w:val="a1"/>
    <w:link w:val="3"/>
    <w:uiPriority w:val="99"/>
    <w:qFormat/>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qFormat/>
    <w:rPr>
      <w:rFonts w:ascii="宋体" w:eastAsia="宋体" w:hAnsi="Courier New" w:cs="宋体"/>
      <w:szCs w:val="21"/>
    </w:rPr>
  </w:style>
  <w:style w:type="character" w:customStyle="1" w:styleId="2Char0">
    <w:name w:val="正文文本缩进 2 Char"/>
    <w:basedOn w:val="a1"/>
    <w:link w:val="20"/>
    <w:uiPriority w:val="99"/>
    <w:qFormat/>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qFormat/>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rPr>
      <w:color w:val="000000"/>
      <w:sz w:val="18"/>
      <w:szCs w:val="18"/>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rPr>
      <w:rFonts w:ascii="Times New Roman" w:eastAsia="宋体" w:hAnsi="Times New Roman" w:cs="Times New Roman"/>
      <w:szCs w:val="21"/>
    </w:rPr>
  </w:style>
  <w:style w:type="character" w:customStyle="1" w:styleId="Char">
    <w:name w:val="批注主题 Char"/>
    <w:basedOn w:val="Char0"/>
    <w:link w:val="a4"/>
    <w:uiPriority w:val="99"/>
    <w:semiHidden/>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 w:type="paragraph" w:styleId="afa">
    <w:name w:val="Revision"/>
    <w:hidden/>
    <w:uiPriority w:val="99"/>
    <w:unhideWhenUsed/>
    <w:rsid w:val="002E528E"/>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8E4F95A-E920-4BEF-BF1E-43BE9FD772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6355</Characters>
  <Application>Microsoft Office Word</Application>
  <DocSecurity>4</DocSecurity>
  <Lines>52</Lines>
  <Paragraphs>14</Paragraphs>
  <ScaleCrop>false</ScaleCrop>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ZHONGM</cp:lastModifiedBy>
  <cp:revision>2</cp:revision>
  <dcterms:created xsi:type="dcterms:W3CDTF">2018-07-17T16:42:00Z</dcterms:created>
  <dcterms:modified xsi:type="dcterms:W3CDTF">2018-07-17T16:42:00Z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