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8E" w:rsidRDefault="0012438E">
      <w:pPr>
        <w:autoSpaceDE w:val="0"/>
        <w:autoSpaceDN w:val="0"/>
        <w:adjustRightInd w:val="0"/>
        <w:spacing w:before="29" w:line="288" w:lineRule="auto"/>
        <w:jc w:val="left"/>
        <w:rPr>
          <w:color w:val="000000"/>
          <w:kern w:val="0"/>
          <w:sz w:val="24"/>
          <w:szCs w:val="24"/>
        </w:rPr>
      </w:pPr>
    </w:p>
    <w:p w:rsidR="0012438E" w:rsidRDefault="0012438E">
      <w:pPr>
        <w:autoSpaceDE w:val="0"/>
        <w:autoSpaceDN w:val="0"/>
        <w:adjustRightInd w:val="0"/>
        <w:spacing w:before="29" w:line="288" w:lineRule="auto"/>
        <w:jc w:val="left"/>
        <w:rPr>
          <w:color w:val="000000"/>
          <w:kern w:val="0"/>
          <w:sz w:val="24"/>
          <w:szCs w:val="24"/>
        </w:rPr>
      </w:pPr>
    </w:p>
    <w:p w:rsidR="0012438E" w:rsidRDefault="0012438E">
      <w:pPr>
        <w:autoSpaceDE w:val="0"/>
        <w:autoSpaceDN w:val="0"/>
        <w:adjustRightInd w:val="0"/>
        <w:spacing w:before="29" w:line="288" w:lineRule="auto"/>
        <w:jc w:val="left"/>
        <w:rPr>
          <w:color w:val="000000"/>
          <w:kern w:val="0"/>
          <w:sz w:val="24"/>
          <w:szCs w:val="24"/>
        </w:rPr>
      </w:pPr>
    </w:p>
    <w:p w:rsidR="0012438E" w:rsidRDefault="0012438E">
      <w:pPr>
        <w:autoSpaceDE w:val="0"/>
        <w:autoSpaceDN w:val="0"/>
        <w:adjustRightInd w:val="0"/>
        <w:spacing w:before="29" w:line="288" w:lineRule="auto"/>
        <w:jc w:val="left"/>
        <w:rPr>
          <w:color w:val="000000"/>
          <w:kern w:val="0"/>
          <w:sz w:val="24"/>
          <w:szCs w:val="24"/>
        </w:rPr>
      </w:pPr>
    </w:p>
    <w:p w:rsidR="0012438E" w:rsidRDefault="0012438E">
      <w:pPr>
        <w:autoSpaceDE w:val="0"/>
        <w:autoSpaceDN w:val="0"/>
        <w:adjustRightInd w:val="0"/>
        <w:spacing w:before="29" w:line="288" w:lineRule="auto"/>
        <w:jc w:val="left"/>
        <w:rPr>
          <w:color w:val="000000"/>
          <w:kern w:val="0"/>
          <w:sz w:val="24"/>
          <w:szCs w:val="24"/>
        </w:rPr>
      </w:pPr>
    </w:p>
    <w:p w:rsidR="0012438E" w:rsidRDefault="00F03621">
      <w:pPr>
        <w:spacing w:before="29" w:line="288" w:lineRule="auto"/>
        <w:jc w:val="center"/>
        <w:rPr>
          <w:b/>
          <w:sz w:val="36"/>
          <w:szCs w:val="36"/>
        </w:rPr>
      </w:pPr>
      <w:r>
        <w:rPr>
          <w:b/>
          <w:sz w:val="36"/>
          <w:szCs w:val="36"/>
        </w:rPr>
        <w:t>海富通东财大数据灵活配置混合型证券投资基金</w:t>
      </w:r>
    </w:p>
    <w:p w:rsidR="0012438E" w:rsidRDefault="00F03621">
      <w:pPr>
        <w:spacing w:before="29" w:line="288" w:lineRule="auto"/>
        <w:jc w:val="center"/>
        <w:rPr>
          <w:b/>
          <w:sz w:val="36"/>
          <w:szCs w:val="36"/>
        </w:rPr>
      </w:pPr>
      <w:r>
        <w:rPr>
          <w:b/>
          <w:sz w:val="36"/>
          <w:szCs w:val="36"/>
        </w:rPr>
        <w:t>2018</w:t>
      </w:r>
      <w:r>
        <w:rPr>
          <w:b/>
          <w:sz w:val="36"/>
          <w:szCs w:val="36"/>
        </w:rPr>
        <w:t>年第</w:t>
      </w:r>
      <w:r>
        <w:rPr>
          <w:b/>
          <w:sz w:val="36"/>
          <w:szCs w:val="36"/>
        </w:rPr>
        <w:t>2</w:t>
      </w:r>
      <w:r>
        <w:rPr>
          <w:b/>
          <w:sz w:val="36"/>
          <w:szCs w:val="36"/>
        </w:rPr>
        <w:t>季度报告</w:t>
      </w:r>
    </w:p>
    <w:p w:rsidR="0012438E" w:rsidRDefault="00F03621">
      <w:pPr>
        <w:spacing w:before="29" w:line="288" w:lineRule="auto"/>
        <w:jc w:val="center"/>
        <w:rPr>
          <w:b/>
          <w:sz w:val="36"/>
          <w:szCs w:val="36"/>
        </w:rPr>
      </w:pPr>
      <w:r>
        <w:rPr>
          <w:b/>
          <w:sz w:val="36"/>
          <w:szCs w:val="36"/>
        </w:rPr>
        <w:t>2018</w:t>
      </w:r>
      <w:r>
        <w:rPr>
          <w:b/>
          <w:sz w:val="36"/>
          <w:szCs w:val="36"/>
        </w:rPr>
        <w:t>年</w:t>
      </w:r>
      <w:r>
        <w:rPr>
          <w:b/>
          <w:sz w:val="36"/>
          <w:szCs w:val="36"/>
        </w:rPr>
        <w:t>5</w:t>
      </w:r>
      <w:r>
        <w:rPr>
          <w:b/>
          <w:sz w:val="36"/>
          <w:szCs w:val="36"/>
        </w:rPr>
        <w:t>月</w:t>
      </w:r>
      <w:r>
        <w:rPr>
          <w:b/>
          <w:sz w:val="36"/>
          <w:szCs w:val="36"/>
        </w:rPr>
        <w:t>10</w:t>
      </w:r>
      <w:r>
        <w:rPr>
          <w:b/>
          <w:sz w:val="36"/>
          <w:szCs w:val="36"/>
        </w:rPr>
        <w:t>日</w:t>
      </w:r>
    </w:p>
    <w:p w:rsidR="0012438E" w:rsidRDefault="0012438E">
      <w:pPr>
        <w:spacing w:before="29" w:line="288" w:lineRule="auto"/>
        <w:jc w:val="center"/>
        <w:rPr>
          <w:b/>
          <w:bCs/>
          <w:color w:val="000000"/>
          <w:sz w:val="24"/>
          <w:szCs w:val="24"/>
        </w:rPr>
      </w:pPr>
    </w:p>
    <w:p w:rsidR="0012438E" w:rsidRDefault="0012438E">
      <w:pPr>
        <w:spacing w:before="29" w:line="288" w:lineRule="auto"/>
        <w:jc w:val="center"/>
        <w:rPr>
          <w:b/>
          <w:bCs/>
          <w:color w:val="000000"/>
          <w:sz w:val="24"/>
          <w:szCs w:val="24"/>
        </w:rPr>
      </w:pPr>
    </w:p>
    <w:p w:rsidR="0012438E" w:rsidRDefault="0012438E">
      <w:pPr>
        <w:spacing w:before="29" w:line="288" w:lineRule="auto"/>
        <w:jc w:val="center"/>
        <w:rPr>
          <w:b/>
          <w:bCs/>
          <w:color w:val="000000"/>
          <w:sz w:val="24"/>
          <w:szCs w:val="24"/>
        </w:rPr>
      </w:pPr>
    </w:p>
    <w:p w:rsidR="0012438E" w:rsidRDefault="0012438E">
      <w:pPr>
        <w:spacing w:before="29" w:line="288" w:lineRule="auto"/>
        <w:jc w:val="center"/>
        <w:rPr>
          <w:b/>
          <w:bCs/>
          <w:color w:val="000000"/>
          <w:sz w:val="24"/>
          <w:szCs w:val="24"/>
        </w:rPr>
      </w:pPr>
    </w:p>
    <w:p w:rsidR="0012438E" w:rsidRDefault="0012438E">
      <w:pPr>
        <w:spacing w:before="29" w:line="288" w:lineRule="auto"/>
        <w:jc w:val="center"/>
        <w:rPr>
          <w:b/>
          <w:bCs/>
          <w:color w:val="000000"/>
          <w:sz w:val="24"/>
          <w:szCs w:val="24"/>
        </w:rPr>
      </w:pPr>
    </w:p>
    <w:p w:rsidR="0012438E" w:rsidRDefault="0012438E">
      <w:pPr>
        <w:spacing w:before="29" w:line="288" w:lineRule="auto"/>
        <w:jc w:val="center"/>
        <w:rPr>
          <w:b/>
          <w:bCs/>
          <w:color w:val="000000"/>
          <w:sz w:val="24"/>
          <w:szCs w:val="24"/>
        </w:rPr>
      </w:pPr>
    </w:p>
    <w:p w:rsidR="0012438E" w:rsidRDefault="0012438E">
      <w:pPr>
        <w:spacing w:before="29" w:line="288" w:lineRule="auto"/>
        <w:jc w:val="center"/>
        <w:rPr>
          <w:b/>
          <w:bCs/>
          <w:color w:val="000000"/>
          <w:sz w:val="24"/>
          <w:szCs w:val="24"/>
        </w:rPr>
      </w:pPr>
    </w:p>
    <w:p w:rsidR="0012438E" w:rsidRDefault="0012438E">
      <w:pPr>
        <w:spacing w:before="29" w:line="288" w:lineRule="auto"/>
        <w:jc w:val="center"/>
        <w:rPr>
          <w:b/>
          <w:bCs/>
          <w:color w:val="000000"/>
          <w:sz w:val="24"/>
          <w:szCs w:val="24"/>
        </w:rPr>
      </w:pPr>
    </w:p>
    <w:p w:rsidR="0012438E" w:rsidRDefault="0012438E">
      <w:pPr>
        <w:spacing w:before="29" w:line="288" w:lineRule="auto"/>
        <w:jc w:val="center"/>
        <w:rPr>
          <w:b/>
          <w:bCs/>
          <w:color w:val="000000"/>
          <w:sz w:val="24"/>
          <w:szCs w:val="24"/>
        </w:rPr>
      </w:pPr>
    </w:p>
    <w:p w:rsidR="0012438E" w:rsidRDefault="0012438E">
      <w:pPr>
        <w:spacing w:before="29" w:line="288" w:lineRule="auto"/>
        <w:jc w:val="center"/>
        <w:rPr>
          <w:b/>
          <w:bCs/>
          <w:color w:val="000000"/>
          <w:sz w:val="24"/>
          <w:szCs w:val="24"/>
        </w:rPr>
      </w:pPr>
    </w:p>
    <w:p w:rsidR="0012438E" w:rsidRDefault="0012438E">
      <w:pPr>
        <w:spacing w:before="29" w:line="288" w:lineRule="auto"/>
        <w:jc w:val="center"/>
        <w:rPr>
          <w:b/>
          <w:bCs/>
          <w:color w:val="000000"/>
          <w:sz w:val="24"/>
          <w:szCs w:val="24"/>
        </w:rPr>
      </w:pPr>
    </w:p>
    <w:p w:rsidR="0012438E" w:rsidRDefault="0012438E">
      <w:pPr>
        <w:spacing w:before="29" w:line="288" w:lineRule="auto"/>
        <w:jc w:val="center"/>
        <w:rPr>
          <w:b/>
          <w:bCs/>
          <w:color w:val="000000"/>
          <w:sz w:val="24"/>
          <w:szCs w:val="24"/>
        </w:rPr>
      </w:pPr>
    </w:p>
    <w:p w:rsidR="0012438E" w:rsidRDefault="00F03621">
      <w:pPr>
        <w:spacing w:before="29" w:line="288" w:lineRule="auto"/>
        <w:ind w:firstLineChars="900" w:firstLine="2168"/>
        <w:rPr>
          <w:b/>
          <w:color w:val="000000"/>
          <w:sz w:val="24"/>
          <w:szCs w:val="24"/>
        </w:rPr>
      </w:pPr>
      <w:r>
        <w:rPr>
          <w:b/>
          <w:color w:val="000000"/>
          <w:sz w:val="24"/>
          <w:szCs w:val="24"/>
        </w:rPr>
        <w:t>基金管理人：海富通基金管理有限公司</w:t>
      </w:r>
    </w:p>
    <w:p w:rsidR="0012438E" w:rsidRDefault="00F03621">
      <w:pPr>
        <w:spacing w:before="29" w:line="288" w:lineRule="auto"/>
        <w:ind w:firstLineChars="900" w:firstLine="2168"/>
        <w:rPr>
          <w:b/>
          <w:color w:val="000000"/>
          <w:sz w:val="24"/>
          <w:szCs w:val="24"/>
        </w:rPr>
      </w:pPr>
      <w:r>
        <w:rPr>
          <w:b/>
          <w:color w:val="000000"/>
          <w:sz w:val="24"/>
          <w:szCs w:val="24"/>
        </w:rPr>
        <w:t>基金托管人：中国工商银行股份有限公司</w:t>
      </w:r>
    </w:p>
    <w:p w:rsidR="0012438E" w:rsidRDefault="00F03621">
      <w:pPr>
        <w:spacing w:before="29" w:line="288" w:lineRule="auto"/>
        <w:ind w:firstLineChars="900" w:firstLine="2168"/>
        <w:rPr>
          <w:b/>
          <w:color w:val="000000"/>
          <w:sz w:val="24"/>
          <w:szCs w:val="24"/>
        </w:rPr>
        <w:sectPr w:rsidR="0012438E">
          <w:headerReference w:type="default" r:id="rId8"/>
          <w:footerReference w:type="default" r:id="rId9"/>
          <w:pgSz w:w="11926" w:h="15840"/>
          <w:pgMar w:top="1418" w:right="1440" w:bottom="851" w:left="1440" w:header="851" w:footer="992" w:gutter="0"/>
          <w:cols w:space="720"/>
        </w:sectPr>
      </w:pPr>
      <w:r>
        <w:rPr>
          <w:b/>
          <w:color w:val="000000"/>
          <w:sz w:val="24"/>
          <w:szCs w:val="24"/>
        </w:rPr>
        <w:t>报告送出日期：二〇一八年七月十八日</w:t>
      </w:r>
    </w:p>
    <w:p w:rsidR="0012438E" w:rsidRDefault="00F03621" w:rsidP="00BA3DC2">
      <w:pPr>
        <w:pStyle w:val="1"/>
        <w:spacing w:beforeLines="100" w:afterLines="100" w:line="288" w:lineRule="auto"/>
        <w:jc w:val="center"/>
        <w:rPr>
          <w:b w:val="0"/>
          <w:bCs w:val="0"/>
          <w:color w:val="000000"/>
          <w:kern w:val="0"/>
          <w:sz w:val="24"/>
          <w:szCs w:val="24"/>
        </w:rPr>
      </w:pPr>
      <w:r>
        <w:rPr>
          <w:color w:val="000000"/>
          <w:kern w:val="0"/>
          <w:sz w:val="24"/>
          <w:szCs w:val="24"/>
        </w:rPr>
        <w:lastRenderedPageBreak/>
        <w:t xml:space="preserve">§1  </w:t>
      </w:r>
      <w:r>
        <w:rPr>
          <w:color w:val="000000"/>
          <w:kern w:val="0"/>
          <w:sz w:val="24"/>
          <w:szCs w:val="24"/>
        </w:rPr>
        <w:t>重要提示</w:t>
      </w:r>
    </w:p>
    <w:p w:rsidR="00E17817" w:rsidRDefault="00A40F17">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p>
    <w:p w:rsidR="00E17817" w:rsidRDefault="00A40F17">
      <w:pPr>
        <w:spacing w:before="29" w:line="288" w:lineRule="auto"/>
        <w:ind w:firstLineChars="200" w:firstLine="480"/>
        <w:rPr>
          <w:color w:val="000000"/>
          <w:sz w:val="24"/>
          <w:szCs w:val="24"/>
        </w:rPr>
      </w:pPr>
      <w:r>
        <w:rPr>
          <w:color w:val="000000"/>
          <w:sz w:val="24"/>
          <w:szCs w:val="24"/>
        </w:rPr>
        <w:t>基金托管人中国工商银行股份有限公司根据本基金合同规定，于</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17</w:t>
      </w:r>
      <w:r>
        <w:rPr>
          <w:color w:val="000000"/>
          <w:sz w:val="24"/>
          <w:szCs w:val="24"/>
        </w:rPr>
        <w:t>日复核了本报告中的财务指标、净值表现和投资组合报告等内容，保证复核内容不存在虚假记载、误导性陈述或者重大遗漏。</w:t>
      </w:r>
    </w:p>
    <w:p w:rsidR="00E17817" w:rsidRDefault="00A40F17">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p>
    <w:p w:rsidR="00E17817" w:rsidRDefault="00A40F17">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p>
    <w:p w:rsidR="00E17817" w:rsidRDefault="00A40F17">
      <w:pPr>
        <w:spacing w:before="29" w:line="288" w:lineRule="auto"/>
        <w:ind w:firstLineChars="200" w:firstLine="480"/>
        <w:rPr>
          <w:color w:val="000000"/>
          <w:sz w:val="24"/>
          <w:szCs w:val="24"/>
        </w:rPr>
      </w:pPr>
      <w:r>
        <w:rPr>
          <w:color w:val="000000"/>
          <w:sz w:val="24"/>
          <w:szCs w:val="24"/>
        </w:rPr>
        <w:t>本报告中财务资料未经审计。</w:t>
      </w:r>
    </w:p>
    <w:p w:rsidR="0012438E" w:rsidRDefault="00F03621">
      <w:pPr>
        <w:spacing w:before="29" w:line="288" w:lineRule="auto"/>
        <w:ind w:firstLineChars="200" w:firstLine="480"/>
        <w:rPr>
          <w:color w:val="000000"/>
          <w:sz w:val="24"/>
          <w:szCs w:val="24"/>
        </w:rPr>
      </w:pPr>
      <w:r>
        <w:rPr>
          <w:color w:val="000000"/>
          <w:sz w:val="24"/>
          <w:szCs w:val="24"/>
        </w:rPr>
        <w:t>本报告期自</w:t>
      </w:r>
      <w:r>
        <w:rPr>
          <w:color w:val="000000"/>
          <w:sz w:val="24"/>
          <w:szCs w:val="24"/>
        </w:rPr>
        <w:t>2018</w:t>
      </w:r>
      <w:r>
        <w:rPr>
          <w:color w:val="000000"/>
          <w:sz w:val="24"/>
          <w:szCs w:val="24"/>
        </w:rPr>
        <w:t>年</w:t>
      </w:r>
      <w:r>
        <w:rPr>
          <w:color w:val="000000"/>
          <w:sz w:val="24"/>
          <w:szCs w:val="24"/>
        </w:rPr>
        <w:t>4</w:t>
      </w:r>
      <w:r>
        <w:rPr>
          <w:color w:val="000000"/>
          <w:sz w:val="24"/>
          <w:szCs w:val="24"/>
        </w:rPr>
        <w:t>月</w:t>
      </w:r>
      <w:r>
        <w:rPr>
          <w:color w:val="000000"/>
          <w:sz w:val="24"/>
          <w:szCs w:val="24"/>
        </w:rPr>
        <w:t>1</w:t>
      </w:r>
      <w:r>
        <w:rPr>
          <w:color w:val="000000"/>
          <w:sz w:val="24"/>
          <w:szCs w:val="24"/>
        </w:rPr>
        <w:t>日起至</w:t>
      </w:r>
      <w:r>
        <w:rPr>
          <w:color w:val="000000"/>
          <w:sz w:val="24"/>
          <w:szCs w:val="24"/>
        </w:rPr>
        <w:t>5</w:t>
      </w:r>
      <w:r>
        <w:rPr>
          <w:color w:val="000000"/>
          <w:sz w:val="24"/>
          <w:szCs w:val="24"/>
        </w:rPr>
        <w:t>月</w:t>
      </w:r>
      <w:r>
        <w:rPr>
          <w:color w:val="000000"/>
          <w:sz w:val="24"/>
          <w:szCs w:val="24"/>
        </w:rPr>
        <w:t>10</w:t>
      </w:r>
      <w:r>
        <w:rPr>
          <w:color w:val="000000"/>
          <w:sz w:val="24"/>
          <w:szCs w:val="24"/>
        </w:rPr>
        <w:t>日（最后运作日）止。</w:t>
      </w:r>
    </w:p>
    <w:p w:rsidR="0012438E" w:rsidRDefault="0012438E">
      <w:pPr>
        <w:spacing w:before="29" w:line="288" w:lineRule="auto"/>
        <w:ind w:firstLineChars="200" w:firstLine="480"/>
        <w:rPr>
          <w:color w:val="000000"/>
          <w:sz w:val="24"/>
          <w:szCs w:val="24"/>
        </w:rPr>
      </w:pPr>
    </w:p>
    <w:p w:rsidR="0012438E" w:rsidRDefault="00F03621" w:rsidP="00BA3DC2">
      <w:pPr>
        <w:pStyle w:val="1"/>
        <w:spacing w:beforeLines="100" w:afterLines="100" w:line="288" w:lineRule="auto"/>
        <w:jc w:val="center"/>
        <w:rPr>
          <w:color w:val="000000"/>
          <w:kern w:val="0"/>
          <w:sz w:val="24"/>
          <w:szCs w:val="24"/>
        </w:rPr>
      </w:pPr>
      <w:r>
        <w:rPr>
          <w:color w:val="000000"/>
          <w:kern w:val="0"/>
          <w:sz w:val="24"/>
          <w:szCs w:val="24"/>
        </w:rPr>
        <w:t xml:space="preserve">§2  </w:t>
      </w:r>
      <w:r>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3"/>
        <w:gridCol w:w="5845"/>
      </w:tblGrid>
      <w:tr w:rsidR="0012438E">
        <w:trPr>
          <w:jc w:val="center"/>
        </w:trPr>
        <w:tc>
          <w:tcPr>
            <w:tcW w:w="3023" w:type="dxa"/>
            <w:vAlign w:val="center"/>
          </w:tcPr>
          <w:p w:rsidR="0012438E" w:rsidRDefault="00F03621">
            <w:pPr>
              <w:adjustRightInd w:val="0"/>
              <w:spacing w:before="29" w:line="288" w:lineRule="auto"/>
              <w:ind w:left="17"/>
              <w:jc w:val="left"/>
              <w:rPr>
                <w:kern w:val="0"/>
                <w:sz w:val="24"/>
                <w:szCs w:val="24"/>
              </w:rPr>
            </w:pPr>
            <w:r>
              <w:rPr>
                <w:kern w:val="0"/>
                <w:sz w:val="24"/>
                <w:szCs w:val="24"/>
              </w:rPr>
              <w:t>基金简称</w:t>
            </w:r>
          </w:p>
        </w:tc>
        <w:tc>
          <w:tcPr>
            <w:tcW w:w="5845" w:type="dxa"/>
            <w:vAlign w:val="center"/>
          </w:tcPr>
          <w:p w:rsidR="0012438E" w:rsidRDefault="00F03621">
            <w:pPr>
              <w:adjustRightInd w:val="0"/>
              <w:spacing w:before="29" w:line="288" w:lineRule="auto"/>
              <w:ind w:left="17"/>
              <w:jc w:val="left"/>
              <w:rPr>
                <w:color w:val="000000"/>
                <w:kern w:val="0"/>
                <w:sz w:val="24"/>
                <w:szCs w:val="24"/>
              </w:rPr>
            </w:pPr>
            <w:r>
              <w:rPr>
                <w:color w:val="000000"/>
                <w:kern w:val="0"/>
                <w:sz w:val="24"/>
                <w:szCs w:val="24"/>
              </w:rPr>
              <w:t>海富通东财大数据混合</w:t>
            </w:r>
          </w:p>
        </w:tc>
      </w:tr>
      <w:tr w:rsidR="0012438E">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2438E" w:rsidRDefault="00F03621">
            <w:pPr>
              <w:adjustRightInd w:val="0"/>
              <w:spacing w:before="29" w:line="288" w:lineRule="auto"/>
              <w:ind w:left="17"/>
              <w:jc w:val="left"/>
              <w:rPr>
                <w:kern w:val="0"/>
                <w:sz w:val="24"/>
                <w:szCs w:val="24"/>
              </w:rPr>
            </w:pPr>
            <w:r>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tcPr>
          <w:p w:rsidR="0012438E" w:rsidRDefault="00F03621">
            <w:pPr>
              <w:adjustRightInd w:val="0"/>
              <w:spacing w:before="29" w:line="288" w:lineRule="auto"/>
              <w:ind w:left="17"/>
              <w:jc w:val="left"/>
              <w:rPr>
                <w:color w:val="000000"/>
                <w:kern w:val="0"/>
                <w:sz w:val="24"/>
                <w:szCs w:val="24"/>
              </w:rPr>
            </w:pPr>
            <w:r>
              <w:rPr>
                <w:color w:val="000000"/>
                <w:kern w:val="0"/>
                <w:sz w:val="24"/>
                <w:szCs w:val="24"/>
              </w:rPr>
              <w:t>519132</w:t>
            </w:r>
          </w:p>
        </w:tc>
      </w:tr>
      <w:tr w:rsidR="0012438E">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2438E" w:rsidRDefault="00F03621">
            <w:pPr>
              <w:adjustRightInd w:val="0"/>
              <w:spacing w:before="29" w:line="288" w:lineRule="auto"/>
              <w:ind w:left="17"/>
              <w:jc w:val="left"/>
              <w:rPr>
                <w:kern w:val="0"/>
                <w:sz w:val="24"/>
                <w:szCs w:val="24"/>
              </w:rPr>
            </w:pPr>
            <w:r>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2438E" w:rsidRDefault="00F03621">
            <w:pPr>
              <w:adjustRightInd w:val="0"/>
              <w:spacing w:before="29" w:line="288" w:lineRule="auto"/>
              <w:ind w:left="17"/>
              <w:jc w:val="left"/>
              <w:rPr>
                <w:color w:val="000000"/>
                <w:kern w:val="0"/>
                <w:sz w:val="24"/>
                <w:szCs w:val="24"/>
              </w:rPr>
            </w:pPr>
            <w:r>
              <w:rPr>
                <w:kern w:val="0"/>
                <w:sz w:val="24"/>
              </w:rPr>
              <w:t>519132</w:t>
            </w:r>
          </w:p>
        </w:tc>
      </w:tr>
      <w:tr w:rsidR="0012438E">
        <w:trPr>
          <w:jc w:val="center"/>
        </w:trPr>
        <w:tc>
          <w:tcPr>
            <w:tcW w:w="3023" w:type="dxa"/>
            <w:vAlign w:val="center"/>
          </w:tcPr>
          <w:p w:rsidR="0012438E" w:rsidRDefault="00F03621">
            <w:pPr>
              <w:adjustRightInd w:val="0"/>
              <w:spacing w:before="29" w:line="288" w:lineRule="auto"/>
              <w:ind w:left="17"/>
              <w:jc w:val="left"/>
              <w:rPr>
                <w:sz w:val="24"/>
                <w:szCs w:val="24"/>
              </w:rPr>
            </w:pPr>
            <w:r>
              <w:rPr>
                <w:kern w:val="0"/>
                <w:sz w:val="24"/>
                <w:szCs w:val="24"/>
              </w:rPr>
              <w:t>基金运作方式</w:t>
            </w:r>
          </w:p>
        </w:tc>
        <w:tc>
          <w:tcPr>
            <w:tcW w:w="5845" w:type="dxa"/>
            <w:vAlign w:val="center"/>
          </w:tcPr>
          <w:p w:rsidR="0012438E" w:rsidRDefault="00F03621">
            <w:pPr>
              <w:adjustRightInd w:val="0"/>
              <w:spacing w:before="29" w:line="288" w:lineRule="auto"/>
              <w:ind w:left="17"/>
              <w:jc w:val="left"/>
              <w:rPr>
                <w:color w:val="000000"/>
                <w:sz w:val="24"/>
                <w:szCs w:val="24"/>
              </w:rPr>
            </w:pPr>
            <w:r>
              <w:rPr>
                <w:color w:val="000000"/>
                <w:kern w:val="0"/>
                <w:sz w:val="24"/>
                <w:szCs w:val="24"/>
              </w:rPr>
              <w:t>契约型、开放式</w:t>
            </w:r>
          </w:p>
        </w:tc>
      </w:tr>
      <w:tr w:rsidR="0012438E">
        <w:trPr>
          <w:jc w:val="center"/>
        </w:trPr>
        <w:tc>
          <w:tcPr>
            <w:tcW w:w="3023" w:type="dxa"/>
            <w:vAlign w:val="center"/>
          </w:tcPr>
          <w:p w:rsidR="0012438E" w:rsidRDefault="00F03621">
            <w:pPr>
              <w:adjustRightInd w:val="0"/>
              <w:spacing w:before="29" w:line="288" w:lineRule="auto"/>
              <w:ind w:left="17"/>
              <w:jc w:val="left"/>
              <w:rPr>
                <w:sz w:val="24"/>
                <w:szCs w:val="24"/>
              </w:rPr>
            </w:pPr>
            <w:r>
              <w:rPr>
                <w:kern w:val="0"/>
                <w:sz w:val="24"/>
                <w:szCs w:val="24"/>
              </w:rPr>
              <w:t>基金合同生效日</w:t>
            </w:r>
          </w:p>
        </w:tc>
        <w:tc>
          <w:tcPr>
            <w:tcW w:w="5845" w:type="dxa"/>
            <w:vAlign w:val="center"/>
          </w:tcPr>
          <w:p w:rsidR="0012438E" w:rsidRDefault="00F03621">
            <w:pPr>
              <w:adjustRightInd w:val="0"/>
              <w:spacing w:before="29" w:line="288" w:lineRule="auto"/>
              <w:ind w:left="17"/>
              <w:jc w:val="left"/>
              <w:rPr>
                <w:color w:val="000000"/>
                <w:sz w:val="24"/>
                <w:szCs w:val="24"/>
              </w:rPr>
            </w:pPr>
            <w:r>
              <w:rPr>
                <w:color w:val="000000"/>
                <w:kern w:val="0"/>
                <w:sz w:val="24"/>
                <w:szCs w:val="24"/>
              </w:rPr>
              <w:t>2016</w:t>
            </w:r>
            <w:r>
              <w:rPr>
                <w:color w:val="000000"/>
                <w:kern w:val="0"/>
                <w:sz w:val="24"/>
                <w:szCs w:val="24"/>
              </w:rPr>
              <w:t>年</w:t>
            </w:r>
            <w:r>
              <w:rPr>
                <w:color w:val="000000"/>
                <w:kern w:val="0"/>
                <w:sz w:val="24"/>
                <w:szCs w:val="24"/>
              </w:rPr>
              <w:t>1</w:t>
            </w:r>
            <w:r>
              <w:rPr>
                <w:color w:val="000000"/>
                <w:kern w:val="0"/>
                <w:sz w:val="24"/>
                <w:szCs w:val="24"/>
              </w:rPr>
              <w:t>月</w:t>
            </w:r>
            <w:r>
              <w:rPr>
                <w:color w:val="000000"/>
                <w:kern w:val="0"/>
                <w:sz w:val="24"/>
                <w:szCs w:val="24"/>
              </w:rPr>
              <w:t>29</w:t>
            </w:r>
            <w:r>
              <w:rPr>
                <w:color w:val="000000"/>
                <w:kern w:val="0"/>
                <w:sz w:val="24"/>
                <w:szCs w:val="24"/>
              </w:rPr>
              <w:t>日</w:t>
            </w:r>
          </w:p>
        </w:tc>
      </w:tr>
      <w:tr w:rsidR="0012438E">
        <w:trPr>
          <w:jc w:val="center"/>
        </w:trPr>
        <w:tc>
          <w:tcPr>
            <w:tcW w:w="3023" w:type="dxa"/>
            <w:vAlign w:val="center"/>
          </w:tcPr>
          <w:p w:rsidR="0012438E" w:rsidRDefault="00F03621">
            <w:pPr>
              <w:adjustRightInd w:val="0"/>
              <w:spacing w:before="29" w:line="288" w:lineRule="auto"/>
              <w:ind w:left="17"/>
              <w:jc w:val="left"/>
              <w:rPr>
                <w:sz w:val="24"/>
                <w:szCs w:val="24"/>
              </w:rPr>
            </w:pPr>
            <w:r>
              <w:rPr>
                <w:kern w:val="0"/>
                <w:sz w:val="24"/>
                <w:szCs w:val="24"/>
              </w:rPr>
              <w:t>报告期末基金份额总额</w:t>
            </w:r>
          </w:p>
        </w:tc>
        <w:tc>
          <w:tcPr>
            <w:tcW w:w="5845" w:type="dxa"/>
            <w:vAlign w:val="center"/>
          </w:tcPr>
          <w:p w:rsidR="0012438E" w:rsidRDefault="00F03621">
            <w:pPr>
              <w:adjustRightInd w:val="0"/>
              <w:spacing w:before="29" w:line="288" w:lineRule="auto"/>
              <w:ind w:left="17"/>
              <w:jc w:val="left"/>
              <w:rPr>
                <w:color w:val="000000"/>
                <w:sz w:val="24"/>
                <w:szCs w:val="24"/>
              </w:rPr>
            </w:pPr>
            <w:r>
              <w:rPr>
                <w:color w:val="000000"/>
                <w:kern w:val="0"/>
                <w:sz w:val="24"/>
                <w:szCs w:val="24"/>
              </w:rPr>
              <w:t>6,535,890.35</w:t>
            </w:r>
            <w:r>
              <w:rPr>
                <w:color w:val="000000"/>
                <w:kern w:val="0"/>
                <w:sz w:val="24"/>
                <w:szCs w:val="24"/>
              </w:rPr>
              <w:t>份</w:t>
            </w:r>
          </w:p>
        </w:tc>
      </w:tr>
      <w:tr w:rsidR="0012438E">
        <w:trPr>
          <w:jc w:val="center"/>
        </w:trPr>
        <w:tc>
          <w:tcPr>
            <w:tcW w:w="3023" w:type="dxa"/>
            <w:vAlign w:val="center"/>
          </w:tcPr>
          <w:p w:rsidR="0012438E" w:rsidRDefault="00F03621">
            <w:pPr>
              <w:adjustRightInd w:val="0"/>
              <w:spacing w:before="29" w:line="288" w:lineRule="auto"/>
              <w:ind w:left="17"/>
              <w:jc w:val="left"/>
              <w:rPr>
                <w:sz w:val="24"/>
                <w:szCs w:val="24"/>
              </w:rPr>
            </w:pPr>
            <w:r>
              <w:rPr>
                <w:kern w:val="0"/>
                <w:sz w:val="24"/>
                <w:szCs w:val="24"/>
              </w:rPr>
              <w:t>投资目标</w:t>
            </w:r>
          </w:p>
        </w:tc>
        <w:tc>
          <w:tcPr>
            <w:tcW w:w="5845" w:type="dxa"/>
            <w:vAlign w:val="center"/>
          </w:tcPr>
          <w:p w:rsidR="0012438E" w:rsidRDefault="00F03621">
            <w:pPr>
              <w:adjustRightInd w:val="0"/>
              <w:spacing w:before="29" w:line="288" w:lineRule="auto"/>
              <w:ind w:left="17"/>
              <w:jc w:val="left"/>
              <w:rPr>
                <w:color w:val="000000"/>
                <w:sz w:val="24"/>
                <w:szCs w:val="24"/>
              </w:rPr>
            </w:pPr>
            <w:r>
              <w:rPr>
                <w:color w:val="000000"/>
                <w:kern w:val="0"/>
                <w:sz w:val="24"/>
                <w:szCs w:val="24"/>
              </w:rPr>
              <w:t>在严格控制风险的前提下，通过灵活有效的资产配置策略和个股精选策略，实现基金资产的稳健、持续增值。</w:t>
            </w:r>
          </w:p>
        </w:tc>
      </w:tr>
      <w:tr w:rsidR="0012438E">
        <w:trPr>
          <w:jc w:val="center"/>
        </w:trPr>
        <w:tc>
          <w:tcPr>
            <w:tcW w:w="3023" w:type="dxa"/>
            <w:vAlign w:val="center"/>
          </w:tcPr>
          <w:p w:rsidR="0012438E" w:rsidRDefault="00F03621">
            <w:pPr>
              <w:adjustRightInd w:val="0"/>
              <w:spacing w:before="29" w:line="288" w:lineRule="auto"/>
              <w:ind w:left="17"/>
              <w:jc w:val="left"/>
              <w:rPr>
                <w:sz w:val="24"/>
                <w:szCs w:val="24"/>
              </w:rPr>
            </w:pPr>
            <w:r>
              <w:rPr>
                <w:kern w:val="0"/>
                <w:sz w:val="24"/>
                <w:szCs w:val="24"/>
              </w:rPr>
              <w:t>投资策略</w:t>
            </w:r>
          </w:p>
        </w:tc>
        <w:tc>
          <w:tcPr>
            <w:tcW w:w="5845" w:type="dxa"/>
            <w:vAlign w:val="center"/>
          </w:tcPr>
          <w:p w:rsidR="0012438E" w:rsidRDefault="00F03621">
            <w:pPr>
              <w:adjustRightInd w:val="0"/>
              <w:spacing w:before="29" w:line="288" w:lineRule="auto"/>
              <w:ind w:left="17"/>
              <w:jc w:val="left"/>
              <w:rPr>
                <w:color w:val="000000"/>
                <w:sz w:val="24"/>
                <w:szCs w:val="24"/>
              </w:rPr>
            </w:pPr>
            <w:r>
              <w:rPr>
                <w:color w:val="000000"/>
                <w:kern w:val="0"/>
                <w:sz w:val="24"/>
                <w:szCs w:val="24"/>
              </w:rPr>
              <w:t>本基金的资产配置策略以基金的投资目标为中心，首先按照投资时钟理论，根据宏观预期环境判断经济周期所处的阶段，作出权益类资产的初步配置，并根据投资时钟判断大致的行业配置；其次结合东方财富大数据指标及其他证券市场趋势指标，判断证券市场指数的大致风险收益比，从而做出权益类资产的具体仓位选择。在债券组合的具体构造和调整上，本基金综合运用久期调整、收益率曲线策略、类属配置等组合管理手段进行日常管理。</w:t>
            </w:r>
          </w:p>
        </w:tc>
      </w:tr>
      <w:tr w:rsidR="0012438E">
        <w:trPr>
          <w:jc w:val="center"/>
        </w:trPr>
        <w:tc>
          <w:tcPr>
            <w:tcW w:w="3023" w:type="dxa"/>
            <w:vAlign w:val="center"/>
          </w:tcPr>
          <w:p w:rsidR="0012438E" w:rsidRDefault="00F03621">
            <w:pPr>
              <w:adjustRightInd w:val="0"/>
              <w:spacing w:before="29" w:line="288" w:lineRule="auto"/>
              <w:ind w:left="17"/>
              <w:jc w:val="left"/>
              <w:rPr>
                <w:sz w:val="24"/>
                <w:szCs w:val="24"/>
              </w:rPr>
            </w:pPr>
            <w:r>
              <w:rPr>
                <w:kern w:val="0"/>
                <w:sz w:val="24"/>
                <w:szCs w:val="24"/>
              </w:rPr>
              <w:lastRenderedPageBreak/>
              <w:t>业绩比较基准</w:t>
            </w:r>
          </w:p>
        </w:tc>
        <w:tc>
          <w:tcPr>
            <w:tcW w:w="5845" w:type="dxa"/>
            <w:vAlign w:val="center"/>
          </w:tcPr>
          <w:p w:rsidR="0012438E" w:rsidRDefault="00F03621">
            <w:pPr>
              <w:adjustRightInd w:val="0"/>
              <w:spacing w:before="29" w:line="288" w:lineRule="auto"/>
              <w:ind w:left="17"/>
              <w:jc w:val="left"/>
              <w:rPr>
                <w:color w:val="000000"/>
                <w:sz w:val="24"/>
                <w:szCs w:val="24"/>
              </w:rPr>
            </w:pPr>
            <w:r>
              <w:rPr>
                <w:color w:val="000000"/>
                <w:kern w:val="0"/>
                <w:sz w:val="24"/>
                <w:szCs w:val="24"/>
              </w:rPr>
              <w:t>沪深</w:t>
            </w:r>
            <w:r>
              <w:rPr>
                <w:color w:val="000000"/>
                <w:kern w:val="0"/>
                <w:sz w:val="24"/>
                <w:szCs w:val="24"/>
              </w:rPr>
              <w:t>300</w:t>
            </w:r>
            <w:r>
              <w:rPr>
                <w:color w:val="000000"/>
                <w:kern w:val="0"/>
                <w:sz w:val="24"/>
                <w:szCs w:val="24"/>
              </w:rPr>
              <w:t>指数收益率</w:t>
            </w:r>
            <w:r>
              <w:rPr>
                <w:color w:val="000000"/>
                <w:kern w:val="0"/>
                <w:sz w:val="24"/>
                <w:szCs w:val="24"/>
              </w:rPr>
              <w:t>×60</w:t>
            </w:r>
            <w:r>
              <w:rPr>
                <w:color w:val="000000"/>
                <w:kern w:val="0"/>
                <w:sz w:val="24"/>
                <w:szCs w:val="24"/>
              </w:rPr>
              <w:t>％＋上证国债指数收益率</w:t>
            </w:r>
            <w:r>
              <w:rPr>
                <w:color w:val="000000"/>
                <w:kern w:val="0"/>
                <w:sz w:val="24"/>
                <w:szCs w:val="24"/>
              </w:rPr>
              <w:t>×40</w:t>
            </w:r>
            <w:r>
              <w:rPr>
                <w:color w:val="000000"/>
                <w:kern w:val="0"/>
                <w:sz w:val="24"/>
                <w:szCs w:val="24"/>
              </w:rPr>
              <w:t>％</w:t>
            </w:r>
          </w:p>
        </w:tc>
      </w:tr>
      <w:tr w:rsidR="0012438E">
        <w:trPr>
          <w:jc w:val="center"/>
        </w:trPr>
        <w:tc>
          <w:tcPr>
            <w:tcW w:w="3023" w:type="dxa"/>
            <w:vAlign w:val="center"/>
          </w:tcPr>
          <w:p w:rsidR="0012438E" w:rsidRDefault="00F03621">
            <w:pPr>
              <w:adjustRightInd w:val="0"/>
              <w:spacing w:before="29" w:line="288" w:lineRule="auto"/>
              <w:ind w:left="17"/>
              <w:jc w:val="left"/>
              <w:rPr>
                <w:sz w:val="24"/>
                <w:szCs w:val="24"/>
              </w:rPr>
            </w:pPr>
            <w:r>
              <w:rPr>
                <w:kern w:val="0"/>
                <w:sz w:val="24"/>
                <w:szCs w:val="24"/>
              </w:rPr>
              <w:t>风险收益特征</w:t>
            </w:r>
          </w:p>
        </w:tc>
        <w:tc>
          <w:tcPr>
            <w:tcW w:w="5845" w:type="dxa"/>
            <w:vAlign w:val="center"/>
          </w:tcPr>
          <w:p w:rsidR="0012438E" w:rsidRDefault="00F03621">
            <w:pPr>
              <w:adjustRightInd w:val="0"/>
              <w:spacing w:before="29" w:line="288" w:lineRule="auto"/>
              <w:ind w:left="17"/>
              <w:jc w:val="left"/>
              <w:rPr>
                <w:color w:val="000000"/>
                <w:sz w:val="24"/>
                <w:szCs w:val="24"/>
              </w:rPr>
            </w:pPr>
            <w:r>
              <w:rPr>
                <w:color w:val="000000"/>
                <w:kern w:val="0"/>
                <w:sz w:val="24"/>
                <w:szCs w:val="24"/>
              </w:rPr>
              <w:t>本基金为混合型基金，其预期收益及预期风险水平高于债券型基金和货币市场基金，但低于股票型基金，属于中等风险水平的投资品种。</w:t>
            </w:r>
          </w:p>
        </w:tc>
      </w:tr>
      <w:tr w:rsidR="0012438E">
        <w:trPr>
          <w:jc w:val="center"/>
        </w:trPr>
        <w:tc>
          <w:tcPr>
            <w:tcW w:w="3023" w:type="dxa"/>
            <w:vAlign w:val="center"/>
          </w:tcPr>
          <w:p w:rsidR="0012438E" w:rsidRDefault="00F03621">
            <w:pPr>
              <w:adjustRightInd w:val="0"/>
              <w:spacing w:before="29" w:line="288" w:lineRule="auto"/>
              <w:ind w:left="17"/>
              <w:jc w:val="left"/>
              <w:rPr>
                <w:sz w:val="24"/>
                <w:szCs w:val="24"/>
              </w:rPr>
            </w:pPr>
            <w:r>
              <w:rPr>
                <w:kern w:val="0"/>
                <w:sz w:val="24"/>
                <w:szCs w:val="24"/>
              </w:rPr>
              <w:t>基金管理人</w:t>
            </w:r>
          </w:p>
        </w:tc>
        <w:tc>
          <w:tcPr>
            <w:tcW w:w="5845" w:type="dxa"/>
            <w:vAlign w:val="center"/>
          </w:tcPr>
          <w:p w:rsidR="0012438E" w:rsidRDefault="00F03621">
            <w:pPr>
              <w:adjustRightInd w:val="0"/>
              <w:spacing w:before="29" w:line="288" w:lineRule="auto"/>
              <w:ind w:left="17"/>
              <w:jc w:val="left"/>
              <w:rPr>
                <w:color w:val="000000"/>
                <w:sz w:val="24"/>
                <w:szCs w:val="24"/>
              </w:rPr>
            </w:pPr>
            <w:r>
              <w:rPr>
                <w:color w:val="000000"/>
                <w:kern w:val="0"/>
                <w:sz w:val="24"/>
                <w:szCs w:val="24"/>
              </w:rPr>
              <w:t>海富通基金管理有限公司</w:t>
            </w:r>
          </w:p>
        </w:tc>
      </w:tr>
      <w:tr w:rsidR="0012438E">
        <w:trPr>
          <w:jc w:val="center"/>
        </w:trPr>
        <w:tc>
          <w:tcPr>
            <w:tcW w:w="3023" w:type="dxa"/>
            <w:vAlign w:val="center"/>
          </w:tcPr>
          <w:p w:rsidR="0012438E" w:rsidRDefault="00F03621">
            <w:pPr>
              <w:adjustRightInd w:val="0"/>
              <w:spacing w:before="29" w:line="288" w:lineRule="auto"/>
              <w:ind w:left="17"/>
              <w:jc w:val="left"/>
              <w:rPr>
                <w:sz w:val="24"/>
                <w:szCs w:val="24"/>
              </w:rPr>
            </w:pPr>
            <w:r>
              <w:rPr>
                <w:kern w:val="0"/>
                <w:sz w:val="24"/>
                <w:szCs w:val="24"/>
              </w:rPr>
              <w:t>基金托管人</w:t>
            </w:r>
          </w:p>
        </w:tc>
        <w:tc>
          <w:tcPr>
            <w:tcW w:w="5845" w:type="dxa"/>
            <w:vAlign w:val="center"/>
          </w:tcPr>
          <w:p w:rsidR="0012438E" w:rsidRDefault="00F03621">
            <w:pPr>
              <w:adjustRightInd w:val="0"/>
              <w:spacing w:before="29" w:line="288" w:lineRule="auto"/>
              <w:ind w:left="17"/>
              <w:jc w:val="left"/>
              <w:rPr>
                <w:color w:val="000000"/>
                <w:sz w:val="24"/>
                <w:szCs w:val="24"/>
              </w:rPr>
            </w:pPr>
            <w:r>
              <w:rPr>
                <w:color w:val="000000"/>
                <w:kern w:val="0"/>
                <w:sz w:val="24"/>
                <w:szCs w:val="24"/>
              </w:rPr>
              <w:t>中国工商银行股份有限公司</w:t>
            </w:r>
          </w:p>
        </w:tc>
      </w:tr>
    </w:tbl>
    <w:p w:rsidR="0012438E" w:rsidRDefault="0012438E">
      <w:pPr>
        <w:autoSpaceDE w:val="0"/>
        <w:autoSpaceDN w:val="0"/>
        <w:adjustRightInd w:val="0"/>
        <w:spacing w:before="29" w:line="288" w:lineRule="auto"/>
        <w:jc w:val="left"/>
        <w:rPr>
          <w:color w:val="000000"/>
          <w:kern w:val="0"/>
          <w:sz w:val="24"/>
          <w:szCs w:val="24"/>
        </w:rPr>
      </w:pPr>
    </w:p>
    <w:p w:rsidR="0012438E" w:rsidRDefault="00F03621" w:rsidP="00BA3DC2">
      <w:pPr>
        <w:pStyle w:val="1"/>
        <w:spacing w:beforeLines="100" w:afterLines="100" w:line="288" w:lineRule="auto"/>
        <w:jc w:val="center"/>
        <w:rPr>
          <w:color w:val="000000"/>
          <w:kern w:val="0"/>
          <w:sz w:val="24"/>
          <w:szCs w:val="24"/>
        </w:rPr>
      </w:pPr>
      <w:r>
        <w:rPr>
          <w:color w:val="000000"/>
          <w:kern w:val="0"/>
          <w:sz w:val="24"/>
          <w:szCs w:val="24"/>
        </w:rPr>
        <w:t xml:space="preserve">§3  </w:t>
      </w:r>
      <w:r>
        <w:rPr>
          <w:color w:val="000000"/>
          <w:kern w:val="0"/>
          <w:sz w:val="24"/>
          <w:szCs w:val="24"/>
        </w:rPr>
        <w:t>主要财务指标和基金净值表现</w:t>
      </w: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3.1 </w:t>
      </w:r>
      <w:r>
        <w:rPr>
          <w:b/>
          <w:bCs/>
          <w:color w:val="000000"/>
          <w:kern w:val="0"/>
          <w:sz w:val="24"/>
          <w:szCs w:val="24"/>
        </w:rPr>
        <w:t>主要财务指标</w:t>
      </w:r>
    </w:p>
    <w:p w:rsidR="0012438E" w:rsidRDefault="00F03621">
      <w:pPr>
        <w:autoSpaceDE w:val="0"/>
        <w:autoSpaceDN w:val="0"/>
        <w:adjustRightInd w:val="0"/>
        <w:spacing w:before="29" w:line="288" w:lineRule="auto"/>
        <w:ind w:left="15"/>
        <w:jc w:val="right"/>
        <w:rPr>
          <w:color w:val="000000"/>
          <w:kern w:val="0"/>
          <w:sz w:val="24"/>
          <w:szCs w:val="24"/>
        </w:rPr>
      </w:pPr>
      <w:r>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7"/>
        <w:gridCol w:w="5261"/>
      </w:tblGrid>
      <w:tr w:rsidR="00A40F17" w:rsidTr="00A40F17">
        <w:trPr>
          <w:jc w:val="center"/>
        </w:trPr>
        <w:tc>
          <w:tcPr>
            <w:tcW w:w="3607" w:type="dxa"/>
            <w:vAlign w:val="center"/>
          </w:tcPr>
          <w:p w:rsidR="0012438E" w:rsidRDefault="00F03621">
            <w:pPr>
              <w:adjustRightInd w:val="0"/>
              <w:spacing w:before="29" w:line="288" w:lineRule="auto"/>
              <w:ind w:left="17"/>
              <w:jc w:val="center"/>
              <w:rPr>
                <w:kern w:val="0"/>
                <w:sz w:val="24"/>
                <w:szCs w:val="24"/>
              </w:rPr>
            </w:pPr>
            <w:r>
              <w:rPr>
                <w:kern w:val="0"/>
                <w:sz w:val="24"/>
                <w:szCs w:val="24"/>
              </w:rPr>
              <w:t>主要财务指标</w:t>
            </w:r>
          </w:p>
        </w:tc>
        <w:tc>
          <w:tcPr>
            <w:tcW w:w="5261" w:type="dxa"/>
            <w:vAlign w:val="center"/>
          </w:tcPr>
          <w:p w:rsidR="0012438E" w:rsidRDefault="00F03621">
            <w:pPr>
              <w:adjustRightInd w:val="0"/>
              <w:spacing w:before="29" w:line="288" w:lineRule="auto"/>
              <w:ind w:left="17"/>
              <w:jc w:val="center"/>
              <w:rPr>
                <w:color w:val="000000"/>
                <w:sz w:val="24"/>
                <w:szCs w:val="24"/>
              </w:rPr>
            </w:pPr>
            <w:r>
              <w:rPr>
                <w:color w:val="000000"/>
                <w:sz w:val="24"/>
                <w:szCs w:val="24"/>
              </w:rPr>
              <w:t>报告期</w:t>
            </w:r>
          </w:p>
          <w:p w:rsidR="0012438E" w:rsidRDefault="00F03621">
            <w:pPr>
              <w:adjustRightInd w:val="0"/>
              <w:spacing w:before="29" w:line="288" w:lineRule="auto"/>
              <w:ind w:left="17"/>
              <w:jc w:val="center"/>
              <w:rPr>
                <w:color w:val="000000"/>
                <w:sz w:val="24"/>
                <w:szCs w:val="24"/>
              </w:rPr>
            </w:pPr>
            <w:r>
              <w:rPr>
                <w:color w:val="000000"/>
                <w:sz w:val="24"/>
                <w:szCs w:val="24"/>
              </w:rPr>
              <w:t>(2018</w:t>
            </w:r>
            <w:r>
              <w:rPr>
                <w:color w:val="000000"/>
                <w:sz w:val="24"/>
                <w:szCs w:val="24"/>
              </w:rPr>
              <w:t>年</w:t>
            </w:r>
            <w:r>
              <w:rPr>
                <w:color w:val="000000"/>
                <w:sz w:val="24"/>
                <w:szCs w:val="24"/>
              </w:rPr>
              <w:t>4</w:t>
            </w:r>
            <w:r>
              <w:rPr>
                <w:color w:val="000000"/>
                <w:sz w:val="24"/>
                <w:szCs w:val="24"/>
              </w:rPr>
              <w:t>月</w:t>
            </w:r>
            <w:r>
              <w:rPr>
                <w:color w:val="000000"/>
                <w:sz w:val="24"/>
                <w:szCs w:val="24"/>
              </w:rPr>
              <w:t>1</w:t>
            </w:r>
            <w:r>
              <w:rPr>
                <w:color w:val="000000"/>
                <w:sz w:val="24"/>
                <w:szCs w:val="24"/>
              </w:rPr>
              <w:t>日</w:t>
            </w:r>
            <w:r>
              <w:rPr>
                <w:color w:val="000000"/>
                <w:sz w:val="24"/>
                <w:szCs w:val="24"/>
              </w:rPr>
              <w:t>-2018</w:t>
            </w:r>
            <w:r>
              <w:rPr>
                <w:color w:val="000000"/>
                <w:sz w:val="24"/>
                <w:szCs w:val="24"/>
              </w:rPr>
              <w:t>年</w:t>
            </w:r>
            <w:r>
              <w:rPr>
                <w:color w:val="000000"/>
                <w:sz w:val="24"/>
                <w:szCs w:val="24"/>
              </w:rPr>
              <w:t>5</w:t>
            </w:r>
            <w:r>
              <w:rPr>
                <w:color w:val="000000"/>
                <w:sz w:val="24"/>
                <w:szCs w:val="24"/>
              </w:rPr>
              <w:t>月</w:t>
            </w:r>
            <w:r>
              <w:rPr>
                <w:color w:val="000000"/>
                <w:sz w:val="24"/>
                <w:szCs w:val="24"/>
              </w:rPr>
              <w:t>10</w:t>
            </w:r>
            <w:r>
              <w:rPr>
                <w:color w:val="000000"/>
                <w:sz w:val="24"/>
                <w:szCs w:val="24"/>
              </w:rPr>
              <w:t>日</w:t>
            </w:r>
            <w:r>
              <w:rPr>
                <w:color w:val="000000"/>
                <w:sz w:val="24"/>
                <w:szCs w:val="24"/>
              </w:rPr>
              <w:t>)</w:t>
            </w:r>
          </w:p>
        </w:tc>
      </w:tr>
      <w:tr w:rsidR="00A40F17" w:rsidTr="00A40F17">
        <w:trPr>
          <w:jc w:val="center"/>
        </w:trPr>
        <w:tc>
          <w:tcPr>
            <w:tcW w:w="3607" w:type="dxa"/>
            <w:vAlign w:val="center"/>
          </w:tcPr>
          <w:p w:rsidR="0012438E" w:rsidRDefault="00F03621">
            <w:pPr>
              <w:adjustRightInd w:val="0"/>
              <w:spacing w:before="29" w:line="288" w:lineRule="auto"/>
              <w:ind w:left="17"/>
              <w:rPr>
                <w:kern w:val="0"/>
                <w:sz w:val="24"/>
                <w:szCs w:val="24"/>
              </w:rPr>
            </w:pPr>
            <w:r>
              <w:rPr>
                <w:kern w:val="0"/>
                <w:sz w:val="24"/>
                <w:szCs w:val="24"/>
              </w:rPr>
              <w:t>1.</w:t>
            </w:r>
            <w:r>
              <w:rPr>
                <w:kern w:val="0"/>
                <w:sz w:val="24"/>
                <w:szCs w:val="24"/>
              </w:rPr>
              <w:t>本期已实现收益</w:t>
            </w:r>
          </w:p>
        </w:tc>
        <w:tc>
          <w:tcPr>
            <w:tcW w:w="5261" w:type="dxa"/>
            <w:vAlign w:val="center"/>
          </w:tcPr>
          <w:p w:rsidR="0012438E" w:rsidRDefault="00F03621">
            <w:pPr>
              <w:adjustRightInd w:val="0"/>
              <w:spacing w:before="29" w:line="288" w:lineRule="auto"/>
              <w:ind w:left="17"/>
              <w:jc w:val="right"/>
              <w:rPr>
                <w:color w:val="000000"/>
                <w:sz w:val="24"/>
                <w:szCs w:val="24"/>
              </w:rPr>
            </w:pPr>
            <w:r>
              <w:rPr>
                <w:color w:val="000000"/>
                <w:sz w:val="24"/>
                <w:szCs w:val="24"/>
              </w:rPr>
              <w:t>-570,436.25</w:t>
            </w:r>
          </w:p>
        </w:tc>
      </w:tr>
      <w:tr w:rsidR="00A40F17" w:rsidTr="00A40F17">
        <w:trPr>
          <w:jc w:val="center"/>
        </w:trPr>
        <w:tc>
          <w:tcPr>
            <w:tcW w:w="3607" w:type="dxa"/>
            <w:vAlign w:val="center"/>
          </w:tcPr>
          <w:p w:rsidR="0012438E" w:rsidRDefault="00F03621">
            <w:pPr>
              <w:adjustRightInd w:val="0"/>
              <w:spacing w:before="29" w:line="288" w:lineRule="auto"/>
              <w:ind w:left="17"/>
              <w:rPr>
                <w:kern w:val="0"/>
                <w:sz w:val="24"/>
                <w:szCs w:val="24"/>
              </w:rPr>
            </w:pPr>
            <w:r>
              <w:rPr>
                <w:kern w:val="0"/>
                <w:sz w:val="24"/>
                <w:szCs w:val="24"/>
              </w:rPr>
              <w:t>2.</w:t>
            </w:r>
            <w:r>
              <w:rPr>
                <w:kern w:val="0"/>
                <w:sz w:val="24"/>
                <w:szCs w:val="24"/>
              </w:rPr>
              <w:t>本期利润</w:t>
            </w:r>
          </w:p>
        </w:tc>
        <w:tc>
          <w:tcPr>
            <w:tcW w:w="5261" w:type="dxa"/>
            <w:vAlign w:val="center"/>
          </w:tcPr>
          <w:p w:rsidR="0012438E" w:rsidRDefault="00F03621">
            <w:pPr>
              <w:adjustRightInd w:val="0"/>
              <w:spacing w:before="29" w:line="288" w:lineRule="auto"/>
              <w:ind w:left="17"/>
              <w:jc w:val="right"/>
              <w:rPr>
                <w:color w:val="000000"/>
                <w:sz w:val="24"/>
                <w:szCs w:val="24"/>
              </w:rPr>
            </w:pPr>
            <w:r>
              <w:rPr>
                <w:color w:val="000000"/>
                <w:sz w:val="24"/>
                <w:szCs w:val="24"/>
              </w:rPr>
              <w:t>-353,770.46</w:t>
            </w:r>
          </w:p>
        </w:tc>
      </w:tr>
      <w:tr w:rsidR="00A40F17" w:rsidTr="00A40F17">
        <w:trPr>
          <w:jc w:val="center"/>
        </w:trPr>
        <w:tc>
          <w:tcPr>
            <w:tcW w:w="3607" w:type="dxa"/>
            <w:vAlign w:val="center"/>
          </w:tcPr>
          <w:p w:rsidR="0012438E" w:rsidRDefault="00F03621">
            <w:pPr>
              <w:adjustRightInd w:val="0"/>
              <w:spacing w:before="29" w:line="288" w:lineRule="auto"/>
              <w:ind w:left="17"/>
              <w:rPr>
                <w:kern w:val="0"/>
                <w:sz w:val="24"/>
                <w:szCs w:val="24"/>
              </w:rPr>
            </w:pPr>
            <w:r>
              <w:rPr>
                <w:kern w:val="0"/>
                <w:sz w:val="24"/>
                <w:szCs w:val="24"/>
              </w:rPr>
              <w:t>3.</w:t>
            </w:r>
            <w:r>
              <w:rPr>
                <w:kern w:val="0"/>
                <w:sz w:val="24"/>
                <w:szCs w:val="24"/>
              </w:rPr>
              <w:t>加权平均基金份额本期利润</w:t>
            </w:r>
          </w:p>
        </w:tc>
        <w:tc>
          <w:tcPr>
            <w:tcW w:w="5261" w:type="dxa"/>
            <w:vAlign w:val="center"/>
          </w:tcPr>
          <w:p w:rsidR="0012438E" w:rsidRDefault="00F03621">
            <w:pPr>
              <w:adjustRightInd w:val="0"/>
              <w:spacing w:before="29" w:line="288" w:lineRule="auto"/>
              <w:ind w:left="17"/>
              <w:jc w:val="right"/>
              <w:rPr>
                <w:color w:val="000000"/>
                <w:sz w:val="24"/>
                <w:szCs w:val="24"/>
              </w:rPr>
            </w:pPr>
            <w:r>
              <w:rPr>
                <w:color w:val="000000"/>
                <w:sz w:val="24"/>
                <w:szCs w:val="24"/>
              </w:rPr>
              <w:t>-0.0246</w:t>
            </w:r>
          </w:p>
        </w:tc>
      </w:tr>
      <w:tr w:rsidR="00A40F17" w:rsidTr="00A40F17">
        <w:trPr>
          <w:jc w:val="center"/>
        </w:trPr>
        <w:tc>
          <w:tcPr>
            <w:tcW w:w="3607" w:type="dxa"/>
            <w:vAlign w:val="center"/>
          </w:tcPr>
          <w:p w:rsidR="0012438E" w:rsidRDefault="00F03621">
            <w:pPr>
              <w:adjustRightInd w:val="0"/>
              <w:spacing w:before="29" w:line="288" w:lineRule="auto"/>
              <w:ind w:left="17"/>
              <w:rPr>
                <w:kern w:val="0"/>
                <w:sz w:val="24"/>
                <w:szCs w:val="24"/>
              </w:rPr>
            </w:pPr>
            <w:r>
              <w:rPr>
                <w:kern w:val="0"/>
                <w:sz w:val="24"/>
                <w:szCs w:val="24"/>
              </w:rPr>
              <w:t>4.</w:t>
            </w:r>
            <w:r>
              <w:rPr>
                <w:kern w:val="0"/>
                <w:sz w:val="24"/>
                <w:szCs w:val="24"/>
              </w:rPr>
              <w:t>期末基金资产净值</w:t>
            </w:r>
          </w:p>
        </w:tc>
        <w:tc>
          <w:tcPr>
            <w:tcW w:w="5261" w:type="dxa"/>
            <w:vAlign w:val="center"/>
          </w:tcPr>
          <w:p w:rsidR="0012438E" w:rsidRDefault="00F03621">
            <w:pPr>
              <w:adjustRightInd w:val="0"/>
              <w:spacing w:before="29" w:line="288" w:lineRule="auto"/>
              <w:ind w:left="17"/>
              <w:jc w:val="right"/>
              <w:rPr>
                <w:color w:val="000000"/>
                <w:sz w:val="24"/>
                <w:szCs w:val="24"/>
              </w:rPr>
            </w:pPr>
            <w:r>
              <w:rPr>
                <w:color w:val="000000"/>
                <w:sz w:val="24"/>
                <w:szCs w:val="24"/>
              </w:rPr>
              <w:t>6,165,020.43</w:t>
            </w:r>
          </w:p>
        </w:tc>
      </w:tr>
      <w:tr w:rsidR="00A40F17" w:rsidTr="00A40F17">
        <w:trPr>
          <w:trHeight w:val="158"/>
          <w:jc w:val="center"/>
        </w:trPr>
        <w:tc>
          <w:tcPr>
            <w:tcW w:w="3607" w:type="dxa"/>
            <w:vAlign w:val="center"/>
          </w:tcPr>
          <w:p w:rsidR="0012438E" w:rsidRDefault="00F03621">
            <w:pPr>
              <w:adjustRightInd w:val="0"/>
              <w:spacing w:before="29" w:line="288" w:lineRule="auto"/>
              <w:ind w:left="17"/>
              <w:rPr>
                <w:kern w:val="0"/>
                <w:sz w:val="24"/>
                <w:szCs w:val="24"/>
              </w:rPr>
            </w:pPr>
            <w:r>
              <w:rPr>
                <w:kern w:val="0"/>
                <w:sz w:val="24"/>
                <w:szCs w:val="24"/>
              </w:rPr>
              <w:t>5.</w:t>
            </w:r>
            <w:r>
              <w:rPr>
                <w:kern w:val="0"/>
                <w:sz w:val="24"/>
                <w:szCs w:val="24"/>
              </w:rPr>
              <w:t>期末基金份额净值</w:t>
            </w:r>
          </w:p>
        </w:tc>
        <w:tc>
          <w:tcPr>
            <w:tcW w:w="5261" w:type="dxa"/>
            <w:vAlign w:val="center"/>
          </w:tcPr>
          <w:p w:rsidR="0012438E" w:rsidRDefault="00F03621">
            <w:pPr>
              <w:adjustRightInd w:val="0"/>
              <w:spacing w:before="29" w:line="288" w:lineRule="auto"/>
              <w:ind w:left="17"/>
              <w:jc w:val="right"/>
              <w:rPr>
                <w:color w:val="000000"/>
                <w:sz w:val="24"/>
                <w:szCs w:val="24"/>
              </w:rPr>
            </w:pPr>
            <w:r>
              <w:rPr>
                <w:color w:val="000000"/>
                <w:sz w:val="24"/>
                <w:szCs w:val="24"/>
              </w:rPr>
              <w:t>0.943</w:t>
            </w:r>
          </w:p>
        </w:tc>
      </w:tr>
    </w:tbl>
    <w:p w:rsidR="00E17817" w:rsidRDefault="00A40F17">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）所述基金业绩指标不包括持有人认购或交易基金的各项费用，计入费用后实际收益水平要低于所列数字。</w:t>
      </w:r>
    </w:p>
    <w:p w:rsidR="00E17817" w:rsidRDefault="00A40F17">
      <w:pPr>
        <w:autoSpaceDE w:val="0"/>
        <w:autoSpaceDN w:val="0"/>
        <w:adjustRightInd w:val="0"/>
        <w:spacing w:before="29" w:line="288" w:lineRule="auto"/>
        <w:jc w:val="left"/>
        <w:rPr>
          <w:color w:val="000000"/>
          <w:sz w:val="24"/>
          <w:szCs w:val="24"/>
        </w:rPr>
      </w:pPr>
      <w:r>
        <w:rPr>
          <w:color w:val="000000"/>
          <w:sz w:val="24"/>
          <w:szCs w:val="24"/>
        </w:rPr>
        <w:t>（</w:t>
      </w:r>
      <w:r>
        <w:rPr>
          <w:color w:val="000000"/>
          <w:sz w:val="24"/>
          <w:szCs w:val="24"/>
        </w:rPr>
        <w:t>2</w:t>
      </w:r>
      <w:r>
        <w:rPr>
          <w:color w:val="000000"/>
          <w:sz w:val="24"/>
          <w:szCs w:val="24"/>
        </w:rPr>
        <w:t>）本期已实现收益指基金本期利息收入、投资收益、其他收入（不含公允价值变动收益）扣除相关费用后的余额，本期利润为本期已实现收益加上本期公允价值变动收益。</w:t>
      </w:r>
    </w:p>
    <w:p w:rsidR="0012438E" w:rsidRDefault="00F03621">
      <w:pPr>
        <w:autoSpaceDE w:val="0"/>
        <w:autoSpaceDN w:val="0"/>
        <w:adjustRightInd w:val="0"/>
        <w:spacing w:before="29" w:line="288" w:lineRule="auto"/>
        <w:jc w:val="left"/>
        <w:rPr>
          <w:color w:val="000000"/>
          <w:sz w:val="24"/>
          <w:szCs w:val="24"/>
        </w:rPr>
      </w:pPr>
      <w:r>
        <w:rPr>
          <w:color w:val="000000"/>
          <w:sz w:val="24"/>
          <w:szCs w:val="24"/>
        </w:rPr>
        <w:t>（</w:t>
      </w:r>
      <w:r>
        <w:rPr>
          <w:color w:val="000000"/>
          <w:sz w:val="24"/>
          <w:szCs w:val="24"/>
        </w:rPr>
        <w:t>3</w:t>
      </w:r>
      <w:r>
        <w:rPr>
          <w:color w:val="000000"/>
          <w:sz w:val="24"/>
          <w:szCs w:val="24"/>
        </w:rPr>
        <w:t>）海富通东财大数据灵活配置混合型证券投资基金的最后运作日为</w:t>
      </w:r>
      <w:r>
        <w:rPr>
          <w:color w:val="000000"/>
          <w:sz w:val="24"/>
          <w:szCs w:val="24"/>
        </w:rPr>
        <w:t>2018</w:t>
      </w:r>
      <w:r>
        <w:rPr>
          <w:color w:val="000000"/>
          <w:sz w:val="24"/>
          <w:szCs w:val="24"/>
        </w:rPr>
        <w:t>年</w:t>
      </w:r>
      <w:r>
        <w:rPr>
          <w:color w:val="000000"/>
          <w:sz w:val="24"/>
          <w:szCs w:val="24"/>
        </w:rPr>
        <w:t>5</w:t>
      </w:r>
      <w:r>
        <w:rPr>
          <w:color w:val="000000"/>
          <w:sz w:val="24"/>
          <w:szCs w:val="24"/>
        </w:rPr>
        <w:t>月</w:t>
      </w:r>
      <w:r>
        <w:rPr>
          <w:color w:val="000000"/>
          <w:sz w:val="24"/>
          <w:szCs w:val="24"/>
        </w:rPr>
        <w:t>10</w:t>
      </w:r>
      <w:r>
        <w:rPr>
          <w:color w:val="000000"/>
          <w:sz w:val="24"/>
          <w:szCs w:val="24"/>
        </w:rPr>
        <w:t>日，自</w:t>
      </w:r>
      <w:r>
        <w:rPr>
          <w:color w:val="000000"/>
          <w:sz w:val="24"/>
          <w:szCs w:val="24"/>
        </w:rPr>
        <w:t>2018</w:t>
      </w:r>
      <w:r>
        <w:rPr>
          <w:color w:val="000000"/>
          <w:sz w:val="24"/>
          <w:szCs w:val="24"/>
        </w:rPr>
        <w:t>年</w:t>
      </w:r>
      <w:r>
        <w:rPr>
          <w:color w:val="000000"/>
          <w:sz w:val="24"/>
          <w:szCs w:val="24"/>
        </w:rPr>
        <w:t>5</w:t>
      </w:r>
      <w:r>
        <w:rPr>
          <w:color w:val="000000"/>
          <w:sz w:val="24"/>
          <w:szCs w:val="24"/>
        </w:rPr>
        <w:t>月</w:t>
      </w:r>
      <w:r>
        <w:rPr>
          <w:color w:val="000000"/>
          <w:sz w:val="24"/>
          <w:szCs w:val="24"/>
        </w:rPr>
        <w:t>11</w:t>
      </w:r>
      <w:r>
        <w:rPr>
          <w:color w:val="000000"/>
          <w:sz w:val="24"/>
          <w:szCs w:val="24"/>
        </w:rPr>
        <w:t>日进入清盘期。</w:t>
      </w:r>
    </w:p>
    <w:p w:rsidR="0012438E" w:rsidRDefault="0012438E">
      <w:pPr>
        <w:autoSpaceDE w:val="0"/>
        <w:autoSpaceDN w:val="0"/>
        <w:adjustRightInd w:val="0"/>
        <w:spacing w:before="29" w:line="288" w:lineRule="auto"/>
        <w:jc w:val="left"/>
        <w:rPr>
          <w:color w:val="000000"/>
          <w:kern w:val="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3.2 </w:t>
      </w:r>
      <w:r>
        <w:rPr>
          <w:b/>
          <w:bCs/>
          <w:color w:val="000000"/>
          <w:kern w:val="0"/>
          <w:sz w:val="24"/>
          <w:szCs w:val="24"/>
        </w:rPr>
        <w:t>基金净值表现</w:t>
      </w: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3.2.1 </w:t>
      </w:r>
      <w:r>
        <w:rPr>
          <w:b/>
          <w:bCs/>
          <w:color w:val="000000"/>
          <w:kern w:val="0"/>
          <w:sz w:val="24"/>
          <w:szCs w:val="24"/>
        </w:rPr>
        <w:t>本报告期基金份额净值增长率及其与同期业绩比较基准收益率的比较</w:t>
      </w:r>
    </w:p>
    <w:tbl>
      <w:tblPr>
        <w:tblStyle w:val="af8"/>
        <w:tblW w:w="8868" w:type="dxa"/>
        <w:jc w:val="center"/>
        <w:tblLayout w:type="fixed"/>
        <w:tblCellMar>
          <w:top w:w="57" w:type="dxa"/>
          <w:bottom w:w="57" w:type="dxa"/>
        </w:tblCellMar>
        <w:tblLook w:val="04A0"/>
      </w:tblPr>
      <w:tblGrid>
        <w:gridCol w:w="1701"/>
        <w:gridCol w:w="1045"/>
        <w:gridCol w:w="1344"/>
        <w:gridCol w:w="1194"/>
        <w:gridCol w:w="1492"/>
        <w:gridCol w:w="1194"/>
        <w:gridCol w:w="898"/>
      </w:tblGrid>
      <w:tr w:rsidR="0012438E">
        <w:trPr>
          <w:jc w:val="center"/>
        </w:trPr>
        <w:tc>
          <w:tcPr>
            <w:tcW w:w="1701" w:type="dxa"/>
            <w:vAlign w:val="center"/>
          </w:tcPr>
          <w:p w:rsidR="0012438E" w:rsidRDefault="00F03621">
            <w:pPr>
              <w:autoSpaceDE w:val="0"/>
              <w:autoSpaceDN w:val="0"/>
              <w:adjustRightInd w:val="0"/>
              <w:spacing w:before="29" w:line="288" w:lineRule="auto"/>
              <w:ind w:left="17"/>
              <w:jc w:val="center"/>
              <w:rPr>
                <w:color w:val="000000"/>
                <w:kern w:val="0"/>
                <w:sz w:val="24"/>
                <w:szCs w:val="24"/>
              </w:rPr>
            </w:pPr>
            <w:r>
              <w:rPr>
                <w:color w:val="000000"/>
                <w:kern w:val="0"/>
                <w:sz w:val="24"/>
                <w:szCs w:val="24"/>
              </w:rPr>
              <w:t>阶段</w:t>
            </w:r>
          </w:p>
        </w:tc>
        <w:tc>
          <w:tcPr>
            <w:tcW w:w="1045" w:type="dxa"/>
            <w:vAlign w:val="center"/>
          </w:tcPr>
          <w:p w:rsidR="0012438E" w:rsidRDefault="00F03621">
            <w:pPr>
              <w:autoSpaceDE w:val="0"/>
              <w:autoSpaceDN w:val="0"/>
              <w:adjustRightInd w:val="0"/>
              <w:spacing w:before="29" w:line="288" w:lineRule="auto"/>
              <w:ind w:left="17"/>
              <w:jc w:val="center"/>
              <w:rPr>
                <w:color w:val="000000"/>
                <w:kern w:val="0"/>
                <w:sz w:val="24"/>
                <w:szCs w:val="24"/>
              </w:rPr>
            </w:pPr>
            <w:r>
              <w:rPr>
                <w:color w:val="000000"/>
                <w:kern w:val="0"/>
                <w:sz w:val="24"/>
                <w:szCs w:val="24"/>
              </w:rPr>
              <w:t>净值增长率</w:t>
            </w:r>
            <w:r>
              <w:rPr>
                <w:rFonts w:hAnsi="宋体"/>
                <w:color w:val="000000"/>
                <w:kern w:val="0"/>
                <w:sz w:val="24"/>
                <w:szCs w:val="24"/>
              </w:rPr>
              <w:t>①</w:t>
            </w:r>
          </w:p>
        </w:tc>
        <w:tc>
          <w:tcPr>
            <w:tcW w:w="1344" w:type="dxa"/>
            <w:vAlign w:val="center"/>
          </w:tcPr>
          <w:p w:rsidR="0012438E" w:rsidRDefault="00F03621">
            <w:pPr>
              <w:autoSpaceDE w:val="0"/>
              <w:autoSpaceDN w:val="0"/>
              <w:adjustRightInd w:val="0"/>
              <w:spacing w:before="29" w:line="288" w:lineRule="auto"/>
              <w:ind w:left="17"/>
              <w:jc w:val="center"/>
              <w:rPr>
                <w:color w:val="000000"/>
                <w:kern w:val="0"/>
                <w:sz w:val="24"/>
                <w:szCs w:val="24"/>
              </w:rPr>
            </w:pPr>
            <w:r>
              <w:rPr>
                <w:color w:val="000000"/>
                <w:kern w:val="0"/>
                <w:sz w:val="24"/>
                <w:szCs w:val="24"/>
              </w:rPr>
              <w:t>净值增长率标准差</w:t>
            </w:r>
            <w:r>
              <w:rPr>
                <w:rFonts w:hAnsi="宋体"/>
                <w:color w:val="000000"/>
                <w:kern w:val="0"/>
                <w:sz w:val="24"/>
                <w:szCs w:val="24"/>
              </w:rPr>
              <w:t>②</w:t>
            </w:r>
          </w:p>
        </w:tc>
        <w:tc>
          <w:tcPr>
            <w:tcW w:w="1194" w:type="dxa"/>
            <w:vAlign w:val="center"/>
          </w:tcPr>
          <w:p w:rsidR="0012438E" w:rsidRDefault="00F03621">
            <w:pPr>
              <w:autoSpaceDE w:val="0"/>
              <w:autoSpaceDN w:val="0"/>
              <w:adjustRightInd w:val="0"/>
              <w:spacing w:before="29" w:line="288" w:lineRule="auto"/>
              <w:ind w:left="17"/>
              <w:jc w:val="center"/>
              <w:rPr>
                <w:color w:val="000000"/>
                <w:kern w:val="0"/>
                <w:sz w:val="24"/>
                <w:szCs w:val="24"/>
              </w:rPr>
            </w:pPr>
            <w:r>
              <w:rPr>
                <w:color w:val="000000"/>
                <w:kern w:val="0"/>
                <w:sz w:val="24"/>
                <w:szCs w:val="24"/>
              </w:rPr>
              <w:t>业绩比较基准收益率</w:t>
            </w:r>
            <w:r>
              <w:rPr>
                <w:rFonts w:hAnsi="宋体"/>
                <w:color w:val="000000"/>
                <w:kern w:val="0"/>
                <w:sz w:val="24"/>
                <w:szCs w:val="24"/>
              </w:rPr>
              <w:t>③</w:t>
            </w:r>
          </w:p>
        </w:tc>
        <w:tc>
          <w:tcPr>
            <w:tcW w:w="1492" w:type="dxa"/>
            <w:vAlign w:val="center"/>
          </w:tcPr>
          <w:p w:rsidR="0012438E" w:rsidRDefault="00F03621">
            <w:pPr>
              <w:autoSpaceDE w:val="0"/>
              <w:autoSpaceDN w:val="0"/>
              <w:adjustRightInd w:val="0"/>
              <w:spacing w:before="29" w:line="288" w:lineRule="auto"/>
              <w:ind w:left="17"/>
              <w:jc w:val="center"/>
              <w:rPr>
                <w:color w:val="000000"/>
                <w:kern w:val="0"/>
                <w:sz w:val="24"/>
                <w:szCs w:val="24"/>
              </w:rPr>
            </w:pPr>
            <w:r>
              <w:rPr>
                <w:color w:val="000000"/>
                <w:kern w:val="0"/>
                <w:sz w:val="24"/>
                <w:szCs w:val="24"/>
              </w:rPr>
              <w:t>业绩比较基准收益率标准差</w:t>
            </w:r>
            <w:r>
              <w:rPr>
                <w:rFonts w:hAnsi="宋体"/>
                <w:color w:val="000000"/>
                <w:kern w:val="0"/>
                <w:sz w:val="24"/>
                <w:szCs w:val="24"/>
              </w:rPr>
              <w:t>④</w:t>
            </w:r>
          </w:p>
        </w:tc>
        <w:tc>
          <w:tcPr>
            <w:tcW w:w="1194" w:type="dxa"/>
            <w:vAlign w:val="center"/>
          </w:tcPr>
          <w:p w:rsidR="0012438E" w:rsidRDefault="00F03621">
            <w:pPr>
              <w:autoSpaceDE w:val="0"/>
              <w:autoSpaceDN w:val="0"/>
              <w:adjustRightInd w:val="0"/>
              <w:spacing w:before="29" w:line="288" w:lineRule="auto"/>
              <w:ind w:left="17"/>
              <w:jc w:val="center"/>
              <w:rPr>
                <w:color w:val="000000"/>
                <w:kern w:val="0"/>
                <w:sz w:val="24"/>
                <w:szCs w:val="24"/>
              </w:rPr>
            </w:pPr>
            <w:r>
              <w:rPr>
                <w:rFonts w:hAnsi="宋体"/>
                <w:color w:val="000000"/>
                <w:kern w:val="0"/>
                <w:sz w:val="24"/>
                <w:szCs w:val="24"/>
              </w:rPr>
              <w:t>①</w:t>
            </w:r>
            <w:r>
              <w:rPr>
                <w:color w:val="000000"/>
                <w:kern w:val="0"/>
                <w:sz w:val="24"/>
                <w:szCs w:val="24"/>
              </w:rPr>
              <w:t>-</w:t>
            </w:r>
            <w:r>
              <w:rPr>
                <w:rFonts w:hAnsi="宋体"/>
                <w:color w:val="000000"/>
                <w:kern w:val="0"/>
                <w:sz w:val="24"/>
                <w:szCs w:val="24"/>
              </w:rPr>
              <w:t>③</w:t>
            </w:r>
          </w:p>
        </w:tc>
        <w:tc>
          <w:tcPr>
            <w:tcW w:w="898" w:type="dxa"/>
            <w:vAlign w:val="center"/>
          </w:tcPr>
          <w:p w:rsidR="0012438E" w:rsidRDefault="00F03621">
            <w:pPr>
              <w:autoSpaceDE w:val="0"/>
              <w:autoSpaceDN w:val="0"/>
              <w:adjustRightInd w:val="0"/>
              <w:spacing w:before="29" w:line="288" w:lineRule="auto"/>
              <w:ind w:left="17"/>
              <w:jc w:val="center"/>
              <w:rPr>
                <w:color w:val="000000"/>
                <w:kern w:val="0"/>
                <w:sz w:val="24"/>
                <w:szCs w:val="24"/>
              </w:rPr>
            </w:pPr>
            <w:r>
              <w:rPr>
                <w:rFonts w:hAnsi="宋体"/>
                <w:color w:val="000000"/>
                <w:kern w:val="0"/>
                <w:sz w:val="24"/>
                <w:szCs w:val="24"/>
              </w:rPr>
              <w:t>②</w:t>
            </w:r>
            <w:r>
              <w:rPr>
                <w:color w:val="000000"/>
                <w:kern w:val="0"/>
                <w:sz w:val="24"/>
                <w:szCs w:val="24"/>
              </w:rPr>
              <w:t>-</w:t>
            </w:r>
            <w:r>
              <w:rPr>
                <w:rFonts w:hAnsi="宋体"/>
                <w:color w:val="000000"/>
                <w:kern w:val="0"/>
                <w:sz w:val="24"/>
                <w:szCs w:val="24"/>
              </w:rPr>
              <w:t>④</w:t>
            </w:r>
          </w:p>
        </w:tc>
      </w:tr>
      <w:tr w:rsidR="00E17817">
        <w:trPr>
          <w:jc w:val="center"/>
        </w:trPr>
        <w:tc>
          <w:tcPr>
            <w:tcW w:w="1701" w:type="dxa"/>
            <w:vAlign w:val="center"/>
          </w:tcPr>
          <w:p w:rsidR="00E17817" w:rsidRDefault="00A40F17" w:rsidP="00F94803">
            <w:pPr>
              <w:jc w:val="left"/>
            </w:pPr>
            <w:r>
              <w:rPr>
                <w:color w:val="000000"/>
                <w:kern w:val="0"/>
                <w:sz w:val="24"/>
                <w:szCs w:val="24"/>
              </w:rPr>
              <w:t>2018/4/</w:t>
            </w:r>
            <w:r w:rsidR="00F94803">
              <w:rPr>
                <w:rFonts w:hint="eastAsia"/>
                <w:color w:val="000000"/>
                <w:kern w:val="0"/>
                <w:sz w:val="24"/>
                <w:szCs w:val="24"/>
              </w:rPr>
              <w:t>1</w:t>
            </w:r>
            <w:r>
              <w:rPr>
                <w:color w:val="000000"/>
                <w:kern w:val="0"/>
                <w:sz w:val="24"/>
                <w:szCs w:val="24"/>
              </w:rPr>
              <w:t>-2018/5/10</w:t>
            </w:r>
          </w:p>
        </w:tc>
        <w:tc>
          <w:tcPr>
            <w:tcW w:w="1045" w:type="dxa"/>
            <w:vAlign w:val="center"/>
          </w:tcPr>
          <w:p w:rsidR="00E17817" w:rsidRDefault="00A40F17">
            <w:pPr>
              <w:jc w:val="center"/>
            </w:pPr>
            <w:r>
              <w:rPr>
                <w:color w:val="000000"/>
                <w:kern w:val="0"/>
                <w:sz w:val="24"/>
                <w:szCs w:val="24"/>
              </w:rPr>
              <w:t>-1.98%</w:t>
            </w:r>
          </w:p>
        </w:tc>
        <w:tc>
          <w:tcPr>
            <w:tcW w:w="1344" w:type="dxa"/>
            <w:vAlign w:val="center"/>
          </w:tcPr>
          <w:p w:rsidR="00E17817" w:rsidRDefault="00A40F17">
            <w:pPr>
              <w:jc w:val="center"/>
            </w:pPr>
            <w:r>
              <w:rPr>
                <w:color w:val="000000"/>
                <w:kern w:val="0"/>
                <w:sz w:val="24"/>
                <w:szCs w:val="24"/>
              </w:rPr>
              <w:t>0.82%</w:t>
            </w:r>
          </w:p>
        </w:tc>
        <w:tc>
          <w:tcPr>
            <w:tcW w:w="1194" w:type="dxa"/>
            <w:vAlign w:val="center"/>
          </w:tcPr>
          <w:p w:rsidR="00E17817" w:rsidRDefault="00A40F17">
            <w:pPr>
              <w:jc w:val="center"/>
            </w:pPr>
            <w:r>
              <w:rPr>
                <w:color w:val="000000"/>
                <w:kern w:val="0"/>
                <w:sz w:val="24"/>
                <w:szCs w:val="24"/>
              </w:rPr>
              <w:t>0.26%</w:t>
            </w:r>
          </w:p>
        </w:tc>
        <w:tc>
          <w:tcPr>
            <w:tcW w:w="1492" w:type="dxa"/>
            <w:vAlign w:val="center"/>
          </w:tcPr>
          <w:p w:rsidR="00E17817" w:rsidRDefault="00A40F17">
            <w:pPr>
              <w:jc w:val="center"/>
            </w:pPr>
            <w:r>
              <w:rPr>
                <w:color w:val="000000"/>
                <w:kern w:val="0"/>
                <w:sz w:val="24"/>
                <w:szCs w:val="24"/>
              </w:rPr>
              <w:t>0.64%</w:t>
            </w:r>
          </w:p>
        </w:tc>
        <w:tc>
          <w:tcPr>
            <w:tcW w:w="1194" w:type="dxa"/>
            <w:vAlign w:val="center"/>
          </w:tcPr>
          <w:p w:rsidR="00E17817" w:rsidRDefault="00A40F17">
            <w:pPr>
              <w:jc w:val="center"/>
            </w:pPr>
            <w:r>
              <w:rPr>
                <w:color w:val="000000"/>
                <w:kern w:val="0"/>
                <w:sz w:val="24"/>
                <w:szCs w:val="24"/>
              </w:rPr>
              <w:t>-2.24%</w:t>
            </w:r>
          </w:p>
        </w:tc>
        <w:tc>
          <w:tcPr>
            <w:tcW w:w="898" w:type="dxa"/>
            <w:vAlign w:val="center"/>
          </w:tcPr>
          <w:p w:rsidR="00E17817" w:rsidRDefault="00A40F17">
            <w:pPr>
              <w:jc w:val="center"/>
            </w:pPr>
            <w:r>
              <w:rPr>
                <w:color w:val="000000"/>
                <w:kern w:val="0"/>
                <w:sz w:val="24"/>
                <w:szCs w:val="24"/>
              </w:rPr>
              <w:t>0.18%</w:t>
            </w:r>
          </w:p>
        </w:tc>
      </w:tr>
    </w:tbl>
    <w:p w:rsidR="0012438E" w:rsidRDefault="0012438E">
      <w:pPr>
        <w:autoSpaceDE w:val="0"/>
        <w:autoSpaceDN w:val="0"/>
        <w:adjustRightInd w:val="0"/>
        <w:spacing w:before="29" w:line="288" w:lineRule="auto"/>
        <w:jc w:val="left"/>
        <w:rPr>
          <w:color w:val="000000"/>
          <w:kern w:val="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3.2.2</w:t>
      </w:r>
      <w:r>
        <w:rPr>
          <w:rFonts w:hint="eastAsia"/>
          <w:b/>
          <w:bCs/>
          <w:color w:val="000000"/>
          <w:kern w:val="0"/>
          <w:sz w:val="24"/>
          <w:szCs w:val="24"/>
        </w:rPr>
        <w:t>自基金合同生效以来</w:t>
      </w:r>
      <w:r>
        <w:rPr>
          <w:b/>
          <w:bCs/>
          <w:color w:val="000000"/>
          <w:sz w:val="24"/>
        </w:rPr>
        <w:t>基金份额累计净值增长率变动及其与同期业绩比较基准收益率变动的比较</w:t>
      </w:r>
    </w:p>
    <w:p w:rsidR="0012438E" w:rsidRDefault="00F03621">
      <w:pPr>
        <w:spacing w:before="29" w:line="288" w:lineRule="auto"/>
        <w:jc w:val="center"/>
        <w:rPr>
          <w:color w:val="000000"/>
          <w:sz w:val="24"/>
          <w:szCs w:val="24"/>
        </w:rPr>
      </w:pPr>
      <w:r>
        <w:rPr>
          <w:color w:val="000000"/>
          <w:sz w:val="24"/>
          <w:szCs w:val="24"/>
        </w:rPr>
        <w:t>海富通东财大数据灵活配置混合型证券投资基金</w:t>
      </w:r>
    </w:p>
    <w:p w:rsidR="0012438E" w:rsidRDefault="00F03621">
      <w:pPr>
        <w:pStyle w:val="a9"/>
        <w:snapToGrid w:val="0"/>
        <w:spacing w:before="29" w:line="28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份额累计净值增长率与业绩比较基准收益率历史走势对比图</w:t>
      </w:r>
    </w:p>
    <w:p w:rsidR="0012438E" w:rsidRDefault="00F03621">
      <w:pPr>
        <w:snapToGrid w:val="0"/>
        <w:spacing w:before="29" w:line="288" w:lineRule="auto"/>
        <w:jc w:val="center"/>
        <w:rPr>
          <w:color w:val="000000"/>
          <w:sz w:val="24"/>
        </w:rPr>
      </w:pPr>
      <w:r>
        <w:rPr>
          <w:rFonts w:hint="eastAsia"/>
          <w:color w:val="000000"/>
          <w:sz w:val="24"/>
        </w:rPr>
        <w:t>(2016</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29</w:t>
      </w:r>
      <w:r>
        <w:rPr>
          <w:rFonts w:hint="eastAsia"/>
          <w:color w:val="000000"/>
          <w:sz w:val="24"/>
        </w:rPr>
        <w:t>日至</w:t>
      </w:r>
      <w:r>
        <w:rPr>
          <w:color w:val="000000"/>
          <w:sz w:val="24"/>
        </w:rPr>
        <w:t>2018</w:t>
      </w:r>
      <w:r>
        <w:rPr>
          <w:color w:val="000000"/>
          <w:sz w:val="24"/>
        </w:rPr>
        <w:t>年</w:t>
      </w:r>
      <w:r>
        <w:rPr>
          <w:color w:val="000000"/>
          <w:sz w:val="24"/>
        </w:rPr>
        <w:t>5</w:t>
      </w:r>
      <w:r>
        <w:rPr>
          <w:color w:val="000000"/>
          <w:sz w:val="24"/>
        </w:rPr>
        <w:t>月</w:t>
      </w:r>
      <w:r>
        <w:rPr>
          <w:color w:val="000000"/>
          <w:sz w:val="24"/>
        </w:rPr>
        <w:t>10</w:t>
      </w:r>
      <w:r>
        <w:rPr>
          <w:color w:val="000000"/>
          <w:sz w:val="24"/>
        </w:rPr>
        <w:t>日</w:t>
      </w:r>
      <w:r>
        <w:rPr>
          <w:rFonts w:hint="eastAsia"/>
          <w:color w:val="000000"/>
          <w:sz w:val="24"/>
        </w:rPr>
        <w:t>)</w:t>
      </w:r>
    </w:p>
    <w:p w:rsidR="0012438E" w:rsidRDefault="00F03621">
      <w:pPr>
        <w:pStyle w:val="a9"/>
        <w:snapToGrid w:val="0"/>
        <w:spacing w:before="29" w:line="288"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走势图1.jpg"/>
                    <pic:cNvPicPr>
                      <a:picLocks noChangeAspect="1"/>
                    </pic:cNvPicPr>
                  </pic:nvPicPr>
                  <pic:blipFill>
                    <a:blip r:embed="rId10" cstate="print"/>
                    <a:stretch>
                      <a:fillRect/>
                    </a:stretch>
                  </pic:blipFill>
                  <pic:spPr>
                    <a:xfrm>
                      <a:off x="0" y="0"/>
                      <a:ext cx="5731510" cy="3356610"/>
                    </a:xfrm>
                    <a:prstGeom prst="rect">
                      <a:avLst/>
                    </a:prstGeom>
                  </pic:spPr>
                </pic:pic>
              </a:graphicData>
            </a:graphic>
          </wp:inline>
        </w:drawing>
      </w:r>
    </w:p>
    <w:p w:rsidR="0012438E" w:rsidRDefault="00F03621">
      <w:pPr>
        <w:autoSpaceDE w:val="0"/>
        <w:autoSpaceDN w:val="0"/>
        <w:adjustRightInd w:val="0"/>
        <w:spacing w:before="29" w:line="288" w:lineRule="auto"/>
        <w:jc w:val="left"/>
        <w:rPr>
          <w:color w:val="000000"/>
          <w:sz w:val="24"/>
          <w:szCs w:val="24"/>
        </w:rPr>
      </w:pPr>
      <w:r>
        <w:rPr>
          <w:color w:val="000000"/>
          <w:sz w:val="24"/>
          <w:szCs w:val="24"/>
        </w:rPr>
        <w:t>注：本基金合同于</w:t>
      </w:r>
      <w:r>
        <w:rPr>
          <w:color w:val="000000"/>
          <w:sz w:val="24"/>
          <w:szCs w:val="24"/>
        </w:rPr>
        <w:t>2016</w:t>
      </w:r>
      <w:r>
        <w:rPr>
          <w:color w:val="000000"/>
          <w:sz w:val="24"/>
          <w:szCs w:val="24"/>
        </w:rPr>
        <w:t>年</w:t>
      </w:r>
      <w:r>
        <w:rPr>
          <w:color w:val="000000"/>
          <w:sz w:val="24"/>
          <w:szCs w:val="24"/>
        </w:rPr>
        <w:t>1</w:t>
      </w:r>
      <w:r>
        <w:rPr>
          <w:color w:val="000000"/>
          <w:sz w:val="24"/>
          <w:szCs w:val="24"/>
        </w:rPr>
        <w:t>月</w:t>
      </w:r>
      <w:r>
        <w:rPr>
          <w:color w:val="000000"/>
          <w:sz w:val="24"/>
          <w:szCs w:val="24"/>
        </w:rPr>
        <w:t>29</w:t>
      </w:r>
      <w:r>
        <w:rPr>
          <w:color w:val="000000"/>
          <w:sz w:val="24"/>
          <w:szCs w:val="24"/>
        </w:rPr>
        <w:t>日生效，建仓期结束时本基金的各项投资比例已达到基金合同第十二部分（二）投资范围、（四）投资限制中规定的各项比例。</w:t>
      </w:r>
    </w:p>
    <w:p w:rsidR="0012438E" w:rsidRDefault="0012438E">
      <w:pPr>
        <w:tabs>
          <w:tab w:val="left" w:pos="1800"/>
        </w:tabs>
        <w:spacing w:before="29" w:line="288" w:lineRule="auto"/>
        <w:rPr>
          <w:color w:val="000000"/>
          <w:sz w:val="24"/>
          <w:szCs w:val="24"/>
        </w:rPr>
      </w:pPr>
    </w:p>
    <w:p w:rsidR="0012438E" w:rsidRDefault="0012438E">
      <w:pPr>
        <w:tabs>
          <w:tab w:val="left" w:pos="1800"/>
        </w:tabs>
        <w:spacing w:before="29" w:line="288" w:lineRule="auto"/>
        <w:rPr>
          <w:color w:val="000000"/>
          <w:sz w:val="24"/>
          <w:szCs w:val="24"/>
        </w:rPr>
      </w:pPr>
    </w:p>
    <w:p w:rsidR="0012438E" w:rsidRDefault="00F03621" w:rsidP="00BA3DC2">
      <w:pPr>
        <w:pStyle w:val="1"/>
        <w:spacing w:beforeLines="100" w:afterLines="100" w:line="288" w:lineRule="auto"/>
        <w:jc w:val="center"/>
        <w:rPr>
          <w:color w:val="000000"/>
          <w:kern w:val="0"/>
          <w:sz w:val="24"/>
          <w:szCs w:val="24"/>
        </w:rPr>
      </w:pPr>
      <w:r>
        <w:rPr>
          <w:color w:val="000000"/>
          <w:kern w:val="0"/>
          <w:sz w:val="24"/>
          <w:szCs w:val="24"/>
        </w:rPr>
        <w:t xml:space="preserve">§4  </w:t>
      </w:r>
      <w:r>
        <w:rPr>
          <w:color w:val="000000"/>
          <w:kern w:val="0"/>
          <w:sz w:val="24"/>
          <w:szCs w:val="24"/>
        </w:rPr>
        <w:t>管理人报告</w:t>
      </w: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4.1 </w:t>
      </w:r>
      <w:r>
        <w:rPr>
          <w:b/>
          <w:bCs/>
          <w:color w:val="000000"/>
          <w:kern w:val="0"/>
          <w:sz w:val="24"/>
          <w:szCs w:val="24"/>
        </w:rPr>
        <w:t>基金经理</w:t>
      </w:r>
      <w:r>
        <w:rPr>
          <w:b/>
          <w:color w:val="000000"/>
          <w:kern w:val="0"/>
          <w:sz w:val="24"/>
        </w:rPr>
        <w:t>（</w:t>
      </w:r>
      <w:r>
        <w:rPr>
          <w:b/>
          <w:bCs/>
          <w:color w:val="000000"/>
          <w:kern w:val="0"/>
          <w:sz w:val="24"/>
          <w:szCs w:val="24"/>
        </w:rPr>
        <w:t>或基金经理小组</w:t>
      </w:r>
      <w:r>
        <w:rPr>
          <w:b/>
          <w:color w:val="000000"/>
          <w:kern w:val="0"/>
          <w:sz w:val="24"/>
        </w:rPr>
        <w:t>）</w:t>
      </w:r>
      <w:r>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45"/>
        <w:gridCol w:w="1549"/>
        <w:gridCol w:w="1548"/>
        <w:gridCol w:w="1407"/>
        <w:gridCol w:w="2673"/>
      </w:tblGrid>
      <w:tr w:rsidR="0012438E">
        <w:trPr>
          <w:trHeight w:val="292"/>
          <w:jc w:val="center"/>
        </w:trPr>
        <w:tc>
          <w:tcPr>
            <w:tcW w:w="846" w:type="dxa"/>
            <w:vMerge w:val="restart"/>
            <w:vAlign w:val="center"/>
          </w:tcPr>
          <w:p w:rsidR="0012438E" w:rsidRDefault="00F03621">
            <w:pPr>
              <w:widowControl/>
              <w:spacing w:before="29" w:line="288" w:lineRule="auto"/>
              <w:ind w:left="17"/>
              <w:jc w:val="center"/>
              <w:rPr>
                <w:color w:val="000000"/>
                <w:kern w:val="0"/>
                <w:sz w:val="24"/>
                <w:szCs w:val="24"/>
              </w:rPr>
            </w:pPr>
            <w:r>
              <w:rPr>
                <w:color w:val="000000"/>
                <w:kern w:val="0"/>
                <w:sz w:val="24"/>
                <w:szCs w:val="24"/>
              </w:rPr>
              <w:t>姓名</w:t>
            </w:r>
          </w:p>
        </w:tc>
        <w:tc>
          <w:tcPr>
            <w:tcW w:w="845" w:type="dxa"/>
            <w:vMerge w:val="restart"/>
            <w:vAlign w:val="center"/>
          </w:tcPr>
          <w:p w:rsidR="0012438E" w:rsidRDefault="00F03621">
            <w:pPr>
              <w:widowControl/>
              <w:spacing w:before="29" w:line="288" w:lineRule="auto"/>
              <w:ind w:left="17"/>
              <w:jc w:val="center"/>
              <w:rPr>
                <w:color w:val="000000"/>
                <w:kern w:val="0"/>
                <w:sz w:val="24"/>
                <w:szCs w:val="24"/>
              </w:rPr>
            </w:pPr>
            <w:r>
              <w:rPr>
                <w:color w:val="000000"/>
                <w:kern w:val="0"/>
                <w:sz w:val="24"/>
                <w:szCs w:val="24"/>
              </w:rPr>
              <w:t>职务</w:t>
            </w:r>
          </w:p>
        </w:tc>
        <w:tc>
          <w:tcPr>
            <w:tcW w:w="3097" w:type="dxa"/>
            <w:gridSpan w:val="2"/>
            <w:vAlign w:val="center"/>
          </w:tcPr>
          <w:p w:rsidR="0012438E" w:rsidRDefault="00F03621">
            <w:pPr>
              <w:autoSpaceDE w:val="0"/>
              <w:autoSpaceDN w:val="0"/>
              <w:adjustRightInd w:val="0"/>
              <w:spacing w:before="29" w:line="288" w:lineRule="auto"/>
              <w:ind w:left="17"/>
              <w:jc w:val="center"/>
              <w:rPr>
                <w:color w:val="000000"/>
                <w:kern w:val="0"/>
                <w:sz w:val="24"/>
                <w:szCs w:val="24"/>
              </w:rPr>
            </w:pPr>
            <w:r>
              <w:rPr>
                <w:color w:val="000000"/>
                <w:kern w:val="0"/>
                <w:sz w:val="24"/>
                <w:szCs w:val="24"/>
              </w:rPr>
              <w:t>任本基金的基金经理期限</w:t>
            </w:r>
          </w:p>
        </w:tc>
        <w:tc>
          <w:tcPr>
            <w:tcW w:w="1407" w:type="dxa"/>
            <w:vMerge w:val="restart"/>
            <w:vAlign w:val="center"/>
          </w:tcPr>
          <w:p w:rsidR="0012438E" w:rsidRDefault="00F03621">
            <w:pPr>
              <w:autoSpaceDE w:val="0"/>
              <w:autoSpaceDN w:val="0"/>
              <w:adjustRightInd w:val="0"/>
              <w:spacing w:before="29" w:line="288" w:lineRule="auto"/>
              <w:ind w:left="17"/>
              <w:jc w:val="center"/>
              <w:rPr>
                <w:color w:val="000000"/>
                <w:kern w:val="0"/>
                <w:sz w:val="24"/>
                <w:szCs w:val="24"/>
              </w:rPr>
            </w:pPr>
            <w:r>
              <w:rPr>
                <w:color w:val="000000"/>
                <w:kern w:val="0"/>
                <w:sz w:val="24"/>
                <w:szCs w:val="24"/>
              </w:rPr>
              <w:t>证券从业年限</w:t>
            </w:r>
          </w:p>
        </w:tc>
        <w:tc>
          <w:tcPr>
            <w:tcW w:w="2673" w:type="dxa"/>
            <w:vMerge w:val="restart"/>
            <w:vAlign w:val="center"/>
          </w:tcPr>
          <w:p w:rsidR="0012438E" w:rsidRDefault="00F03621">
            <w:pPr>
              <w:widowControl/>
              <w:spacing w:before="29" w:line="288" w:lineRule="auto"/>
              <w:ind w:left="17"/>
              <w:jc w:val="center"/>
              <w:rPr>
                <w:color w:val="000000"/>
                <w:kern w:val="0"/>
                <w:sz w:val="24"/>
                <w:szCs w:val="24"/>
              </w:rPr>
            </w:pPr>
            <w:r>
              <w:rPr>
                <w:color w:val="000000"/>
                <w:kern w:val="0"/>
                <w:sz w:val="24"/>
                <w:szCs w:val="24"/>
              </w:rPr>
              <w:t>说明</w:t>
            </w:r>
          </w:p>
        </w:tc>
      </w:tr>
      <w:tr w:rsidR="0012438E">
        <w:trPr>
          <w:jc w:val="center"/>
        </w:trPr>
        <w:tc>
          <w:tcPr>
            <w:tcW w:w="846" w:type="dxa"/>
            <w:vMerge/>
            <w:vAlign w:val="center"/>
          </w:tcPr>
          <w:p w:rsidR="0012438E" w:rsidRDefault="0012438E">
            <w:pPr>
              <w:widowControl/>
              <w:spacing w:before="29" w:line="288" w:lineRule="auto"/>
              <w:jc w:val="left"/>
              <w:rPr>
                <w:color w:val="000000"/>
                <w:kern w:val="0"/>
                <w:sz w:val="24"/>
                <w:szCs w:val="24"/>
              </w:rPr>
            </w:pPr>
          </w:p>
        </w:tc>
        <w:tc>
          <w:tcPr>
            <w:tcW w:w="845" w:type="dxa"/>
            <w:vMerge/>
            <w:vAlign w:val="center"/>
          </w:tcPr>
          <w:p w:rsidR="0012438E" w:rsidRDefault="0012438E">
            <w:pPr>
              <w:widowControl/>
              <w:spacing w:before="29" w:line="288" w:lineRule="auto"/>
              <w:jc w:val="left"/>
              <w:rPr>
                <w:color w:val="000000"/>
                <w:kern w:val="0"/>
                <w:sz w:val="24"/>
                <w:szCs w:val="24"/>
              </w:rPr>
            </w:pPr>
          </w:p>
        </w:tc>
        <w:tc>
          <w:tcPr>
            <w:tcW w:w="1549" w:type="dxa"/>
            <w:vAlign w:val="center"/>
          </w:tcPr>
          <w:p w:rsidR="0012438E" w:rsidRDefault="00F03621">
            <w:pPr>
              <w:autoSpaceDE w:val="0"/>
              <w:autoSpaceDN w:val="0"/>
              <w:adjustRightInd w:val="0"/>
              <w:spacing w:before="29" w:line="288" w:lineRule="auto"/>
              <w:ind w:left="17"/>
              <w:jc w:val="center"/>
              <w:rPr>
                <w:color w:val="000000"/>
                <w:kern w:val="0"/>
                <w:sz w:val="24"/>
                <w:szCs w:val="24"/>
              </w:rPr>
            </w:pPr>
            <w:r>
              <w:rPr>
                <w:color w:val="000000"/>
                <w:kern w:val="0"/>
                <w:sz w:val="24"/>
                <w:szCs w:val="24"/>
              </w:rPr>
              <w:t>任职日期</w:t>
            </w:r>
          </w:p>
        </w:tc>
        <w:tc>
          <w:tcPr>
            <w:tcW w:w="1548" w:type="dxa"/>
            <w:vAlign w:val="center"/>
          </w:tcPr>
          <w:p w:rsidR="0012438E" w:rsidRDefault="00F03621">
            <w:pPr>
              <w:autoSpaceDE w:val="0"/>
              <w:autoSpaceDN w:val="0"/>
              <w:adjustRightInd w:val="0"/>
              <w:spacing w:before="29" w:line="288" w:lineRule="auto"/>
              <w:ind w:left="17"/>
              <w:jc w:val="center"/>
              <w:rPr>
                <w:color w:val="000000"/>
                <w:kern w:val="0"/>
                <w:sz w:val="24"/>
                <w:szCs w:val="24"/>
              </w:rPr>
            </w:pPr>
            <w:r>
              <w:rPr>
                <w:color w:val="000000"/>
                <w:kern w:val="0"/>
                <w:sz w:val="24"/>
                <w:szCs w:val="24"/>
              </w:rPr>
              <w:t>离任日期</w:t>
            </w:r>
          </w:p>
        </w:tc>
        <w:tc>
          <w:tcPr>
            <w:tcW w:w="1407" w:type="dxa"/>
            <w:vMerge/>
            <w:vAlign w:val="center"/>
          </w:tcPr>
          <w:p w:rsidR="0012438E" w:rsidRDefault="0012438E">
            <w:pPr>
              <w:widowControl/>
              <w:spacing w:before="29" w:line="288" w:lineRule="auto"/>
              <w:jc w:val="left"/>
              <w:rPr>
                <w:color w:val="000000"/>
                <w:kern w:val="0"/>
                <w:sz w:val="24"/>
                <w:szCs w:val="24"/>
              </w:rPr>
            </w:pPr>
          </w:p>
        </w:tc>
        <w:tc>
          <w:tcPr>
            <w:tcW w:w="2673" w:type="dxa"/>
            <w:vMerge/>
            <w:vAlign w:val="center"/>
          </w:tcPr>
          <w:p w:rsidR="0012438E" w:rsidRDefault="0012438E">
            <w:pPr>
              <w:widowControl/>
              <w:spacing w:before="29" w:line="288" w:lineRule="auto"/>
              <w:jc w:val="left"/>
              <w:rPr>
                <w:color w:val="000000"/>
                <w:kern w:val="0"/>
                <w:sz w:val="24"/>
                <w:szCs w:val="24"/>
              </w:rPr>
            </w:pPr>
          </w:p>
        </w:tc>
      </w:tr>
      <w:tr w:rsidR="00E17817">
        <w:trPr>
          <w:jc w:val="center"/>
        </w:trPr>
        <w:tc>
          <w:tcPr>
            <w:tcW w:w="846" w:type="dxa"/>
            <w:vAlign w:val="center"/>
          </w:tcPr>
          <w:p w:rsidR="00E17817" w:rsidRDefault="00A40F17">
            <w:pPr>
              <w:jc w:val="center"/>
            </w:pPr>
            <w:r>
              <w:rPr>
                <w:color w:val="000000"/>
                <w:sz w:val="24"/>
                <w:szCs w:val="24"/>
              </w:rPr>
              <w:t>陈甄璞</w:t>
            </w:r>
          </w:p>
        </w:tc>
        <w:tc>
          <w:tcPr>
            <w:tcW w:w="845" w:type="dxa"/>
            <w:vAlign w:val="center"/>
          </w:tcPr>
          <w:p w:rsidR="00E17817" w:rsidRDefault="00A40F17">
            <w:pPr>
              <w:jc w:val="center"/>
            </w:pPr>
            <w:r>
              <w:rPr>
                <w:color w:val="000000"/>
                <w:sz w:val="24"/>
                <w:szCs w:val="24"/>
              </w:rPr>
              <w:t>本基金的基金经理；海富通阿尔法对冲混合基金经理；海富通欣益混合基金经理；海富通欣享混合基金经理；海富通量化前锋股票基金经理；海富通创业板增强基金经理；海富通量化多因子混合基金经理；时任量化投资部总监。</w:t>
            </w:r>
          </w:p>
        </w:tc>
        <w:tc>
          <w:tcPr>
            <w:tcW w:w="1549" w:type="dxa"/>
            <w:vAlign w:val="center"/>
          </w:tcPr>
          <w:p w:rsidR="00E17817" w:rsidRDefault="00A40F17">
            <w:pPr>
              <w:jc w:val="center"/>
            </w:pPr>
            <w:r>
              <w:rPr>
                <w:color w:val="000000"/>
                <w:sz w:val="24"/>
                <w:szCs w:val="24"/>
              </w:rPr>
              <w:t>2016-01-29</w:t>
            </w:r>
          </w:p>
        </w:tc>
        <w:tc>
          <w:tcPr>
            <w:tcW w:w="1548" w:type="dxa"/>
            <w:vAlign w:val="center"/>
          </w:tcPr>
          <w:p w:rsidR="00E17817" w:rsidRDefault="00A40F17">
            <w:pPr>
              <w:jc w:val="center"/>
            </w:pPr>
            <w:r>
              <w:rPr>
                <w:color w:val="000000"/>
                <w:sz w:val="24"/>
                <w:szCs w:val="24"/>
              </w:rPr>
              <w:t>2018-05-03</w:t>
            </w:r>
          </w:p>
        </w:tc>
        <w:tc>
          <w:tcPr>
            <w:tcW w:w="1407" w:type="dxa"/>
            <w:vAlign w:val="center"/>
          </w:tcPr>
          <w:p w:rsidR="00E17817" w:rsidRDefault="00A40F17">
            <w:pPr>
              <w:jc w:val="center"/>
            </w:pPr>
            <w:r>
              <w:rPr>
                <w:color w:val="000000"/>
                <w:sz w:val="24"/>
                <w:szCs w:val="24"/>
              </w:rPr>
              <w:t>10</w:t>
            </w:r>
            <w:r>
              <w:rPr>
                <w:color w:val="000000"/>
                <w:sz w:val="24"/>
                <w:szCs w:val="24"/>
              </w:rPr>
              <w:t>年</w:t>
            </w:r>
          </w:p>
        </w:tc>
        <w:tc>
          <w:tcPr>
            <w:tcW w:w="2673" w:type="dxa"/>
            <w:vAlign w:val="center"/>
          </w:tcPr>
          <w:p w:rsidR="00E17817" w:rsidRDefault="00A40F17">
            <w:r>
              <w:rPr>
                <w:color w:val="000000"/>
                <w:sz w:val="24"/>
                <w:szCs w:val="24"/>
              </w:rPr>
              <w:t>硕士</w:t>
            </w:r>
            <w:r>
              <w:rPr>
                <w:color w:val="000000"/>
                <w:sz w:val="24"/>
                <w:szCs w:val="24"/>
              </w:rPr>
              <w:t xml:space="preserve">, </w:t>
            </w:r>
            <w:r>
              <w:rPr>
                <w:color w:val="000000"/>
                <w:sz w:val="24"/>
                <w:szCs w:val="24"/>
              </w:rPr>
              <w:t>持有基金从业人员资格证书。历任复旦金仕达计算机有限公司高级程序员、部门经理，东方证券股份有限公司高级开发经理，</w:t>
            </w:r>
            <w:r>
              <w:rPr>
                <w:color w:val="000000"/>
                <w:sz w:val="24"/>
                <w:szCs w:val="24"/>
              </w:rPr>
              <w:t>IBM</w:t>
            </w:r>
            <w:r>
              <w:rPr>
                <w:color w:val="000000"/>
                <w:sz w:val="24"/>
                <w:szCs w:val="24"/>
              </w:rPr>
              <w:t>中国有限公司高级咨询顾问，历任海富通基金管理有限公司量化分析师、投资经理、量化投资部副总监、量化投资部总监。</w:t>
            </w:r>
            <w:r>
              <w:rPr>
                <w:color w:val="000000"/>
                <w:sz w:val="24"/>
                <w:szCs w:val="24"/>
              </w:rPr>
              <w:t>2014</w:t>
            </w:r>
            <w:r>
              <w:rPr>
                <w:color w:val="000000"/>
                <w:sz w:val="24"/>
                <w:szCs w:val="24"/>
              </w:rPr>
              <w:t>年</w:t>
            </w:r>
            <w:r>
              <w:rPr>
                <w:color w:val="000000"/>
                <w:sz w:val="24"/>
                <w:szCs w:val="24"/>
              </w:rPr>
              <w:t>11</w:t>
            </w:r>
            <w:r>
              <w:rPr>
                <w:color w:val="000000"/>
                <w:sz w:val="24"/>
                <w:szCs w:val="24"/>
              </w:rPr>
              <w:t>月至</w:t>
            </w:r>
            <w:r>
              <w:rPr>
                <w:color w:val="000000"/>
                <w:sz w:val="24"/>
                <w:szCs w:val="24"/>
              </w:rPr>
              <w:t>2018</w:t>
            </w:r>
            <w:r>
              <w:rPr>
                <w:color w:val="000000"/>
                <w:sz w:val="24"/>
                <w:szCs w:val="24"/>
              </w:rPr>
              <w:t>年</w:t>
            </w:r>
            <w:r>
              <w:rPr>
                <w:color w:val="000000"/>
                <w:sz w:val="24"/>
                <w:szCs w:val="24"/>
              </w:rPr>
              <w:t>5</w:t>
            </w:r>
            <w:r>
              <w:rPr>
                <w:color w:val="000000"/>
                <w:sz w:val="24"/>
                <w:szCs w:val="24"/>
              </w:rPr>
              <w:t>月任海富通阿尔法对冲混合基金基金经理。</w:t>
            </w:r>
            <w:r>
              <w:rPr>
                <w:color w:val="000000"/>
                <w:sz w:val="24"/>
                <w:szCs w:val="24"/>
              </w:rPr>
              <w:t>2015</w:t>
            </w:r>
            <w:r>
              <w:rPr>
                <w:color w:val="000000"/>
                <w:sz w:val="24"/>
                <w:szCs w:val="24"/>
              </w:rPr>
              <w:t>年</w:t>
            </w:r>
            <w:r>
              <w:rPr>
                <w:color w:val="000000"/>
                <w:sz w:val="24"/>
                <w:szCs w:val="24"/>
              </w:rPr>
              <w:t>4</w:t>
            </w:r>
            <w:r>
              <w:rPr>
                <w:color w:val="000000"/>
                <w:sz w:val="24"/>
                <w:szCs w:val="24"/>
              </w:rPr>
              <w:t>月至</w:t>
            </w:r>
            <w:r>
              <w:rPr>
                <w:color w:val="000000"/>
                <w:sz w:val="24"/>
                <w:szCs w:val="24"/>
              </w:rPr>
              <w:t>2016</w:t>
            </w:r>
            <w:r>
              <w:rPr>
                <w:color w:val="000000"/>
                <w:sz w:val="24"/>
                <w:szCs w:val="24"/>
              </w:rPr>
              <w:t>年</w:t>
            </w:r>
            <w:r>
              <w:rPr>
                <w:color w:val="000000"/>
                <w:sz w:val="24"/>
                <w:szCs w:val="24"/>
              </w:rPr>
              <w:t>6</w:t>
            </w:r>
            <w:r>
              <w:rPr>
                <w:color w:val="000000"/>
                <w:sz w:val="24"/>
                <w:szCs w:val="24"/>
              </w:rPr>
              <w:t>月兼任海富通养老收益混合（现海富通安颐收益混合）和海富通新内需混合基金经理。</w:t>
            </w:r>
            <w:r>
              <w:rPr>
                <w:color w:val="000000"/>
                <w:sz w:val="24"/>
                <w:szCs w:val="24"/>
              </w:rPr>
              <w:t>2016</w:t>
            </w:r>
            <w:r>
              <w:rPr>
                <w:color w:val="000000"/>
                <w:sz w:val="24"/>
                <w:szCs w:val="24"/>
              </w:rPr>
              <w:t>年</w:t>
            </w:r>
            <w:r>
              <w:rPr>
                <w:color w:val="000000"/>
                <w:sz w:val="24"/>
                <w:szCs w:val="24"/>
              </w:rPr>
              <w:t>1</w:t>
            </w:r>
            <w:r>
              <w:rPr>
                <w:color w:val="000000"/>
                <w:sz w:val="24"/>
                <w:szCs w:val="24"/>
              </w:rPr>
              <w:t>月至</w:t>
            </w:r>
            <w:r>
              <w:rPr>
                <w:color w:val="000000"/>
                <w:sz w:val="24"/>
                <w:szCs w:val="24"/>
              </w:rPr>
              <w:t>2018</w:t>
            </w:r>
            <w:r>
              <w:rPr>
                <w:color w:val="000000"/>
                <w:sz w:val="24"/>
                <w:szCs w:val="24"/>
              </w:rPr>
              <w:t>年</w:t>
            </w:r>
            <w:r>
              <w:rPr>
                <w:color w:val="000000"/>
                <w:sz w:val="24"/>
                <w:szCs w:val="24"/>
              </w:rPr>
              <w:t>5</w:t>
            </w:r>
            <w:r>
              <w:rPr>
                <w:color w:val="000000"/>
                <w:sz w:val="24"/>
                <w:szCs w:val="24"/>
              </w:rPr>
              <w:t>月兼任海富通东财大数据混合基金经理。</w:t>
            </w:r>
            <w:r>
              <w:rPr>
                <w:color w:val="000000"/>
                <w:sz w:val="24"/>
                <w:szCs w:val="24"/>
              </w:rPr>
              <w:t>2016</w:t>
            </w:r>
            <w:r>
              <w:rPr>
                <w:color w:val="000000"/>
                <w:sz w:val="24"/>
                <w:szCs w:val="24"/>
              </w:rPr>
              <w:t>年</w:t>
            </w:r>
            <w:r>
              <w:rPr>
                <w:color w:val="000000"/>
                <w:sz w:val="24"/>
                <w:szCs w:val="24"/>
              </w:rPr>
              <w:t>9</w:t>
            </w:r>
            <w:r>
              <w:rPr>
                <w:color w:val="000000"/>
                <w:sz w:val="24"/>
                <w:szCs w:val="24"/>
              </w:rPr>
              <w:t>月至</w:t>
            </w:r>
            <w:r>
              <w:rPr>
                <w:color w:val="000000"/>
                <w:sz w:val="24"/>
                <w:szCs w:val="24"/>
              </w:rPr>
              <w:t>2018</w:t>
            </w:r>
            <w:r>
              <w:rPr>
                <w:color w:val="000000"/>
                <w:sz w:val="24"/>
                <w:szCs w:val="24"/>
              </w:rPr>
              <w:t>年</w:t>
            </w:r>
            <w:r>
              <w:rPr>
                <w:color w:val="000000"/>
                <w:sz w:val="24"/>
                <w:szCs w:val="24"/>
              </w:rPr>
              <w:t>5</w:t>
            </w:r>
            <w:r>
              <w:rPr>
                <w:color w:val="000000"/>
                <w:sz w:val="24"/>
                <w:szCs w:val="24"/>
              </w:rPr>
              <w:t>月兼任海富通欣益混合基金经理。</w:t>
            </w:r>
            <w:r>
              <w:rPr>
                <w:color w:val="000000"/>
                <w:sz w:val="24"/>
                <w:szCs w:val="24"/>
              </w:rPr>
              <w:t>2017</w:t>
            </w:r>
            <w:r>
              <w:rPr>
                <w:color w:val="000000"/>
                <w:sz w:val="24"/>
                <w:szCs w:val="24"/>
              </w:rPr>
              <w:t>年</w:t>
            </w:r>
            <w:r>
              <w:rPr>
                <w:color w:val="000000"/>
                <w:sz w:val="24"/>
                <w:szCs w:val="24"/>
              </w:rPr>
              <w:t>3</w:t>
            </w:r>
            <w:r>
              <w:rPr>
                <w:color w:val="000000"/>
                <w:sz w:val="24"/>
                <w:szCs w:val="24"/>
              </w:rPr>
              <w:t>月至</w:t>
            </w:r>
            <w:r>
              <w:rPr>
                <w:color w:val="000000"/>
                <w:sz w:val="24"/>
                <w:szCs w:val="24"/>
              </w:rPr>
              <w:t>2018</w:t>
            </w:r>
            <w:r>
              <w:rPr>
                <w:color w:val="000000"/>
                <w:sz w:val="24"/>
                <w:szCs w:val="24"/>
              </w:rPr>
              <w:t>年</w:t>
            </w:r>
            <w:r>
              <w:rPr>
                <w:color w:val="000000"/>
                <w:sz w:val="24"/>
                <w:szCs w:val="24"/>
              </w:rPr>
              <w:t>5</w:t>
            </w:r>
            <w:r>
              <w:rPr>
                <w:color w:val="000000"/>
                <w:sz w:val="24"/>
                <w:szCs w:val="24"/>
              </w:rPr>
              <w:t>月兼任海富通欣享混合基金经理。</w:t>
            </w:r>
            <w:r>
              <w:rPr>
                <w:color w:val="000000"/>
                <w:sz w:val="24"/>
                <w:szCs w:val="24"/>
              </w:rPr>
              <w:t>2018</w:t>
            </w:r>
            <w:r>
              <w:rPr>
                <w:color w:val="000000"/>
                <w:sz w:val="24"/>
                <w:szCs w:val="24"/>
              </w:rPr>
              <w:t>年</w:t>
            </w:r>
            <w:r>
              <w:rPr>
                <w:color w:val="000000"/>
                <w:sz w:val="24"/>
                <w:szCs w:val="24"/>
              </w:rPr>
              <w:t>2</w:t>
            </w:r>
            <w:r>
              <w:rPr>
                <w:color w:val="000000"/>
                <w:sz w:val="24"/>
                <w:szCs w:val="24"/>
              </w:rPr>
              <w:t>月至</w:t>
            </w:r>
            <w:r>
              <w:rPr>
                <w:color w:val="000000"/>
                <w:sz w:val="24"/>
                <w:szCs w:val="24"/>
              </w:rPr>
              <w:t>2018</w:t>
            </w:r>
            <w:r>
              <w:rPr>
                <w:color w:val="000000"/>
                <w:sz w:val="24"/>
                <w:szCs w:val="24"/>
              </w:rPr>
              <w:t>年</w:t>
            </w:r>
            <w:r>
              <w:rPr>
                <w:color w:val="000000"/>
                <w:sz w:val="24"/>
                <w:szCs w:val="24"/>
              </w:rPr>
              <w:t>5</w:t>
            </w:r>
            <w:r>
              <w:rPr>
                <w:color w:val="000000"/>
                <w:sz w:val="24"/>
                <w:szCs w:val="24"/>
              </w:rPr>
              <w:t>月兼任海富通量化前锋股票基金经理。</w:t>
            </w:r>
            <w:r>
              <w:rPr>
                <w:color w:val="000000"/>
                <w:sz w:val="24"/>
                <w:szCs w:val="24"/>
              </w:rPr>
              <w:t>2018</w:t>
            </w:r>
            <w:r>
              <w:rPr>
                <w:color w:val="000000"/>
                <w:sz w:val="24"/>
                <w:szCs w:val="24"/>
              </w:rPr>
              <w:t>年</w:t>
            </w:r>
            <w:r>
              <w:rPr>
                <w:color w:val="000000"/>
                <w:sz w:val="24"/>
                <w:szCs w:val="24"/>
              </w:rPr>
              <w:t>4</w:t>
            </w:r>
            <w:r>
              <w:rPr>
                <w:color w:val="000000"/>
                <w:sz w:val="24"/>
                <w:szCs w:val="24"/>
              </w:rPr>
              <w:t>月至</w:t>
            </w:r>
            <w:r>
              <w:rPr>
                <w:color w:val="000000"/>
                <w:sz w:val="24"/>
                <w:szCs w:val="24"/>
              </w:rPr>
              <w:t>2018</w:t>
            </w:r>
            <w:r>
              <w:rPr>
                <w:color w:val="000000"/>
                <w:sz w:val="24"/>
                <w:szCs w:val="24"/>
              </w:rPr>
              <w:t>年</w:t>
            </w:r>
            <w:r>
              <w:rPr>
                <w:color w:val="000000"/>
                <w:sz w:val="24"/>
                <w:szCs w:val="24"/>
              </w:rPr>
              <w:t>5</w:t>
            </w:r>
            <w:r>
              <w:rPr>
                <w:color w:val="000000"/>
                <w:sz w:val="24"/>
                <w:szCs w:val="24"/>
              </w:rPr>
              <w:t>月兼任海富通创业板增强和海富通量化多因子混合基金经理。</w:t>
            </w:r>
          </w:p>
        </w:tc>
      </w:tr>
      <w:tr w:rsidR="00E17817">
        <w:trPr>
          <w:jc w:val="center"/>
        </w:trPr>
        <w:tc>
          <w:tcPr>
            <w:tcW w:w="846" w:type="dxa"/>
            <w:vAlign w:val="center"/>
          </w:tcPr>
          <w:p w:rsidR="00E17817" w:rsidRDefault="00A40F17">
            <w:pPr>
              <w:jc w:val="center"/>
            </w:pPr>
            <w:r>
              <w:rPr>
                <w:color w:val="000000"/>
                <w:sz w:val="24"/>
                <w:szCs w:val="24"/>
              </w:rPr>
              <w:t>杜晓海</w:t>
            </w:r>
          </w:p>
        </w:tc>
        <w:tc>
          <w:tcPr>
            <w:tcW w:w="845" w:type="dxa"/>
            <w:vAlign w:val="center"/>
          </w:tcPr>
          <w:p w:rsidR="00E17817" w:rsidRDefault="00A40F17">
            <w:pPr>
              <w:jc w:val="center"/>
            </w:pPr>
            <w:r>
              <w:rPr>
                <w:color w:val="000000"/>
                <w:sz w:val="24"/>
                <w:szCs w:val="24"/>
              </w:rPr>
              <w:t>本基金的基金经理；海富通安颐收益混合基金经理；海富通新内需混合基金经理；海富通欣荣混合基金经理；海富通富睿混合基金经理；海富通富祥混合基金经理；海富通阿尔法对冲混合基金经理；海富通创业板增强基金经理；海富通量化前锋股票基金经理；海富通稳固收益债券基金经理；海富通欣享混合基金经理；海富通欣益混合基金经理；海富通量化多因子混合基金经理；量化投资部总监</w:t>
            </w:r>
          </w:p>
        </w:tc>
        <w:tc>
          <w:tcPr>
            <w:tcW w:w="1549" w:type="dxa"/>
            <w:vAlign w:val="center"/>
          </w:tcPr>
          <w:p w:rsidR="00E17817" w:rsidRDefault="00A40F17">
            <w:pPr>
              <w:jc w:val="center"/>
            </w:pPr>
            <w:r>
              <w:rPr>
                <w:color w:val="000000"/>
                <w:sz w:val="24"/>
                <w:szCs w:val="24"/>
              </w:rPr>
              <w:t>2018-04-09</w:t>
            </w:r>
          </w:p>
        </w:tc>
        <w:tc>
          <w:tcPr>
            <w:tcW w:w="1548" w:type="dxa"/>
            <w:vAlign w:val="center"/>
          </w:tcPr>
          <w:p w:rsidR="00E17817" w:rsidRDefault="00A40F17">
            <w:pPr>
              <w:jc w:val="center"/>
            </w:pPr>
            <w:r>
              <w:rPr>
                <w:color w:val="000000"/>
                <w:sz w:val="24"/>
                <w:szCs w:val="24"/>
              </w:rPr>
              <w:t>-</w:t>
            </w:r>
          </w:p>
        </w:tc>
        <w:tc>
          <w:tcPr>
            <w:tcW w:w="1407" w:type="dxa"/>
            <w:vAlign w:val="center"/>
          </w:tcPr>
          <w:p w:rsidR="00E17817" w:rsidRDefault="00A40F17">
            <w:pPr>
              <w:jc w:val="center"/>
            </w:pPr>
            <w:r>
              <w:rPr>
                <w:color w:val="000000"/>
                <w:sz w:val="24"/>
                <w:szCs w:val="24"/>
              </w:rPr>
              <w:t>18</w:t>
            </w:r>
            <w:r>
              <w:rPr>
                <w:color w:val="000000"/>
                <w:sz w:val="24"/>
                <w:szCs w:val="24"/>
              </w:rPr>
              <w:t>年</w:t>
            </w:r>
          </w:p>
        </w:tc>
        <w:tc>
          <w:tcPr>
            <w:tcW w:w="2673" w:type="dxa"/>
            <w:vAlign w:val="center"/>
          </w:tcPr>
          <w:p w:rsidR="00E17817" w:rsidRDefault="00A40F17">
            <w:r>
              <w:rPr>
                <w:color w:val="000000"/>
                <w:sz w:val="24"/>
                <w:szCs w:val="24"/>
              </w:rPr>
              <w:t>硕士，持有基金从业人员资格证书。历任</w:t>
            </w:r>
            <w:r>
              <w:rPr>
                <w:color w:val="000000"/>
                <w:sz w:val="24"/>
                <w:szCs w:val="24"/>
              </w:rPr>
              <w:t>Man-Drapeau Research</w:t>
            </w:r>
            <w:r>
              <w:rPr>
                <w:color w:val="000000"/>
                <w:sz w:val="24"/>
                <w:szCs w:val="24"/>
              </w:rPr>
              <w:t>金融工程师，</w:t>
            </w:r>
            <w:r>
              <w:rPr>
                <w:color w:val="000000"/>
                <w:sz w:val="24"/>
                <w:szCs w:val="24"/>
              </w:rPr>
              <w:t>American Bourses Corporation</w:t>
            </w:r>
            <w:r>
              <w:rPr>
                <w:color w:val="000000"/>
                <w:sz w:val="24"/>
                <w:szCs w:val="24"/>
              </w:rPr>
              <w:t>中国区总经理，海富通基金管理有限公司定量分析师、高级定量分析师、定量及风险管理负责人、定量及风险管理总监、多资产策略投资部总监，现任海富通基金管理有限公司量化投资部总监。</w:t>
            </w:r>
            <w:r>
              <w:rPr>
                <w:color w:val="000000"/>
                <w:sz w:val="24"/>
                <w:szCs w:val="24"/>
              </w:rPr>
              <w:t>2016</w:t>
            </w:r>
            <w:r>
              <w:rPr>
                <w:color w:val="000000"/>
                <w:sz w:val="24"/>
                <w:szCs w:val="24"/>
              </w:rPr>
              <w:t>年</w:t>
            </w:r>
            <w:r>
              <w:rPr>
                <w:color w:val="000000"/>
                <w:sz w:val="24"/>
                <w:szCs w:val="24"/>
              </w:rPr>
              <w:t>6</w:t>
            </w:r>
            <w:r>
              <w:rPr>
                <w:color w:val="000000"/>
                <w:sz w:val="24"/>
                <w:szCs w:val="24"/>
              </w:rPr>
              <w:t>月起任海富通新内需混合和海富通安颐收益混合（原海富通养老收益混合）基金经理。</w:t>
            </w:r>
            <w:r>
              <w:rPr>
                <w:color w:val="000000"/>
                <w:sz w:val="24"/>
                <w:szCs w:val="24"/>
              </w:rPr>
              <w:t>2016</w:t>
            </w:r>
            <w:r>
              <w:rPr>
                <w:color w:val="000000"/>
                <w:sz w:val="24"/>
                <w:szCs w:val="24"/>
              </w:rPr>
              <w:t>年</w:t>
            </w:r>
            <w:r>
              <w:rPr>
                <w:color w:val="000000"/>
                <w:sz w:val="24"/>
                <w:szCs w:val="24"/>
              </w:rPr>
              <w:t>9</w:t>
            </w:r>
            <w:r>
              <w:rPr>
                <w:color w:val="000000"/>
                <w:sz w:val="24"/>
                <w:szCs w:val="24"/>
              </w:rPr>
              <w:t>月起兼任海富通欣荣混合基金经理。</w:t>
            </w:r>
            <w:r>
              <w:rPr>
                <w:color w:val="000000"/>
                <w:sz w:val="24"/>
                <w:szCs w:val="24"/>
              </w:rPr>
              <w:t>2017</w:t>
            </w:r>
            <w:r>
              <w:rPr>
                <w:color w:val="000000"/>
                <w:sz w:val="24"/>
                <w:szCs w:val="24"/>
              </w:rPr>
              <w:t>年</w:t>
            </w:r>
            <w:r>
              <w:rPr>
                <w:color w:val="000000"/>
                <w:sz w:val="24"/>
                <w:szCs w:val="24"/>
              </w:rPr>
              <w:t>4</w:t>
            </w:r>
            <w:r>
              <w:rPr>
                <w:color w:val="000000"/>
                <w:sz w:val="24"/>
                <w:szCs w:val="24"/>
              </w:rPr>
              <w:t>月至</w:t>
            </w:r>
            <w:r>
              <w:rPr>
                <w:color w:val="000000"/>
                <w:sz w:val="24"/>
                <w:szCs w:val="24"/>
              </w:rPr>
              <w:t>2018</w:t>
            </w:r>
            <w:r>
              <w:rPr>
                <w:color w:val="000000"/>
                <w:sz w:val="24"/>
                <w:szCs w:val="24"/>
              </w:rPr>
              <w:t>年</w:t>
            </w:r>
            <w:r>
              <w:rPr>
                <w:color w:val="000000"/>
                <w:sz w:val="24"/>
                <w:szCs w:val="24"/>
              </w:rPr>
              <w:t>1</w:t>
            </w:r>
            <w:r>
              <w:rPr>
                <w:color w:val="000000"/>
                <w:sz w:val="24"/>
                <w:szCs w:val="24"/>
              </w:rPr>
              <w:t>月兼任海富通欣盛定开混合基金经理。</w:t>
            </w:r>
            <w:r>
              <w:rPr>
                <w:color w:val="000000"/>
                <w:sz w:val="24"/>
                <w:szCs w:val="24"/>
              </w:rPr>
              <w:t>2017</w:t>
            </w:r>
            <w:r>
              <w:rPr>
                <w:color w:val="000000"/>
                <w:sz w:val="24"/>
                <w:szCs w:val="24"/>
              </w:rPr>
              <w:t>年</w:t>
            </w:r>
            <w:r>
              <w:rPr>
                <w:color w:val="000000"/>
                <w:sz w:val="24"/>
                <w:szCs w:val="24"/>
              </w:rPr>
              <w:t>5</w:t>
            </w:r>
            <w:r>
              <w:rPr>
                <w:color w:val="000000"/>
                <w:sz w:val="24"/>
                <w:szCs w:val="24"/>
              </w:rPr>
              <w:t>月起兼任海富通富睿混合基金经理。</w:t>
            </w:r>
            <w:r>
              <w:rPr>
                <w:color w:val="000000"/>
                <w:sz w:val="24"/>
                <w:szCs w:val="24"/>
              </w:rPr>
              <w:t>2018</w:t>
            </w:r>
            <w:r>
              <w:rPr>
                <w:color w:val="000000"/>
                <w:sz w:val="24"/>
                <w:szCs w:val="24"/>
              </w:rPr>
              <w:t>年</w:t>
            </w:r>
            <w:r>
              <w:rPr>
                <w:color w:val="000000"/>
                <w:sz w:val="24"/>
                <w:szCs w:val="24"/>
              </w:rPr>
              <w:t>3</w:t>
            </w:r>
            <w:r>
              <w:rPr>
                <w:color w:val="000000"/>
                <w:sz w:val="24"/>
                <w:szCs w:val="24"/>
              </w:rPr>
              <w:t>月起兼任海富通富祥混合基金经理。</w:t>
            </w:r>
            <w:r>
              <w:rPr>
                <w:color w:val="000000"/>
                <w:sz w:val="24"/>
                <w:szCs w:val="24"/>
              </w:rPr>
              <w:t>2018</w:t>
            </w:r>
            <w:r>
              <w:rPr>
                <w:color w:val="000000"/>
                <w:sz w:val="24"/>
                <w:szCs w:val="24"/>
              </w:rPr>
              <w:t>年</w:t>
            </w:r>
            <w:r>
              <w:rPr>
                <w:color w:val="000000"/>
                <w:sz w:val="24"/>
                <w:szCs w:val="24"/>
              </w:rPr>
              <w:t>4</w:t>
            </w:r>
            <w:r>
              <w:rPr>
                <w:color w:val="000000"/>
                <w:sz w:val="24"/>
                <w:szCs w:val="24"/>
              </w:rPr>
              <w:t>月起兼任海富通阿尔法对冲混合、海富通创业板增强、海富通东财大数据混合、海富通量化前锋股票、海富通稳固收益债券、海富通欣享混合、海富通欣益混合、海富通量化多因子混合的基金经理。</w:t>
            </w:r>
          </w:p>
        </w:tc>
      </w:tr>
    </w:tbl>
    <w:p w:rsidR="00E17817" w:rsidRDefault="00A40F17">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、对基金的首任基金经理，其任职日期指基金合同生效日，离任日期指公司做出决定之日；非首任基金经理，其任职日期和离任日期均指公司做出决定之日。</w:t>
      </w:r>
    </w:p>
    <w:p w:rsidR="00E17817" w:rsidRDefault="00A40F17">
      <w:pPr>
        <w:autoSpaceDE w:val="0"/>
        <w:autoSpaceDN w:val="0"/>
        <w:adjustRightInd w:val="0"/>
        <w:spacing w:before="29" w:line="288" w:lineRule="auto"/>
        <w:jc w:val="left"/>
        <w:rPr>
          <w:color w:val="000000"/>
          <w:sz w:val="24"/>
          <w:szCs w:val="24"/>
        </w:rPr>
      </w:pPr>
      <w:r>
        <w:rPr>
          <w:color w:val="000000"/>
          <w:sz w:val="24"/>
          <w:szCs w:val="24"/>
        </w:rPr>
        <w:t>2</w:t>
      </w:r>
      <w:r>
        <w:rPr>
          <w:color w:val="000000"/>
          <w:sz w:val="24"/>
          <w:szCs w:val="24"/>
        </w:rPr>
        <w:t>、证券从业年限的计算标准为：自参加证券行业的相关工作开始计算。</w:t>
      </w:r>
    </w:p>
    <w:p w:rsidR="0012438E" w:rsidRDefault="0012438E">
      <w:pPr>
        <w:autoSpaceDE w:val="0"/>
        <w:autoSpaceDN w:val="0"/>
        <w:adjustRightInd w:val="0"/>
        <w:spacing w:before="29" w:line="288" w:lineRule="auto"/>
        <w:jc w:val="left"/>
        <w:rPr>
          <w:color w:val="000000"/>
          <w:sz w:val="24"/>
          <w:szCs w:val="24"/>
        </w:rPr>
      </w:pPr>
    </w:p>
    <w:p w:rsidR="0012438E" w:rsidRDefault="0012438E">
      <w:pPr>
        <w:autoSpaceDE w:val="0"/>
        <w:autoSpaceDN w:val="0"/>
        <w:adjustRightInd w:val="0"/>
        <w:spacing w:before="29" w:line="288" w:lineRule="auto"/>
        <w:jc w:val="left"/>
        <w:rPr>
          <w:color w:val="000000"/>
          <w:kern w:val="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4.2 </w:t>
      </w:r>
      <w:r>
        <w:rPr>
          <w:b/>
          <w:bCs/>
          <w:color w:val="000000"/>
          <w:kern w:val="0"/>
          <w:sz w:val="24"/>
          <w:szCs w:val="24"/>
        </w:rPr>
        <w:t>管理人对报告期内本基金运作遵规守信情况的说明</w:t>
      </w:r>
    </w:p>
    <w:p w:rsidR="0012438E" w:rsidRDefault="00F03621">
      <w:pPr>
        <w:spacing w:before="29" w:line="288" w:lineRule="auto"/>
        <w:ind w:firstLineChars="200" w:firstLine="480"/>
        <w:rPr>
          <w:color w:val="000000"/>
          <w:sz w:val="24"/>
          <w:szCs w:val="24"/>
        </w:rPr>
      </w:pPr>
      <w:r>
        <w:rPr>
          <w:color w:val="000000"/>
          <w:sz w:val="24"/>
          <w:szCs w:val="24"/>
        </w:rPr>
        <w:t>本报告期内，本基金管理人认真遵循《中华人民共和国证券投资基金法》及其他有关法律法规、基金合同的规定，本着诚实信用、勤勉尽职的原则管理和运用基金资产，没有发生损害基金份额持有人利益的行为。</w:t>
      </w:r>
    </w:p>
    <w:p w:rsidR="0012438E" w:rsidRDefault="0012438E">
      <w:pPr>
        <w:autoSpaceDE w:val="0"/>
        <w:autoSpaceDN w:val="0"/>
        <w:adjustRightInd w:val="0"/>
        <w:spacing w:before="29" w:line="288" w:lineRule="auto"/>
        <w:jc w:val="left"/>
        <w:rPr>
          <w:color w:val="000000"/>
          <w:kern w:val="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4.3 </w:t>
      </w:r>
      <w:r>
        <w:rPr>
          <w:b/>
          <w:bCs/>
          <w:color w:val="000000"/>
          <w:kern w:val="0"/>
          <w:sz w:val="24"/>
          <w:szCs w:val="24"/>
        </w:rPr>
        <w:t>公平交易专项说明</w:t>
      </w:r>
    </w:p>
    <w:p w:rsidR="0012438E" w:rsidRDefault="00F03621">
      <w:pPr>
        <w:spacing w:before="29" w:line="288" w:lineRule="auto"/>
        <w:rPr>
          <w:color w:val="000000"/>
          <w:sz w:val="24"/>
          <w:szCs w:val="24"/>
        </w:rPr>
      </w:pPr>
      <w:r>
        <w:rPr>
          <w:color w:val="000000"/>
          <w:sz w:val="24"/>
          <w:szCs w:val="24"/>
        </w:rPr>
        <w:t xml:space="preserve">4.3.1 </w:t>
      </w:r>
      <w:r>
        <w:rPr>
          <w:color w:val="000000"/>
          <w:sz w:val="24"/>
          <w:szCs w:val="24"/>
        </w:rPr>
        <w:t>公平交易制度的执行情况</w:t>
      </w:r>
    </w:p>
    <w:p w:rsidR="00E17817" w:rsidRDefault="00A40F17">
      <w:pPr>
        <w:spacing w:before="29" w:line="288" w:lineRule="auto"/>
        <w:ind w:firstLineChars="200" w:firstLine="480"/>
        <w:rPr>
          <w:color w:val="000000"/>
          <w:sz w:val="24"/>
          <w:szCs w:val="24"/>
        </w:rPr>
      </w:pPr>
      <w:r>
        <w:rPr>
          <w:color w:val="000000"/>
          <w:sz w:val="24"/>
          <w:szCs w:val="24"/>
        </w:rPr>
        <w:t>公司根据证监会</w:t>
      </w:r>
      <w:r>
        <w:rPr>
          <w:color w:val="000000"/>
          <w:sz w:val="24"/>
          <w:szCs w:val="24"/>
        </w:rPr>
        <w:t>2011</w:t>
      </w:r>
      <w:r>
        <w:rPr>
          <w:color w:val="000000"/>
          <w:sz w:val="24"/>
          <w:szCs w:val="24"/>
        </w:rPr>
        <w:t>年发布的《证券投资基金管理公司公平交易制度指导意见》的具体要求，持续完善了公司投资交易业务流程和公平交易制度。制度和流程覆盖了境内、境外上市股票、债券、基金的一级市场申购、二级市场交易等投资管理活动，涵盖了授权、研究分析、投资决策、交易执行、业绩评估等投资管理活动相关的各个环节。同时，公司投资交易业务组织架构保证了各投资组合投资决策相对独立，确保其在获得投资信息、投资建议和实施投资决策方面享有公平的机会。</w:t>
      </w:r>
    </w:p>
    <w:p w:rsidR="00E17817" w:rsidRDefault="00A40F17">
      <w:pPr>
        <w:spacing w:before="29" w:line="288" w:lineRule="auto"/>
        <w:ind w:firstLineChars="200" w:firstLine="480"/>
        <w:rPr>
          <w:color w:val="000000"/>
          <w:sz w:val="24"/>
          <w:szCs w:val="24"/>
        </w:rPr>
      </w:pPr>
      <w:r>
        <w:rPr>
          <w:color w:val="000000"/>
          <w:sz w:val="24"/>
          <w:szCs w:val="24"/>
        </w:rPr>
        <w:t>公司建立了严格的投资交易行为监控制度，公司投资交易行为监控体系由交易室、投资部门、监察稽核部和风险管理部组成，各部门各司其职，对投资交易行为进行事前、事中和事后的全程监控，保证本报告期内公平对待旗下管理的所有基金和投资组合。</w:t>
      </w:r>
    </w:p>
    <w:p w:rsidR="0012438E" w:rsidRDefault="0012438E">
      <w:pPr>
        <w:spacing w:before="29" w:line="288" w:lineRule="auto"/>
        <w:ind w:firstLineChars="200" w:firstLine="480"/>
        <w:rPr>
          <w:color w:val="000000"/>
          <w:sz w:val="24"/>
          <w:szCs w:val="24"/>
        </w:rPr>
      </w:pPr>
    </w:p>
    <w:p w:rsidR="0012438E" w:rsidRDefault="00F03621">
      <w:pPr>
        <w:spacing w:before="29" w:line="288" w:lineRule="auto"/>
        <w:rPr>
          <w:color w:val="000000"/>
          <w:sz w:val="24"/>
          <w:szCs w:val="24"/>
        </w:rPr>
      </w:pPr>
      <w:r>
        <w:rPr>
          <w:color w:val="000000"/>
          <w:sz w:val="24"/>
          <w:szCs w:val="24"/>
        </w:rPr>
        <w:t xml:space="preserve">4.3.2 </w:t>
      </w:r>
      <w:r>
        <w:rPr>
          <w:color w:val="000000"/>
          <w:sz w:val="24"/>
          <w:szCs w:val="24"/>
        </w:rPr>
        <w:t>异常交易行为的专项说明</w:t>
      </w:r>
    </w:p>
    <w:p w:rsidR="0012438E" w:rsidRDefault="00F03621">
      <w:pPr>
        <w:spacing w:before="29" w:line="288" w:lineRule="auto"/>
        <w:ind w:firstLineChars="200" w:firstLine="480"/>
        <w:rPr>
          <w:color w:val="000000"/>
          <w:sz w:val="24"/>
          <w:szCs w:val="24"/>
        </w:rPr>
      </w:pPr>
      <w:r>
        <w:rPr>
          <w:color w:val="000000"/>
          <w:sz w:val="24"/>
          <w:szCs w:val="24"/>
        </w:rPr>
        <w:t>本报告期内，未发现本基金进行可能导致不公平交易和利益输送的异常交易。</w:t>
      </w:r>
    </w:p>
    <w:p w:rsidR="0012438E" w:rsidRDefault="0012438E">
      <w:pPr>
        <w:spacing w:before="29" w:line="288" w:lineRule="auto"/>
        <w:ind w:firstLineChars="200" w:firstLine="480"/>
        <w:rPr>
          <w:color w:val="000000"/>
          <w:sz w:val="24"/>
          <w:szCs w:val="24"/>
        </w:rPr>
      </w:pPr>
    </w:p>
    <w:p w:rsidR="0012438E" w:rsidRDefault="00F03621">
      <w:pPr>
        <w:spacing w:before="29" w:line="288" w:lineRule="auto"/>
        <w:rPr>
          <w:sz w:val="24"/>
          <w:szCs w:val="24"/>
        </w:rPr>
      </w:pPr>
      <w:r>
        <w:rPr>
          <w:b/>
          <w:color w:val="000000"/>
          <w:kern w:val="0"/>
          <w:sz w:val="24"/>
        </w:rPr>
        <w:t xml:space="preserve">4.4 </w:t>
      </w:r>
      <w:r>
        <w:rPr>
          <w:rFonts w:hAnsi="宋体"/>
          <w:b/>
          <w:bCs/>
          <w:color w:val="000000"/>
          <w:sz w:val="24"/>
        </w:rPr>
        <w:t>报告期内基金的投资策略和运作分析</w:t>
      </w:r>
    </w:p>
    <w:p w:rsidR="00E17817" w:rsidRDefault="00A40F17">
      <w:pPr>
        <w:spacing w:before="29" w:line="288" w:lineRule="auto"/>
        <w:ind w:firstLineChars="200" w:firstLine="480"/>
        <w:rPr>
          <w:color w:val="000000"/>
          <w:sz w:val="24"/>
          <w:szCs w:val="24"/>
        </w:rPr>
      </w:pPr>
      <w:r>
        <w:rPr>
          <w:color w:val="000000"/>
          <w:sz w:val="24"/>
          <w:szCs w:val="24"/>
        </w:rPr>
        <w:t>回顾二季度，市场整体呈现震荡下行的走势，</w:t>
      </w:r>
      <w:r>
        <w:rPr>
          <w:color w:val="000000"/>
          <w:sz w:val="24"/>
          <w:szCs w:val="24"/>
        </w:rPr>
        <w:t>6</w:t>
      </w:r>
      <w:r>
        <w:rPr>
          <w:color w:val="000000"/>
          <w:sz w:val="24"/>
          <w:szCs w:val="24"/>
        </w:rPr>
        <w:t>月市场跌幅明显。上证综指收于</w:t>
      </w:r>
      <w:r>
        <w:rPr>
          <w:color w:val="000000"/>
          <w:sz w:val="24"/>
          <w:szCs w:val="24"/>
        </w:rPr>
        <w:t>2847.42</w:t>
      </w:r>
      <w:r>
        <w:rPr>
          <w:color w:val="000000"/>
          <w:sz w:val="24"/>
          <w:szCs w:val="24"/>
        </w:rPr>
        <w:t>点，二季度下跌</w:t>
      </w:r>
      <w:r>
        <w:rPr>
          <w:color w:val="000000"/>
          <w:sz w:val="24"/>
          <w:szCs w:val="24"/>
        </w:rPr>
        <w:t>10.14%</w:t>
      </w:r>
      <w:r>
        <w:rPr>
          <w:color w:val="000000"/>
          <w:sz w:val="24"/>
          <w:szCs w:val="24"/>
        </w:rPr>
        <w:t>，深证成指报</w:t>
      </w:r>
      <w:r>
        <w:rPr>
          <w:color w:val="000000"/>
          <w:sz w:val="24"/>
          <w:szCs w:val="24"/>
        </w:rPr>
        <w:t>9379.47</w:t>
      </w:r>
      <w:r>
        <w:rPr>
          <w:color w:val="000000"/>
          <w:sz w:val="24"/>
          <w:szCs w:val="24"/>
        </w:rPr>
        <w:t>点，下跌</w:t>
      </w:r>
      <w:r>
        <w:rPr>
          <w:color w:val="000000"/>
          <w:sz w:val="24"/>
          <w:szCs w:val="24"/>
        </w:rPr>
        <w:t>13.70%</w:t>
      </w:r>
      <w:r>
        <w:rPr>
          <w:color w:val="000000"/>
          <w:sz w:val="24"/>
          <w:szCs w:val="24"/>
        </w:rPr>
        <w:t>。中小板指收于</w:t>
      </w:r>
      <w:r>
        <w:rPr>
          <w:color w:val="000000"/>
          <w:sz w:val="24"/>
          <w:szCs w:val="24"/>
        </w:rPr>
        <w:t>6477.76</w:t>
      </w:r>
      <w:r>
        <w:rPr>
          <w:color w:val="000000"/>
          <w:sz w:val="24"/>
          <w:szCs w:val="24"/>
        </w:rPr>
        <w:t>点，跌幅为</w:t>
      </w:r>
      <w:r>
        <w:rPr>
          <w:color w:val="000000"/>
          <w:sz w:val="24"/>
          <w:szCs w:val="24"/>
        </w:rPr>
        <w:t>12.98%</w:t>
      </w:r>
      <w:r>
        <w:rPr>
          <w:color w:val="000000"/>
          <w:sz w:val="24"/>
          <w:szCs w:val="24"/>
        </w:rPr>
        <w:t>，创业板指跌</w:t>
      </w:r>
      <w:r>
        <w:rPr>
          <w:color w:val="000000"/>
          <w:sz w:val="24"/>
          <w:szCs w:val="24"/>
        </w:rPr>
        <w:t>15.46%</w:t>
      </w:r>
      <w:r>
        <w:rPr>
          <w:color w:val="000000"/>
          <w:sz w:val="24"/>
          <w:szCs w:val="24"/>
        </w:rPr>
        <w:t>，收于</w:t>
      </w:r>
      <w:r>
        <w:rPr>
          <w:color w:val="000000"/>
          <w:sz w:val="24"/>
          <w:szCs w:val="24"/>
        </w:rPr>
        <w:t>1606.71</w:t>
      </w:r>
      <w:r>
        <w:rPr>
          <w:color w:val="000000"/>
          <w:sz w:val="24"/>
          <w:szCs w:val="24"/>
        </w:rPr>
        <w:t>点。</w:t>
      </w:r>
    </w:p>
    <w:p w:rsidR="00E17817" w:rsidRDefault="00A40F17">
      <w:pPr>
        <w:spacing w:before="29" w:line="288" w:lineRule="auto"/>
        <w:ind w:firstLineChars="200" w:firstLine="480"/>
        <w:rPr>
          <w:color w:val="000000"/>
          <w:sz w:val="24"/>
          <w:szCs w:val="24"/>
        </w:rPr>
      </w:pPr>
      <w:r>
        <w:rPr>
          <w:color w:val="000000"/>
          <w:sz w:val="24"/>
          <w:szCs w:val="24"/>
        </w:rPr>
        <w:t>具体来看，</w:t>
      </w:r>
      <w:r>
        <w:rPr>
          <w:color w:val="000000"/>
          <w:sz w:val="24"/>
          <w:szCs w:val="24"/>
        </w:rPr>
        <w:t>4</w:t>
      </w:r>
      <w:r>
        <w:rPr>
          <w:color w:val="000000"/>
          <w:sz w:val="24"/>
          <w:szCs w:val="24"/>
        </w:rPr>
        <w:t>月主要指数呈现震荡下跌的态势，在此期间，美国商务部对中兴通讯启动禁令，引发了市场的恐慌情绪。但市场仍表现出一定的结构性行情，医药、钢铁等板块表现亮眼。上证综指全月下跌</w:t>
      </w:r>
      <w:r>
        <w:rPr>
          <w:color w:val="000000"/>
          <w:sz w:val="24"/>
          <w:szCs w:val="24"/>
        </w:rPr>
        <w:t>2.73%</w:t>
      </w:r>
      <w:r>
        <w:rPr>
          <w:color w:val="000000"/>
          <w:sz w:val="24"/>
          <w:szCs w:val="24"/>
        </w:rPr>
        <w:t>，深证成指下跌</w:t>
      </w:r>
      <w:r>
        <w:rPr>
          <w:color w:val="000000"/>
          <w:sz w:val="24"/>
          <w:szCs w:val="24"/>
        </w:rPr>
        <w:t>5.01%</w:t>
      </w:r>
      <w:r>
        <w:rPr>
          <w:color w:val="000000"/>
          <w:sz w:val="24"/>
          <w:szCs w:val="24"/>
        </w:rPr>
        <w:t>，中小板指和创业板指分别下跌</w:t>
      </w:r>
      <w:r>
        <w:rPr>
          <w:color w:val="000000"/>
          <w:sz w:val="24"/>
          <w:szCs w:val="24"/>
        </w:rPr>
        <w:t>5.98%</w:t>
      </w:r>
      <w:r>
        <w:rPr>
          <w:color w:val="000000"/>
          <w:sz w:val="24"/>
          <w:szCs w:val="24"/>
        </w:rPr>
        <w:t>和</w:t>
      </w:r>
      <w:r>
        <w:rPr>
          <w:color w:val="000000"/>
          <w:sz w:val="24"/>
          <w:szCs w:val="24"/>
        </w:rPr>
        <w:t>4.99%</w:t>
      </w:r>
      <w:r>
        <w:rPr>
          <w:color w:val="000000"/>
          <w:sz w:val="24"/>
          <w:szCs w:val="24"/>
        </w:rPr>
        <w:t>。</w:t>
      </w:r>
      <w:r>
        <w:rPr>
          <w:color w:val="000000"/>
          <w:sz w:val="24"/>
          <w:szCs w:val="24"/>
        </w:rPr>
        <w:t>5</w:t>
      </w:r>
      <w:r>
        <w:rPr>
          <w:color w:val="000000"/>
          <w:sz w:val="24"/>
          <w:szCs w:val="24"/>
        </w:rPr>
        <w:t>月市场冲高回落。月初在资管新规落地、</w:t>
      </w:r>
      <w:r>
        <w:rPr>
          <w:color w:val="000000"/>
          <w:sz w:val="24"/>
          <w:szCs w:val="24"/>
        </w:rPr>
        <w:t>A</w:t>
      </w:r>
      <w:r>
        <w:rPr>
          <w:color w:val="000000"/>
          <w:sz w:val="24"/>
          <w:szCs w:val="24"/>
        </w:rPr>
        <w:t>股正式启动纳入</w:t>
      </w:r>
      <w:r>
        <w:rPr>
          <w:color w:val="000000"/>
          <w:sz w:val="24"/>
          <w:szCs w:val="24"/>
        </w:rPr>
        <w:t>MSCI</w:t>
      </w:r>
      <w:r>
        <w:rPr>
          <w:color w:val="000000"/>
          <w:sz w:val="24"/>
          <w:szCs w:val="24"/>
        </w:rPr>
        <w:t>以及中美贸易磋商取得进展等多重利好下，</w:t>
      </w:r>
      <w:r>
        <w:rPr>
          <w:color w:val="000000"/>
          <w:sz w:val="24"/>
          <w:szCs w:val="24"/>
        </w:rPr>
        <w:t>A</w:t>
      </w:r>
      <w:r>
        <w:rPr>
          <w:color w:val="000000"/>
          <w:sz w:val="24"/>
          <w:szCs w:val="24"/>
        </w:rPr>
        <w:t>股主要指数震荡上行。随后美国单方面再挑贸易战使得市场悲观情绪加剧，指数开启震荡下行态势。全月白酒、医药等板块存在结构性行情。最终上证综指微涨</w:t>
      </w:r>
      <w:r>
        <w:rPr>
          <w:color w:val="000000"/>
          <w:sz w:val="24"/>
          <w:szCs w:val="24"/>
        </w:rPr>
        <w:t>0.43%</w:t>
      </w:r>
      <w:r>
        <w:rPr>
          <w:color w:val="000000"/>
          <w:sz w:val="24"/>
          <w:szCs w:val="24"/>
        </w:rPr>
        <w:t>，深证成指下跌</w:t>
      </w:r>
      <w:r>
        <w:rPr>
          <w:color w:val="000000"/>
          <w:sz w:val="24"/>
          <w:szCs w:val="24"/>
        </w:rPr>
        <w:t>0.28%</w:t>
      </w:r>
      <w:r>
        <w:rPr>
          <w:color w:val="000000"/>
          <w:sz w:val="24"/>
          <w:szCs w:val="24"/>
        </w:rPr>
        <w:t>，中小板指上涨</w:t>
      </w:r>
      <w:r>
        <w:rPr>
          <w:color w:val="000000"/>
          <w:sz w:val="24"/>
          <w:szCs w:val="24"/>
        </w:rPr>
        <w:t>1.41%</w:t>
      </w:r>
      <w:r>
        <w:rPr>
          <w:color w:val="000000"/>
          <w:sz w:val="24"/>
          <w:szCs w:val="24"/>
        </w:rPr>
        <w:t>，创业板指下挫</w:t>
      </w:r>
      <w:r>
        <w:rPr>
          <w:color w:val="000000"/>
          <w:sz w:val="24"/>
          <w:szCs w:val="24"/>
        </w:rPr>
        <w:t>3.43%</w:t>
      </w:r>
      <w:r>
        <w:rPr>
          <w:color w:val="000000"/>
          <w:sz w:val="24"/>
          <w:szCs w:val="24"/>
        </w:rPr>
        <w:t>。</w:t>
      </w:r>
      <w:r>
        <w:rPr>
          <w:color w:val="000000"/>
          <w:sz w:val="24"/>
          <w:szCs w:val="24"/>
        </w:rPr>
        <w:t>6</w:t>
      </w:r>
      <w:r>
        <w:rPr>
          <w:color w:val="000000"/>
          <w:sz w:val="24"/>
          <w:szCs w:val="24"/>
        </w:rPr>
        <w:t>月延续了</w:t>
      </w:r>
      <w:r>
        <w:rPr>
          <w:color w:val="000000"/>
          <w:sz w:val="24"/>
          <w:szCs w:val="24"/>
        </w:rPr>
        <w:t>5</w:t>
      </w:r>
      <w:r>
        <w:rPr>
          <w:color w:val="000000"/>
          <w:sz w:val="24"/>
          <w:szCs w:val="24"/>
        </w:rPr>
        <w:t>月的悲观情绪，市场加速下跌，沪指一度跌破</w:t>
      </w:r>
      <w:r>
        <w:rPr>
          <w:color w:val="000000"/>
          <w:sz w:val="24"/>
          <w:szCs w:val="24"/>
        </w:rPr>
        <w:t>2800</w:t>
      </w:r>
      <w:r>
        <w:rPr>
          <w:color w:val="000000"/>
          <w:sz w:val="24"/>
          <w:szCs w:val="24"/>
        </w:rPr>
        <w:t>点，创两年以来新低。各行业也全线下跌。上证综指和深证成指单月分别下跌</w:t>
      </w:r>
      <w:r>
        <w:rPr>
          <w:color w:val="000000"/>
          <w:sz w:val="24"/>
          <w:szCs w:val="24"/>
        </w:rPr>
        <w:t>8.01%</w:t>
      </w:r>
      <w:r>
        <w:rPr>
          <w:color w:val="000000"/>
          <w:sz w:val="24"/>
          <w:szCs w:val="24"/>
        </w:rPr>
        <w:t>和</w:t>
      </w:r>
      <w:r>
        <w:rPr>
          <w:color w:val="000000"/>
          <w:sz w:val="24"/>
          <w:szCs w:val="24"/>
        </w:rPr>
        <w:t>8.90%</w:t>
      </w:r>
      <w:r>
        <w:rPr>
          <w:color w:val="000000"/>
          <w:sz w:val="24"/>
          <w:szCs w:val="24"/>
        </w:rPr>
        <w:t>，中小板指和创业板指下跌</w:t>
      </w:r>
      <w:r>
        <w:rPr>
          <w:color w:val="000000"/>
          <w:sz w:val="24"/>
          <w:szCs w:val="24"/>
        </w:rPr>
        <w:t>8.73%</w:t>
      </w:r>
      <w:r>
        <w:rPr>
          <w:color w:val="000000"/>
          <w:sz w:val="24"/>
          <w:szCs w:val="24"/>
        </w:rPr>
        <w:t>和</w:t>
      </w:r>
      <w:r>
        <w:rPr>
          <w:color w:val="000000"/>
          <w:sz w:val="24"/>
          <w:szCs w:val="24"/>
        </w:rPr>
        <w:t>7.86%</w:t>
      </w:r>
      <w:r>
        <w:rPr>
          <w:color w:val="000000"/>
          <w:sz w:val="24"/>
          <w:szCs w:val="24"/>
        </w:rPr>
        <w:t>。</w:t>
      </w:r>
    </w:p>
    <w:p w:rsidR="00E17817" w:rsidRDefault="00A40F17">
      <w:pPr>
        <w:spacing w:before="29" w:line="288" w:lineRule="auto"/>
        <w:ind w:firstLineChars="200" w:firstLine="480"/>
        <w:rPr>
          <w:color w:val="000000"/>
          <w:sz w:val="24"/>
          <w:szCs w:val="24"/>
        </w:rPr>
      </w:pPr>
      <w:r>
        <w:rPr>
          <w:color w:val="000000"/>
          <w:sz w:val="24"/>
          <w:szCs w:val="24"/>
        </w:rPr>
        <w:t>行业方面，二季度在中信证券</w:t>
      </w:r>
      <w:r>
        <w:rPr>
          <w:color w:val="000000"/>
          <w:sz w:val="24"/>
          <w:szCs w:val="24"/>
        </w:rPr>
        <w:t>29</w:t>
      </w:r>
      <w:r>
        <w:rPr>
          <w:color w:val="000000"/>
          <w:sz w:val="24"/>
          <w:szCs w:val="24"/>
        </w:rPr>
        <w:t>个一级行业分类中，仅食品饮料（</w:t>
      </w:r>
      <w:r>
        <w:rPr>
          <w:color w:val="000000"/>
          <w:sz w:val="24"/>
          <w:szCs w:val="24"/>
        </w:rPr>
        <w:t>9.03%</w:t>
      </w:r>
      <w:r>
        <w:rPr>
          <w:color w:val="000000"/>
          <w:sz w:val="24"/>
          <w:szCs w:val="24"/>
        </w:rPr>
        <w:t>）、餐饮旅游（</w:t>
      </w:r>
      <w:r>
        <w:rPr>
          <w:color w:val="000000"/>
          <w:sz w:val="24"/>
          <w:szCs w:val="24"/>
        </w:rPr>
        <w:t>3.15%</w:t>
      </w:r>
      <w:r>
        <w:rPr>
          <w:color w:val="000000"/>
          <w:sz w:val="24"/>
          <w:szCs w:val="24"/>
        </w:rPr>
        <w:t>）录得涨幅，其余行业均下跌，综合（</w:t>
      </w:r>
      <w:r>
        <w:rPr>
          <w:color w:val="000000"/>
          <w:sz w:val="24"/>
          <w:szCs w:val="24"/>
        </w:rPr>
        <w:t>-23.60%</w:t>
      </w:r>
      <w:r>
        <w:rPr>
          <w:color w:val="000000"/>
          <w:sz w:val="24"/>
          <w:szCs w:val="24"/>
        </w:rPr>
        <w:t>）、通信（</w:t>
      </w:r>
      <w:r>
        <w:rPr>
          <w:color w:val="000000"/>
          <w:sz w:val="24"/>
          <w:szCs w:val="24"/>
        </w:rPr>
        <w:t>-22.28%</w:t>
      </w:r>
      <w:r>
        <w:rPr>
          <w:color w:val="000000"/>
          <w:sz w:val="24"/>
          <w:szCs w:val="24"/>
        </w:rPr>
        <w:t>）、电力设备（</w:t>
      </w:r>
      <w:r>
        <w:rPr>
          <w:color w:val="000000"/>
          <w:sz w:val="24"/>
          <w:szCs w:val="24"/>
        </w:rPr>
        <w:t>-21.18%</w:t>
      </w:r>
      <w:r>
        <w:rPr>
          <w:color w:val="000000"/>
          <w:sz w:val="24"/>
          <w:szCs w:val="24"/>
        </w:rPr>
        <w:t>）跌幅居前。</w:t>
      </w:r>
    </w:p>
    <w:p w:rsidR="00E17817" w:rsidRDefault="00A40F17">
      <w:pPr>
        <w:spacing w:before="29" w:line="288" w:lineRule="auto"/>
        <w:ind w:firstLineChars="200" w:firstLine="480"/>
        <w:rPr>
          <w:color w:val="000000"/>
          <w:sz w:val="24"/>
          <w:szCs w:val="24"/>
        </w:rPr>
      </w:pPr>
      <w:r>
        <w:rPr>
          <w:color w:val="000000"/>
          <w:sz w:val="24"/>
          <w:szCs w:val="24"/>
        </w:rPr>
        <w:t>本季度，本基金由于进入清算流程，对股票持仓进行了清仓操作。</w:t>
      </w:r>
    </w:p>
    <w:p w:rsidR="0012438E" w:rsidRDefault="0012438E" w:rsidP="00A40F17">
      <w:pPr>
        <w:spacing w:before="29" w:line="288" w:lineRule="auto"/>
        <w:rPr>
          <w:color w:val="000000"/>
          <w:sz w:val="24"/>
          <w:szCs w:val="24"/>
        </w:rPr>
      </w:pPr>
    </w:p>
    <w:p w:rsidR="0012438E" w:rsidRDefault="00F03621">
      <w:pPr>
        <w:spacing w:before="29" w:line="288" w:lineRule="auto"/>
        <w:rPr>
          <w:sz w:val="24"/>
          <w:szCs w:val="24"/>
        </w:rPr>
      </w:pPr>
      <w:r>
        <w:rPr>
          <w:b/>
          <w:color w:val="000000"/>
          <w:kern w:val="0"/>
          <w:sz w:val="24"/>
        </w:rPr>
        <w:t>4.5</w:t>
      </w:r>
      <w:r>
        <w:rPr>
          <w:b/>
          <w:color w:val="000000"/>
          <w:kern w:val="0"/>
          <w:sz w:val="24"/>
        </w:rPr>
        <w:t>报告期内基金的业绩表现</w:t>
      </w:r>
    </w:p>
    <w:p w:rsidR="0012438E" w:rsidRDefault="00F03621">
      <w:pPr>
        <w:spacing w:before="29" w:line="288" w:lineRule="auto"/>
        <w:ind w:firstLineChars="200" w:firstLine="480"/>
        <w:rPr>
          <w:color w:val="000000"/>
          <w:sz w:val="24"/>
          <w:szCs w:val="24"/>
        </w:rPr>
      </w:pPr>
      <w:r>
        <w:rPr>
          <w:color w:val="000000"/>
          <w:sz w:val="24"/>
          <w:szCs w:val="24"/>
        </w:rPr>
        <w:t>报告期内，海富通东财大数据净值增长率为</w:t>
      </w:r>
      <w:r>
        <w:rPr>
          <w:color w:val="000000"/>
          <w:sz w:val="24"/>
          <w:szCs w:val="24"/>
        </w:rPr>
        <w:t>-1.98%</w:t>
      </w:r>
      <w:r>
        <w:rPr>
          <w:color w:val="000000"/>
          <w:sz w:val="24"/>
          <w:szCs w:val="24"/>
        </w:rPr>
        <w:t>，同期业绩比较基准收益率为</w:t>
      </w:r>
      <w:r>
        <w:rPr>
          <w:color w:val="000000"/>
          <w:sz w:val="24"/>
          <w:szCs w:val="24"/>
        </w:rPr>
        <w:t>0.26%</w:t>
      </w:r>
      <w:r>
        <w:rPr>
          <w:color w:val="000000"/>
          <w:sz w:val="24"/>
          <w:szCs w:val="24"/>
        </w:rPr>
        <w:t>，基金净值跑输业绩比较基准</w:t>
      </w:r>
      <w:r>
        <w:rPr>
          <w:color w:val="000000"/>
          <w:sz w:val="24"/>
          <w:szCs w:val="24"/>
        </w:rPr>
        <w:t>2.24</w:t>
      </w:r>
      <w:r>
        <w:rPr>
          <w:color w:val="000000"/>
          <w:sz w:val="24"/>
          <w:szCs w:val="24"/>
        </w:rPr>
        <w:t>个百分点。本季度股票市场波动较大，导致基金跑输基准。</w:t>
      </w:r>
    </w:p>
    <w:p w:rsidR="0012438E" w:rsidRDefault="0012438E">
      <w:pPr>
        <w:spacing w:before="29" w:line="288" w:lineRule="auto"/>
        <w:ind w:firstLineChars="200" w:firstLine="480"/>
        <w:rPr>
          <w:color w:val="000000"/>
          <w:sz w:val="24"/>
          <w:szCs w:val="24"/>
        </w:rPr>
      </w:pPr>
    </w:p>
    <w:p w:rsidR="0012438E" w:rsidRDefault="00F03621">
      <w:pPr>
        <w:autoSpaceDE w:val="0"/>
        <w:autoSpaceDN w:val="0"/>
        <w:adjustRightInd w:val="0"/>
        <w:spacing w:before="29" w:line="288" w:lineRule="auto"/>
        <w:jc w:val="left"/>
        <w:rPr>
          <w:b/>
          <w:bCs/>
          <w:color w:val="000000"/>
          <w:kern w:val="0"/>
          <w:sz w:val="24"/>
          <w:szCs w:val="24"/>
        </w:rPr>
      </w:pPr>
      <w:bookmarkStart w:id="0" w:name="_Toc245193825"/>
      <w:bookmarkStart w:id="1" w:name="_Toc255486598"/>
      <w:r>
        <w:rPr>
          <w:rFonts w:asciiTheme="minorEastAsia" w:eastAsiaTheme="minorEastAsia" w:hAnsiTheme="minorEastAsia"/>
          <w:b/>
          <w:color w:val="000000"/>
          <w:kern w:val="0"/>
          <w:sz w:val="24"/>
          <w:szCs w:val="24"/>
        </w:rPr>
        <w:t>4</w:t>
      </w:r>
      <w:r>
        <w:rPr>
          <w:rFonts w:asciiTheme="minorEastAsia" w:eastAsiaTheme="minorEastAsia" w:hAnsiTheme="minorEastAsia" w:hint="eastAsia"/>
          <w:b/>
          <w:color w:val="000000"/>
          <w:kern w:val="0"/>
          <w:sz w:val="24"/>
          <w:szCs w:val="24"/>
        </w:rPr>
        <w:t>.6</w:t>
      </w:r>
      <w:r>
        <w:rPr>
          <w:b/>
          <w:bCs/>
          <w:color w:val="000000"/>
          <w:kern w:val="0"/>
          <w:sz w:val="24"/>
          <w:szCs w:val="24"/>
        </w:rPr>
        <w:t>管理人对宏观经济、证券市场及行业走势的简要展望</w:t>
      </w:r>
      <w:bookmarkEnd w:id="0"/>
      <w:bookmarkEnd w:id="1"/>
    </w:p>
    <w:p w:rsidR="00E17817" w:rsidRDefault="00A40F17">
      <w:pPr>
        <w:tabs>
          <w:tab w:val="left" w:pos="3765"/>
        </w:tabs>
        <w:spacing w:before="29" w:line="288" w:lineRule="auto"/>
        <w:ind w:firstLine="420"/>
        <w:rPr>
          <w:color w:val="000000"/>
          <w:sz w:val="24"/>
          <w:szCs w:val="24"/>
        </w:rPr>
      </w:pPr>
      <w:r>
        <w:rPr>
          <w:color w:val="000000"/>
          <w:sz w:val="24"/>
          <w:szCs w:val="24"/>
        </w:rPr>
        <w:t>展望</w:t>
      </w:r>
      <w:r>
        <w:rPr>
          <w:color w:val="000000"/>
          <w:sz w:val="24"/>
          <w:szCs w:val="24"/>
        </w:rPr>
        <w:t>2018</w:t>
      </w:r>
      <w:r>
        <w:rPr>
          <w:color w:val="000000"/>
          <w:sz w:val="24"/>
          <w:szCs w:val="24"/>
        </w:rPr>
        <w:t>年三季度，中国经济将面临内外部两个方向的考验。内部考验主要来自于去杠杆政策延续对于实体部门信用收缩的压力，而外部考验主要来自于中美贸易争端的影响，以及美联储持续加息对于外汇部门和国内金融资产估值的压力。同时，国内政策如何调整和应对，尚需等待</w:t>
      </w:r>
      <w:r>
        <w:rPr>
          <w:color w:val="000000"/>
          <w:sz w:val="24"/>
          <w:szCs w:val="24"/>
        </w:rPr>
        <w:t>7</w:t>
      </w:r>
      <w:r>
        <w:rPr>
          <w:color w:val="000000"/>
          <w:sz w:val="24"/>
          <w:szCs w:val="24"/>
        </w:rPr>
        <w:t>月份中央政治局会议对下半年经济工作的具体定调和部署。</w:t>
      </w:r>
    </w:p>
    <w:p w:rsidR="00E17817" w:rsidRDefault="00A40F17">
      <w:pPr>
        <w:tabs>
          <w:tab w:val="left" w:pos="3765"/>
        </w:tabs>
        <w:spacing w:before="29" w:line="288" w:lineRule="auto"/>
        <w:ind w:firstLine="420"/>
        <w:rPr>
          <w:color w:val="000000"/>
          <w:sz w:val="24"/>
          <w:szCs w:val="24"/>
        </w:rPr>
      </w:pPr>
      <w:r>
        <w:rPr>
          <w:color w:val="000000"/>
          <w:sz w:val="24"/>
          <w:szCs w:val="24"/>
        </w:rPr>
        <w:t>回到我们关注的</w:t>
      </w:r>
      <w:r>
        <w:rPr>
          <w:color w:val="000000"/>
          <w:sz w:val="24"/>
          <w:szCs w:val="24"/>
        </w:rPr>
        <w:t>A</w:t>
      </w:r>
      <w:r>
        <w:rPr>
          <w:color w:val="000000"/>
          <w:sz w:val="24"/>
          <w:szCs w:val="24"/>
        </w:rPr>
        <w:t>股市场，大概率会在企业盈利增速的正面支撑与宏观各方面负面冲击的估值调整之间来回拉锯。宏观经济各方面的不确定性带来了股市风险偏好的迅速回落，但从乐观的角度看，本轮供给侧改革政策既有加法也有减法，宏观经济并未过热，也没有形成新一轮的产能</w:t>
      </w:r>
      <w:r>
        <w:rPr>
          <w:color w:val="000000"/>
          <w:sz w:val="24"/>
          <w:szCs w:val="24"/>
        </w:rPr>
        <w:t>“</w:t>
      </w:r>
      <w:r>
        <w:rPr>
          <w:color w:val="000000"/>
          <w:sz w:val="24"/>
          <w:szCs w:val="24"/>
        </w:rPr>
        <w:t>过剩</w:t>
      </w:r>
      <w:r>
        <w:rPr>
          <w:color w:val="000000"/>
          <w:sz w:val="24"/>
          <w:szCs w:val="24"/>
        </w:rPr>
        <w:t>”</w:t>
      </w:r>
      <w:r>
        <w:rPr>
          <w:color w:val="000000"/>
          <w:sz w:val="24"/>
          <w:szCs w:val="24"/>
        </w:rPr>
        <w:t>，反映在行业中观层面表现为多数行业的竞争格局有所优化，同时</w:t>
      </w:r>
      <w:r>
        <w:rPr>
          <w:color w:val="000000"/>
          <w:sz w:val="24"/>
          <w:szCs w:val="24"/>
        </w:rPr>
        <w:t>“</w:t>
      </w:r>
      <w:r>
        <w:rPr>
          <w:color w:val="000000"/>
          <w:sz w:val="24"/>
          <w:szCs w:val="24"/>
        </w:rPr>
        <w:t>去杠杆</w:t>
      </w:r>
      <w:r>
        <w:rPr>
          <w:color w:val="000000"/>
          <w:sz w:val="24"/>
          <w:szCs w:val="24"/>
        </w:rPr>
        <w:t>”</w:t>
      </w:r>
      <w:r>
        <w:rPr>
          <w:color w:val="000000"/>
          <w:sz w:val="24"/>
          <w:szCs w:val="24"/>
        </w:rPr>
        <w:t>政策在长期将能够带来中国经济的长期稳健发展和信用风险溢价的逐步回落。</w:t>
      </w:r>
    </w:p>
    <w:p w:rsidR="00E17817" w:rsidRDefault="00A40F17">
      <w:pPr>
        <w:tabs>
          <w:tab w:val="left" w:pos="3765"/>
        </w:tabs>
        <w:spacing w:before="29" w:line="288" w:lineRule="auto"/>
        <w:ind w:firstLine="420"/>
        <w:rPr>
          <w:color w:val="000000"/>
          <w:sz w:val="24"/>
          <w:szCs w:val="24"/>
        </w:rPr>
      </w:pPr>
      <w:r>
        <w:rPr>
          <w:color w:val="000000"/>
          <w:sz w:val="24"/>
          <w:szCs w:val="24"/>
        </w:rPr>
        <w:t>从市场结构方面来看，龙头企业在各自行业内竞争力强化、强者恒强的格局将延续，长期看这些龙头企业将构筑成中国经济的</w:t>
      </w:r>
      <w:r>
        <w:rPr>
          <w:color w:val="000000"/>
          <w:sz w:val="24"/>
          <w:szCs w:val="24"/>
        </w:rPr>
        <w:t>“</w:t>
      </w:r>
      <w:r>
        <w:rPr>
          <w:color w:val="000000"/>
          <w:sz w:val="24"/>
          <w:szCs w:val="24"/>
        </w:rPr>
        <w:t>核心资产</w:t>
      </w:r>
      <w:r>
        <w:rPr>
          <w:color w:val="000000"/>
          <w:sz w:val="24"/>
          <w:szCs w:val="24"/>
        </w:rPr>
        <w:t>”</w:t>
      </w:r>
      <w:r>
        <w:rPr>
          <w:color w:val="000000"/>
          <w:sz w:val="24"/>
          <w:szCs w:val="24"/>
        </w:rPr>
        <w:t>；同时，以创业板为代表的新兴成长行业经历了几年持续调整压力，部分细分行业的景气开始具备相对比较优势，如果中报业绩增速能够得到验证，并且下半年的业绩趋势仍可持续，那么有可能成为市场新的优势板块。</w:t>
      </w:r>
    </w:p>
    <w:p w:rsidR="0012438E" w:rsidRDefault="0012438E">
      <w:pPr>
        <w:tabs>
          <w:tab w:val="left" w:pos="3765"/>
        </w:tabs>
        <w:spacing w:before="29" w:line="288" w:lineRule="auto"/>
        <w:ind w:firstLine="420"/>
        <w:rPr>
          <w:color w:val="000000"/>
          <w:sz w:val="24"/>
          <w:szCs w:val="24"/>
        </w:rPr>
      </w:pPr>
    </w:p>
    <w:p w:rsidR="0012438E" w:rsidRDefault="00F03621">
      <w:pPr>
        <w:autoSpaceDE w:val="0"/>
        <w:autoSpaceDN w:val="0"/>
        <w:adjustRightInd w:val="0"/>
        <w:spacing w:before="29" w:line="288" w:lineRule="auto"/>
        <w:jc w:val="left"/>
        <w:rPr>
          <w:rFonts w:asciiTheme="minorEastAsia" w:eastAsiaTheme="minorEastAsia" w:hAnsiTheme="minorEastAsia"/>
          <w:color w:val="000000"/>
          <w:sz w:val="24"/>
          <w:szCs w:val="24"/>
        </w:rPr>
      </w:pPr>
      <w:r>
        <w:rPr>
          <w:b/>
          <w:bCs/>
          <w:color w:val="000000"/>
          <w:kern w:val="0"/>
          <w:sz w:val="24"/>
          <w:szCs w:val="24"/>
        </w:rPr>
        <w:t>4</w:t>
      </w:r>
      <w:r>
        <w:rPr>
          <w:rFonts w:hint="eastAsia"/>
          <w:b/>
          <w:bCs/>
          <w:color w:val="000000"/>
          <w:kern w:val="0"/>
          <w:sz w:val="24"/>
          <w:szCs w:val="24"/>
        </w:rPr>
        <w:t>.7</w:t>
      </w:r>
      <w:r>
        <w:rPr>
          <w:rFonts w:hint="eastAsia"/>
          <w:b/>
          <w:bCs/>
          <w:color w:val="000000"/>
          <w:kern w:val="0"/>
          <w:sz w:val="24"/>
          <w:szCs w:val="24"/>
        </w:rPr>
        <w:t>报告期内基金持有人数或基金资产净值预警说明</w:t>
      </w:r>
    </w:p>
    <w:p w:rsidR="0012438E" w:rsidRDefault="00F03621">
      <w:pPr>
        <w:tabs>
          <w:tab w:val="left" w:pos="3765"/>
        </w:tabs>
        <w:spacing w:before="29" w:line="288" w:lineRule="auto"/>
        <w:ind w:firstLine="420"/>
        <w:rPr>
          <w:color w:val="000000"/>
          <w:sz w:val="24"/>
          <w:szCs w:val="24"/>
        </w:rPr>
      </w:pPr>
      <w:r>
        <w:rPr>
          <w:color w:val="000000"/>
          <w:sz w:val="24"/>
          <w:szCs w:val="24"/>
        </w:rPr>
        <w:t>本报告期内，本基金自</w:t>
      </w:r>
      <w:r>
        <w:rPr>
          <w:color w:val="000000"/>
          <w:sz w:val="24"/>
          <w:szCs w:val="24"/>
        </w:rPr>
        <w:t>2018</w:t>
      </w:r>
      <w:r>
        <w:rPr>
          <w:color w:val="000000"/>
          <w:sz w:val="24"/>
          <w:szCs w:val="24"/>
        </w:rPr>
        <w:t>年</w:t>
      </w:r>
      <w:r>
        <w:rPr>
          <w:color w:val="000000"/>
          <w:sz w:val="24"/>
          <w:szCs w:val="24"/>
        </w:rPr>
        <w:t>1</w:t>
      </w:r>
      <w:r>
        <w:rPr>
          <w:color w:val="000000"/>
          <w:sz w:val="24"/>
          <w:szCs w:val="24"/>
        </w:rPr>
        <w:t>月</w:t>
      </w:r>
      <w:r>
        <w:rPr>
          <w:color w:val="000000"/>
          <w:sz w:val="24"/>
          <w:szCs w:val="24"/>
        </w:rPr>
        <w:t>25</w:t>
      </w:r>
      <w:r>
        <w:rPr>
          <w:color w:val="000000"/>
          <w:sz w:val="24"/>
          <w:szCs w:val="24"/>
        </w:rPr>
        <w:t>日至</w:t>
      </w:r>
      <w:r>
        <w:rPr>
          <w:color w:val="000000"/>
          <w:sz w:val="24"/>
          <w:szCs w:val="24"/>
        </w:rPr>
        <w:t>2018</w:t>
      </w:r>
      <w:r>
        <w:rPr>
          <w:color w:val="000000"/>
          <w:sz w:val="24"/>
          <w:szCs w:val="24"/>
        </w:rPr>
        <w:t>年</w:t>
      </w:r>
      <w:r>
        <w:rPr>
          <w:color w:val="000000"/>
          <w:sz w:val="24"/>
          <w:szCs w:val="24"/>
        </w:rPr>
        <w:t>5</w:t>
      </w:r>
      <w:r>
        <w:rPr>
          <w:color w:val="000000"/>
          <w:sz w:val="24"/>
          <w:szCs w:val="24"/>
        </w:rPr>
        <w:t>月</w:t>
      </w:r>
      <w:r>
        <w:rPr>
          <w:color w:val="000000"/>
          <w:sz w:val="24"/>
          <w:szCs w:val="24"/>
        </w:rPr>
        <w:t>10</w:t>
      </w:r>
      <w:r>
        <w:rPr>
          <w:color w:val="000000"/>
          <w:sz w:val="24"/>
          <w:szCs w:val="24"/>
        </w:rPr>
        <w:t>日，已连续超过六十个工作日出现基金资产净值低于五千万元的情形。基金管理人根据基金合同规定采用清盘的方式解决，并于</w:t>
      </w:r>
      <w:r>
        <w:rPr>
          <w:color w:val="000000"/>
          <w:sz w:val="24"/>
          <w:szCs w:val="24"/>
        </w:rPr>
        <w:t>2018</w:t>
      </w:r>
      <w:r>
        <w:rPr>
          <w:color w:val="000000"/>
          <w:sz w:val="24"/>
          <w:szCs w:val="24"/>
        </w:rPr>
        <w:t>年</w:t>
      </w:r>
      <w:r>
        <w:rPr>
          <w:color w:val="000000"/>
          <w:sz w:val="24"/>
          <w:szCs w:val="24"/>
        </w:rPr>
        <w:t>5</w:t>
      </w:r>
      <w:r>
        <w:rPr>
          <w:color w:val="000000"/>
          <w:sz w:val="24"/>
          <w:szCs w:val="24"/>
        </w:rPr>
        <w:t>月</w:t>
      </w:r>
      <w:r>
        <w:rPr>
          <w:color w:val="000000"/>
          <w:sz w:val="24"/>
          <w:szCs w:val="24"/>
        </w:rPr>
        <w:t>2</w:t>
      </w:r>
      <w:r>
        <w:rPr>
          <w:color w:val="000000"/>
          <w:sz w:val="24"/>
          <w:szCs w:val="24"/>
        </w:rPr>
        <w:t>日发布《关于海富通东财大数据灵活配置混合型证券投资基金基金合同终止及基金财产清算的公告》，本基金的最后运作日定为</w:t>
      </w:r>
      <w:r>
        <w:rPr>
          <w:color w:val="000000"/>
          <w:sz w:val="24"/>
          <w:szCs w:val="24"/>
        </w:rPr>
        <w:t>2018</w:t>
      </w:r>
      <w:r>
        <w:rPr>
          <w:color w:val="000000"/>
          <w:sz w:val="24"/>
          <w:szCs w:val="24"/>
        </w:rPr>
        <w:t>年</w:t>
      </w:r>
      <w:r>
        <w:rPr>
          <w:color w:val="000000"/>
          <w:sz w:val="24"/>
          <w:szCs w:val="24"/>
        </w:rPr>
        <w:t>5</w:t>
      </w:r>
      <w:r>
        <w:rPr>
          <w:color w:val="000000"/>
          <w:sz w:val="24"/>
          <w:szCs w:val="24"/>
        </w:rPr>
        <w:t>月</w:t>
      </w:r>
      <w:r>
        <w:rPr>
          <w:color w:val="000000"/>
          <w:sz w:val="24"/>
          <w:szCs w:val="24"/>
        </w:rPr>
        <w:t>10</w:t>
      </w:r>
      <w:r>
        <w:rPr>
          <w:color w:val="000000"/>
          <w:sz w:val="24"/>
          <w:szCs w:val="24"/>
        </w:rPr>
        <w:t>日，并于</w:t>
      </w:r>
      <w:r>
        <w:rPr>
          <w:color w:val="000000"/>
          <w:sz w:val="24"/>
          <w:szCs w:val="24"/>
        </w:rPr>
        <w:t>2018</w:t>
      </w:r>
      <w:r>
        <w:rPr>
          <w:color w:val="000000"/>
          <w:sz w:val="24"/>
          <w:szCs w:val="24"/>
        </w:rPr>
        <w:t>年</w:t>
      </w:r>
      <w:r>
        <w:rPr>
          <w:color w:val="000000"/>
          <w:sz w:val="24"/>
          <w:szCs w:val="24"/>
        </w:rPr>
        <w:t>5</w:t>
      </w:r>
      <w:r>
        <w:rPr>
          <w:color w:val="000000"/>
          <w:sz w:val="24"/>
          <w:szCs w:val="24"/>
        </w:rPr>
        <w:t>月</w:t>
      </w:r>
      <w:r>
        <w:rPr>
          <w:color w:val="000000"/>
          <w:sz w:val="24"/>
          <w:szCs w:val="24"/>
        </w:rPr>
        <w:t>11</w:t>
      </w:r>
      <w:r>
        <w:rPr>
          <w:color w:val="000000"/>
          <w:sz w:val="24"/>
          <w:szCs w:val="24"/>
        </w:rPr>
        <w:t>日进入清盘程序。</w:t>
      </w:r>
    </w:p>
    <w:p w:rsidR="0012438E" w:rsidRDefault="0012438E">
      <w:pPr>
        <w:tabs>
          <w:tab w:val="left" w:pos="3765"/>
        </w:tabs>
        <w:spacing w:before="29" w:line="288" w:lineRule="auto"/>
        <w:ind w:firstLine="420"/>
        <w:rPr>
          <w:color w:val="000000"/>
          <w:sz w:val="24"/>
          <w:szCs w:val="24"/>
        </w:rPr>
      </w:pPr>
    </w:p>
    <w:p w:rsidR="0012438E" w:rsidRDefault="00F03621" w:rsidP="00BA3DC2">
      <w:pPr>
        <w:pStyle w:val="1"/>
        <w:spacing w:beforeLines="100" w:afterLines="100" w:line="288" w:lineRule="auto"/>
        <w:jc w:val="center"/>
        <w:rPr>
          <w:color w:val="000000"/>
          <w:kern w:val="0"/>
          <w:sz w:val="24"/>
          <w:szCs w:val="24"/>
        </w:rPr>
      </w:pPr>
      <w:r>
        <w:rPr>
          <w:color w:val="000000"/>
          <w:kern w:val="0"/>
          <w:sz w:val="24"/>
          <w:szCs w:val="24"/>
        </w:rPr>
        <w:t>§5</w:t>
      </w:r>
      <w:r>
        <w:rPr>
          <w:color w:val="000000"/>
          <w:kern w:val="0"/>
          <w:sz w:val="24"/>
          <w:szCs w:val="24"/>
        </w:rPr>
        <w:t>投资组合报告</w:t>
      </w: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 </w:t>
      </w:r>
      <w:r>
        <w:rPr>
          <w:b/>
          <w:bCs/>
          <w:color w:val="000000"/>
          <w:kern w:val="0"/>
          <w:sz w:val="24"/>
          <w:szCs w:val="24"/>
        </w:rPr>
        <w:t>报告期末基金资产组合情况</w:t>
      </w:r>
    </w:p>
    <w:tbl>
      <w:tblPr>
        <w:tblStyle w:val="af8"/>
        <w:tblW w:w="8868" w:type="dxa"/>
        <w:jc w:val="center"/>
        <w:tblLayout w:type="fixed"/>
        <w:tblLook w:val="04A0"/>
      </w:tblPr>
      <w:tblGrid>
        <w:gridCol w:w="718"/>
        <w:gridCol w:w="3346"/>
        <w:gridCol w:w="2967"/>
        <w:gridCol w:w="1837"/>
      </w:tblGrid>
      <w:tr w:rsidR="0012438E">
        <w:trPr>
          <w:jc w:val="center"/>
        </w:trPr>
        <w:tc>
          <w:tcPr>
            <w:tcW w:w="718"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序号</w:t>
            </w:r>
          </w:p>
        </w:tc>
        <w:tc>
          <w:tcPr>
            <w:tcW w:w="3346"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项目</w:t>
            </w:r>
          </w:p>
        </w:tc>
        <w:tc>
          <w:tcPr>
            <w:tcW w:w="2967"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金额</w:t>
            </w:r>
            <w:r>
              <w:rPr>
                <w:color w:val="000000"/>
                <w:kern w:val="0"/>
                <w:sz w:val="24"/>
              </w:rPr>
              <w:t>（元）</w:t>
            </w:r>
          </w:p>
        </w:tc>
        <w:tc>
          <w:tcPr>
            <w:tcW w:w="1837"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占基金总资产的比例</w:t>
            </w:r>
            <w:r>
              <w:rPr>
                <w:color w:val="000000"/>
                <w:kern w:val="0"/>
                <w:sz w:val="24"/>
              </w:rPr>
              <w:t>（％）</w:t>
            </w:r>
          </w:p>
        </w:tc>
      </w:tr>
      <w:tr w:rsidR="0012438E">
        <w:trPr>
          <w:jc w:val="center"/>
        </w:trPr>
        <w:tc>
          <w:tcPr>
            <w:tcW w:w="718"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1</w:t>
            </w:r>
          </w:p>
        </w:tc>
        <w:tc>
          <w:tcPr>
            <w:tcW w:w="3346" w:type="dxa"/>
            <w:vAlign w:val="center"/>
          </w:tcPr>
          <w:p w:rsidR="0012438E" w:rsidRDefault="00F03621">
            <w:pPr>
              <w:spacing w:before="29" w:line="288" w:lineRule="auto"/>
              <w:ind w:left="17"/>
              <w:jc w:val="left"/>
              <w:rPr>
                <w:kern w:val="0"/>
                <w:sz w:val="24"/>
                <w:szCs w:val="24"/>
              </w:rPr>
            </w:pPr>
            <w:r>
              <w:rPr>
                <w:color w:val="000000"/>
                <w:kern w:val="0"/>
                <w:sz w:val="24"/>
                <w:szCs w:val="24"/>
              </w:rPr>
              <w:t>权益投资</w:t>
            </w:r>
          </w:p>
        </w:tc>
        <w:tc>
          <w:tcPr>
            <w:tcW w:w="296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1,185,200.00</w:t>
            </w:r>
          </w:p>
        </w:tc>
        <w:tc>
          <w:tcPr>
            <w:tcW w:w="183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18.56</w:t>
            </w:r>
          </w:p>
        </w:tc>
      </w:tr>
      <w:tr w:rsidR="0012438E">
        <w:trPr>
          <w:jc w:val="center"/>
        </w:trPr>
        <w:tc>
          <w:tcPr>
            <w:tcW w:w="718" w:type="dxa"/>
            <w:vAlign w:val="center"/>
          </w:tcPr>
          <w:p w:rsidR="0012438E" w:rsidRDefault="0012438E">
            <w:pPr>
              <w:spacing w:before="29" w:line="288" w:lineRule="auto"/>
              <w:ind w:left="17"/>
              <w:jc w:val="center"/>
              <w:rPr>
                <w:color w:val="000000"/>
                <w:kern w:val="0"/>
                <w:sz w:val="24"/>
                <w:szCs w:val="24"/>
              </w:rPr>
            </w:pPr>
          </w:p>
        </w:tc>
        <w:tc>
          <w:tcPr>
            <w:tcW w:w="3346" w:type="dxa"/>
            <w:vAlign w:val="center"/>
          </w:tcPr>
          <w:p w:rsidR="0012438E" w:rsidRDefault="00F03621">
            <w:pPr>
              <w:spacing w:before="29" w:line="288" w:lineRule="auto"/>
              <w:ind w:left="17"/>
              <w:jc w:val="left"/>
              <w:rPr>
                <w:kern w:val="0"/>
                <w:sz w:val="24"/>
                <w:szCs w:val="24"/>
              </w:rPr>
            </w:pPr>
            <w:r>
              <w:rPr>
                <w:color w:val="000000"/>
                <w:kern w:val="0"/>
                <w:sz w:val="24"/>
                <w:szCs w:val="24"/>
              </w:rPr>
              <w:t>其中：股票</w:t>
            </w:r>
          </w:p>
        </w:tc>
        <w:tc>
          <w:tcPr>
            <w:tcW w:w="296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1,185,200.00</w:t>
            </w:r>
          </w:p>
        </w:tc>
        <w:tc>
          <w:tcPr>
            <w:tcW w:w="183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18.56</w:t>
            </w:r>
          </w:p>
        </w:tc>
      </w:tr>
      <w:tr w:rsidR="0012438E">
        <w:trPr>
          <w:jc w:val="center"/>
        </w:trPr>
        <w:tc>
          <w:tcPr>
            <w:tcW w:w="718"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2</w:t>
            </w:r>
          </w:p>
        </w:tc>
        <w:tc>
          <w:tcPr>
            <w:tcW w:w="3346" w:type="dxa"/>
            <w:vAlign w:val="center"/>
          </w:tcPr>
          <w:p w:rsidR="0012438E" w:rsidRDefault="00F03621">
            <w:pPr>
              <w:spacing w:before="29" w:line="288" w:lineRule="auto"/>
              <w:ind w:left="17"/>
              <w:jc w:val="left"/>
              <w:rPr>
                <w:kern w:val="0"/>
                <w:sz w:val="24"/>
                <w:szCs w:val="24"/>
              </w:rPr>
            </w:pPr>
            <w:r>
              <w:rPr>
                <w:color w:val="000000"/>
                <w:kern w:val="0"/>
                <w:sz w:val="24"/>
                <w:szCs w:val="24"/>
              </w:rPr>
              <w:t>固定收益投资</w:t>
            </w:r>
          </w:p>
        </w:tc>
        <w:tc>
          <w:tcPr>
            <w:tcW w:w="296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w:t>
            </w:r>
          </w:p>
        </w:tc>
      </w:tr>
      <w:tr w:rsidR="0012438E">
        <w:trPr>
          <w:jc w:val="center"/>
        </w:trPr>
        <w:tc>
          <w:tcPr>
            <w:tcW w:w="718" w:type="dxa"/>
            <w:vAlign w:val="center"/>
          </w:tcPr>
          <w:p w:rsidR="0012438E" w:rsidRDefault="0012438E">
            <w:pPr>
              <w:spacing w:before="29" w:line="288" w:lineRule="auto"/>
              <w:ind w:left="17"/>
              <w:jc w:val="center"/>
              <w:rPr>
                <w:color w:val="000000"/>
                <w:kern w:val="0"/>
                <w:sz w:val="24"/>
                <w:szCs w:val="24"/>
              </w:rPr>
            </w:pPr>
          </w:p>
        </w:tc>
        <w:tc>
          <w:tcPr>
            <w:tcW w:w="3346" w:type="dxa"/>
            <w:vAlign w:val="center"/>
          </w:tcPr>
          <w:p w:rsidR="0012438E" w:rsidRDefault="00F03621">
            <w:pPr>
              <w:spacing w:before="29" w:line="288" w:lineRule="auto"/>
              <w:ind w:left="17"/>
              <w:jc w:val="left"/>
              <w:rPr>
                <w:kern w:val="0"/>
                <w:sz w:val="24"/>
                <w:szCs w:val="24"/>
              </w:rPr>
            </w:pPr>
            <w:r>
              <w:rPr>
                <w:color w:val="000000"/>
                <w:kern w:val="0"/>
                <w:sz w:val="24"/>
                <w:szCs w:val="24"/>
              </w:rPr>
              <w:t>其中：债券</w:t>
            </w:r>
          </w:p>
        </w:tc>
        <w:tc>
          <w:tcPr>
            <w:tcW w:w="296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w:t>
            </w:r>
          </w:p>
        </w:tc>
      </w:tr>
      <w:tr w:rsidR="0012438E">
        <w:trPr>
          <w:jc w:val="center"/>
        </w:trPr>
        <w:tc>
          <w:tcPr>
            <w:tcW w:w="718" w:type="dxa"/>
            <w:vAlign w:val="center"/>
          </w:tcPr>
          <w:p w:rsidR="0012438E" w:rsidRDefault="0012438E">
            <w:pPr>
              <w:spacing w:before="29" w:line="288" w:lineRule="auto"/>
              <w:ind w:left="17"/>
              <w:jc w:val="center"/>
              <w:rPr>
                <w:color w:val="000000"/>
                <w:kern w:val="0"/>
                <w:sz w:val="24"/>
                <w:szCs w:val="24"/>
              </w:rPr>
            </w:pPr>
          </w:p>
        </w:tc>
        <w:tc>
          <w:tcPr>
            <w:tcW w:w="3346" w:type="dxa"/>
            <w:vAlign w:val="center"/>
          </w:tcPr>
          <w:p w:rsidR="0012438E" w:rsidRDefault="00F03621">
            <w:pPr>
              <w:autoSpaceDE w:val="0"/>
              <w:autoSpaceDN w:val="0"/>
              <w:adjustRightInd w:val="0"/>
              <w:spacing w:before="29" w:line="288" w:lineRule="auto"/>
              <w:ind w:leftChars="8" w:left="17" w:firstLineChars="300" w:firstLine="720"/>
              <w:jc w:val="left"/>
              <w:rPr>
                <w:color w:val="000000"/>
                <w:kern w:val="0"/>
                <w:sz w:val="24"/>
                <w:szCs w:val="24"/>
              </w:rPr>
            </w:pPr>
            <w:r>
              <w:rPr>
                <w:color w:val="000000"/>
                <w:kern w:val="0"/>
                <w:sz w:val="24"/>
                <w:szCs w:val="24"/>
              </w:rPr>
              <w:t>资产支持证券</w:t>
            </w:r>
          </w:p>
        </w:tc>
        <w:tc>
          <w:tcPr>
            <w:tcW w:w="296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w:t>
            </w:r>
          </w:p>
        </w:tc>
      </w:tr>
      <w:tr w:rsidR="0012438E">
        <w:trPr>
          <w:jc w:val="center"/>
        </w:trPr>
        <w:tc>
          <w:tcPr>
            <w:tcW w:w="718"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3</w:t>
            </w:r>
          </w:p>
        </w:tc>
        <w:tc>
          <w:tcPr>
            <w:tcW w:w="3346" w:type="dxa"/>
            <w:vAlign w:val="center"/>
          </w:tcPr>
          <w:p w:rsidR="0012438E" w:rsidRDefault="00F03621">
            <w:pPr>
              <w:spacing w:before="29" w:line="288" w:lineRule="auto"/>
              <w:ind w:left="17"/>
              <w:jc w:val="left"/>
              <w:rPr>
                <w:color w:val="000000"/>
                <w:kern w:val="0"/>
                <w:sz w:val="24"/>
                <w:szCs w:val="24"/>
              </w:rPr>
            </w:pPr>
            <w:r>
              <w:rPr>
                <w:rFonts w:hAnsi="宋体"/>
                <w:color w:val="000000"/>
                <w:kern w:val="0"/>
                <w:sz w:val="24"/>
                <w:szCs w:val="24"/>
              </w:rPr>
              <w:t>贵金属投资</w:t>
            </w:r>
          </w:p>
        </w:tc>
        <w:tc>
          <w:tcPr>
            <w:tcW w:w="2967" w:type="dxa"/>
            <w:vAlign w:val="center"/>
          </w:tcPr>
          <w:p w:rsidR="0012438E" w:rsidRDefault="00F03621">
            <w:pPr>
              <w:spacing w:before="29" w:line="288" w:lineRule="auto"/>
              <w:ind w:left="17"/>
              <w:jc w:val="right"/>
              <w:rPr>
                <w:color w:val="000000"/>
                <w:kern w:val="0"/>
                <w:sz w:val="24"/>
                <w:szCs w:val="24"/>
              </w:rPr>
            </w:pPr>
            <w:r>
              <w:rPr>
                <w:rFonts w:eastAsiaTheme="minorEastAsia"/>
                <w:color w:val="000000"/>
                <w:kern w:val="0"/>
                <w:sz w:val="24"/>
                <w:szCs w:val="24"/>
              </w:rPr>
              <w:t>-</w:t>
            </w:r>
          </w:p>
        </w:tc>
        <w:tc>
          <w:tcPr>
            <w:tcW w:w="1837" w:type="dxa"/>
            <w:vAlign w:val="center"/>
          </w:tcPr>
          <w:p w:rsidR="0012438E" w:rsidRDefault="00F03621">
            <w:pPr>
              <w:spacing w:before="29" w:line="288" w:lineRule="auto"/>
              <w:ind w:left="17"/>
              <w:jc w:val="right"/>
              <w:rPr>
                <w:rFonts w:eastAsiaTheme="minorEastAsia"/>
                <w:color w:val="000000"/>
                <w:kern w:val="0"/>
                <w:sz w:val="24"/>
                <w:szCs w:val="24"/>
              </w:rPr>
            </w:pPr>
            <w:r>
              <w:rPr>
                <w:rFonts w:eastAsiaTheme="minorEastAsia"/>
                <w:color w:val="000000"/>
                <w:kern w:val="0"/>
                <w:sz w:val="24"/>
                <w:szCs w:val="24"/>
              </w:rPr>
              <w:t>-</w:t>
            </w:r>
          </w:p>
        </w:tc>
      </w:tr>
      <w:tr w:rsidR="0012438E">
        <w:trPr>
          <w:jc w:val="center"/>
        </w:trPr>
        <w:tc>
          <w:tcPr>
            <w:tcW w:w="718"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4</w:t>
            </w:r>
          </w:p>
        </w:tc>
        <w:tc>
          <w:tcPr>
            <w:tcW w:w="3346" w:type="dxa"/>
            <w:vAlign w:val="center"/>
          </w:tcPr>
          <w:p w:rsidR="0012438E" w:rsidRDefault="00F03621">
            <w:pPr>
              <w:spacing w:before="29" w:line="288" w:lineRule="auto"/>
              <w:ind w:left="17"/>
              <w:jc w:val="left"/>
              <w:rPr>
                <w:kern w:val="0"/>
                <w:sz w:val="24"/>
                <w:szCs w:val="24"/>
              </w:rPr>
            </w:pPr>
            <w:r>
              <w:rPr>
                <w:color w:val="000000"/>
                <w:kern w:val="0"/>
                <w:sz w:val="24"/>
                <w:szCs w:val="24"/>
              </w:rPr>
              <w:t>金融衍生品投资</w:t>
            </w:r>
          </w:p>
        </w:tc>
        <w:tc>
          <w:tcPr>
            <w:tcW w:w="296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w:t>
            </w:r>
          </w:p>
        </w:tc>
      </w:tr>
      <w:tr w:rsidR="0012438E">
        <w:trPr>
          <w:jc w:val="center"/>
        </w:trPr>
        <w:tc>
          <w:tcPr>
            <w:tcW w:w="718"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5</w:t>
            </w:r>
          </w:p>
        </w:tc>
        <w:tc>
          <w:tcPr>
            <w:tcW w:w="3346" w:type="dxa"/>
            <w:vAlign w:val="center"/>
          </w:tcPr>
          <w:p w:rsidR="0012438E" w:rsidRDefault="00F03621">
            <w:pPr>
              <w:spacing w:before="29" w:line="288" w:lineRule="auto"/>
              <w:ind w:left="17"/>
              <w:jc w:val="left"/>
              <w:rPr>
                <w:kern w:val="0"/>
                <w:sz w:val="24"/>
                <w:szCs w:val="24"/>
              </w:rPr>
            </w:pPr>
            <w:r>
              <w:rPr>
                <w:color w:val="000000"/>
                <w:kern w:val="0"/>
                <w:sz w:val="24"/>
                <w:szCs w:val="24"/>
              </w:rPr>
              <w:t>买入返售金融资产</w:t>
            </w:r>
          </w:p>
        </w:tc>
        <w:tc>
          <w:tcPr>
            <w:tcW w:w="296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w:t>
            </w:r>
          </w:p>
        </w:tc>
      </w:tr>
      <w:tr w:rsidR="0012438E">
        <w:trPr>
          <w:jc w:val="center"/>
        </w:trPr>
        <w:tc>
          <w:tcPr>
            <w:tcW w:w="718" w:type="dxa"/>
            <w:vAlign w:val="center"/>
          </w:tcPr>
          <w:p w:rsidR="0012438E" w:rsidRDefault="0012438E">
            <w:pPr>
              <w:spacing w:before="29" w:line="288" w:lineRule="auto"/>
              <w:ind w:left="17"/>
              <w:jc w:val="center"/>
              <w:rPr>
                <w:color w:val="000000"/>
                <w:kern w:val="0"/>
                <w:sz w:val="24"/>
                <w:szCs w:val="24"/>
              </w:rPr>
            </w:pPr>
          </w:p>
        </w:tc>
        <w:tc>
          <w:tcPr>
            <w:tcW w:w="3346" w:type="dxa"/>
            <w:vAlign w:val="center"/>
          </w:tcPr>
          <w:p w:rsidR="0012438E" w:rsidRDefault="00F03621">
            <w:pPr>
              <w:spacing w:before="29" w:line="288" w:lineRule="auto"/>
              <w:ind w:left="17"/>
              <w:jc w:val="left"/>
              <w:rPr>
                <w:kern w:val="0"/>
                <w:sz w:val="24"/>
                <w:szCs w:val="24"/>
              </w:rPr>
            </w:pPr>
            <w:r>
              <w:rPr>
                <w:color w:val="000000"/>
                <w:kern w:val="0"/>
                <w:sz w:val="24"/>
                <w:szCs w:val="24"/>
              </w:rPr>
              <w:t>其中：买断式回购的买入返售金融资产</w:t>
            </w:r>
          </w:p>
        </w:tc>
        <w:tc>
          <w:tcPr>
            <w:tcW w:w="296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w:t>
            </w:r>
          </w:p>
        </w:tc>
      </w:tr>
      <w:tr w:rsidR="0012438E">
        <w:trPr>
          <w:jc w:val="center"/>
        </w:trPr>
        <w:tc>
          <w:tcPr>
            <w:tcW w:w="718"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6</w:t>
            </w:r>
          </w:p>
        </w:tc>
        <w:tc>
          <w:tcPr>
            <w:tcW w:w="3346" w:type="dxa"/>
            <w:vAlign w:val="center"/>
          </w:tcPr>
          <w:p w:rsidR="0012438E" w:rsidRDefault="00F03621">
            <w:pPr>
              <w:spacing w:before="29" w:line="288" w:lineRule="auto"/>
              <w:ind w:left="17"/>
              <w:jc w:val="left"/>
              <w:rPr>
                <w:kern w:val="0"/>
                <w:sz w:val="24"/>
                <w:szCs w:val="24"/>
              </w:rPr>
            </w:pPr>
            <w:r>
              <w:rPr>
                <w:color w:val="000000"/>
                <w:kern w:val="0"/>
                <w:sz w:val="24"/>
                <w:szCs w:val="24"/>
              </w:rPr>
              <w:t>银行存款和结算备付金合计</w:t>
            </w:r>
          </w:p>
        </w:tc>
        <w:tc>
          <w:tcPr>
            <w:tcW w:w="296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5,172,352.23</w:t>
            </w:r>
          </w:p>
        </w:tc>
        <w:tc>
          <w:tcPr>
            <w:tcW w:w="1837" w:type="dxa"/>
            <w:vAlign w:val="center"/>
          </w:tcPr>
          <w:p w:rsidR="0012438E" w:rsidRDefault="00F03621">
            <w:pPr>
              <w:spacing w:before="29" w:line="288" w:lineRule="auto"/>
              <w:ind w:left="17"/>
              <w:jc w:val="right"/>
              <w:rPr>
                <w:color w:val="000000"/>
                <w:kern w:val="0"/>
                <w:sz w:val="24"/>
                <w:szCs w:val="24"/>
              </w:rPr>
            </w:pPr>
            <w:r>
              <w:rPr>
                <w:color w:val="000000"/>
                <w:kern w:val="0"/>
                <w:sz w:val="24"/>
                <w:szCs w:val="24"/>
              </w:rPr>
              <w:t>80.99</w:t>
            </w:r>
          </w:p>
        </w:tc>
      </w:tr>
      <w:tr w:rsidR="0012438E">
        <w:trPr>
          <w:jc w:val="center"/>
        </w:trPr>
        <w:tc>
          <w:tcPr>
            <w:tcW w:w="718"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7</w:t>
            </w:r>
          </w:p>
        </w:tc>
        <w:tc>
          <w:tcPr>
            <w:tcW w:w="3346" w:type="dxa"/>
            <w:vAlign w:val="center"/>
          </w:tcPr>
          <w:p w:rsidR="0012438E" w:rsidRDefault="00F03621">
            <w:pPr>
              <w:spacing w:before="29" w:line="288" w:lineRule="auto"/>
              <w:jc w:val="left"/>
              <w:rPr>
                <w:kern w:val="0"/>
                <w:sz w:val="24"/>
                <w:szCs w:val="24"/>
              </w:rPr>
            </w:pPr>
            <w:r>
              <w:rPr>
                <w:color w:val="000000"/>
                <w:kern w:val="0"/>
                <w:sz w:val="24"/>
                <w:szCs w:val="24"/>
              </w:rPr>
              <w:t>其他资产</w:t>
            </w:r>
          </w:p>
        </w:tc>
        <w:tc>
          <w:tcPr>
            <w:tcW w:w="2967" w:type="dxa"/>
            <w:vAlign w:val="center"/>
          </w:tcPr>
          <w:p w:rsidR="0012438E" w:rsidRDefault="00F03621">
            <w:pPr>
              <w:spacing w:before="29" w:line="288" w:lineRule="auto"/>
              <w:jc w:val="right"/>
              <w:rPr>
                <w:color w:val="000000"/>
                <w:kern w:val="0"/>
                <w:sz w:val="24"/>
                <w:szCs w:val="24"/>
              </w:rPr>
            </w:pPr>
            <w:r>
              <w:rPr>
                <w:color w:val="000000"/>
                <w:kern w:val="0"/>
                <w:sz w:val="24"/>
                <w:szCs w:val="24"/>
              </w:rPr>
              <w:t>28,962.94</w:t>
            </w:r>
          </w:p>
        </w:tc>
        <w:tc>
          <w:tcPr>
            <w:tcW w:w="1837" w:type="dxa"/>
            <w:vAlign w:val="center"/>
          </w:tcPr>
          <w:p w:rsidR="0012438E" w:rsidRDefault="00F03621">
            <w:pPr>
              <w:spacing w:before="29" w:line="288" w:lineRule="auto"/>
              <w:jc w:val="right"/>
              <w:rPr>
                <w:color w:val="000000"/>
                <w:kern w:val="0"/>
                <w:sz w:val="24"/>
                <w:szCs w:val="24"/>
              </w:rPr>
            </w:pPr>
            <w:r>
              <w:rPr>
                <w:color w:val="000000"/>
                <w:kern w:val="0"/>
                <w:sz w:val="24"/>
                <w:szCs w:val="24"/>
              </w:rPr>
              <w:t>0.45</w:t>
            </w:r>
          </w:p>
        </w:tc>
      </w:tr>
      <w:tr w:rsidR="0012438E">
        <w:trPr>
          <w:jc w:val="center"/>
        </w:trPr>
        <w:tc>
          <w:tcPr>
            <w:tcW w:w="718"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8</w:t>
            </w:r>
          </w:p>
        </w:tc>
        <w:tc>
          <w:tcPr>
            <w:tcW w:w="3346" w:type="dxa"/>
            <w:vAlign w:val="center"/>
          </w:tcPr>
          <w:p w:rsidR="0012438E" w:rsidRDefault="00F03621">
            <w:pPr>
              <w:spacing w:before="29" w:line="288" w:lineRule="auto"/>
              <w:jc w:val="left"/>
              <w:rPr>
                <w:kern w:val="0"/>
                <w:sz w:val="24"/>
                <w:szCs w:val="24"/>
              </w:rPr>
            </w:pPr>
            <w:r>
              <w:rPr>
                <w:color w:val="000000"/>
                <w:kern w:val="0"/>
                <w:sz w:val="24"/>
                <w:szCs w:val="24"/>
              </w:rPr>
              <w:t>合计</w:t>
            </w:r>
          </w:p>
        </w:tc>
        <w:tc>
          <w:tcPr>
            <w:tcW w:w="2967" w:type="dxa"/>
            <w:vAlign w:val="center"/>
          </w:tcPr>
          <w:p w:rsidR="0012438E" w:rsidRDefault="00F03621">
            <w:pPr>
              <w:spacing w:before="29" w:line="288" w:lineRule="auto"/>
              <w:jc w:val="right"/>
              <w:rPr>
                <w:color w:val="000000"/>
                <w:kern w:val="0"/>
                <w:sz w:val="24"/>
                <w:szCs w:val="24"/>
              </w:rPr>
            </w:pPr>
            <w:r>
              <w:rPr>
                <w:color w:val="000000"/>
                <w:kern w:val="0"/>
                <w:sz w:val="24"/>
                <w:szCs w:val="24"/>
              </w:rPr>
              <w:t>6,386,515.17</w:t>
            </w:r>
          </w:p>
        </w:tc>
        <w:tc>
          <w:tcPr>
            <w:tcW w:w="1837" w:type="dxa"/>
            <w:vAlign w:val="center"/>
          </w:tcPr>
          <w:p w:rsidR="0012438E" w:rsidRDefault="00F03621">
            <w:pPr>
              <w:spacing w:before="29" w:line="288" w:lineRule="auto"/>
              <w:jc w:val="right"/>
              <w:rPr>
                <w:color w:val="000000"/>
                <w:kern w:val="0"/>
                <w:sz w:val="24"/>
                <w:szCs w:val="24"/>
              </w:rPr>
            </w:pPr>
            <w:r>
              <w:rPr>
                <w:color w:val="000000"/>
                <w:kern w:val="0"/>
                <w:sz w:val="24"/>
                <w:szCs w:val="24"/>
              </w:rPr>
              <w:t>100.00</w:t>
            </w:r>
          </w:p>
        </w:tc>
      </w:tr>
    </w:tbl>
    <w:p w:rsidR="0012438E" w:rsidRDefault="0012438E">
      <w:pPr>
        <w:autoSpaceDE w:val="0"/>
        <w:autoSpaceDN w:val="0"/>
        <w:adjustRightInd w:val="0"/>
        <w:spacing w:before="29" w:line="288" w:lineRule="auto"/>
        <w:jc w:val="left"/>
        <w:rPr>
          <w:color w:val="00000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5.2 </w:t>
      </w:r>
      <w:r>
        <w:rPr>
          <w:b/>
          <w:bCs/>
          <w:color w:val="000000"/>
          <w:kern w:val="0"/>
          <w:sz w:val="24"/>
          <w:szCs w:val="24"/>
        </w:rPr>
        <w:t>报告期末按行业分类的股票投资组合</w:t>
      </w:r>
    </w:p>
    <w:p w:rsidR="0012438E" w:rsidRDefault="00F03621">
      <w:pPr>
        <w:autoSpaceDE w:val="0"/>
        <w:autoSpaceDN w:val="0"/>
        <w:adjustRightInd w:val="0"/>
        <w:spacing w:before="29" w:line="288" w:lineRule="auto"/>
        <w:jc w:val="left"/>
        <w:rPr>
          <w:b/>
          <w:bCs/>
          <w:color w:val="000000"/>
          <w:kern w:val="0"/>
          <w:sz w:val="24"/>
          <w:szCs w:val="24"/>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868" w:type="dxa"/>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4A0"/>
      </w:tblPr>
      <w:tblGrid>
        <w:gridCol w:w="845"/>
        <w:gridCol w:w="3544"/>
        <w:gridCol w:w="2841"/>
        <w:gridCol w:w="1638"/>
      </w:tblGrid>
      <w:tr w:rsidR="0012438E">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438E" w:rsidRDefault="00F03621">
            <w:pPr>
              <w:adjustRightInd w:val="0"/>
              <w:snapToGrid w:val="0"/>
              <w:spacing w:before="29" w:line="288" w:lineRule="auto"/>
              <w:jc w:val="center"/>
              <w:rPr>
                <w:sz w:val="24"/>
                <w:szCs w:val="24"/>
              </w:rPr>
            </w:pPr>
            <w:r>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sz w:val="24"/>
                <w:szCs w:val="24"/>
              </w:rPr>
            </w:pPr>
            <w:r>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adjustRightInd w:val="0"/>
              <w:snapToGrid w:val="0"/>
              <w:spacing w:before="29" w:line="288" w:lineRule="auto"/>
              <w:jc w:val="center"/>
              <w:rPr>
                <w:sz w:val="24"/>
                <w:szCs w:val="24"/>
              </w:rPr>
            </w:pPr>
            <w:r>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sz w:val="24"/>
                <w:szCs w:val="24"/>
              </w:rPr>
            </w:pPr>
            <w:r>
              <w:rPr>
                <w:sz w:val="24"/>
                <w:szCs w:val="24"/>
              </w:rPr>
              <w:t>占基金资产净值比例（％）</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sz w:val="24"/>
                <w:szCs w:val="24"/>
              </w:rPr>
            </w:pPr>
            <w:r>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sz w:val="24"/>
                <w:szCs w:val="24"/>
              </w:rPr>
            </w:pPr>
            <w:r>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autoSpaceDE w:val="0"/>
              <w:autoSpaceDN w:val="0"/>
              <w:adjustRightInd w:val="0"/>
              <w:spacing w:before="29" w:line="288" w:lineRule="auto"/>
              <w:ind w:left="15"/>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utoSpaceDE w:val="0"/>
              <w:autoSpaceDN w:val="0"/>
              <w:adjustRightInd w:val="0"/>
              <w:spacing w:before="29" w:line="288" w:lineRule="auto"/>
              <w:ind w:left="15"/>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sz w:val="24"/>
                <w:szCs w:val="24"/>
              </w:rPr>
            </w:pPr>
            <w:r>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sz w:val="24"/>
                <w:szCs w:val="24"/>
              </w:rPr>
            </w:pPr>
            <w:r>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sz w:val="24"/>
                <w:szCs w:val="24"/>
              </w:rPr>
            </w:pPr>
            <w:r>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sz w:val="24"/>
                <w:szCs w:val="24"/>
              </w:rPr>
            </w:pPr>
            <w:r>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1,185,200.00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19.22</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sz w:val="24"/>
                <w:szCs w:val="24"/>
              </w:rPr>
            </w:pPr>
            <w:r>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sz w:val="24"/>
                <w:szCs w:val="24"/>
              </w:rPr>
            </w:pPr>
            <w:r>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sz w:val="24"/>
                <w:szCs w:val="24"/>
              </w:rPr>
            </w:pPr>
            <w:r>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sz w:val="24"/>
                <w:szCs w:val="24"/>
              </w:rPr>
            </w:pPr>
            <w:r>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sz w:val="24"/>
                <w:szCs w:val="24"/>
              </w:rPr>
            </w:pPr>
            <w:r>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sz w:val="24"/>
                <w:szCs w:val="24"/>
              </w:rPr>
            </w:pPr>
            <w:r>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sz w:val="24"/>
                <w:szCs w:val="24"/>
              </w:rPr>
            </w:pPr>
            <w:r>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sz w:val="24"/>
                <w:szCs w:val="24"/>
              </w:rPr>
            </w:pPr>
            <w:r>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sz w:val="24"/>
                <w:szCs w:val="24"/>
              </w:rPr>
            </w:pPr>
            <w:r>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sz w:val="24"/>
                <w:szCs w:val="24"/>
              </w:rPr>
            </w:pPr>
            <w:r>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sz w:val="24"/>
                <w:szCs w:val="24"/>
              </w:rPr>
            </w:pPr>
            <w:r>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sz w:val="24"/>
                <w:szCs w:val="24"/>
              </w:rPr>
            </w:pPr>
            <w:r>
              <w:rPr>
                <w:sz w:val="24"/>
                <w:szCs w:val="24"/>
              </w:rPr>
              <w:t>信息传输、软件和信息技术服务业</w:t>
            </w:r>
          </w:p>
          <w:p w:rsidR="0012438E" w:rsidRDefault="0012438E">
            <w:pPr>
              <w:spacing w:before="29" w:line="288" w:lineRule="auto"/>
              <w:jc w:val="left"/>
              <w:rPr>
                <w:sz w:val="24"/>
                <w:szCs w:val="24"/>
              </w:rPr>
            </w:pP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color w:val="000000"/>
                <w:sz w:val="24"/>
                <w:szCs w:val="24"/>
              </w:rPr>
            </w:pPr>
            <w:r>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color w:val="000000"/>
                <w:sz w:val="24"/>
                <w:szCs w:val="24"/>
              </w:rPr>
            </w:pPr>
            <w:r>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color w:val="000000"/>
                <w:sz w:val="24"/>
                <w:szCs w:val="24"/>
              </w:rPr>
            </w:pPr>
            <w:r>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color w:val="000000"/>
                <w:sz w:val="24"/>
                <w:szCs w:val="24"/>
              </w:rPr>
            </w:pPr>
            <w:r>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color w:val="000000"/>
                <w:sz w:val="24"/>
                <w:szCs w:val="24"/>
              </w:rPr>
            </w:pPr>
            <w:r>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color w:val="000000"/>
                <w:sz w:val="24"/>
                <w:szCs w:val="24"/>
              </w:rPr>
            </w:pPr>
            <w:r>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color w:val="000000"/>
                <w:sz w:val="24"/>
                <w:szCs w:val="24"/>
              </w:rPr>
            </w:pPr>
            <w:r>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color w:val="000000"/>
                <w:sz w:val="24"/>
                <w:szCs w:val="24"/>
              </w:rPr>
            </w:pPr>
            <w:r>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color w:val="000000"/>
                <w:sz w:val="24"/>
                <w:szCs w:val="24"/>
              </w:rPr>
            </w:pPr>
            <w:r>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color w:val="000000"/>
                <w:sz w:val="24"/>
                <w:szCs w:val="24"/>
              </w:rPr>
            </w:pPr>
            <w:r>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color w:val="000000"/>
                <w:sz w:val="24"/>
                <w:szCs w:val="24"/>
              </w:rPr>
            </w:pPr>
            <w:r>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color w:val="000000"/>
                <w:sz w:val="24"/>
                <w:szCs w:val="24"/>
              </w:rPr>
            </w:pPr>
            <w:r>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color w:val="000000"/>
                <w:sz w:val="24"/>
                <w:szCs w:val="24"/>
              </w:rPr>
            </w:pPr>
            <w:r>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color w:val="000000"/>
                <w:sz w:val="24"/>
                <w:szCs w:val="24"/>
              </w:rPr>
            </w:pPr>
            <w:r>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color w:val="000000"/>
                <w:sz w:val="24"/>
                <w:szCs w:val="24"/>
              </w:rPr>
            </w:pPr>
            <w:r>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color w:val="000000"/>
                <w:sz w:val="24"/>
                <w:szCs w:val="24"/>
              </w:rPr>
            </w:pPr>
            <w:r>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color w:val="000000"/>
                <w:sz w:val="24"/>
                <w:szCs w:val="24"/>
              </w:rPr>
            </w:pPr>
            <w:r>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color w:val="000000"/>
                <w:sz w:val="24"/>
                <w:szCs w:val="24"/>
              </w:rPr>
            </w:pPr>
            <w:r>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adjustRightInd w:val="0"/>
              <w:snapToGrid w:val="0"/>
              <w:spacing w:before="29" w:line="288" w:lineRule="auto"/>
              <w:jc w:val="center"/>
              <w:rPr>
                <w:color w:val="000000"/>
                <w:sz w:val="24"/>
                <w:szCs w:val="24"/>
              </w:rPr>
            </w:pPr>
            <w:r>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color w:val="000000"/>
                <w:sz w:val="24"/>
                <w:szCs w:val="24"/>
              </w:rPr>
            </w:pPr>
            <w:r>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w:t>
            </w:r>
          </w:p>
        </w:tc>
      </w:tr>
      <w:tr w:rsidR="0012438E">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12438E">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12438E" w:rsidRDefault="00F03621">
            <w:pPr>
              <w:adjustRightInd w:val="0"/>
              <w:snapToGrid w:val="0"/>
              <w:spacing w:before="29" w:line="288" w:lineRule="auto"/>
              <w:jc w:val="left"/>
              <w:rPr>
                <w:color w:val="000000"/>
                <w:sz w:val="24"/>
                <w:szCs w:val="24"/>
              </w:rPr>
            </w:pPr>
            <w:r>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12438E" w:rsidRDefault="00F03621">
            <w:pPr>
              <w:spacing w:before="29" w:line="288" w:lineRule="auto"/>
              <w:jc w:val="right"/>
              <w:rPr>
                <w:sz w:val="24"/>
                <w:szCs w:val="24"/>
              </w:rPr>
            </w:pPr>
            <w:r>
              <w:rPr>
                <w:sz w:val="24"/>
                <w:szCs w:val="24"/>
              </w:rPr>
              <w:t>1,185,200.00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12438E" w:rsidRDefault="00F03621">
            <w:pPr>
              <w:spacing w:before="29" w:line="288" w:lineRule="auto"/>
              <w:jc w:val="right"/>
              <w:rPr>
                <w:sz w:val="24"/>
                <w:szCs w:val="24"/>
              </w:rPr>
            </w:pPr>
            <w:r>
              <w:rPr>
                <w:sz w:val="24"/>
                <w:szCs w:val="24"/>
              </w:rPr>
              <w:t>19.22</w:t>
            </w:r>
          </w:p>
        </w:tc>
      </w:tr>
    </w:tbl>
    <w:p w:rsidR="00DF0E5B" w:rsidRDefault="00DF0E5B">
      <w:pPr>
        <w:autoSpaceDE w:val="0"/>
        <w:autoSpaceDN w:val="0"/>
        <w:adjustRightInd w:val="0"/>
        <w:spacing w:before="29" w:line="288" w:lineRule="auto"/>
        <w:jc w:val="left"/>
        <w:rPr>
          <w:color w:val="000000"/>
          <w:sz w:val="24"/>
          <w:szCs w:val="24"/>
        </w:rPr>
      </w:pPr>
    </w:p>
    <w:p w:rsidR="0012438E" w:rsidRPr="00A40F17" w:rsidRDefault="00F03621" w:rsidP="00A40F17">
      <w:pPr>
        <w:autoSpaceDE w:val="0"/>
        <w:autoSpaceDN w:val="0"/>
        <w:adjustRightInd w:val="0"/>
        <w:spacing w:before="29" w:line="288" w:lineRule="auto"/>
        <w:jc w:val="left"/>
        <w:rPr>
          <w:b/>
          <w:bCs/>
          <w:color w:val="000000"/>
          <w:kern w:val="0"/>
          <w:sz w:val="24"/>
          <w:szCs w:val="24"/>
        </w:rPr>
      </w:pPr>
      <w:r w:rsidRPr="00A40F17">
        <w:rPr>
          <w:rFonts w:hint="eastAsia"/>
          <w:b/>
          <w:bCs/>
          <w:color w:val="000000"/>
          <w:kern w:val="0"/>
          <w:sz w:val="24"/>
          <w:szCs w:val="24"/>
        </w:rPr>
        <w:t>5.2.2</w:t>
      </w:r>
      <w:r w:rsidRPr="00A40F17">
        <w:rPr>
          <w:rFonts w:hint="eastAsia"/>
          <w:b/>
          <w:bCs/>
          <w:color w:val="000000"/>
          <w:kern w:val="0"/>
          <w:sz w:val="24"/>
          <w:szCs w:val="24"/>
        </w:rPr>
        <w:t>报告期末按行业分类的港股通投资股票投资组合</w:t>
      </w:r>
    </w:p>
    <w:p w:rsidR="0012438E" w:rsidRDefault="00F03621">
      <w:pPr>
        <w:autoSpaceDE w:val="0"/>
        <w:autoSpaceDN w:val="0"/>
        <w:adjustRightInd w:val="0"/>
        <w:spacing w:before="29" w:line="288" w:lineRule="auto"/>
        <w:ind w:firstLineChars="100" w:firstLine="240"/>
        <w:jc w:val="left"/>
        <w:rPr>
          <w:sz w:val="24"/>
          <w:szCs w:val="24"/>
        </w:rPr>
      </w:pPr>
      <w:r>
        <w:rPr>
          <w:sz w:val="24"/>
          <w:szCs w:val="24"/>
        </w:rPr>
        <w:t>本基金本报告期末未持有港股通股票。</w:t>
      </w:r>
    </w:p>
    <w:p w:rsidR="0012438E" w:rsidRDefault="0012438E">
      <w:pPr>
        <w:autoSpaceDE w:val="0"/>
        <w:autoSpaceDN w:val="0"/>
        <w:adjustRightInd w:val="0"/>
        <w:spacing w:before="29" w:line="288" w:lineRule="auto"/>
        <w:jc w:val="left"/>
        <w:rPr>
          <w:color w:val="000000"/>
          <w:kern w:val="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5.3 </w:t>
      </w:r>
      <w:r>
        <w:rPr>
          <w:b/>
          <w:bCs/>
          <w:color w:val="000000"/>
          <w:kern w:val="0"/>
          <w:sz w:val="24"/>
          <w:szCs w:val="24"/>
        </w:rPr>
        <w:t>报告期末按公允价值占基金资产净值比例大小排序的前十名股票投资明细</w:t>
      </w:r>
    </w:p>
    <w:tbl>
      <w:tblPr>
        <w:tblStyle w:val="af8"/>
        <w:tblW w:w="8868" w:type="dxa"/>
        <w:jc w:val="center"/>
        <w:tblLayout w:type="fixed"/>
        <w:tblCellMar>
          <w:top w:w="57" w:type="dxa"/>
          <w:bottom w:w="57" w:type="dxa"/>
        </w:tblCellMar>
        <w:tblLook w:val="04A0"/>
      </w:tblPr>
      <w:tblGrid>
        <w:gridCol w:w="855"/>
        <w:gridCol w:w="1334"/>
        <w:gridCol w:w="1777"/>
        <w:gridCol w:w="1334"/>
        <w:gridCol w:w="1924"/>
        <w:gridCol w:w="1644"/>
      </w:tblGrid>
      <w:tr w:rsidR="0012438E">
        <w:trPr>
          <w:jc w:val="center"/>
        </w:trPr>
        <w:tc>
          <w:tcPr>
            <w:tcW w:w="855"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序号</w:t>
            </w:r>
          </w:p>
        </w:tc>
        <w:tc>
          <w:tcPr>
            <w:tcW w:w="1334"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股票代码</w:t>
            </w:r>
          </w:p>
        </w:tc>
        <w:tc>
          <w:tcPr>
            <w:tcW w:w="1777"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股票名称</w:t>
            </w:r>
          </w:p>
        </w:tc>
        <w:tc>
          <w:tcPr>
            <w:tcW w:w="1334"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数量</w:t>
            </w:r>
            <w:r>
              <w:rPr>
                <w:color w:val="000000"/>
                <w:kern w:val="0"/>
                <w:sz w:val="24"/>
              </w:rPr>
              <w:t>（股）</w:t>
            </w:r>
          </w:p>
        </w:tc>
        <w:tc>
          <w:tcPr>
            <w:tcW w:w="1924" w:type="dxa"/>
            <w:vAlign w:val="center"/>
          </w:tcPr>
          <w:p w:rsidR="0012438E" w:rsidRDefault="00F03621">
            <w:pPr>
              <w:autoSpaceDE w:val="0"/>
              <w:autoSpaceDN w:val="0"/>
              <w:adjustRightInd w:val="0"/>
              <w:spacing w:before="29" w:line="288" w:lineRule="auto"/>
              <w:ind w:left="17"/>
              <w:jc w:val="center"/>
              <w:rPr>
                <w:color w:val="000000"/>
                <w:kern w:val="0"/>
                <w:sz w:val="24"/>
                <w:szCs w:val="24"/>
              </w:rPr>
            </w:pPr>
            <w:r>
              <w:rPr>
                <w:color w:val="000000"/>
                <w:kern w:val="0"/>
                <w:sz w:val="24"/>
                <w:szCs w:val="24"/>
              </w:rPr>
              <w:t>公允价值</w:t>
            </w:r>
            <w:r>
              <w:rPr>
                <w:color w:val="000000"/>
                <w:kern w:val="0"/>
                <w:sz w:val="24"/>
                <w:szCs w:val="24"/>
              </w:rPr>
              <w:t>(</w:t>
            </w:r>
            <w:r>
              <w:rPr>
                <w:color w:val="000000"/>
                <w:kern w:val="0"/>
                <w:sz w:val="24"/>
                <w:szCs w:val="24"/>
              </w:rPr>
              <w:t>元</w:t>
            </w:r>
            <w:r>
              <w:rPr>
                <w:color w:val="000000"/>
                <w:kern w:val="0"/>
                <w:sz w:val="24"/>
                <w:szCs w:val="24"/>
              </w:rPr>
              <w:t>)</w:t>
            </w:r>
          </w:p>
        </w:tc>
        <w:tc>
          <w:tcPr>
            <w:tcW w:w="1644"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占基金资产净值比例</w:t>
            </w:r>
            <w:r>
              <w:rPr>
                <w:color w:val="000000"/>
                <w:kern w:val="0"/>
                <w:sz w:val="24"/>
              </w:rPr>
              <w:t>（％）</w:t>
            </w:r>
          </w:p>
        </w:tc>
      </w:tr>
      <w:tr w:rsidR="00E17817">
        <w:trPr>
          <w:jc w:val="center"/>
        </w:trPr>
        <w:tc>
          <w:tcPr>
            <w:tcW w:w="855" w:type="dxa"/>
            <w:vAlign w:val="center"/>
          </w:tcPr>
          <w:p w:rsidR="00E17817" w:rsidRDefault="00A40F17">
            <w:pPr>
              <w:jc w:val="center"/>
            </w:pPr>
            <w:r>
              <w:rPr>
                <w:color w:val="000000"/>
                <w:kern w:val="0"/>
                <w:sz w:val="24"/>
                <w:szCs w:val="24"/>
              </w:rPr>
              <w:t>1</w:t>
            </w:r>
          </w:p>
        </w:tc>
        <w:tc>
          <w:tcPr>
            <w:tcW w:w="1334" w:type="dxa"/>
            <w:vAlign w:val="center"/>
          </w:tcPr>
          <w:p w:rsidR="00E17817" w:rsidRDefault="00A40F17">
            <w:pPr>
              <w:jc w:val="center"/>
            </w:pPr>
            <w:r>
              <w:rPr>
                <w:color w:val="000000"/>
                <w:kern w:val="0"/>
                <w:sz w:val="24"/>
                <w:szCs w:val="24"/>
              </w:rPr>
              <w:t>600309</w:t>
            </w:r>
          </w:p>
        </w:tc>
        <w:tc>
          <w:tcPr>
            <w:tcW w:w="1777" w:type="dxa"/>
            <w:vAlign w:val="center"/>
          </w:tcPr>
          <w:p w:rsidR="00E17817" w:rsidRDefault="00A40F17">
            <w:pPr>
              <w:jc w:val="center"/>
            </w:pPr>
            <w:r>
              <w:rPr>
                <w:color w:val="000000"/>
                <w:kern w:val="0"/>
                <w:sz w:val="24"/>
                <w:szCs w:val="24"/>
              </w:rPr>
              <w:t>万华化学</w:t>
            </w:r>
          </w:p>
        </w:tc>
        <w:tc>
          <w:tcPr>
            <w:tcW w:w="1334" w:type="dxa"/>
            <w:vAlign w:val="center"/>
          </w:tcPr>
          <w:p w:rsidR="00E17817" w:rsidRDefault="00A40F17">
            <w:pPr>
              <w:jc w:val="right"/>
            </w:pPr>
            <w:r>
              <w:rPr>
                <w:color w:val="000000"/>
                <w:kern w:val="0"/>
                <w:sz w:val="24"/>
                <w:szCs w:val="24"/>
              </w:rPr>
              <w:t>20,000</w:t>
            </w:r>
          </w:p>
        </w:tc>
        <w:tc>
          <w:tcPr>
            <w:tcW w:w="1924" w:type="dxa"/>
            <w:vAlign w:val="center"/>
          </w:tcPr>
          <w:p w:rsidR="00E17817" w:rsidRDefault="00A40F17">
            <w:pPr>
              <w:jc w:val="right"/>
            </w:pPr>
            <w:r>
              <w:rPr>
                <w:color w:val="000000"/>
                <w:kern w:val="0"/>
                <w:sz w:val="24"/>
                <w:szCs w:val="24"/>
              </w:rPr>
              <w:t>707,000.00</w:t>
            </w:r>
          </w:p>
        </w:tc>
        <w:tc>
          <w:tcPr>
            <w:tcW w:w="1644" w:type="dxa"/>
            <w:vAlign w:val="center"/>
          </w:tcPr>
          <w:p w:rsidR="00E17817" w:rsidRDefault="00A40F17">
            <w:pPr>
              <w:jc w:val="right"/>
            </w:pPr>
            <w:r>
              <w:rPr>
                <w:color w:val="000000"/>
                <w:kern w:val="0"/>
                <w:sz w:val="24"/>
                <w:szCs w:val="24"/>
              </w:rPr>
              <w:t>11.47</w:t>
            </w:r>
          </w:p>
        </w:tc>
      </w:tr>
      <w:tr w:rsidR="00E17817">
        <w:trPr>
          <w:jc w:val="center"/>
        </w:trPr>
        <w:tc>
          <w:tcPr>
            <w:tcW w:w="855" w:type="dxa"/>
            <w:vAlign w:val="center"/>
          </w:tcPr>
          <w:p w:rsidR="00E17817" w:rsidRDefault="00A40F17">
            <w:pPr>
              <w:jc w:val="center"/>
            </w:pPr>
            <w:r>
              <w:rPr>
                <w:color w:val="000000"/>
                <w:kern w:val="0"/>
                <w:sz w:val="24"/>
                <w:szCs w:val="24"/>
              </w:rPr>
              <w:t>2</w:t>
            </w:r>
          </w:p>
        </w:tc>
        <w:tc>
          <w:tcPr>
            <w:tcW w:w="1334" w:type="dxa"/>
            <w:vAlign w:val="center"/>
          </w:tcPr>
          <w:p w:rsidR="00E17817" w:rsidRDefault="00A40F17">
            <w:pPr>
              <w:jc w:val="center"/>
            </w:pPr>
            <w:r>
              <w:rPr>
                <w:color w:val="000000"/>
                <w:kern w:val="0"/>
                <w:sz w:val="24"/>
                <w:szCs w:val="24"/>
              </w:rPr>
              <w:t>002384</w:t>
            </w:r>
          </w:p>
        </w:tc>
        <w:tc>
          <w:tcPr>
            <w:tcW w:w="1777" w:type="dxa"/>
            <w:vAlign w:val="center"/>
          </w:tcPr>
          <w:p w:rsidR="00E17817" w:rsidRDefault="00A40F17">
            <w:pPr>
              <w:jc w:val="center"/>
            </w:pPr>
            <w:r>
              <w:rPr>
                <w:color w:val="000000"/>
                <w:kern w:val="0"/>
                <w:sz w:val="24"/>
                <w:szCs w:val="24"/>
              </w:rPr>
              <w:t>东山精密</w:t>
            </w:r>
          </w:p>
        </w:tc>
        <w:tc>
          <w:tcPr>
            <w:tcW w:w="1334" w:type="dxa"/>
            <w:vAlign w:val="center"/>
          </w:tcPr>
          <w:p w:rsidR="00E17817" w:rsidRDefault="00A40F17">
            <w:pPr>
              <w:jc w:val="right"/>
            </w:pPr>
            <w:r>
              <w:rPr>
                <w:color w:val="000000"/>
                <w:kern w:val="0"/>
                <w:sz w:val="24"/>
                <w:szCs w:val="24"/>
              </w:rPr>
              <w:t>20,000</w:t>
            </w:r>
          </w:p>
        </w:tc>
        <w:tc>
          <w:tcPr>
            <w:tcW w:w="1924" w:type="dxa"/>
            <w:vAlign w:val="center"/>
          </w:tcPr>
          <w:p w:rsidR="00E17817" w:rsidRDefault="00A40F17">
            <w:pPr>
              <w:jc w:val="right"/>
            </w:pPr>
            <w:r>
              <w:rPr>
                <w:color w:val="000000"/>
                <w:kern w:val="0"/>
                <w:sz w:val="24"/>
                <w:szCs w:val="24"/>
              </w:rPr>
              <w:t>478,200.00</w:t>
            </w:r>
          </w:p>
        </w:tc>
        <w:tc>
          <w:tcPr>
            <w:tcW w:w="1644" w:type="dxa"/>
            <w:vAlign w:val="center"/>
          </w:tcPr>
          <w:p w:rsidR="00E17817" w:rsidRDefault="00A40F17">
            <w:pPr>
              <w:jc w:val="right"/>
            </w:pPr>
            <w:r>
              <w:rPr>
                <w:color w:val="000000"/>
                <w:kern w:val="0"/>
                <w:sz w:val="24"/>
                <w:szCs w:val="24"/>
              </w:rPr>
              <w:t>7.76</w:t>
            </w:r>
          </w:p>
        </w:tc>
      </w:tr>
    </w:tbl>
    <w:p w:rsidR="0012438E" w:rsidRDefault="0012438E">
      <w:pPr>
        <w:autoSpaceDE w:val="0"/>
        <w:autoSpaceDN w:val="0"/>
        <w:adjustRightInd w:val="0"/>
        <w:spacing w:before="29" w:line="288" w:lineRule="auto"/>
        <w:jc w:val="left"/>
        <w:rPr>
          <w:b/>
          <w:bCs/>
          <w:color w:val="000000"/>
          <w:kern w:val="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5.4 </w:t>
      </w:r>
      <w:r>
        <w:rPr>
          <w:b/>
          <w:bCs/>
          <w:color w:val="000000"/>
          <w:kern w:val="0"/>
          <w:sz w:val="24"/>
          <w:szCs w:val="24"/>
        </w:rPr>
        <w:t>报告期末按债券品种分类的债券投资组合</w:t>
      </w:r>
    </w:p>
    <w:p w:rsidR="0012438E" w:rsidRDefault="00F03621">
      <w:pPr>
        <w:autoSpaceDE w:val="0"/>
        <w:autoSpaceDN w:val="0"/>
        <w:adjustRightInd w:val="0"/>
        <w:spacing w:before="29" w:line="288" w:lineRule="auto"/>
        <w:jc w:val="left"/>
        <w:rPr>
          <w:color w:val="000000"/>
          <w:sz w:val="24"/>
          <w:szCs w:val="24"/>
        </w:rPr>
      </w:pPr>
      <w:r>
        <w:rPr>
          <w:color w:val="000000"/>
          <w:sz w:val="24"/>
          <w:szCs w:val="24"/>
        </w:rPr>
        <w:t>本基金本报告期末未持有债券。</w:t>
      </w:r>
    </w:p>
    <w:p w:rsidR="0012438E" w:rsidRDefault="0012438E">
      <w:pPr>
        <w:autoSpaceDE w:val="0"/>
        <w:autoSpaceDN w:val="0"/>
        <w:adjustRightInd w:val="0"/>
        <w:spacing w:before="29" w:line="288" w:lineRule="auto"/>
        <w:jc w:val="left"/>
        <w:rPr>
          <w:color w:val="000000"/>
          <w:kern w:val="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5.5 </w:t>
      </w:r>
      <w:r>
        <w:rPr>
          <w:b/>
          <w:bCs/>
          <w:color w:val="000000"/>
          <w:kern w:val="0"/>
          <w:sz w:val="24"/>
          <w:szCs w:val="24"/>
        </w:rPr>
        <w:t>报告期末按公允价值占基金资产净值比例大小排序的前五名债券投资明细</w:t>
      </w:r>
    </w:p>
    <w:p w:rsidR="0012438E" w:rsidRDefault="00F03621">
      <w:pPr>
        <w:autoSpaceDE w:val="0"/>
        <w:autoSpaceDN w:val="0"/>
        <w:adjustRightInd w:val="0"/>
        <w:spacing w:before="29" w:line="288" w:lineRule="auto"/>
        <w:jc w:val="left"/>
        <w:rPr>
          <w:color w:val="000000"/>
          <w:sz w:val="24"/>
          <w:szCs w:val="24"/>
        </w:rPr>
      </w:pPr>
      <w:r>
        <w:rPr>
          <w:color w:val="000000"/>
          <w:sz w:val="24"/>
          <w:szCs w:val="24"/>
        </w:rPr>
        <w:t>本基金本报告期末未持有债券。</w:t>
      </w:r>
    </w:p>
    <w:p w:rsidR="0012438E" w:rsidRDefault="0012438E">
      <w:pPr>
        <w:autoSpaceDE w:val="0"/>
        <w:autoSpaceDN w:val="0"/>
        <w:adjustRightInd w:val="0"/>
        <w:spacing w:before="29" w:line="288" w:lineRule="auto"/>
        <w:jc w:val="left"/>
        <w:rPr>
          <w:b/>
          <w:bCs/>
          <w:color w:val="000000"/>
          <w:kern w:val="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5.6 </w:t>
      </w:r>
      <w:r>
        <w:rPr>
          <w:b/>
          <w:bCs/>
          <w:color w:val="000000"/>
          <w:kern w:val="0"/>
          <w:sz w:val="24"/>
          <w:szCs w:val="24"/>
        </w:rPr>
        <w:t>报告期末按公允价值占基金资产净值比例大小排序的前十名资产支持证券投资明细</w:t>
      </w:r>
    </w:p>
    <w:p w:rsidR="0012438E" w:rsidRDefault="00F03621">
      <w:pPr>
        <w:autoSpaceDE w:val="0"/>
        <w:autoSpaceDN w:val="0"/>
        <w:adjustRightInd w:val="0"/>
        <w:spacing w:before="29" w:line="288" w:lineRule="auto"/>
        <w:jc w:val="left"/>
        <w:rPr>
          <w:color w:val="000000"/>
          <w:sz w:val="24"/>
          <w:szCs w:val="24"/>
        </w:rPr>
      </w:pPr>
      <w:r>
        <w:rPr>
          <w:color w:val="000000"/>
          <w:sz w:val="24"/>
          <w:szCs w:val="24"/>
        </w:rPr>
        <w:t>本基金本报告期末未持有资产支持证券。</w:t>
      </w:r>
    </w:p>
    <w:p w:rsidR="0012438E" w:rsidRDefault="0012438E">
      <w:pPr>
        <w:autoSpaceDE w:val="0"/>
        <w:autoSpaceDN w:val="0"/>
        <w:adjustRightInd w:val="0"/>
        <w:spacing w:before="29" w:line="288" w:lineRule="auto"/>
        <w:jc w:val="left"/>
        <w:rPr>
          <w:color w:val="000000"/>
          <w:sz w:val="24"/>
          <w:szCs w:val="24"/>
        </w:rPr>
      </w:pPr>
    </w:p>
    <w:p w:rsidR="0012438E" w:rsidRDefault="00F03621">
      <w:pPr>
        <w:autoSpaceDE w:val="0"/>
        <w:autoSpaceDN w:val="0"/>
        <w:adjustRightInd w:val="0"/>
        <w:spacing w:before="29" w:line="288" w:lineRule="auto"/>
        <w:jc w:val="left"/>
        <w:rPr>
          <w:color w:val="000000"/>
          <w:kern w:val="0"/>
          <w:sz w:val="24"/>
          <w:szCs w:val="24"/>
        </w:rPr>
      </w:pPr>
      <w:r>
        <w:rPr>
          <w:b/>
          <w:bCs/>
          <w:color w:val="000000"/>
          <w:kern w:val="0"/>
          <w:sz w:val="24"/>
          <w:szCs w:val="24"/>
        </w:rPr>
        <w:t>5.7</w:t>
      </w:r>
      <w:r>
        <w:rPr>
          <w:rFonts w:hAnsi="宋体"/>
          <w:b/>
          <w:bCs/>
          <w:color w:val="000000"/>
          <w:kern w:val="0"/>
          <w:sz w:val="24"/>
          <w:szCs w:val="24"/>
        </w:rPr>
        <w:t>报告期末按公允价值占基金资产净值比例大小排序的前五名贵金属投资明细</w:t>
      </w:r>
    </w:p>
    <w:p w:rsidR="0012438E" w:rsidRDefault="00F03621">
      <w:pPr>
        <w:widowControl/>
        <w:spacing w:line="288" w:lineRule="auto"/>
        <w:jc w:val="left"/>
        <w:rPr>
          <w:sz w:val="24"/>
          <w:szCs w:val="24"/>
        </w:rPr>
      </w:pPr>
      <w:r>
        <w:rPr>
          <w:sz w:val="24"/>
          <w:szCs w:val="24"/>
        </w:rPr>
        <w:t>本基金本报告期末未持有贵金属。</w:t>
      </w:r>
    </w:p>
    <w:p w:rsidR="0012438E" w:rsidRDefault="0012438E">
      <w:pPr>
        <w:autoSpaceDE w:val="0"/>
        <w:autoSpaceDN w:val="0"/>
        <w:adjustRightInd w:val="0"/>
        <w:spacing w:before="29" w:line="288" w:lineRule="auto"/>
        <w:jc w:val="left"/>
        <w:rPr>
          <w:color w:val="000000"/>
          <w:kern w:val="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5.8 </w:t>
      </w:r>
      <w:r>
        <w:rPr>
          <w:b/>
          <w:bCs/>
          <w:color w:val="000000"/>
          <w:kern w:val="0"/>
          <w:sz w:val="24"/>
          <w:szCs w:val="24"/>
        </w:rPr>
        <w:t>报告期末按公允价值占基金资产净值比例大小排序的前五名权证投资明细</w:t>
      </w:r>
    </w:p>
    <w:p w:rsidR="0012438E" w:rsidRDefault="00F03621">
      <w:pPr>
        <w:autoSpaceDE w:val="0"/>
        <w:autoSpaceDN w:val="0"/>
        <w:adjustRightInd w:val="0"/>
        <w:spacing w:before="29" w:line="288" w:lineRule="auto"/>
        <w:jc w:val="left"/>
        <w:rPr>
          <w:color w:val="000000"/>
          <w:sz w:val="24"/>
          <w:szCs w:val="24"/>
        </w:rPr>
      </w:pPr>
      <w:r>
        <w:rPr>
          <w:color w:val="000000"/>
          <w:sz w:val="24"/>
          <w:szCs w:val="24"/>
        </w:rPr>
        <w:t>本基金本报告期末未持有权证。</w:t>
      </w:r>
    </w:p>
    <w:p w:rsidR="0012438E" w:rsidRDefault="0012438E">
      <w:pPr>
        <w:autoSpaceDE w:val="0"/>
        <w:autoSpaceDN w:val="0"/>
        <w:adjustRightInd w:val="0"/>
        <w:spacing w:before="29" w:line="288" w:lineRule="auto"/>
        <w:jc w:val="left"/>
        <w:rPr>
          <w:color w:val="000000"/>
          <w:kern w:val="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5.9 </w:t>
      </w:r>
      <w:r>
        <w:rPr>
          <w:b/>
          <w:bCs/>
          <w:color w:val="000000"/>
          <w:kern w:val="0"/>
          <w:sz w:val="24"/>
          <w:szCs w:val="24"/>
        </w:rPr>
        <w:t>报告期末本基金投资的股指期货交易情况说明</w:t>
      </w: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5.9.1 </w:t>
      </w:r>
      <w:r>
        <w:rPr>
          <w:b/>
          <w:bCs/>
          <w:color w:val="000000"/>
          <w:kern w:val="0"/>
          <w:sz w:val="24"/>
          <w:szCs w:val="24"/>
        </w:rPr>
        <w:t>报告期末本基金投资的股指期货持仓和损益明细</w:t>
      </w:r>
    </w:p>
    <w:p w:rsidR="0012438E" w:rsidRDefault="00F03621">
      <w:pPr>
        <w:autoSpaceDE w:val="0"/>
        <w:autoSpaceDN w:val="0"/>
        <w:adjustRightInd w:val="0"/>
        <w:spacing w:before="29" w:line="288" w:lineRule="auto"/>
        <w:jc w:val="left"/>
        <w:rPr>
          <w:color w:val="000000"/>
          <w:sz w:val="24"/>
          <w:szCs w:val="24"/>
        </w:rPr>
      </w:pPr>
      <w:r>
        <w:rPr>
          <w:color w:val="000000"/>
          <w:sz w:val="24"/>
          <w:szCs w:val="24"/>
        </w:rPr>
        <w:t>本基金本报告期末未持有股指期货。</w:t>
      </w:r>
    </w:p>
    <w:p w:rsidR="0012438E" w:rsidRDefault="0012438E">
      <w:pPr>
        <w:adjustRightInd w:val="0"/>
        <w:snapToGrid w:val="0"/>
        <w:spacing w:before="29" w:line="288" w:lineRule="auto"/>
        <w:rPr>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5.9.2 </w:t>
      </w:r>
      <w:r>
        <w:rPr>
          <w:b/>
          <w:bCs/>
          <w:color w:val="000000"/>
          <w:kern w:val="0"/>
          <w:sz w:val="24"/>
          <w:szCs w:val="24"/>
        </w:rPr>
        <w:t>本基金投资股指期货的投资政策</w:t>
      </w:r>
    </w:p>
    <w:p w:rsidR="0012438E" w:rsidRDefault="00F03621">
      <w:pPr>
        <w:autoSpaceDE w:val="0"/>
        <w:autoSpaceDN w:val="0"/>
        <w:adjustRightInd w:val="0"/>
        <w:spacing w:before="29" w:line="288" w:lineRule="auto"/>
        <w:jc w:val="left"/>
        <w:rPr>
          <w:color w:val="000000"/>
          <w:sz w:val="24"/>
          <w:szCs w:val="24"/>
        </w:rPr>
      </w:pPr>
      <w:r>
        <w:rPr>
          <w:color w:val="000000"/>
          <w:sz w:val="24"/>
          <w:szCs w:val="24"/>
        </w:rPr>
        <w:t>本基金投资股指期货将根据风险管理的原则，以套期保值为主要目的。</w:t>
      </w:r>
    </w:p>
    <w:p w:rsidR="0012438E" w:rsidRDefault="0012438E">
      <w:pPr>
        <w:autoSpaceDE w:val="0"/>
        <w:autoSpaceDN w:val="0"/>
        <w:adjustRightInd w:val="0"/>
        <w:spacing w:before="29" w:line="288" w:lineRule="auto"/>
        <w:jc w:val="left"/>
        <w:rPr>
          <w:color w:val="000000"/>
          <w:kern w:val="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5.10 </w:t>
      </w:r>
      <w:r>
        <w:rPr>
          <w:b/>
          <w:bCs/>
          <w:color w:val="000000"/>
          <w:kern w:val="0"/>
          <w:sz w:val="24"/>
          <w:szCs w:val="24"/>
        </w:rPr>
        <w:t>报告期末本基金投资的国债期货交易情况说明</w:t>
      </w: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5.10.1 </w:t>
      </w:r>
      <w:r>
        <w:rPr>
          <w:b/>
          <w:bCs/>
          <w:color w:val="000000"/>
          <w:kern w:val="0"/>
          <w:sz w:val="24"/>
          <w:szCs w:val="24"/>
        </w:rPr>
        <w:t>本期国债期货投资政策</w:t>
      </w:r>
    </w:p>
    <w:p w:rsidR="0012438E" w:rsidRDefault="00F03621">
      <w:pPr>
        <w:autoSpaceDE w:val="0"/>
        <w:autoSpaceDN w:val="0"/>
        <w:adjustRightInd w:val="0"/>
        <w:spacing w:before="29" w:line="288" w:lineRule="auto"/>
        <w:jc w:val="left"/>
        <w:rPr>
          <w:color w:val="000000"/>
          <w:sz w:val="24"/>
          <w:szCs w:val="24"/>
        </w:rPr>
      </w:pPr>
      <w:r>
        <w:rPr>
          <w:color w:val="000000"/>
          <w:sz w:val="24"/>
          <w:szCs w:val="24"/>
        </w:rPr>
        <w:t>根据基金合同，本基金暂不投资国债期货。</w:t>
      </w:r>
    </w:p>
    <w:p w:rsidR="0012438E" w:rsidRDefault="0012438E">
      <w:pPr>
        <w:spacing w:before="29" w:line="288" w:lineRule="auto"/>
        <w:rPr>
          <w:color w:val="00000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5.10.2 </w:t>
      </w:r>
      <w:r>
        <w:rPr>
          <w:b/>
          <w:bCs/>
          <w:color w:val="000000"/>
          <w:kern w:val="0"/>
          <w:sz w:val="24"/>
          <w:szCs w:val="24"/>
        </w:rPr>
        <w:t>报告期末本基金投资的国债期货持仓和损益明细</w:t>
      </w:r>
    </w:p>
    <w:p w:rsidR="0012438E" w:rsidRDefault="00F03621">
      <w:pPr>
        <w:autoSpaceDE w:val="0"/>
        <w:autoSpaceDN w:val="0"/>
        <w:adjustRightInd w:val="0"/>
        <w:spacing w:before="29" w:line="288" w:lineRule="auto"/>
        <w:jc w:val="left"/>
        <w:rPr>
          <w:color w:val="000000"/>
          <w:sz w:val="24"/>
          <w:szCs w:val="24"/>
        </w:rPr>
      </w:pPr>
      <w:r>
        <w:rPr>
          <w:color w:val="000000"/>
          <w:sz w:val="24"/>
          <w:szCs w:val="24"/>
        </w:rPr>
        <w:t>本基金本报告期末未持有国债期货。</w:t>
      </w:r>
    </w:p>
    <w:p w:rsidR="0012438E" w:rsidRDefault="0012438E">
      <w:pPr>
        <w:autoSpaceDE w:val="0"/>
        <w:autoSpaceDN w:val="0"/>
        <w:adjustRightInd w:val="0"/>
        <w:spacing w:before="29" w:line="288" w:lineRule="auto"/>
        <w:jc w:val="left"/>
        <w:rPr>
          <w:color w:val="00000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5.10.3 </w:t>
      </w:r>
      <w:r>
        <w:rPr>
          <w:b/>
          <w:bCs/>
          <w:color w:val="000000"/>
          <w:kern w:val="0"/>
          <w:sz w:val="24"/>
          <w:szCs w:val="24"/>
        </w:rPr>
        <w:t>本期国债期货投资评价</w:t>
      </w:r>
    </w:p>
    <w:p w:rsidR="0012438E" w:rsidRDefault="00F03621">
      <w:pPr>
        <w:autoSpaceDE w:val="0"/>
        <w:autoSpaceDN w:val="0"/>
        <w:adjustRightInd w:val="0"/>
        <w:spacing w:before="29" w:line="288" w:lineRule="auto"/>
        <w:jc w:val="left"/>
        <w:rPr>
          <w:color w:val="000000"/>
          <w:sz w:val="24"/>
          <w:szCs w:val="24"/>
        </w:rPr>
      </w:pPr>
      <w:r>
        <w:rPr>
          <w:color w:val="000000"/>
          <w:sz w:val="24"/>
          <w:szCs w:val="24"/>
        </w:rPr>
        <w:t>根据基金合同，本基金暂不投资国债期货。</w:t>
      </w:r>
    </w:p>
    <w:p w:rsidR="0012438E" w:rsidRDefault="0012438E">
      <w:pPr>
        <w:autoSpaceDE w:val="0"/>
        <w:autoSpaceDN w:val="0"/>
        <w:adjustRightInd w:val="0"/>
        <w:spacing w:before="29" w:line="288" w:lineRule="auto"/>
        <w:jc w:val="left"/>
        <w:rPr>
          <w:color w:val="000000"/>
          <w:kern w:val="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5.11 </w:t>
      </w:r>
      <w:r>
        <w:rPr>
          <w:b/>
          <w:bCs/>
          <w:color w:val="000000"/>
          <w:kern w:val="0"/>
          <w:sz w:val="24"/>
          <w:szCs w:val="24"/>
        </w:rPr>
        <w:t>投资组合报告附注</w:t>
      </w:r>
    </w:p>
    <w:p w:rsidR="00B757E2" w:rsidRDefault="00F03621" w:rsidP="00B757E2">
      <w:pPr>
        <w:autoSpaceDE w:val="0"/>
        <w:autoSpaceDN w:val="0"/>
        <w:adjustRightInd w:val="0"/>
        <w:spacing w:before="29" w:line="288" w:lineRule="auto"/>
        <w:jc w:val="left"/>
        <w:rPr>
          <w:bCs/>
          <w:color w:val="000000"/>
          <w:kern w:val="0"/>
          <w:sz w:val="24"/>
          <w:szCs w:val="24"/>
        </w:rPr>
      </w:pPr>
      <w:r>
        <w:rPr>
          <w:bCs/>
          <w:color w:val="000000"/>
          <w:kern w:val="0"/>
          <w:sz w:val="24"/>
          <w:szCs w:val="24"/>
        </w:rPr>
        <w:t>5.11.1</w:t>
      </w:r>
      <w:r w:rsidR="00B757E2">
        <w:rPr>
          <w:bCs/>
          <w:color w:val="000000"/>
          <w:kern w:val="0"/>
          <w:sz w:val="24"/>
          <w:szCs w:val="24"/>
        </w:rPr>
        <w:t>报告期内本基金投资的万华化学（</w:t>
      </w:r>
      <w:r w:rsidR="00B757E2">
        <w:rPr>
          <w:bCs/>
          <w:color w:val="000000"/>
          <w:kern w:val="0"/>
          <w:sz w:val="24"/>
          <w:szCs w:val="24"/>
        </w:rPr>
        <w:t>600309</w:t>
      </w:r>
      <w:r w:rsidR="00B757E2">
        <w:rPr>
          <w:bCs/>
          <w:color w:val="000000"/>
          <w:kern w:val="0"/>
          <w:sz w:val="24"/>
          <w:szCs w:val="24"/>
        </w:rPr>
        <w:t>）于</w:t>
      </w:r>
      <w:r w:rsidR="00B757E2">
        <w:rPr>
          <w:bCs/>
          <w:color w:val="000000"/>
          <w:kern w:val="0"/>
          <w:sz w:val="24"/>
          <w:szCs w:val="24"/>
        </w:rPr>
        <w:t>2017</w:t>
      </w:r>
      <w:r w:rsidR="00B757E2">
        <w:rPr>
          <w:bCs/>
          <w:color w:val="000000"/>
          <w:kern w:val="0"/>
          <w:sz w:val="24"/>
          <w:szCs w:val="24"/>
        </w:rPr>
        <w:t>年</w:t>
      </w:r>
      <w:r w:rsidR="00B757E2">
        <w:rPr>
          <w:bCs/>
          <w:color w:val="000000"/>
          <w:kern w:val="0"/>
          <w:sz w:val="24"/>
          <w:szCs w:val="24"/>
        </w:rPr>
        <w:t>7</w:t>
      </w:r>
      <w:r w:rsidR="00B757E2">
        <w:rPr>
          <w:bCs/>
          <w:color w:val="000000"/>
          <w:kern w:val="0"/>
          <w:sz w:val="24"/>
          <w:szCs w:val="24"/>
        </w:rPr>
        <w:t>月</w:t>
      </w:r>
      <w:r w:rsidR="00B757E2">
        <w:rPr>
          <w:bCs/>
          <w:color w:val="000000"/>
          <w:kern w:val="0"/>
          <w:sz w:val="24"/>
          <w:szCs w:val="24"/>
        </w:rPr>
        <w:t>6</w:t>
      </w:r>
      <w:r w:rsidR="00B757E2">
        <w:rPr>
          <w:bCs/>
          <w:color w:val="000000"/>
          <w:kern w:val="0"/>
          <w:sz w:val="24"/>
          <w:szCs w:val="24"/>
        </w:rPr>
        <w:t>日公告称，公司在大修停车处理过程中，</w:t>
      </w:r>
      <w:r w:rsidR="00B757E2">
        <w:rPr>
          <w:bCs/>
          <w:color w:val="000000"/>
          <w:kern w:val="0"/>
          <w:sz w:val="24"/>
          <w:szCs w:val="24"/>
        </w:rPr>
        <w:t>MDI</w:t>
      </w:r>
      <w:r w:rsidR="00B757E2">
        <w:rPr>
          <w:bCs/>
          <w:color w:val="000000"/>
          <w:kern w:val="0"/>
          <w:sz w:val="24"/>
          <w:szCs w:val="24"/>
        </w:rPr>
        <w:t>缓冲罐发生爆炸，造成</w:t>
      </w:r>
      <w:r w:rsidR="00B757E2">
        <w:rPr>
          <w:bCs/>
          <w:color w:val="000000"/>
          <w:kern w:val="0"/>
          <w:sz w:val="24"/>
          <w:szCs w:val="24"/>
        </w:rPr>
        <w:t>4</w:t>
      </w:r>
      <w:r w:rsidR="00B757E2">
        <w:rPr>
          <w:bCs/>
          <w:color w:val="000000"/>
          <w:kern w:val="0"/>
          <w:sz w:val="24"/>
          <w:szCs w:val="24"/>
        </w:rPr>
        <w:t>人死亡、</w:t>
      </w:r>
      <w:r w:rsidR="00B757E2">
        <w:rPr>
          <w:bCs/>
          <w:color w:val="000000"/>
          <w:kern w:val="0"/>
          <w:sz w:val="24"/>
          <w:szCs w:val="24"/>
        </w:rPr>
        <w:t>4</w:t>
      </w:r>
      <w:r w:rsidR="00B757E2">
        <w:rPr>
          <w:bCs/>
          <w:color w:val="000000"/>
          <w:kern w:val="0"/>
          <w:sz w:val="24"/>
          <w:szCs w:val="24"/>
        </w:rPr>
        <w:t>人受伤，直接经济损失</w:t>
      </w:r>
      <w:r w:rsidR="00B757E2">
        <w:rPr>
          <w:bCs/>
          <w:color w:val="000000"/>
          <w:kern w:val="0"/>
          <w:sz w:val="24"/>
          <w:szCs w:val="24"/>
        </w:rPr>
        <w:t>573.62</w:t>
      </w:r>
      <w:r w:rsidR="00B757E2">
        <w:rPr>
          <w:bCs/>
          <w:color w:val="000000"/>
          <w:kern w:val="0"/>
          <w:sz w:val="24"/>
          <w:szCs w:val="24"/>
        </w:rPr>
        <w:t>万元。经烟台市政府调查，认定该次事故是一起较大生产安全责任事故。烟台市安监局对万华化学公司负责人处上一年收入</w:t>
      </w:r>
      <w:r w:rsidR="00B757E2">
        <w:rPr>
          <w:bCs/>
          <w:color w:val="000000"/>
          <w:kern w:val="0"/>
          <w:sz w:val="24"/>
          <w:szCs w:val="24"/>
        </w:rPr>
        <w:t xml:space="preserve"> 40%</w:t>
      </w:r>
      <w:r w:rsidR="00B757E2">
        <w:rPr>
          <w:bCs/>
          <w:color w:val="000000"/>
          <w:kern w:val="0"/>
          <w:sz w:val="24"/>
          <w:szCs w:val="24"/>
        </w:rPr>
        <w:t>的罚款，对万华化学公司处以</w:t>
      </w:r>
      <w:r w:rsidR="00B757E2">
        <w:rPr>
          <w:bCs/>
          <w:color w:val="000000"/>
          <w:kern w:val="0"/>
          <w:sz w:val="24"/>
          <w:szCs w:val="24"/>
        </w:rPr>
        <w:t xml:space="preserve"> 80 </w:t>
      </w:r>
      <w:r w:rsidR="00B757E2">
        <w:rPr>
          <w:bCs/>
          <w:color w:val="000000"/>
          <w:kern w:val="0"/>
          <w:sz w:val="24"/>
          <w:szCs w:val="24"/>
        </w:rPr>
        <w:t>万元罚款。</w:t>
      </w:r>
    </w:p>
    <w:p w:rsidR="00B757E2" w:rsidRDefault="00B757E2" w:rsidP="00B757E2">
      <w:pPr>
        <w:autoSpaceDE w:val="0"/>
        <w:autoSpaceDN w:val="0"/>
        <w:adjustRightInd w:val="0"/>
        <w:spacing w:before="29" w:line="288" w:lineRule="auto"/>
        <w:jc w:val="left"/>
        <w:rPr>
          <w:bCs/>
          <w:color w:val="000000"/>
          <w:kern w:val="0"/>
          <w:sz w:val="24"/>
          <w:szCs w:val="24"/>
        </w:rPr>
      </w:pPr>
      <w:r>
        <w:rPr>
          <w:bCs/>
          <w:color w:val="000000"/>
          <w:kern w:val="0"/>
          <w:sz w:val="24"/>
          <w:szCs w:val="24"/>
        </w:rPr>
        <w:t>对该证券的投资决策程序的说明：公司是国内</w:t>
      </w:r>
      <w:r>
        <w:rPr>
          <w:bCs/>
          <w:color w:val="000000"/>
          <w:kern w:val="0"/>
          <w:sz w:val="24"/>
          <w:szCs w:val="24"/>
        </w:rPr>
        <w:t>MDI</w:t>
      </w:r>
      <w:r>
        <w:rPr>
          <w:bCs/>
          <w:color w:val="000000"/>
          <w:kern w:val="0"/>
          <w:sz w:val="24"/>
          <w:szCs w:val="24"/>
        </w:rPr>
        <w:t>制造龙头企业，亚洲最大的</w:t>
      </w:r>
      <w:r>
        <w:rPr>
          <w:bCs/>
          <w:color w:val="000000"/>
          <w:kern w:val="0"/>
          <w:sz w:val="24"/>
          <w:szCs w:val="24"/>
        </w:rPr>
        <w:t>MDI</w:t>
      </w:r>
      <w:r>
        <w:rPr>
          <w:bCs/>
          <w:color w:val="000000"/>
          <w:kern w:val="0"/>
          <w:sz w:val="24"/>
          <w:szCs w:val="24"/>
        </w:rPr>
        <w:t>制造企业。公司盈利能力强，十月份聚合</w:t>
      </w:r>
      <w:r>
        <w:rPr>
          <w:bCs/>
          <w:color w:val="000000"/>
          <w:kern w:val="0"/>
          <w:sz w:val="24"/>
          <w:szCs w:val="24"/>
        </w:rPr>
        <w:t>MDI</w:t>
      </w:r>
      <w:r>
        <w:rPr>
          <w:bCs/>
          <w:color w:val="000000"/>
          <w:kern w:val="0"/>
          <w:sz w:val="24"/>
          <w:szCs w:val="24"/>
        </w:rPr>
        <w:t>直销价格和纯</w:t>
      </w:r>
      <w:r>
        <w:rPr>
          <w:bCs/>
          <w:color w:val="000000"/>
          <w:kern w:val="0"/>
          <w:sz w:val="24"/>
          <w:szCs w:val="24"/>
        </w:rPr>
        <w:t>MDI</w:t>
      </w:r>
      <w:r>
        <w:rPr>
          <w:bCs/>
          <w:color w:val="000000"/>
          <w:kern w:val="0"/>
          <w:sz w:val="24"/>
          <w:szCs w:val="24"/>
        </w:rPr>
        <w:t>价格上涨，将实质拉动原材料价差，业绩有望继续提升。经过本基金管理人内部严格的投资决策流程，该证券被纳入本基金的实际投资组合。</w:t>
      </w:r>
    </w:p>
    <w:p w:rsidR="0012438E" w:rsidRPr="00B757E2" w:rsidRDefault="00B757E2">
      <w:pPr>
        <w:autoSpaceDE w:val="0"/>
        <w:autoSpaceDN w:val="0"/>
        <w:adjustRightInd w:val="0"/>
        <w:spacing w:before="29" w:line="288" w:lineRule="auto"/>
        <w:jc w:val="left"/>
        <w:rPr>
          <w:bCs/>
          <w:color w:val="000000"/>
          <w:kern w:val="0"/>
          <w:sz w:val="24"/>
          <w:szCs w:val="24"/>
        </w:rPr>
      </w:pPr>
      <w:r>
        <w:rPr>
          <w:bCs/>
          <w:color w:val="000000"/>
          <w:kern w:val="0"/>
          <w:sz w:val="24"/>
          <w:szCs w:val="24"/>
        </w:rPr>
        <w:t>其余九名证券的发行主体没有被监管部门立案调查或在本报告编制日前一年内受到公开谴责、处罚的情况。</w:t>
      </w:r>
      <w:bookmarkStart w:id="2" w:name="_GoBack"/>
      <w:bookmarkEnd w:id="2"/>
    </w:p>
    <w:p w:rsidR="0012438E" w:rsidRDefault="00F03621">
      <w:pPr>
        <w:autoSpaceDE w:val="0"/>
        <w:autoSpaceDN w:val="0"/>
        <w:adjustRightInd w:val="0"/>
        <w:spacing w:before="29" w:line="288" w:lineRule="auto"/>
        <w:jc w:val="left"/>
        <w:rPr>
          <w:bCs/>
          <w:color w:val="000000"/>
          <w:kern w:val="0"/>
          <w:sz w:val="24"/>
          <w:szCs w:val="24"/>
        </w:rPr>
      </w:pPr>
      <w:r>
        <w:rPr>
          <w:bCs/>
          <w:color w:val="000000"/>
          <w:kern w:val="0"/>
          <w:sz w:val="24"/>
          <w:szCs w:val="24"/>
        </w:rPr>
        <w:t>5.11.2</w:t>
      </w:r>
      <w:r>
        <w:rPr>
          <w:bCs/>
          <w:color w:val="000000"/>
          <w:kern w:val="0"/>
          <w:sz w:val="24"/>
          <w:szCs w:val="24"/>
        </w:rPr>
        <w:t>本基金投资的前十名股票中，没有投资于超出基金合同规定备选股票库之外的股票。</w:t>
      </w: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5.11.3 </w:t>
      </w:r>
      <w:r>
        <w:rPr>
          <w:b/>
          <w:bCs/>
          <w:color w:val="000000"/>
          <w:kern w:val="0"/>
          <w:sz w:val="24"/>
          <w:szCs w:val="24"/>
        </w:rPr>
        <w:t>其他资产构成</w:t>
      </w:r>
    </w:p>
    <w:tbl>
      <w:tblPr>
        <w:tblStyle w:val="af8"/>
        <w:tblpPr w:leftFromText="180" w:rightFromText="180" w:vertAnchor="text" w:horzAnchor="margin" w:tblpXSpec="center" w:tblpY="265"/>
        <w:tblW w:w="8868" w:type="dxa"/>
        <w:jc w:val="center"/>
        <w:tblLayout w:type="fixed"/>
        <w:tblCellMar>
          <w:top w:w="-1" w:type="dxa"/>
          <w:bottom w:w="-1" w:type="dxa"/>
        </w:tblCellMar>
        <w:tblLook w:val="04A0"/>
      </w:tblPr>
      <w:tblGrid>
        <w:gridCol w:w="1287"/>
        <w:gridCol w:w="2573"/>
        <w:gridCol w:w="5008"/>
      </w:tblGrid>
      <w:tr w:rsidR="0012438E">
        <w:trPr>
          <w:jc w:val="center"/>
        </w:trPr>
        <w:tc>
          <w:tcPr>
            <w:tcW w:w="1287" w:type="dxa"/>
            <w:vAlign w:val="center"/>
          </w:tcPr>
          <w:p w:rsidR="0012438E" w:rsidRDefault="00F03621">
            <w:pPr>
              <w:autoSpaceDE w:val="0"/>
              <w:autoSpaceDN w:val="0"/>
              <w:adjustRightInd w:val="0"/>
              <w:spacing w:before="29" w:line="288" w:lineRule="auto"/>
              <w:ind w:left="17"/>
              <w:jc w:val="center"/>
              <w:rPr>
                <w:color w:val="000000"/>
                <w:kern w:val="0"/>
                <w:sz w:val="24"/>
                <w:szCs w:val="24"/>
              </w:rPr>
            </w:pPr>
            <w:r>
              <w:rPr>
                <w:color w:val="000000"/>
                <w:kern w:val="0"/>
                <w:sz w:val="24"/>
                <w:szCs w:val="24"/>
              </w:rPr>
              <w:t>序号</w:t>
            </w:r>
          </w:p>
        </w:tc>
        <w:tc>
          <w:tcPr>
            <w:tcW w:w="2573" w:type="dxa"/>
            <w:vAlign w:val="center"/>
          </w:tcPr>
          <w:p w:rsidR="0012438E" w:rsidRDefault="00F03621">
            <w:pPr>
              <w:autoSpaceDE w:val="0"/>
              <w:autoSpaceDN w:val="0"/>
              <w:adjustRightInd w:val="0"/>
              <w:spacing w:before="29" w:line="288" w:lineRule="auto"/>
              <w:ind w:left="17"/>
              <w:jc w:val="center"/>
              <w:rPr>
                <w:color w:val="000000"/>
                <w:kern w:val="0"/>
                <w:sz w:val="24"/>
                <w:szCs w:val="24"/>
              </w:rPr>
            </w:pPr>
            <w:r>
              <w:rPr>
                <w:color w:val="000000"/>
                <w:kern w:val="0"/>
                <w:sz w:val="24"/>
                <w:szCs w:val="24"/>
              </w:rPr>
              <w:t>名称</w:t>
            </w:r>
          </w:p>
        </w:tc>
        <w:tc>
          <w:tcPr>
            <w:tcW w:w="5008" w:type="dxa"/>
            <w:vAlign w:val="center"/>
          </w:tcPr>
          <w:p w:rsidR="0012438E" w:rsidRDefault="00F03621">
            <w:pPr>
              <w:autoSpaceDE w:val="0"/>
              <w:autoSpaceDN w:val="0"/>
              <w:adjustRightInd w:val="0"/>
              <w:spacing w:before="29" w:line="288" w:lineRule="auto"/>
              <w:ind w:left="17"/>
              <w:jc w:val="center"/>
              <w:rPr>
                <w:color w:val="000000"/>
                <w:kern w:val="0"/>
                <w:sz w:val="24"/>
                <w:szCs w:val="24"/>
              </w:rPr>
            </w:pPr>
            <w:r>
              <w:rPr>
                <w:color w:val="000000"/>
                <w:kern w:val="0"/>
                <w:sz w:val="24"/>
                <w:szCs w:val="24"/>
              </w:rPr>
              <w:t>金额</w:t>
            </w:r>
            <w:r>
              <w:rPr>
                <w:color w:val="000000"/>
                <w:kern w:val="0"/>
                <w:sz w:val="24"/>
              </w:rPr>
              <w:t>（元）</w:t>
            </w:r>
          </w:p>
        </w:tc>
      </w:tr>
      <w:tr w:rsidR="0012438E">
        <w:trPr>
          <w:jc w:val="center"/>
        </w:trPr>
        <w:tc>
          <w:tcPr>
            <w:tcW w:w="1287" w:type="dxa"/>
            <w:vAlign w:val="center"/>
          </w:tcPr>
          <w:p w:rsidR="0012438E" w:rsidRDefault="00F03621">
            <w:pPr>
              <w:autoSpaceDE w:val="0"/>
              <w:autoSpaceDN w:val="0"/>
              <w:adjustRightInd w:val="0"/>
              <w:spacing w:before="29" w:line="288" w:lineRule="auto"/>
              <w:ind w:left="15"/>
              <w:jc w:val="center"/>
              <w:rPr>
                <w:color w:val="000000"/>
                <w:kern w:val="0"/>
                <w:sz w:val="24"/>
                <w:szCs w:val="24"/>
              </w:rPr>
            </w:pPr>
            <w:r>
              <w:rPr>
                <w:color w:val="000000"/>
                <w:kern w:val="0"/>
                <w:sz w:val="24"/>
                <w:szCs w:val="24"/>
              </w:rPr>
              <w:t>1</w:t>
            </w:r>
          </w:p>
        </w:tc>
        <w:tc>
          <w:tcPr>
            <w:tcW w:w="2573" w:type="dxa"/>
            <w:vAlign w:val="center"/>
          </w:tcPr>
          <w:p w:rsidR="0012438E" w:rsidRDefault="00F03621">
            <w:pPr>
              <w:autoSpaceDE w:val="0"/>
              <w:autoSpaceDN w:val="0"/>
              <w:adjustRightInd w:val="0"/>
              <w:spacing w:before="29" w:line="288" w:lineRule="auto"/>
              <w:ind w:left="15"/>
              <w:jc w:val="left"/>
              <w:rPr>
                <w:color w:val="000000"/>
                <w:kern w:val="0"/>
                <w:sz w:val="24"/>
                <w:szCs w:val="24"/>
              </w:rPr>
            </w:pPr>
            <w:r>
              <w:rPr>
                <w:color w:val="000000"/>
                <w:kern w:val="0"/>
                <w:sz w:val="24"/>
                <w:szCs w:val="24"/>
              </w:rPr>
              <w:t>存出保证金</w:t>
            </w:r>
          </w:p>
        </w:tc>
        <w:tc>
          <w:tcPr>
            <w:tcW w:w="5008" w:type="dxa"/>
            <w:vAlign w:val="center"/>
          </w:tcPr>
          <w:p w:rsidR="0012438E" w:rsidRDefault="00F03621">
            <w:pPr>
              <w:autoSpaceDE w:val="0"/>
              <w:autoSpaceDN w:val="0"/>
              <w:adjustRightInd w:val="0"/>
              <w:spacing w:before="29" w:line="288" w:lineRule="auto"/>
              <w:ind w:left="15"/>
              <w:jc w:val="right"/>
              <w:rPr>
                <w:color w:val="000000"/>
                <w:kern w:val="0"/>
                <w:sz w:val="24"/>
                <w:szCs w:val="24"/>
              </w:rPr>
            </w:pPr>
            <w:r>
              <w:rPr>
                <w:color w:val="000000"/>
                <w:kern w:val="0"/>
                <w:sz w:val="24"/>
                <w:szCs w:val="24"/>
              </w:rPr>
              <w:t>23,063.28</w:t>
            </w:r>
          </w:p>
        </w:tc>
      </w:tr>
      <w:tr w:rsidR="0012438E">
        <w:trPr>
          <w:jc w:val="center"/>
        </w:trPr>
        <w:tc>
          <w:tcPr>
            <w:tcW w:w="1287" w:type="dxa"/>
            <w:vAlign w:val="center"/>
          </w:tcPr>
          <w:p w:rsidR="0012438E" w:rsidRDefault="00F03621">
            <w:pPr>
              <w:autoSpaceDE w:val="0"/>
              <w:autoSpaceDN w:val="0"/>
              <w:adjustRightInd w:val="0"/>
              <w:spacing w:before="29" w:line="288" w:lineRule="auto"/>
              <w:ind w:left="15"/>
              <w:jc w:val="center"/>
              <w:rPr>
                <w:color w:val="000000"/>
                <w:kern w:val="0"/>
                <w:sz w:val="24"/>
                <w:szCs w:val="24"/>
              </w:rPr>
            </w:pPr>
            <w:r>
              <w:rPr>
                <w:color w:val="000000"/>
                <w:kern w:val="0"/>
                <w:sz w:val="24"/>
                <w:szCs w:val="24"/>
              </w:rPr>
              <w:t>2</w:t>
            </w:r>
          </w:p>
        </w:tc>
        <w:tc>
          <w:tcPr>
            <w:tcW w:w="2573" w:type="dxa"/>
            <w:vAlign w:val="center"/>
          </w:tcPr>
          <w:p w:rsidR="0012438E" w:rsidRDefault="00F03621">
            <w:pPr>
              <w:autoSpaceDE w:val="0"/>
              <w:autoSpaceDN w:val="0"/>
              <w:adjustRightInd w:val="0"/>
              <w:spacing w:before="29" w:line="288" w:lineRule="auto"/>
              <w:ind w:left="15"/>
              <w:jc w:val="left"/>
              <w:rPr>
                <w:color w:val="000000"/>
                <w:kern w:val="0"/>
                <w:sz w:val="24"/>
                <w:szCs w:val="24"/>
              </w:rPr>
            </w:pPr>
            <w:r>
              <w:rPr>
                <w:color w:val="000000"/>
                <w:kern w:val="0"/>
                <w:sz w:val="24"/>
                <w:szCs w:val="24"/>
              </w:rPr>
              <w:t>应收证券清算款</w:t>
            </w:r>
          </w:p>
        </w:tc>
        <w:tc>
          <w:tcPr>
            <w:tcW w:w="5008" w:type="dxa"/>
            <w:vAlign w:val="center"/>
          </w:tcPr>
          <w:p w:rsidR="0012438E" w:rsidRDefault="00F03621">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12438E">
        <w:trPr>
          <w:jc w:val="center"/>
        </w:trPr>
        <w:tc>
          <w:tcPr>
            <w:tcW w:w="1287" w:type="dxa"/>
            <w:vAlign w:val="center"/>
          </w:tcPr>
          <w:p w:rsidR="0012438E" w:rsidRDefault="00F03621">
            <w:pPr>
              <w:autoSpaceDE w:val="0"/>
              <w:autoSpaceDN w:val="0"/>
              <w:adjustRightInd w:val="0"/>
              <w:spacing w:before="29" w:line="288" w:lineRule="auto"/>
              <w:ind w:left="15"/>
              <w:jc w:val="center"/>
              <w:rPr>
                <w:color w:val="000000"/>
                <w:kern w:val="0"/>
                <w:sz w:val="24"/>
                <w:szCs w:val="24"/>
              </w:rPr>
            </w:pPr>
            <w:r>
              <w:rPr>
                <w:color w:val="000000"/>
                <w:kern w:val="0"/>
                <w:sz w:val="24"/>
                <w:szCs w:val="24"/>
              </w:rPr>
              <w:t>3</w:t>
            </w:r>
          </w:p>
        </w:tc>
        <w:tc>
          <w:tcPr>
            <w:tcW w:w="2573" w:type="dxa"/>
            <w:vAlign w:val="center"/>
          </w:tcPr>
          <w:p w:rsidR="0012438E" w:rsidRDefault="00F03621">
            <w:pPr>
              <w:autoSpaceDE w:val="0"/>
              <w:autoSpaceDN w:val="0"/>
              <w:adjustRightInd w:val="0"/>
              <w:spacing w:before="29" w:line="288" w:lineRule="auto"/>
              <w:ind w:left="15"/>
              <w:jc w:val="left"/>
              <w:rPr>
                <w:color w:val="000000"/>
                <w:kern w:val="0"/>
                <w:sz w:val="24"/>
                <w:szCs w:val="24"/>
              </w:rPr>
            </w:pPr>
            <w:r>
              <w:rPr>
                <w:color w:val="000000"/>
                <w:kern w:val="0"/>
                <w:sz w:val="24"/>
                <w:szCs w:val="24"/>
              </w:rPr>
              <w:t>应收股利</w:t>
            </w:r>
          </w:p>
        </w:tc>
        <w:tc>
          <w:tcPr>
            <w:tcW w:w="5008" w:type="dxa"/>
            <w:vAlign w:val="center"/>
          </w:tcPr>
          <w:p w:rsidR="0012438E" w:rsidRDefault="00F03621">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12438E">
        <w:trPr>
          <w:jc w:val="center"/>
        </w:trPr>
        <w:tc>
          <w:tcPr>
            <w:tcW w:w="1287" w:type="dxa"/>
            <w:vAlign w:val="center"/>
          </w:tcPr>
          <w:p w:rsidR="0012438E" w:rsidRDefault="00F03621">
            <w:pPr>
              <w:autoSpaceDE w:val="0"/>
              <w:autoSpaceDN w:val="0"/>
              <w:adjustRightInd w:val="0"/>
              <w:spacing w:before="29" w:line="288" w:lineRule="auto"/>
              <w:ind w:left="15"/>
              <w:jc w:val="center"/>
              <w:rPr>
                <w:color w:val="000000"/>
                <w:kern w:val="0"/>
                <w:sz w:val="24"/>
                <w:szCs w:val="24"/>
              </w:rPr>
            </w:pPr>
            <w:r>
              <w:rPr>
                <w:color w:val="000000"/>
                <w:kern w:val="0"/>
                <w:sz w:val="24"/>
                <w:szCs w:val="24"/>
              </w:rPr>
              <w:t>4</w:t>
            </w:r>
          </w:p>
        </w:tc>
        <w:tc>
          <w:tcPr>
            <w:tcW w:w="2573" w:type="dxa"/>
            <w:vAlign w:val="center"/>
          </w:tcPr>
          <w:p w:rsidR="0012438E" w:rsidRDefault="00F03621">
            <w:pPr>
              <w:autoSpaceDE w:val="0"/>
              <w:autoSpaceDN w:val="0"/>
              <w:adjustRightInd w:val="0"/>
              <w:spacing w:before="29" w:line="288" w:lineRule="auto"/>
              <w:ind w:left="15"/>
              <w:jc w:val="left"/>
              <w:rPr>
                <w:color w:val="000000"/>
                <w:kern w:val="0"/>
                <w:sz w:val="24"/>
                <w:szCs w:val="24"/>
              </w:rPr>
            </w:pPr>
            <w:r>
              <w:rPr>
                <w:color w:val="000000"/>
                <w:kern w:val="0"/>
                <w:sz w:val="24"/>
                <w:szCs w:val="24"/>
              </w:rPr>
              <w:t>应收利息</w:t>
            </w:r>
          </w:p>
        </w:tc>
        <w:tc>
          <w:tcPr>
            <w:tcW w:w="5008" w:type="dxa"/>
            <w:vAlign w:val="center"/>
          </w:tcPr>
          <w:p w:rsidR="0012438E" w:rsidRDefault="00F03621">
            <w:pPr>
              <w:autoSpaceDE w:val="0"/>
              <w:autoSpaceDN w:val="0"/>
              <w:adjustRightInd w:val="0"/>
              <w:spacing w:before="29" w:line="288" w:lineRule="auto"/>
              <w:ind w:left="15"/>
              <w:jc w:val="right"/>
              <w:rPr>
                <w:color w:val="000000"/>
                <w:kern w:val="0"/>
                <w:sz w:val="24"/>
                <w:szCs w:val="24"/>
              </w:rPr>
            </w:pPr>
            <w:r>
              <w:rPr>
                <w:color w:val="000000"/>
                <w:kern w:val="0"/>
                <w:sz w:val="24"/>
                <w:szCs w:val="24"/>
              </w:rPr>
              <w:t>5,899.66</w:t>
            </w:r>
          </w:p>
        </w:tc>
      </w:tr>
      <w:tr w:rsidR="0012438E">
        <w:trPr>
          <w:jc w:val="center"/>
        </w:trPr>
        <w:tc>
          <w:tcPr>
            <w:tcW w:w="1287" w:type="dxa"/>
            <w:vAlign w:val="center"/>
          </w:tcPr>
          <w:p w:rsidR="0012438E" w:rsidRDefault="00F03621">
            <w:pPr>
              <w:autoSpaceDE w:val="0"/>
              <w:autoSpaceDN w:val="0"/>
              <w:adjustRightInd w:val="0"/>
              <w:spacing w:before="29" w:line="288" w:lineRule="auto"/>
              <w:ind w:left="15"/>
              <w:jc w:val="center"/>
              <w:rPr>
                <w:color w:val="000000"/>
                <w:kern w:val="0"/>
                <w:sz w:val="24"/>
                <w:szCs w:val="24"/>
              </w:rPr>
            </w:pPr>
            <w:r>
              <w:rPr>
                <w:color w:val="000000"/>
                <w:kern w:val="0"/>
                <w:sz w:val="24"/>
                <w:szCs w:val="24"/>
              </w:rPr>
              <w:t>5</w:t>
            </w:r>
          </w:p>
        </w:tc>
        <w:tc>
          <w:tcPr>
            <w:tcW w:w="2573" w:type="dxa"/>
            <w:vAlign w:val="center"/>
          </w:tcPr>
          <w:p w:rsidR="0012438E" w:rsidRDefault="00F03621">
            <w:pPr>
              <w:autoSpaceDE w:val="0"/>
              <w:autoSpaceDN w:val="0"/>
              <w:adjustRightInd w:val="0"/>
              <w:spacing w:before="29" w:line="288" w:lineRule="auto"/>
              <w:ind w:left="15"/>
              <w:jc w:val="left"/>
              <w:rPr>
                <w:color w:val="000000"/>
                <w:kern w:val="0"/>
                <w:sz w:val="24"/>
                <w:szCs w:val="24"/>
              </w:rPr>
            </w:pPr>
            <w:r>
              <w:rPr>
                <w:color w:val="000000"/>
                <w:kern w:val="0"/>
                <w:sz w:val="24"/>
                <w:szCs w:val="24"/>
              </w:rPr>
              <w:t>应收申购款</w:t>
            </w:r>
          </w:p>
        </w:tc>
        <w:tc>
          <w:tcPr>
            <w:tcW w:w="5008" w:type="dxa"/>
            <w:vAlign w:val="center"/>
          </w:tcPr>
          <w:p w:rsidR="0012438E" w:rsidRDefault="00F03621">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12438E">
        <w:trPr>
          <w:jc w:val="center"/>
        </w:trPr>
        <w:tc>
          <w:tcPr>
            <w:tcW w:w="1287" w:type="dxa"/>
            <w:vAlign w:val="center"/>
          </w:tcPr>
          <w:p w:rsidR="0012438E" w:rsidRDefault="00F03621">
            <w:pPr>
              <w:autoSpaceDE w:val="0"/>
              <w:autoSpaceDN w:val="0"/>
              <w:adjustRightInd w:val="0"/>
              <w:spacing w:before="29" w:line="288" w:lineRule="auto"/>
              <w:ind w:left="15"/>
              <w:jc w:val="center"/>
              <w:rPr>
                <w:color w:val="000000"/>
                <w:kern w:val="0"/>
                <w:sz w:val="24"/>
                <w:szCs w:val="24"/>
              </w:rPr>
            </w:pPr>
            <w:r>
              <w:rPr>
                <w:color w:val="000000"/>
                <w:kern w:val="0"/>
                <w:sz w:val="24"/>
                <w:szCs w:val="24"/>
              </w:rPr>
              <w:t>6</w:t>
            </w:r>
          </w:p>
        </w:tc>
        <w:tc>
          <w:tcPr>
            <w:tcW w:w="2573" w:type="dxa"/>
            <w:vAlign w:val="center"/>
          </w:tcPr>
          <w:p w:rsidR="0012438E" w:rsidRDefault="00F03621">
            <w:pPr>
              <w:autoSpaceDE w:val="0"/>
              <w:autoSpaceDN w:val="0"/>
              <w:adjustRightInd w:val="0"/>
              <w:spacing w:before="29" w:line="288" w:lineRule="auto"/>
              <w:ind w:left="15"/>
              <w:jc w:val="left"/>
              <w:rPr>
                <w:color w:val="000000"/>
                <w:kern w:val="0"/>
                <w:sz w:val="24"/>
                <w:szCs w:val="24"/>
              </w:rPr>
            </w:pPr>
            <w:r>
              <w:rPr>
                <w:color w:val="000000"/>
                <w:kern w:val="0"/>
                <w:sz w:val="24"/>
                <w:szCs w:val="24"/>
              </w:rPr>
              <w:t>其他应收款</w:t>
            </w:r>
          </w:p>
        </w:tc>
        <w:tc>
          <w:tcPr>
            <w:tcW w:w="5008" w:type="dxa"/>
            <w:vAlign w:val="center"/>
          </w:tcPr>
          <w:p w:rsidR="0012438E" w:rsidRDefault="00F03621">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12438E">
        <w:trPr>
          <w:jc w:val="center"/>
        </w:trPr>
        <w:tc>
          <w:tcPr>
            <w:tcW w:w="1287" w:type="dxa"/>
            <w:vAlign w:val="center"/>
          </w:tcPr>
          <w:p w:rsidR="0012438E" w:rsidRDefault="00F03621">
            <w:pPr>
              <w:autoSpaceDE w:val="0"/>
              <w:autoSpaceDN w:val="0"/>
              <w:adjustRightInd w:val="0"/>
              <w:spacing w:before="29" w:line="288" w:lineRule="auto"/>
              <w:ind w:left="15"/>
              <w:jc w:val="center"/>
              <w:rPr>
                <w:color w:val="000000"/>
                <w:kern w:val="0"/>
                <w:sz w:val="24"/>
                <w:szCs w:val="24"/>
              </w:rPr>
            </w:pPr>
            <w:r>
              <w:rPr>
                <w:color w:val="000000"/>
                <w:kern w:val="0"/>
                <w:sz w:val="24"/>
                <w:szCs w:val="24"/>
              </w:rPr>
              <w:t>7</w:t>
            </w:r>
          </w:p>
        </w:tc>
        <w:tc>
          <w:tcPr>
            <w:tcW w:w="2573" w:type="dxa"/>
            <w:vAlign w:val="center"/>
          </w:tcPr>
          <w:p w:rsidR="0012438E" w:rsidRDefault="00F03621">
            <w:pPr>
              <w:autoSpaceDE w:val="0"/>
              <w:autoSpaceDN w:val="0"/>
              <w:adjustRightInd w:val="0"/>
              <w:spacing w:before="29" w:line="288" w:lineRule="auto"/>
              <w:ind w:left="15"/>
              <w:jc w:val="left"/>
              <w:rPr>
                <w:color w:val="000000"/>
                <w:kern w:val="0"/>
                <w:sz w:val="24"/>
                <w:szCs w:val="24"/>
              </w:rPr>
            </w:pPr>
            <w:r>
              <w:rPr>
                <w:color w:val="000000"/>
                <w:kern w:val="0"/>
                <w:sz w:val="24"/>
                <w:szCs w:val="24"/>
              </w:rPr>
              <w:t>待摊费用</w:t>
            </w:r>
          </w:p>
        </w:tc>
        <w:tc>
          <w:tcPr>
            <w:tcW w:w="5008" w:type="dxa"/>
            <w:vAlign w:val="center"/>
          </w:tcPr>
          <w:p w:rsidR="0012438E" w:rsidRDefault="00F03621">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12438E">
        <w:trPr>
          <w:jc w:val="center"/>
        </w:trPr>
        <w:tc>
          <w:tcPr>
            <w:tcW w:w="1287" w:type="dxa"/>
            <w:vAlign w:val="center"/>
          </w:tcPr>
          <w:p w:rsidR="0012438E" w:rsidRDefault="00F03621">
            <w:pPr>
              <w:autoSpaceDE w:val="0"/>
              <w:autoSpaceDN w:val="0"/>
              <w:adjustRightInd w:val="0"/>
              <w:spacing w:before="29" w:line="288" w:lineRule="auto"/>
              <w:ind w:left="15"/>
              <w:jc w:val="center"/>
              <w:rPr>
                <w:color w:val="000000"/>
                <w:kern w:val="0"/>
                <w:sz w:val="24"/>
                <w:szCs w:val="24"/>
              </w:rPr>
            </w:pPr>
            <w:r>
              <w:rPr>
                <w:color w:val="000000"/>
                <w:kern w:val="0"/>
                <w:sz w:val="24"/>
                <w:szCs w:val="24"/>
              </w:rPr>
              <w:t>8</w:t>
            </w:r>
          </w:p>
        </w:tc>
        <w:tc>
          <w:tcPr>
            <w:tcW w:w="2573" w:type="dxa"/>
            <w:vAlign w:val="center"/>
          </w:tcPr>
          <w:p w:rsidR="0012438E" w:rsidRDefault="00F03621">
            <w:pPr>
              <w:autoSpaceDE w:val="0"/>
              <w:autoSpaceDN w:val="0"/>
              <w:adjustRightInd w:val="0"/>
              <w:spacing w:before="29" w:line="288" w:lineRule="auto"/>
              <w:ind w:left="15"/>
              <w:jc w:val="left"/>
              <w:rPr>
                <w:color w:val="000000"/>
                <w:kern w:val="0"/>
                <w:sz w:val="24"/>
                <w:szCs w:val="24"/>
              </w:rPr>
            </w:pPr>
            <w:r>
              <w:rPr>
                <w:color w:val="000000"/>
                <w:kern w:val="0"/>
                <w:sz w:val="24"/>
                <w:szCs w:val="24"/>
              </w:rPr>
              <w:t>其他</w:t>
            </w:r>
          </w:p>
        </w:tc>
        <w:tc>
          <w:tcPr>
            <w:tcW w:w="5008" w:type="dxa"/>
            <w:vAlign w:val="center"/>
          </w:tcPr>
          <w:p w:rsidR="0012438E" w:rsidRDefault="00F03621">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12438E">
        <w:trPr>
          <w:jc w:val="center"/>
        </w:trPr>
        <w:tc>
          <w:tcPr>
            <w:tcW w:w="1287" w:type="dxa"/>
            <w:vAlign w:val="center"/>
          </w:tcPr>
          <w:p w:rsidR="0012438E" w:rsidRDefault="00F03621">
            <w:pPr>
              <w:autoSpaceDE w:val="0"/>
              <w:autoSpaceDN w:val="0"/>
              <w:adjustRightInd w:val="0"/>
              <w:spacing w:before="29" w:line="288" w:lineRule="auto"/>
              <w:ind w:left="15"/>
              <w:jc w:val="center"/>
              <w:rPr>
                <w:color w:val="000000"/>
                <w:kern w:val="0"/>
                <w:sz w:val="24"/>
                <w:szCs w:val="24"/>
              </w:rPr>
            </w:pPr>
            <w:r>
              <w:rPr>
                <w:color w:val="000000"/>
                <w:kern w:val="0"/>
                <w:sz w:val="24"/>
                <w:szCs w:val="24"/>
              </w:rPr>
              <w:t>9</w:t>
            </w:r>
          </w:p>
        </w:tc>
        <w:tc>
          <w:tcPr>
            <w:tcW w:w="2573" w:type="dxa"/>
            <w:vAlign w:val="center"/>
          </w:tcPr>
          <w:p w:rsidR="0012438E" w:rsidRDefault="00F03621">
            <w:pPr>
              <w:autoSpaceDE w:val="0"/>
              <w:autoSpaceDN w:val="0"/>
              <w:adjustRightInd w:val="0"/>
              <w:spacing w:before="29" w:line="288" w:lineRule="auto"/>
              <w:ind w:left="15"/>
              <w:jc w:val="left"/>
              <w:rPr>
                <w:color w:val="000000"/>
                <w:kern w:val="0"/>
                <w:sz w:val="24"/>
                <w:szCs w:val="24"/>
              </w:rPr>
            </w:pPr>
            <w:r>
              <w:rPr>
                <w:color w:val="000000"/>
                <w:kern w:val="0"/>
                <w:sz w:val="24"/>
                <w:szCs w:val="24"/>
              </w:rPr>
              <w:t>合计</w:t>
            </w:r>
          </w:p>
        </w:tc>
        <w:tc>
          <w:tcPr>
            <w:tcW w:w="5008" w:type="dxa"/>
            <w:vAlign w:val="center"/>
          </w:tcPr>
          <w:p w:rsidR="0012438E" w:rsidRDefault="00F03621">
            <w:pPr>
              <w:autoSpaceDE w:val="0"/>
              <w:autoSpaceDN w:val="0"/>
              <w:adjustRightInd w:val="0"/>
              <w:spacing w:before="29" w:line="288" w:lineRule="auto"/>
              <w:ind w:left="15"/>
              <w:jc w:val="right"/>
              <w:rPr>
                <w:color w:val="000000"/>
                <w:kern w:val="0"/>
                <w:sz w:val="24"/>
                <w:szCs w:val="24"/>
              </w:rPr>
            </w:pPr>
            <w:r>
              <w:rPr>
                <w:color w:val="000000"/>
                <w:kern w:val="0"/>
                <w:sz w:val="24"/>
                <w:szCs w:val="24"/>
              </w:rPr>
              <w:t>28,962.94</w:t>
            </w:r>
          </w:p>
        </w:tc>
      </w:tr>
    </w:tbl>
    <w:p w:rsidR="0012438E" w:rsidRDefault="0012438E">
      <w:pPr>
        <w:autoSpaceDE w:val="0"/>
        <w:autoSpaceDN w:val="0"/>
        <w:adjustRightInd w:val="0"/>
        <w:spacing w:before="29" w:line="288" w:lineRule="auto"/>
        <w:rPr>
          <w:color w:val="00000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5.11.4 </w:t>
      </w:r>
      <w:r>
        <w:rPr>
          <w:b/>
          <w:bCs/>
          <w:color w:val="000000"/>
          <w:kern w:val="0"/>
          <w:sz w:val="24"/>
          <w:szCs w:val="24"/>
        </w:rPr>
        <w:t>报告期末持有的处于转股期的可转换债券明细</w:t>
      </w:r>
    </w:p>
    <w:p w:rsidR="0012438E" w:rsidRDefault="00F03621">
      <w:pPr>
        <w:autoSpaceDE w:val="0"/>
        <w:autoSpaceDN w:val="0"/>
        <w:adjustRightInd w:val="0"/>
        <w:spacing w:before="29" w:line="288" w:lineRule="auto"/>
        <w:jc w:val="left"/>
        <w:rPr>
          <w:color w:val="000000"/>
          <w:sz w:val="24"/>
          <w:szCs w:val="24"/>
        </w:rPr>
      </w:pPr>
      <w:r>
        <w:rPr>
          <w:color w:val="000000"/>
          <w:sz w:val="24"/>
          <w:szCs w:val="24"/>
        </w:rPr>
        <w:t>本基金本报告期末未持有处于转股期的可转换债券。</w:t>
      </w:r>
    </w:p>
    <w:p w:rsidR="0012438E" w:rsidRDefault="0012438E">
      <w:pPr>
        <w:autoSpaceDE w:val="0"/>
        <w:autoSpaceDN w:val="0"/>
        <w:adjustRightInd w:val="0"/>
        <w:spacing w:before="29" w:line="288" w:lineRule="auto"/>
        <w:rPr>
          <w:color w:val="00000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5.11.5 </w:t>
      </w:r>
      <w:r>
        <w:rPr>
          <w:b/>
          <w:bCs/>
          <w:color w:val="000000"/>
          <w:kern w:val="0"/>
          <w:sz w:val="24"/>
          <w:szCs w:val="24"/>
        </w:rPr>
        <w:t>报告期末前十名股票中存在流通受限情况的说明</w:t>
      </w:r>
    </w:p>
    <w:tbl>
      <w:tblPr>
        <w:tblStyle w:val="af8"/>
        <w:tblW w:w="8868" w:type="dxa"/>
        <w:jc w:val="center"/>
        <w:tblInd w:w="15" w:type="dxa"/>
        <w:tblLayout w:type="fixed"/>
        <w:tblCellMar>
          <w:top w:w="57" w:type="dxa"/>
          <w:bottom w:w="57" w:type="dxa"/>
        </w:tblCellMar>
        <w:tblLook w:val="04A0"/>
      </w:tblPr>
      <w:tblGrid>
        <w:gridCol w:w="1129"/>
        <w:gridCol w:w="1356"/>
        <w:gridCol w:w="1355"/>
        <w:gridCol w:w="1880"/>
        <w:gridCol w:w="1724"/>
        <w:gridCol w:w="1424"/>
      </w:tblGrid>
      <w:tr w:rsidR="0012438E">
        <w:trPr>
          <w:jc w:val="center"/>
        </w:trPr>
        <w:tc>
          <w:tcPr>
            <w:tcW w:w="1129"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序号</w:t>
            </w:r>
          </w:p>
        </w:tc>
        <w:tc>
          <w:tcPr>
            <w:tcW w:w="1356"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股票代码</w:t>
            </w:r>
          </w:p>
        </w:tc>
        <w:tc>
          <w:tcPr>
            <w:tcW w:w="1355"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股票名称</w:t>
            </w:r>
          </w:p>
        </w:tc>
        <w:tc>
          <w:tcPr>
            <w:tcW w:w="1880"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流通受限部分的公允价值</w:t>
            </w:r>
            <w:r>
              <w:rPr>
                <w:color w:val="000000"/>
                <w:kern w:val="0"/>
                <w:sz w:val="24"/>
                <w:szCs w:val="24"/>
              </w:rPr>
              <w:t>(</w:t>
            </w:r>
            <w:r>
              <w:rPr>
                <w:color w:val="000000"/>
                <w:kern w:val="0"/>
                <w:sz w:val="24"/>
                <w:szCs w:val="24"/>
              </w:rPr>
              <w:t>元</w:t>
            </w:r>
            <w:r>
              <w:rPr>
                <w:color w:val="000000"/>
                <w:kern w:val="0"/>
                <w:sz w:val="24"/>
                <w:szCs w:val="24"/>
              </w:rPr>
              <w:t>)</w:t>
            </w:r>
          </w:p>
        </w:tc>
        <w:tc>
          <w:tcPr>
            <w:tcW w:w="1724"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占基金资产净值比例</w:t>
            </w:r>
            <w:r>
              <w:rPr>
                <w:color w:val="000000"/>
                <w:kern w:val="0"/>
                <w:sz w:val="24"/>
                <w:szCs w:val="24"/>
              </w:rPr>
              <w:t>(</w:t>
            </w:r>
            <w:r>
              <w:rPr>
                <w:color w:val="000000"/>
                <w:kern w:val="0"/>
                <w:sz w:val="24"/>
                <w:szCs w:val="24"/>
              </w:rPr>
              <w:t>％</w:t>
            </w:r>
            <w:r>
              <w:rPr>
                <w:color w:val="000000"/>
                <w:kern w:val="0"/>
                <w:sz w:val="24"/>
                <w:szCs w:val="24"/>
              </w:rPr>
              <w:t>)</w:t>
            </w:r>
          </w:p>
        </w:tc>
        <w:tc>
          <w:tcPr>
            <w:tcW w:w="1424" w:type="dxa"/>
            <w:vAlign w:val="center"/>
          </w:tcPr>
          <w:p w:rsidR="0012438E" w:rsidRDefault="00F03621">
            <w:pPr>
              <w:spacing w:before="29" w:line="288" w:lineRule="auto"/>
              <w:ind w:left="17"/>
              <w:jc w:val="center"/>
              <w:rPr>
                <w:color w:val="000000"/>
                <w:kern w:val="0"/>
                <w:sz w:val="24"/>
                <w:szCs w:val="24"/>
              </w:rPr>
            </w:pPr>
            <w:r>
              <w:rPr>
                <w:color w:val="000000"/>
                <w:kern w:val="0"/>
                <w:sz w:val="24"/>
                <w:szCs w:val="24"/>
              </w:rPr>
              <w:t>流通受限情况说明</w:t>
            </w:r>
          </w:p>
        </w:tc>
      </w:tr>
      <w:tr w:rsidR="00E17817">
        <w:trPr>
          <w:jc w:val="center"/>
        </w:trPr>
        <w:tc>
          <w:tcPr>
            <w:tcW w:w="1129" w:type="dxa"/>
            <w:vAlign w:val="center"/>
          </w:tcPr>
          <w:p w:rsidR="00E17817" w:rsidRDefault="00A40F17">
            <w:pPr>
              <w:jc w:val="center"/>
            </w:pPr>
            <w:r>
              <w:rPr>
                <w:color w:val="000000"/>
                <w:kern w:val="0"/>
                <w:sz w:val="24"/>
                <w:szCs w:val="24"/>
              </w:rPr>
              <w:t>1</w:t>
            </w:r>
          </w:p>
        </w:tc>
        <w:tc>
          <w:tcPr>
            <w:tcW w:w="1356" w:type="dxa"/>
            <w:vAlign w:val="center"/>
          </w:tcPr>
          <w:p w:rsidR="00E17817" w:rsidRDefault="00A40F17">
            <w:pPr>
              <w:jc w:val="center"/>
            </w:pPr>
            <w:r>
              <w:rPr>
                <w:color w:val="000000"/>
                <w:kern w:val="0"/>
                <w:sz w:val="24"/>
                <w:szCs w:val="24"/>
              </w:rPr>
              <w:t>600309</w:t>
            </w:r>
          </w:p>
        </w:tc>
        <w:tc>
          <w:tcPr>
            <w:tcW w:w="1355" w:type="dxa"/>
            <w:vAlign w:val="center"/>
          </w:tcPr>
          <w:p w:rsidR="00E17817" w:rsidRDefault="00A40F17">
            <w:pPr>
              <w:jc w:val="center"/>
            </w:pPr>
            <w:r>
              <w:rPr>
                <w:color w:val="000000"/>
                <w:kern w:val="0"/>
                <w:sz w:val="24"/>
                <w:szCs w:val="24"/>
              </w:rPr>
              <w:t>万华化学</w:t>
            </w:r>
          </w:p>
        </w:tc>
        <w:tc>
          <w:tcPr>
            <w:tcW w:w="1880" w:type="dxa"/>
            <w:vAlign w:val="center"/>
          </w:tcPr>
          <w:p w:rsidR="00E17817" w:rsidRDefault="00A40F17">
            <w:pPr>
              <w:jc w:val="right"/>
            </w:pPr>
            <w:r>
              <w:rPr>
                <w:color w:val="000000"/>
                <w:kern w:val="0"/>
                <w:sz w:val="24"/>
                <w:szCs w:val="24"/>
              </w:rPr>
              <w:t>707,000.00</w:t>
            </w:r>
          </w:p>
        </w:tc>
        <w:tc>
          <w:tcPr>
            <w:tcW w:w="1724" w:type="dxa"/>
            <w:vAlign w:val="center"/>
          </w:tcPr>
          <w:p w:rsidR="00E17817" w:rsidRDefault="00A40F17">
            <w:pPr>
              <w:jc w:val="right"/>
            </w:pPr>
            <w:r>
              <w:rPr>
                <w:color w:val="000000"/>
                <w:kern w:val="0"/>
                <w:sz w:val="24"/>
                <w:szCs w:val="24"/>
              </w:rPr>
              <w:t>11.47</w:t>
            </w:r>
          </w:p>
        </w:tc>
        <w:tc>
          <w:tcPr>
            <w:tcW w:w="1424" w:type="dxa"/>
            <w:vAlign w:val="center"/>
          </w:tcPr>
          <w:p w:rsidR="00E17817" w:rsidRDefault="00A40F17">
            <w:pPr>
              <w:jc w:val="right"/>
            </w:pPr>
            <w:r>
              <w:rPr>
                <w:color w:val="000000"/>
                <w:kern w:val="0"/>
                <w:sz w:val="24"/>
                <w:szCs w:val="24"/>
              </w:rPr>
              <w:t>重大资产重组</w:t>
            </w:r>
          </w:p>
        </w:tc>
      </w:tr>
      <w:tr w:rsidR="00E17817">
        <w:trPr>
          <w:jc w:val="center"/>
        </w:trPr>
        <w:tc>
          <w:tcPr>
            <w:tcW w:w="1129" w:type="dxa"/>
            <w:vAlign w:val="center"/>
          </w:tcPr>
          <w:p w:rsidR="00E17817" w:rsidRDefault="00A40F17">
            <w:pPr>
              <w:jc w:val="center"/>
            </w:pPr>
            <w:r>
              <w:rPr>
                <w:color w:val="000000"/>
                <w:kern w:val="0"/>
                <w:sz w:val="24"/>
                <w:szCs w:val="24"/>
              </w:rPr>
              <w:t>2</w:t>
            </w:r>
          </w:p>
        </w:tc>
        <w:tc>
          <w:tcPr>
            <w:tcW w:w="1356" w:type="dxa"/>
            <w:vAlign w:val="center"/>
          </w:tcPr>
          <w:p w:rsidR="00E17817" w:rsidRDefault="00A40F17">
            <w:pPr>
              <w:jc w:val="center"/>
            </w:pPr>
            <w:r>
              <w:rPr>
                <w:color w:val="000000"/>
                <w:kern w:val="0"/>
                <w:sz w:val="24"/>
                <w:szCs w:val="24"/>
              </w:rPr>
              <w:t>002384</w:t>
            </w:r>
          </w:p>
        </w:tc>
        <w:tc>
          <w:tcPr>
            <w:tcW w:w="1355" w:type="dxa"/>
            <w:vAlign w:val="center"/>
          </w:tcPr>
          <w:p w:rsidR="00E17817" w:rsidRDefault="00A40F17">
            <w:pPr>
              <w:jc w:val="center"/>
            </w:pPr>
            <w:r>
              <w:rPr>
                <w:color w:val="000000"/>
                <w:kern w:val="0"/>
                <w:sz w:val="24"/>
                <w:szCs w:val="24"/>
              </w:rPr>
              <w:t>东山精密</w:t>
            </w:r>
          </w:p>
        </w:tc>
        <w:tc>
          <w:tcPr>
            <w:tcW w:w="1880" w:type="dxa"/>
            <w:vAlign w:val="center"/>
          </w:tcPr>
          <w:p w:rsidR="00E17817" w:rsidRDefault="00A40F17">
            <w:pPr>
              <w:jc w:val="right"/>
            </w:pPr>
            <w:r>
              <w:rPr>
                <w:color w:val="000000"/>
                <w:kern w:val="0"/>
                <w:sz w:val="24"/>
                <w:szCs w:val="24"/>
              </w:rPr>
              <w:t>478,200.00</w:t>
            </w:r>
          </w:p>
        </w:tc>
        <w:tc>
          <w:tcPr>
            <w:tcW w:w="1724" w:type="dxa"/>
            <w:vAlign w:val="center"/>
          </w:tcPr>
          <w:p w:rsidR="00E17817" w:rsidRDefault="00A40F17">
            <w:pPr>
              <w:jc w:val="right"/>
            </w:pPr>
            <w:r>
              <w:rPr>
                <w:color w:val="000000"/>
                <w:kern w:val="0"/>
                <w:sz w:val="24"/>
                <w:szCs w:val="24"/>
              </w:rPr>
              <w:t>7.76</w:t>
            </w:r>
          </w:p>
        </w:tc>
        <w:tc>
          <w:tcPr>
            <w:tcW w:w="1424" w:type="dxa"/>
            <w:vAlign w:val="center"/>
          </w:tcPr>
          <w:p w:rsidR="00E17817" w:rsidRDefault="00A40F17">
            <w:pPr>
              <w:jc w:val="right"/>
            </w:pPr>
            <w:r>
              <w:rPr>
                <w:color w:val="000000"/>
                <w:kern w:val="0"/>
                <w:sz w:val="24"/>
                <w:szCs w:val="24"/>
              </w:rPr>
              <w:t>重大资产重组</w:t>
            </w:r>
          </w:p>
        </w:tc>
      </w:tr>
    </w:tbl>
    <w:p w:rsidR="0012438E" w:rsidRDefault="0012438E">
      <w:pPr>
        <w:autoSpaceDE w:val="0"/>
        <w:autoSpaceDN w:val="0"/>
        <w:adjustRightInd w:val="0"/>
        <w:spacing w:before="29" w:line="288" w:lineRule="auto"/>
        <w:rPr>
          <w:color w:val="000000"/>
          <w:sz w:val="24"/>
          <w:szCs w:val="24"/>
        </w:rPr>
      </w:pPr>
    </w:p>
    <w:p w:rsidR="0012438E" w:rsidRDefault="00F03621">
      <w:pPr>
        <w:spacing w:before="29" w:line="288" w:lineRule="auto"/>
        <w:ind w:firstLineChars="200" w:firstLine="482"/>
        <w:jc w:val="center"/>
        <w:rPr>
          <w:b/>
          <w:color w:val="000000"/>
          <w:sz w:val="24"/>
          <w:szCs w:val="24"/>
        </w:rPr>
      </w:pPr>
      <w:r>
        <w:rPr>
          <w:b/>
          <w:color w:val="000000"/>
          <w:kern w:val="0"/>
          <w:sz w:val="24"/>
          <w:szCs w:val="24"/>
        </w:rPr>
        <w:t xml:space="preserve">§6  </w:t>
      </w:r>
      <w:r>
        <w:rPr>
          <w:b/>
          <w:color w:val="000000"/>
          <w:kern w:val="0"/>
          <w:sz w:val="24"/>
          <w:szCs w:val="24"/>
        </w:rPr>
        <w:t>开放式基金份额变动</w:t>
      </w:r>
    </w:p>
    <w:p w:rsidR="0012438E" w:rsidRDefault="00F03621">
      <w:pPr>
        <w:autoSpaceDE w:val="0"/>
        <w:autoSpaceDN w:val="0"/>
        <w:adjustRightInd w:val="0"/>
        <w:spacing w:before="29" w:line="288" w:lineRule="auto"/>
        <w:ind w:left="15"/>
        <w:jc w:val="right"/>
        <w:rPr>
          <w:color w:val="000000"/>
          <w:kern w:val="0"/>
          <w:sz w:val="24"/>
          <w:szCs w:val="24"/>
        </w:rPr>
      </w:pPr>
      <w:r>
        <w:rPr>
          <w:color w:val="000000"/>
          <w:kern w:val="0"/>
          <w:sz w:val="24"/>
          <w:szCs w:val="24"/>
        </w:rPr>
        <w:t>单位：份</w:t>
      </w:r>
    </w:p>
    <w:tbl>
      <w:tblPr>
        <w:tblW w:w="8868" w:type="dxa"/>
        <w:jc w:val="center"/>
        <w:tblLayout w:type="fixed"/>
        <w:tblCellMar>
          <w:top w:w="-1" w:type="dxa"/>
          <w:bottom w:w="-1" w:type="dxa"/>
        </w:tblCellMar>
        <w:tblLook w:val="04A0"/>
      </w:tblPr>
      <w:tblGrid>
        <w:gridCol w:w="4734"/>
        <w:gridCol w:w="4134"/>
      </w:tblGrid>
      <w:tr w:rsidR="0012438E">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12438E" w:rsidRDefault="00F03621">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本报告期期初基金份额总额</w:t>
            </w:r>
          </w:p>
        </w:tc>
        <w:tc>
          <w:tcPr>
            <w:tcW w:w="4134" w:type="dxa"/>
            <w:tcBorders>
              <w:top w:val="single" w:sz="8" w:space="0" w:color="000000"/>
              <w:left w:val="single" w:sz="8" w:space="0" w:color="000000"/>
              <w:bottom w:val="single" w:sz="8" w:space="0" w:color="000000"/>
              <w:right w:val="single" w:sz="8" w:space="0" w:color="000000"/>
            </w:tcBorders>
            <w:vAlign w:val="center"/>
          </w:tcPr>
          <w:p w:rsidR="0012438E" w:rsidRDefault="00F03621">
            <w:pPr>
              <w:autoSpaceDE w:val="0"/>
              <w:autoSpaceDN w:val="0"/>
              <w:adjustRightInd w:val="0"/>
              <w:spacing w:before="29" w:line="288" w:lineRule="auto"/>
              <w:ind w:left="17"/>
              <w:jc w:val="right"/>
              <w:rPr>
                <w:color w:val="000000"/>
                <w:sz w:val="24"/>
                <w:szCs w:val="24"/>
              </w:rPr>
            </w:pPr>
            <w:r>
              <w:rPr>
                <w:color w:val="000000"/>
                <w:sz w:val="24"/>
                <w:szCs w:val="24"/>
              </w:rPr>
              <w:t>16,720,874.33</w:t>
            </w:r>
          </w:p>
        </w:tc>
      </w:tr>
      <w:tr w:rsidR="0012438E">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12438E" w:rsidRDefault="00F03621">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本报告期基金总申购份额</w:t>
            </w:r>
          </w:p>
        </w:tc>
        <w:tc>
          <w:tcPr>
            <w:tcW w:w="4134" w:type="dxa"/>
            <w:tcBorders>
              <w:top w:val="single" w:sz="8" w:space="0" w:color="000000"/>
              <w:left w:val="single" w:sz="8" w:space="0" w:color="000000"/>
              <w:bottom w:val="single" w:sz="8" w:space="0" w:color="000000"/>
              <w:right w:val="single" w:sz="8" w:space="0" w:color="000000"/>
            </w:tcBorders>
            <w:vAlign w:val="center"/>
          </w:tcPr>
          <w:p w:rsidR="0012438E" w:rsidRDefault="00F03621">
            <w:pPr>
              <w:autoSpaceDE w:val="0"/>
              <w:autoSpaceDN w:val="0"/>
              <w:adjustRightInd w:val="0"/>
              <w:spacing w:before="29" w:line="288" w:lineRule="auto"/>
              <w:ind w:left="17"/>
              <w:jc w:val="right"/>
              <w:rPr>
                <w:color w:val="000000"/>
                <w:sz w:val="24"/>
                <w:szCs w:val="24"/>
              </w:rPr>
            </w:pPr>
            <w:r>
              <w:rPr>
                <w:color w:val="000000"/>
                <w:sz w:val="24"/>
                <w:szCs w:val="24"/>
              </w:rPr>
              <w:t>262,387.23</w:t>
            </w:r>
          </w:p>
        </w:tc>
      </w:tr>
      <w:tr w:rsidR="0012438E">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12438E" w:rsidRDefault="00F03621">
            <w:pPr>
              <w:autoSpaceDE w:val="0"/>
              <w:autoSpaceDN w:val="0"/>
              <w:adjustRightInd w:val="0"/>
              <w:spacing w:before="29" w:line="288" w:lineRule="auto"/>
              <w:ind w:left="17"/>
              <w:jc w:val="left"/>
              <w:rPr>
                <w:color w:val="000000"/>
                <w:kern w:val="0"/>
                <w:sz w:val="24"/>
                <w:szCs w:val="24"/>
              </w:rPr>
            </w:pPr>
            <w:r>
              <w:rPr>
                <w:color w:val="000000"/>
                <w:kern w:val="0"/>
                <w:sz w:val="24"/>
                <w:szCs w:val="24"/>
              </w:rPr>
              <w:t>减：本报告期基金总赎回份额</w:t>
            </w:r>
          </w:p>
        </w:tc>
        <w:tc>
          <w:tcPr>
            <w:tcW w:w="4134" w:type="dxa"/>
            <w:tcBorders>
              <w:top w:val="single" w:sz="8" w:space="0" w:color="000000"/>
              <w:left w:val="single" w:sz="8" w:space="0" w:color="000000"/>
              <w:bottom w:val="single" w:sz="8" w:space="0" w:color="000000"/>
              <w:right w:val="single" w:sz="8" w:space="0" w:color="000000"/>
            </w:tcBorders>
            <w:vAlign w:val="center"/>
          </w:tcPr>
          <w:p w:rsidR="0012438E" w:rsidRDefault="00F03621">
            <w:pPr>
              <w:autoSpaceDE w:val="0"/>
              <w:autoSpaceDN w:val="0"/>
              <w:adjustRightInd w:val="0"/>
              <w:spacing w:before="29" w:line="288" w:lineRule="auto"/>
              <w:ind w:left="17"/>
              <w:jc w:val="right"/>
              <w:rPr>
                <w:color w:val="000000"/>
                <w:sz w:val="24"/>
                <w:szCs w:val="24"/>
              </w:rPr>
            </w:pPr>
            <w:r>
              <w:rPr>
                <w:color w:val="000000"/>
                <w:sz w:val="24"/>
                <w:szCs w:val="24"/>
              </w:rPr>
              <w:t>10,447,371.21</w:t>
            </w:r>
          </w:p>
        </w:tc>
      </w:tr>
      <w:tr w:rsidR="0012438E">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12438E" w:rsidRDefault="00F03621">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本报告期基金拆分变动份额</w:t>
            </w:r>
          </w:p>
        </w:tc>
        <w:tc>
          <w:tcPr>
            <w:tcW w:w="4134" w:type="dxa"/>
            <w:tcBorders>
              <w:top w:val="single" w:sz="8" w:space="0" w:color="000000"/>
              <w:left w:val="single" w:sz="8" w:space="0" w:color="000000"/>
              <w:bottom w:val="single" w:sz="8" w:space="0" w:color="000000"/>
              <w:right w:val="single" w:sz="8" w:space="0" w:color="000000"/>
            </w:tcBorders>
            <w:vAlign w:val="center"/>
          </w:tcPr>
          <w:p w:rsidR="0012438E" w:rsidRDefault="00F03621">
            <w:pPr>
              <w:autoSpaceDE w:val="0"/>
              <w:autoSpaceDN w:val="0"/>
              <w:adjustRightInd w:val="0"/>
              <w:spacing w:before="29" w:line="288" w:lineRule="auto"/>
              <w:ind w:left="17"/>
              <w:jc w:val="right"/>
              <w:rPr>
                <w:color w:val="000000"/>
                <w:sz w:val="24"/>
                <w:szCs w:val="24"/>
              </w:rPr>
            </w:pPr>
            <w:r>
              <w:rPr>
                <w:color w:val="000000"/>
                <w:sz w:val="24"/>
                <w:szCs w:val="24"/>
              </w:rPr>
              <w:t>-</w:t>
            </w:r>
          </w:p>
        </w:tc>
      </w:tr>
      <w:tr w:rsidR="0012438E">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12438E" w:rsidRDefault="00F03621">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本报告期期末基金份额总额</w:t>
            </w:r>
          </w:p>
        </w:tc>
        <w:tc>
          <w:tcPr>
            <w:tcW w:w="4134" w:type="dxa"/>
            <w:tcBorders>
              <w:top w:val="single" w:sz="8" w:space="0" w:color="000000"/>
              <w:left w:val="single" w:sz="8" w:space="0" w:color="000000"/>
              <w:bottom w:val="single" w:sz="8" w:space="0" w:color="000000"/>
              <w:right w:val="single" w:sz="8" w:space="0" w:color="000000"/>
            </w:tcBorders>
            <w:vAlign w:val="center"/>
          </w:tcPr>
          <w:p w:rsidR="0012438E" w:rsidRDefault="00F03621">
            <w:pPr>
              <w:autoSpaceDE w:val="0"/>
              <w:autoSpaceDN w:val="0"/>
              <w:adjustRightInd w:val="0"/>
              <w:spacing w:before="29" w:line="288" w:lineRule="auto"/>
              <w:ind w:left="17"/>
              <w:jc w:val="right"/>
              <w:rPr>
                <w:color w:val="000000"/>
                <w:sz w:val="24"/>
                <w:szCs w:val="24"/>
              </w:rPr>
            </w:pPr>
            <w:r>
              <w:rPr>
                <w:color w:val="000000"/>
                <w:sz w:val="24"/>
                <w:szCs w:val="24"/>
              </w:rPr>
              <w:t>6,535,890.35</w:t>
            </w:r>
          </w:p>
        </w:tc>
      </w:tr>
    </w:tbl>
    <w:p w:rsidR="0012438E" w:rsidRDefault="00F03621">
      <w:pPr>
        <w:autoSpaceDE w:val="0"/>
        <w:autoSpaceDN w:val="0"/>
        <w:adjustRightInd w:val="0"/>
        <w:spacing w:before="29" w:line="288" w:lineRule="auto"/>
        <w:jc w:val="left"/>
        <w:rPr>
          <w:color w:val="000000"/>
          <w:sz w:val="24"/>
          <w:szCs w:val="24"/>
        </w:rPr>
      </w:pPr>
      <w:r>
        <w:rPr>
          <w:color w:val="000000"/>
          <w:sz w:val="24"/>
          <w:szCs w:val="24"/>
        </w:rPr>
        <w:t>注：海富通东财大数据灵活配置混合型证券投资基金报告期期间为</w:t>
      </w:r>
      <w:r>
        <w:rPr>
          <w:color w:val="000000"/>
          <w:sz w:val="24"/>
          <w:szCs w:val="24"/>
        </w:rPr>
        <w:t>2018</w:t>
      </w:r>
      <w:r>
        <w:rPr>
          <w:color w:val="000000"/>
          <w:sz w:val="24"/>
          <w:szCs w:val="24"/>
        </w:rPr>
        <w:t>年</w:t>
      </w:r>
      <w:r>
        <w:rPr>
          <w:color w:val="000000"/>
          <w:sz w:val="24"/>
          <w:szCs w:val="24"/>
        </w:rPr>
        <w:t>4</w:t>
      </w:r>
      <w:r>
        <w:rPr>
          <w:color w:val="000000"/>
          <w:sz w:val="24"/>
          <w:szCs w:val="24"/>
        </w:rPr>
        <w:t>月</w:t>
      </w:r>
      <w:r>
        <w:rPr>
          <w:color w:val="000000"/>
          <w:sz w:val="24"/>
          <w:szCs w:val="24"/>
        </w:rPr>
        <w:t>1</w:t>
      </w:r>
      <w:r>
        <w:rPr>
          <w:color w:val="000000"/>
          <w:sz w:val="24"/>
          <w:szCs w:val="24"/>
        </w:rPr>
        <w:t>日至</w:t>
      </w:r>
      <w:r>
        <w:rPr>
          <w:color w:val="000000"/>
          <w:sz w:val="24"/>
          <w:szCs w:val="24"/>
        </w:rPr>
        <w:t>2018</w:t>
      </w:r>
      <w:r>
        <w:rPr>
          <w:color w:val="000000"/>
          <w:sz w:val="24"/>
          <w:szCs w:val="24"/>
        </w:rPr>
        <w:t>年</w:t>
      </w:r>
      <w:r>
        <w:rPr>
          <w:color w:val="000000"/>
          <w:sz w:val="24"/>
          <w:szCs w:val="24"/>
        </w:rPr>
        <w:t>5</w:t>
      </w:r>
      <w:r>
        <w:rPr>
          <w:color w:val="000000"/>
          <w:sz w:val="24"/>
          <w:szCs w:val="24"/>
        </w:rPr>
        <w:t>月</w:t>
      </w:r>
      <w:r>
        <w:rPr>
          <w:color w:val="000000"/>
          <w:sz w:val="24"/>
          <w:szCs w:val="24"/>
        </w:rPr>
        <w:t>10</w:t>
      </w:r>
      <w:r>
        <w:rPr>
          <w:color w:val="000000"/>
          <w:sz w:val="24"/>
          <w:szCs w:val="24"/>
        </w:rPr>
        <w:t>日。</w:t>
      </w:r>
    </w:p>
    <w:p w:rsidR="0012438E" w:rsidRDefault="0012438E">
      <w:pPr>
        <w:autoSpaceDE w:val="0"/>
        <w:autoSpaceDN w:val="0"/>
        <w:adjustRightInd w:val="0"/>
        <w:spacing w:before="29" w:line="288" w:lineRule="auto"/>
        <w:jc w:val="left"/>
        <w:rPr>
          <w:color w:val="000000"/>
          <w:sz w:val="24"/>
          <w:szCs w:val="24"/>
        </w:rPr>
      </w:pPr>
    </w:p>
    <w:p w:rsidR="0012438E" w:rsidRDefault="00F03621" w:rsidP="00BA3DC2">
      <w:pPr>
        <w:pStyle w:val="1"/>
        <w:tabs>
          <w:tab w:val="center" w:pos="4156"/>
          <w:tab w:val="right" w:pos="8312"/>
        </w:tabs>
        <w:spacing w:beforeLines="100" w:afterLines="100" w:line="288" w:lineRule="auto"/>
        <w:jc w:val="center"/>
        <w:rPr>
          <w:sz w:val="24"/>
          <w:szCs w:val="24"/>
        </w:rPr>
      </w:pPr>
      <w:r>
        <w:rPr>
          <w:color w:val="000000"/>
          <w:kern w:val="0"/>
          <w:sz w:val="24"/>
          <w:szCs w:val="24"/>
        </w:rPr>
        <w:t>§</w:t>
      </w:r>
      <w:r>
        <w:rPr>
          <w:rFonts w:eastAsiaTheme="minorEastAsia"/>
          <w:color w:val="000000"/>
          <w:kern w:val="0"/>
          <w:sz w:val="24"/>
          <w:szCs w:val="24"/>
        </w:rPr>
        <w:t xml:space="preserve">7  </w:t>
      </w:r>
      <w:r>
        <w:rPr>
          <w:sz w:val="24"/>
          <w:szCs w:val="24"/>
        </w:rPr>
        <w:t>基金管理人运用固有资金投资本基金情况</w:t>
      </w:r>
    </w:p>
    <w:p w:rsidR="0012438E" w:rsidRDefault="00F03621">
      <w:pPr>
        <w:spacing w:line="288" w:lineRule="auto"/>
        <w:jc w:val="left"/>
        <w:rPr>
          <w:sz w:val="24"/>
          <w:szCs w:val="24"/>
        </w:rPr>
      </w:pPr>
      <w:r>
        <w:rPr>
          <w:b/>
          <w:sz w:val="24"/>
        </w:rPr>
        <w:t xml:space="preserve">7.1 </w:t>
      </w:r>
      <w:r>
        <w:rPr>
          <w:b/>
          <w:sz w:val="24"/>
        </w:rPr>
        <w:t>基金管理人持有本基金份额变动情况</w:t>
      </w:r>
    </w:p>
    <w:p w:rsidR="0012438E" w:rsidRDefault="00F03621">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本报告期基金管理人未持有本基金。</w:t>
      </w:r>
    </w:p>
    <w:p w:rsidR="0012438E" w:rsidRDefault="0012438E">
      <w:pPr>
        <w:autoSpaceDE w:val="0"/>
        <w:autoSpaceDN w:val="0"/>
        <w:adjustRightInd w:val="0"/>
        <w:spacing w:before="29" w:line="288" w:lineRule="auto"/>
        <w:jc w:val="left"/>
        <w:rPr>
          <w:rFonts w:eastAsiaTheme="minorEastAsia"/>
          <w:color w:val="000000"/>
          <w:sz w:val="24"/>
        </w:rPr>
      </w:pPr>
    </w:p>
    <w:p w:rsidR="0012438E" w:rsidRDefault="00F03621">
      <w:pPr>
        <w:spacing w:line="288" w:lineRule="auto"/>
        <w:jc w:val="left"/>
        <w:rPr>
          <w:b/>
          <w:sz w:val="24"/>
        </w:rPr>
      </w:pPr>
      <w:r>
        <w:rPr>
          <w:b/>
          <w:sz w:val="24"/>
        </w:rPr>
        <w:t>7.2</w:t>
      </w:r>
      <w:r>
        <w:rPr>
          <w:rFonts w:hint="eastAsia"/>
          <w:b/>
          <w:sz w:val="24"/>
        </w:rPr>
        <w:t>基金管理人运用固有资金投资本基金交易明细</w:t>
      </w:r>
    </w:p>
    <w:p w:rsidR="0012438E" w:rsidRDefault="00F03621">
      <w:pPr>
        <w:autoSpaceDE w:val="0"/>
        <w:autoSpaceDN w:val="0"/>
        <w:adjustRightInd w:val="0"/>
        <w:spacing w:before="29" w:line="288" w:lineRule="auto"/>
        <w:jc w:val="left"/>
        <w:rPr>
          <w:color w:val="000000"/>
          <w:sz w:val="24"/>
        </w:rPr>
      </w:pPr>
      <w:r>
        <w:rPr>
          <w:color w:val="000000"/>
          <w:sz w:val="24"/>
        </w:rPr>
        <w:t>本报告期基金管理人未运用固有资金投资本基金。</w:t>
      </w:r>
    </w:p>
    <w:p w:rsidR="0012438E" w:rsidRDefault="0012438E">
      <w:pPr>
        <w:autoSpaceDE w:val="0"/>
        <w:autoSpaceDN w:val="0"/>
        <w:adjustRightInd w:val="0"/>
        <w:spacing w:before="29" w:line="288" w:lineRule="auto"/>
        <w:jc w:val="left"/>
        <w:rPr>
          <w:color w:val="000000"/>
          <w:sz w:val="24"/>
        </w:rPr>
      </w:pPr>
    </w:p>
    <w:p w:rsidR="0012438E" w:rsidRDefault="00F03621" w:rsidP="00BA3DC2">
      <w:pPr>
        <w:pStyle w:val="1"/>
        <w:spacing w:beforeLines="100" w:afterLines="100" w:line="288" w:lineRule="auto"/>
        <w:jc w:val="center"/>
        <w:rPr>
          <w:color w:val="000000"/>
          <w:kern w:val="0"/>
          <w:sz w:val="24"/>
          <w:szCs w:val="24"/>
        </w:rPr>
      </w:pPr>
      <w:r>
        <w:rPr>
          <w:color w:val="000000"/>
          <w:kern w:val="0"/>
          <w:sz w:val="24"/>
          <w:szCs w:val="24"/>
        </w:rPr>
        <w:t xml:space="preserve">§8 </w:t>
      </w:r>
      <w:r>
        <w:rPr>
          <w:color w:val="000000"/>
          <w:kern w:val="0"/>
          <w:sz w:val="24"/>
          <w:szCs w:val="24"/>
        </w:rPr>
        <w:t>影响投资者决策的其他重要信息</w:t>
      </w:r>
    </w:p>
    <w:p w:rsidR="0012438E" w:rsidRDefault="00F03621">
      <w:pPr>
        <w:autoSpaceDE w:val="0"/>
        <w:autoSpaceDN w:val="0"/>
        <w:adjustRightInd w:val="0"/>
        <w:spacing w:line="360" w:lineRule="auto"/>
        <w:jc w:val="left"/>
        <w:rPr>
          <w:rFonts w:ascii="宋体" w:hAnsi="宋体"/>
          <w:b/>
          <w:bCs/>
          <w:color w:val="000000"/>
          <w:kern w:val="0"/>
          <w:sz w:val="24"/>
          <w:szCs w:val="24"/>
        </w:rPr>
      </w:pPr>
      <w:r>
        <w:rPr>
          <w:rFonts w:ascii="宋体" w:hAnsi="宋体"/>
          <w:b/>
          <w:bCs/>
          <w:color w:val="000000"/>
          <w:kern w:val="0"/>
          <w:sz w:val="24"/>
          <w:szCs w:val="24"/>
        </w:rPr>
        <w:t>8.</w:t>
      </w:r>
      <w:r>
        <w:rPr>
          <w:rFonts w:ascii="宋体" w:hAnsi="宋体" w:hint="eastAsia"/>
          <w:b/>
          <w:bCs/>
          <w:color w:val="000000"/>
          <w:kern w:val="0"/>
          <w:sz w:val="24"/>
          <w:szCs w:val="24"/>
        </w:rPr>
        <w:t>1 报告期内单一投资者持有基金份额比例达到或超过20%的情况</w:t>
      </w:r>
    </w:p>
    <w:p w:rsidR="0012438E" w:rsidRDefault="00F03621">
      <w:pPr>
        <w:autoSpaceDE w:val="0"/>
        <w:autoSpaceDN w:val="0"/>
        <w:adjustRightInd w:val="0"/>
        <w:spacing w:line="360" w:lineRule="auto"/>
        <w:jc w:val="left"/>
        <w:rPr>
          <w:rFonts w:ascii="宋体" w:hAnsi="宋体"/>
          <w:bCs/>
          <w:color w:val="000000"/>
          <w:kern w:val="0"/>
          <w:sz w:val="24"/>
          <w:szCs w:val="24"/>
        </w:rPr>
      </w:pPr>
      <w:r>
        <w:rPr>
          <w:rFonts w:ascii="宋体" w:hAnsi="宋体" w:hint="eastAsia"/>
          <w:bCs/>
          <w:color w:val="000000"/>
          <w:kern w:val="0"/>
          <w:sz w:val="24"/>
          <w:szCs w:val="24"/>
        </w:rPr>
        <w:t>本基金本报告期内无单一投资者持有基金份额比例达到或超过20%的情况。</w:t>
      </w:r>
    </w:p>
    <w:p w:rsidR="0012438E" w:rsidRDefault="00F03621">
      <w:pPr>
        <w:autoSpaceDE w:val="0"/>
        <w:autoSpaceDN w:val="0"/>
        <w:adjustRightInd w:val="0"/>
        <w:spacing w:line="360" w:lineRule="auto"/>
        <w:jc w:val="left"/>
        <w:rPr>
          <w:rFonts w:ascii="宋体" w:hAnsi="宋体"/>
          <w:b/>
          <w:bCs/>
          <w:color w:val="000000"/>
          <w:kern w:val="0"/>
          <w:sz w:val="24"/>
          <w:szCs w:val="24"/>
        </w:rPr>
      </w:pPr>
      <w:r>
        <w:rPr>
          <w:rFonts w:ascii="宋体" w:hAnsi="宋体" w:hint="eastAsia"/>
          <w:b/>
          <w:bCs/>
          <w:color w:val="000000"/>
          <w:kern w:val="0"/>
          <w:sz w:val="24"/>
          <w:szCs w:val="24"/>
        </w:rPr>
        <w:t>8.2 影响投资者决策的其他重要信息</w:t>
      </w:r>
    </w:p>
    <w:p w:rsidR="00E17817" w:rsidRDefault="00A40F17">
      <w:pPr>
        <w:spacing w:line="360" w:lineRule="auto"/>
        <w:ind w:firstLineChars="200" w:firstLine="480"/>
        <w:rPr>
          <w:rFonts w:ascii="宋体" w:hAnsi="宋体"/>
          <w:color w:val="000000"/>
          <w:sz w:val="24"/>
          <w:szCs w:val="24"/>
        </w:rPr>
      </w:pPr>
      <w:r>
        <w:rPr>
          <w:rFonts w:ascii="宋体" w:hAnsi="宋体"/>
          <w:color w:val="000000"/>
          <w:sz w:val="24"/>
          <w:szCs w:val="24"/>
        </w:rPr>
        <w:t>海富通基金管理有限公司成立于2003年4月，是中国首批获准成立的中外合资基金管理公司。</w:t>
      </w:r>
    </w:p>
    <w:p w:rsidR="00E17817" w:rsidRDefault="00A40F17">
      <w:pPr>
        <w:spacing w:line="360" w:lineRule="auto"/>
        <w:ind w:firstLineChars="200" w:firstLine="480"/>
        <w:rPr>
          <w:rFonts w:ascii="宋体" w:hAnsi="宋体"/>
          <w:color w:val="000000"/>
          <w:sz w:val="24"/>
          <w:szCs w:val="24"/>
        </w:rPr>
      </w:pPr>
      <w:r>
        <w:rPr>
          <w:rFonts w:ascii="宋体" w:hAnsi="宋体"/>
          <w:color w:val="000000"/>
          <w:sz w:val="24"/>
          <w:szCs w:val="24"/>
        </w:rPr>
        <w:t>从2003年8月开始，海富通先后募集成立了61只公募基金。截至2018年6月30日，海富通管理的公募基金资产规模超过574.03亿元人民币。</w:t>
      </w:r>
    </w:p>
    <w:p w:rsidR="00E17817" w:rsidRDefault="00A40F17">
      <w:pPr>
        <w:spacing w:line="360" w:lineRule="auto"/>
        <w:ind w:firstLineChars="200" w:firstLine="480"/>
        <w:rPr>
          <w:rFonts w:ascii="宋体" w:hAnsi="宋体"/>
          <w:color w:val="000000"/>
          <w:sz w:val="24"/>
          <w:szCs w:val="24"/>
        </w:rPr>
      </w:pPr>
      <w:r>
        <w:rPr>
          <w:rFonts w:ascii="宋体" w:hAnsi="宋体"/>
          <w:color w:val="000000"/>
          <w:sz w:val="24"/>
          <w:szCs w:val="24"/>
        </w:rPr>
        <w:t>2004年末开始，海富通及子公司为QFII（合格境外机构投资者）及其他多个海内外投资组合担任投资咨询顾问，截至2018年6月30日，投资咨询及海外业务规模超过32亿元人民币。</w:t>
      </w:r>
    </w:p>
    <w:p w:rsidR="00E17817" w:rsidRDefault="00A40F17">
      <w:pPr>
        <w:spacing w:line="360" w:lineRule="auto"/>
        <w:ind w:firstLineChars="200" w:firstLine="480"/>
        <w:rPr>
          <w:rFonts w:ascii="宋体" w:hAnsi="宋体"/>
          <w:color w:val="000000"/>
          <w:sz w:val="24"/>
          <w:szCs w:val="24"/>
        </w:rPr>
      </w:pPr>
      <w:r>
        <w:rPr>
          <w:rFonts w:ascii="宋体" w:hAnsi="宋体"/>
          <w:color w:val="000000"/>
          <w:sz w:val="24"/>
          <w:szCs w:val="24"/>
        </w:rPr>
        <w:t>作为国家人力资源和社会保障部首批企业年金基金投资管理人，截至2018年6月30日，海富通为近80家企业超过401亿元的企业年金基金担任了投资管理人。作为首批特定客户资产管理业务资格的基金管理公司，截至2018年6月30日，海富通管理的特定客户资产管理业务规模超过443亿元。2010年12月，海富通基金管理有限公司被全国社会保障基金理事会选聘为境内委托投资管理人。2011年12月，海富通全资子公司——海富通资产管理（香港）有限公司获得证监会核准批复RQFII（人民币合格境外机构投资者）业务资格，能够在香港筹集人民币资金投资境内证券市场。2012年2月，海富通资产管理（香港）有限公司已募集发行了首只RQFII产品。2012年9月，中国保监会公告确认海富通基金为首批保险资金投资管理人之一。2014年8月，海富通全资子公司上海富诚海富通资产管理公司正式开业，获准开展特定客户资产管理服务。2016年12月，海富通基金管理有限公司被全国社会保障基金理事会选聘为首批基本养老保险基金投资管理人。</w:t>
      </w:r>
    </w:p>
    <w:p w:rsidR="0012438E" w:rsidRDefault="00F03621">
      <w:pPr>
        <w:spacing w:line="360" w:lineRule="auto"/>
        <w:ind w:firstLineChars="200" w:firstLine="480"/>
        <w:rPr>
          <w:rFonts w:ascii="宋体" w:hAnsi="宋体"/>
          <w:color w:val="000000"/>
          <w:sz w:val="24"/>
          <w:szCs w:val="24"/>
        </w:rPr>
      </w:pPr>
      <w:r>
        <w:rPr>
          <w:rFonts w:ascii="宋体" w:hAnsi="宋体"/>
          <w:color w:val="000000"/>
          <w:sz w:val="24"/>
          <w:szCs w:val="24"/>
        </w:rPr>
        <w:t>2016年3月，国内权威财经媒体《中国证券报》授予海富通基金管理有限公司“固定收益投资金牛基金公司”。2018年3月，国内权威财经媒体《证券时报》授予海富通阿尔法对冲混合型发起式证券投资基金为第十三届中国基金业明星基金奖——三年持续回报绝对收益明星基金。</w:t>
      </w:r>
    </w:p>
    <w:p w:rsidR="0012438E" w:rsidRDefault="0012438E">
      <w:pPr>
        <w:spacing w:before="29" w:line="288" w:lineRule="auto"/>
        <w:ind w:firstLineChars="200" w:firstLine="480"/>
        <w:rPr>
          <w:color w:val="000000"/>
          <w:sz w:val="24"/>
          <w:szCs w:val="24"/>
        </w:rPr>
      </w:pPr>
    </w:p>
    <w:p w:rsidR="0012438E" w:rsidRDefault="00F03621" w:rsidP="00BA3DC2">
      <w:pPr>
        <w:pStyle w:val="1"/>
        <w:spacing w:beforeLines="100" w:afterLines="100" w:line="288" w:lineRule="auto"/>
        <w:jc w:val="center"/>
        <w:rPr>
          <w:color w:val="000000"/>
          <w:kern w:val="0"/>
          <w:sz w:val="24"/>
          <w:szCs w:val="24"/>
        </w:rPr>
      </w:pPr>
      <w:r>
        <w:rPr>
          <w:color w:val="000000"/>
          <w:kern w:val="0"/>
          <w:sz w:val="24"/>
          <w:szCs w:val="24"/>
        </w:rPr>
        <w:t xml:space="preserve">§9 </w:t>
      </w:r>
      <w:r>
        <w:rPr>
          <w:color w:val="000000"/>
          <w:kern w:val="0"/>
          <w:sz w:val="24"/>
          <w:szCs w:val="24"/>
        </w:rPr>
        <w:t>备查文件目录</w:t>
      </w: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9.1 </w:t>
      </w:r>
      <w:r>
        <w:rPr>
          <w:b/>
          <w:bCs/>
          <w:color w:val="000000"/>
          <w:kern w:val="0"/>
          <w:sz w:val="24"/>
          <w:szCs w:val="24"/>
        </w:rPr>
        <w:t>备查文件目录</w:t>
      </w:r>
    </w:p>
    <w:p w:rsidR="00E17817" w:rsidRDefault="00A40F17">
      <w:pPr>
        <w:spacing w:before="29" w:line="288" w:lineRule="auto"/>
        <w:ind w:firstLineChars="200" w:firstLine="480"/>
        <w:rPr>
          <w:color w:val="000000"/>
          <w:sz w:val="24"/>
          <w:szCs w:val="24"/>
        </w:rPr>
      </w:pPr>
      <w:r>
        <w:rPr>
          <w:color w:val="000000"/>
          <w:sz w:val="24"/>
          <w:szCs w:val="24"/>
        </w:rPr>
        <w:t>（一）中国证监会批准设立海富通东财大数据灵活配置混合型证券投资基金的文件</w:t>
      </w:r>
    </w:p>
    <w:p w:rsidR="00E17817" w:rsidRDefault="00A40F17">
      <w:pPr>
        <w:spacing w:before="29" w:line="288" w:lineRule="auto"/>
        <w:ind w:firstLineChars="200" w:firstLine="480"/>
        <w:rPr>
          <w:color w:val="000000"/>
          <w:sz w:val="24"/>
          <w:szCs w:val="24"/>
        </w:rPr>
      </w:pPr>
      <w:r>
        <w:rPr>
          <w:color w:val="000000"/>
          <w:sz w:val="24"/>
          <w:szCs w:val="24"/>
        </w:rPr>
        <w:t>（二）海富通东财大数据灵活配置混合型证券投资基金基金合同</w:t>
      </w:r>
    </w:p>
    <w:p w:rsidR="00E17817" w:rsidRDefault="00A40F17">
      <w:pPr>
        <w:spacing w:before="29" w:line="288" w:lineRule="auto"/>
        <w:ind w:firstLineChars="200" w:firstLine="480"/>
        <w:rPr>
          <w:color w:val="000000"/>
          <w:sz w:val="24"/>
          <w:szCs w:val="24"/>
        </w:rPr>
      </w:pPr>
      <w:r>
        <w:rPr>
          <w:color w:val="000000"/>
          <w:sz w:val="24"/>
          <w:szCs w:val="24"/>
        </w:rPr>
        <w:t>（三）海富通东财大数据灵活配置混合型证券投资基金招募说明书</w:t>
      </w:r>
    </w:p>
    <w:p w:rsidR="00E17817" w:rsidRDefault="00A40F17">
      <w:pPr>
        <w:spacing w:before="29" w:line="288" w:lineRule="auto"/>
        <w:ind w:firstLineChars="200" w:firstLine="480"/>
        <w:rPr>
          <w:color w:val="000000"/>
          <w:sz w:val="24"/>
          <w:szCs w:val="24"/>
        </w:rPr>
      </w:pPr>
      <w:r>
        <w:rPr>
          <w:color w:val="000000"/>
          <w:sz w:val="24"/>
          <w:szCs w:val="24"/>
        </w:rPr>
        <w:t>（四）海富通东财大数据灵活配置混合型证券投资基金托管协议</w:t>
      </w:r>
    </w:p>
    <w:p w:rsidR="00E17817" w:rsidRDefault="00A40F17">
      <w:pPr>
        <w:spacing w:before="29" w:line="288" w:lineRule="auto"/>
        <w:ind w:firstLineChars="200" w:firstLine="480"/>
        <w:rPr>
          <w:color w:val="000000"/>
          <w:sz w:val="24"/>
          <w:szCs w:val="24"/>
        </w:rPr>
      </w:pPr>
      <w:r>
        <w:rPr>
          <w:color w:val="000000"/>
          <w:sz w:val="24"/>
          <w:szCs w:val="24"/>
        </w:rPr>
        <w:t>（五）中国证监会批准设立海富通基金管理有限公司的文件</w:t>
      </w:r>
    </w:p>
    <w:p w:rsidR="00E17817" w:rsidRDefault="00A40F17">
      <w:pPr>
        <w:spacing w:before="29" w:line="288" w:lineRule="auto"/>
        <w:ind w:firstLineChars="200" w:firstLine="480"/>
        <w:rPr>
          <w:color w:val="000000"/>
          <w:sz w:val="24"/>
          <w:szCs w:val="24"/>
        </w:rPr>
      </w:pPr>
      <w:r>
        <w:rPr>
          <w:color w:val="000000"/>
          <w:sz w:val="24"/>
          <w:szCs w:val="24"/>
        </w:rPr>
        <w:t>（六）报告期内海富通东财大数据灵活配置混合型证券投资基金在指定报刊上披露的各项公告</w:t>
      </w:r>
    </w:p>
    <w:p w:rsidR="0012438E" w:rsidRDefault="0012438E">
      <w:pPr>
        <w:spacing w:before="29" w:line="288" w:lineRule="auto"/>
        <w:ind w:firstLineChars="200" w:firstLine="480"/>
        <w:rPr>
          <w:color w:val="000000"/>
          <w:sz w:val="24"/>
          <w:szCs w:val="24"/>
        </w:rPr>
      </w:pPr>
    </w:p>
    <w:p w:rsidR="0012438E" w:rsidRDefault="0012438E">
      <w:pPr>
        <w:spacing w:before="29" w:line="288" w:lineRule="auto"/>
        <w:ind w:firstLineChars="200" w:firstLine="480"/>
        <w:rPr>
          <w:color w:val="00000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9.2 </w:t>
      </w:r>
      <w:r>
        <w:rPr>
          <w:b/>
          <w:bCs/>
          <w:color w:val="000000"/>
          <w:kern w:val="0"/>
          <w:sz w:val="24"/>
          <w:szCs w:val="24"/>
        </w:rPr>
        <w:t>存放地点</w:t>
      </w:r>
    </w:p>
    <w:p w:rsidR="0012438E" w:rsidRDefault="00F03621">
      <w:pPr>
        <w:spacing w:before="29" w:line="288" w:lineRule="auto"/>
        <w:ind w:firstLineChars="200" w:firstLine="480"/>
        <w:rPr>
          <w:color w:val="000000"/>
          <w:sz w:val="24"/>
          <w:szCs w:val="24"/>
        </w:rPr>
      </w:pPr>
      <w:r>
        <w:rPr>
          <w:color w:val="000000"/>
          <w:sz w:val="24"/>
          <w:szCs w:val="24"/>
        </w:rPr>
        <w:t>上海市浦东新区陆家嘴花园石桥路</w:t>
      </w:r>
      <w:r>
        <w:rPr>
          <w:color w:val="000000"/>
          <w:sz w:val="24"/>
          <w:szCs w:val="24"/>
        </w:rPr>
        <w:t>66</w:t>
      </w:r>
      <w:r>
        <w:rPr>
          <w:color w:val="000000"/>
          <w:sz w:val="24"/>
          <w:szCs w:val="24"/>
        </w:rPr>
        <w:t>号东亚银行金融大厦</w:t>
      </w:r>
      <w:r>
        <w:rPr>
          <w:color w:val="000000"/>
          <w:sz w:val="24"/>
          <w:szCs w:val="24"/>
        </w:rPr>
        <w:t>36</w:t>
      </w:r>
      <w:r>
        <w:rPr>
          <w:color w:val="000000"/>
          <w:sz w:val="24"/>
          <w:szCs w:val="24"/>
        </w:rPr>
        <w:t>－</w:t>
      </w:r>
      <w:r>
        <w:rPr>
          <w:color w:val="000000"/>
          <w:sz w:val="24"/>
          <w:szCs w:val="24"/>
        </w:rPr>
        <w:t>37</w:t>
      </w:r>
      <w:r>
        <w:rPr>
          <w:color w:val="000000"/>
          <w:sz w:val="24"/>
          <w:szCs w:val="24"/>
        </w:rPr>
        <w:t>层本基金管理人办公地址。</w:t>
      </w:r>
    </w:p>
    <w:p w:rsidR="0012438E" w:rsidRDefault="0012438E">
      <w:pPr>
        <w:spacing w:before="29" w:line="288" w:lineRule="auto"/>
        <w:ind w:firstLineChars="200" w:firstLine="480"/>
        <w:rPr>
          <w:color w:val="000000"/>
          <w:sz w:val="24"/>
          <w:szCs w:val="24"/>
        </w:rPr>
      </w:pPr>
    </w:p>
    <w:p w:rsidR="0012438E" w:rsidRDefault="00F03621">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9.3 </w:t>
      </w:r>
      <w:r>
        <w:rPr>
          <w:b/>
          <w:bCs/>
          <w:color w:val="000000"/>
          <w:kern w:val="0"/>
          <w:sz w:val="24"/>
          <w:szCs w:val="24"/>
        </w:rPr>
        <w:t>查阅方式</w:t>
      </w:r>
    </w:p>
    <w:p w:rsidR="0012438E" w:rsidRDefault="00F03621">
      <w:pPr>
        <w:spacing w:before="29" w:line="288" w:lineRule="auto"/>
        <w:ind w:firstLineChars="200" w:firstLine="480"/>
        <w:rPr>
          <w:color w:val="000000"/>
          <w:sz w:val="24"/>
          <w:szCs w:val="24"/>
        </w:rPr>
      </w:pPr>
      <w:r>
        <w:rPr>
          <w:color w:val="000000"/>
          <w:sz w:val="24"/>
          <w:szCs w:val="24"/>
        </w:rPr>
        <w:t>投资者可于本基金管理人办公时间预约查阅。</w:t>
      </w:r>
    </w:p>
    <w:p w:rsidR="0012438E" w:rsidRDefault="0012438E">
      <w:pPr>
        <w:spacing w:before="29" w:line="288" w:lineRule="auto"/>
        <w:ind w:firstLineChars="200" w:firstLine="480"/>
        <w:rPr>
          <w:color w:val="000000"/>
          <w:sz w:val="24"/>
          <w:szCs w:val="24"/>
        </w:rPr>
      </w:pPr>
    </w:p>
    <w:p w:rsidR="0012438E" w:rsidRDefault="0012438E">
      <w:pPr>
        <w:spacing w:before="29" w:line="288" w:lineRule="auto"/>
        <w:ind w:firstLineChars="200" w:firstLine="480"/>
        <w:rPr>
          <w:color w:val="000000"/>
          <w:sz w:val="24"/>
          <w:szCs w:val="24"/>
        </w:rPr>
      </w:pPr>
    </w:p>
    <w:p w:rsidR="0012438E" w:rsidRDefault="0012438E">
      <w:pPr>
        <w:spacing w:before="29" w:line="288" w:lineRule="auto"/>
        <w:ind w:firstLineChars="200" w:firstLine="480"/>
        <w:rPr>
          <w:color w:val="000000"/>
          <w:sz w:val="24"/>
          <w:szCs w:val="24"/>
        </w:rPr>
      </w:pPr>
    </w:p>
    <w:p w:rsidR="0012438E" w:rsidRDefault="0012438E">
      <w:pPr>
        <w:spacing w:before="29" w:line="288" w:lineRule="auto"/>
        <w:ind w:firstLineChars="200" w:firstLine="480"/>
        <w:rPr>
          <w:color w:val="000000"/>
          <w:sz w:val="24"/>
          <w:szCs w:val="24"/>
        </w:rPr>
      </w:pPr>
    </w:p>
    <w:p w:rsidR="0012438E" w:rsidRDefault="0012438E">
      <w:pPr>
        <w:spacing w:before="29" w:line="288" w:lineRule="auto"/>
        <w:ind w:firstLineChars="200" w:firstLine="480"/>
        <w:rPr>
          <w:color w:val="000000"/>
          <w:sz w:val="24"/>
          <w:szCs w:val="24"/>
        </w:rPr>
      </w:pPr>
    </w:p>
    <w:p w:rsidR="0012438E" w:rsidRDefault="0012438E">
      <w:pPr>
        <w:spacing w:before="29" w:line="288" w:lineRule="auto"/>
        <w:ind w:firstLineChars="200" w:firstLine="480"/>
        <w:rPr>
          <w:color w:val="000000"/>
          <w:sz w:val="24"/>
          <w:szCs w:val="24"/>
        </w:rPr>
      </w:pPr>
    </w:p>
    <w:p w:rsidR="0012438E" w:rsidRDefault="0012438E">
      <w:pPr>
        <w:spacing w:before="29" w:line="288" w:lineRule="auto"/>
        <w:ind w:firstLineChars="200" w:firstLine="480"/>
        <w:rPr>
          <w:color w:val="000000"/>
          <w:sz w:val="24"/>
          <w:szCs w:val="24"/>
        </w:rPr>
      </w:pPr>
    </w:p>
    <w:p w:rsidR="0012438E" w:rsidRDefault="0012438E">
      <w:pPr>
        <w:spacing w:before="29" w:line="288" w:lineRule="auto"/>
        <w:ind w:firstLineChars="200" w:firstLine="480"/>
        <w:rPr>
          <w:color w:val="000000"/>
          <w:sz w:val="24"/>
          <w:szCs w:val="24"/>
        </w:rPr>
      </w:pPr>
    </w:p>
    <w:p w:rsidR="0012438E" w:rsidRDefault="0012438E">
      <w:pPr>
        <w:tabs>
          <w:tab w:val="left" w:pos="5715"/>
        </w:tabs>
        <w:spacing w:before="29" w:line="288" w:lineRule="auto"/>
        <w:ind w:firstLineChars="200" w:firstLine="480"/>
        <w:rPr>
          <w:color w:val="000000"/>
          <w:sz w:val="24"/>
        </w:rPr>
      </w:pPr>
    </w:p>
    <w:p w:rsidR="0012438E" w:rsidRDefault="00F03621">
      <w:pPr>
        <w:tabs>
          <w:tab w:val="left" w:pos="5715"/>
        </w:tabs>
        <w:spacing w:before="29" w:line="288" w:lineRule="auto"/>
        <w:ind w:firstLineChars="200" w:firstLine="482"/>
        <w:jc w:val="right"/>
        <w:rPr>
          <w:b/>
          <w:color w:val="000000"/>
          <w:sz w:val="24"/>
        </w:rPr>
      </w:pPr>
      <w:r>
        <w:rPr>
          <w:b/>
          <w:color w:val="000000"/>
          <w:sz w:val="24"/>
        </w:rPr>
        <w:t>海富通基金管理有限公司</w:t>
      </w:r>
    </w:p>
    <w:p w:rsidR="0012438E" w:rsidRDefault="00F03621">
      <w:pPr>
        <w:tabs>
          <w:tab w:val="left" w:pos="5715"/>
        </w:tabs>
        <w:spacing w:before="29" w:line="288" w:lineRule="auto"/>
        <w:ind w:firstLineChars="200" w:firstLine="482"/>
        <w:jc w:val="right"/>
        <w:rPr>
          <w:b/>
          <w:color w:val="000000"/>
          <w:sz w:val="24"/>
        </w:rPr>
      </w:pPr>
      <w:r>
        <w:rPr>
          <w:b/>
          <w:color w:val="000000"/>
          <w:sz w:val="24"/>
        </w:rPr>
        <w:t>二〇一八年七月十八日</w:t>
      </w:r>
    </w:p>
    <w:p w:rsidR="0012438E" w:rsidRDefault="0012438E">
      <w:pPr>
        <w:spacing w:before="29" w:line="288" w:lineRule="auto"/>
        <w:ind w:firstLineChars="200" w:firstLine="480"/>
        <w:rPr>
          <w:color w:val="000000"/>
          <w:sz w:val="24"/>
          <w:szCs w:val="24"/>
        </w:rPr>
      </w:pPr>
    </w:p>
    <w:sectPr w:rsidR="0012438E" w:rsidSect="00D71759">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621" w:rsidRDefault="00F03621">
      <w:r>
        <w:separator/>
      </w:r>
    </w:p>
  </w:endnote>
  <w:endnote w:type="continuationSeparator" w:id="1">
    <w:p w:rsidR="00F03621" w:rsidRDefault="00F036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8E" w:rsidRDefault="00F03621">
    <w:pPr>
      <w:pStyle w:val="ac"/>
      <w:jc w:val="center"/>
    </w:pPr>
    <w:r>
      <w:rPr>
        <w:rFonts w:hint="eastAsia"/>
        <w:kern w:val="0"/>
        <w:szCs w:val="21"/>
      </w:rPr>
      <w:t>第</w:t>
    </w:r>
    <w:r w:rsidR="00D71759">
      <w:rPr>
        <w:kern w:val="0"/>
        <w:szCs w:val="21"/>
      </w:rPr>
      <w:fldChar w:fldCharType="begin"/>
    </w:r>
    <w:r>
      <w:rPr>
        <w:kern w:val="0"/>
        <w:szCs w:val="21"/>
      </w:rPr>
      <w:instrText xml:space="preserve"> PAGE </w:instrText>
    </w:r>
    <w:r w:rsidR="00D71759">
      <w:rPr>
        <w:kern w:val="0"/>
        <w:szCs w:val="21"/>
      </w:rPr>
      <w:fldChar w:fldCharType="separate"/>
    </w:r>
    <w:r w:rsidR="00BA3DC2">
      <w:rPr>
        <w:noProof/>
        <w:kern w:val="0"/>
        <w:szCs w:val="21"/>
      </w:rPr>
      <w:t>1</w:t>
    </w:r>
    <w:r w:rsidR="00D71759">
      <w:rPr>
        <w:kern w:val="0"/>
        <w:szCs w:val="21"/>
      </w:rPr>
      <w:fldChar w:fldCharType="end"/>
    </w:r>
    <w:r>
      <w:rPr>
        <w:rFonts w:hint="eastAsia"/>
        <w:kern w:val="0"/>
        <w:szCs w:val="21"/>
      </w:rPr>
      <w:t>页共</w:t>
    </w:r>
    <w:r w:rsidR="00D71759">
      <w:rPr>
        <w:kern w:val="0"/>
        <w:szCs w:val="21"/>
      </w:rPr>
      <w:fldChar w:fldCharType="begin"/>
    </w:r>
    <w:r>
      <w:rPr>
        <w:kern w:val="0"/>
        <w:szCs w:val="21"/>
      </w:rPr>
      <w:instrText xml:space="preserve"> NUMPAGES </w:instrText>
    </w:r>
    <w:r w:rsidR="00D71759">
      <w:rPr>
        <w:kern w:val="0"/>
        <w:szCs w:val="21"/>
      </w:rPr>
      <w:fldChar w:fldCharType="separate"/>
    </w:r>
    <w:r w:rsidR="00BA3DC2">
      <w:rPr>
        <w:noProof/>
        <w:kern w:val="0"/>
        <w:szCs w:val="21"/>
      </w:rPr>
      <w:t>3</w:t>
    </w:r>
    <w:r w:rsidR="00D71759">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621" w:rsidRDefault="00F03621">
      <w:r>
        <w:separator/>
      </w:r>
    </w:p>
  </w:footnote>
  <w:footnote w:type="continuationSeparator" w:id="1">
    <w:p w:rsidR="00F03621" w:rsidRDefault="00F03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8E" w:rsidRDefault="00F03621">
    <w:pPr>
      <w:pStyle w:val="ad"/>
      <w:pBdr>
        <w:bottom w:val="single" w:sz="6" w:space="0" w:color="auto"/>
      </w:pBdr>
      <w:jc w:val="right"/>
    </w:pPr>
    <w:r>
      <w:t>海富通东财大数据灵活配置混合型证券投资基金</w:t>
    </w:r>
    <w:r>
      <w:t>2018</w:t>
    </w:r>
    <w:r>
      <w:t>年第</w:t>
    </w:r>
    <w:r>
      <w:t>2</w:t>
    </w:r>
    <w: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00678"/>
    <w:rsid w:val="00012B4B"/>
    <w:rsid w:val="00014099"/>
    <w:rsid w:val="000160C5"/>
    <w:rsid w:val="000210E7"/>
    <w:rsid w:val="000243BD"/>
    <w:rsid w:val="00024F7F"/>
    <w:rsid w:val="00031EBB"/>
    <w:rsid w:val="00033B8D"/>
    <w:rsid w:val="0004308C"/>
    <w:rsid w:val="00043852"/>
    <w:rsid w:val="000450DD"/>
    <w:rsid w:val="000463DE"/>
    <w:rsid w:val="000625ED"/>
    <w:rsid w:val="00064D40"/>
    <w:rsid w:val="000669E3"/>
    <w:rsid w:val="000815C0"/>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357D"/>
    <w:rsid w:val="000E7E5E"/>
    <w:rsid w:val="000F6CC8"/>
    <w:rsid w:val="00111261"/>
    <w:rsid w:val="00121FC4"/>
    <w:rsid w:val="0012438E"/>
    <w:rsid w:val="00133015"/>
    <w:rsid w:val="00137452"/>
    <w:rsid w:val="00137B31"/>
    <w:rsid w:val="00144F93"/>
    <w:rsid w:val="00147376"/>
    <w:rsid w:val="0015450B"/>
    <w:rsid w:val="00154BE1"/>
    <w:rsid w:val="001563BB"/>
    <w:rsid w:val="0015710B"/>
    <w:rsid w:val="00160EDC"/>
    <w:rsid w:val="00162D61"/>
    <w:rsid w:val="001675CD"/>
    <w:rsid w:val="001717D5"/>
    <w:rsid w:val="00171EF0"/>
    <w:rsid w:val="001761D2"/>
    <w:rsid w:val="00176C21"/>
    <w:rsid w:val="001830D7"/>
    <w:rsid w:val="00185A34"/>
    <w:rsid w:val="001934F6"/>
    <w:rsid w:val="00194301"/>
    <w:rsid w:val="00196E6C"/>
    <w:rsid w:val="001A73E8"/>
    <w:rsid w:val="001B02BC"/>
    <w:rsid w:val="001B0A62"/>
    <w:rsid w:val="001B2F35"/>
    <w:rsid w:val="001C0993"/>
    <w:rsid w:val="001C79F2"/>
    <w:rsid w:val="001D2DEE"/>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65C9B"/>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2F6C96"/>
    <w:rsid w:val="00302816"/>
    <w:rsid w:val="003038AE"/>
    <w:rsid w:val="00304A12"/>
    <w:rsid w:val="00305636"/>
    <w:rsid w:val="00311662"/>
    <w:rsid w:val="00312A9F"/>
    <w:rsid w:val="00315D5D"/>
    <w:rsid w:val="00316484"/>
    <w:rsid w:val="00316E01"/>
    <w:rsid w:val="00320300"/>
    <w:rsid w:val="00320E90"/>
    <w:rsid w:val="00324508"/>
    <w:rsid w:val="003259C8"/>
    <w:rsid w:val="00327C0E"/>
    <w:rsid w:val="003307FE"/>
    <w:rsid w:val="00333AD0"/>
    <w:rsid w:val="00336EAF"/>
    <w:rsid w:val="003470E2"/>
    <w:rsid w:val="00352719"/>
    <w:rsid w:val="0035383E"/>
    <w:rsid w:val="00355364"/>
    <w:rsid w:val="0036152B"/>
    <w:rsid w:val="00364CCB"/>
    <w:rsid w:val="00365798"/>
    <w:rsid w:val="0039085F"/>
    <w:rsid w:val="00394069"/>
    <w:rsid w:val="00396809"/>
    <w:rsid w:val="003A6061"/>
    <w:rsid w:val="003B3494"/>
    <w:rsid w:val="003B6FBC"/>
    <w:rsid w:val="003D0AFF"/>
    <w:rsid w:val="003D2F6D"/>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087"/>
    <w:rsid w:val="004216D2"/>
    <w:rsid w:val="00426096"/>
    <w:rsid w:val="00427F58"/>
    <w:rsid w:val="00433805"/>
    <w:rsid w:val="00443869"/>
    <w:rsid w:val="00460575"/>
    <w:rsid w:val="00463EC0"/>
    <w:rsid w:val="00471408"/>
    <w:rsid w:val="00480B35"/>
    <w:rsid w:val="004858E0"/>
    <w:rsid w:val="00491C81"/>
    <w:rsid w:val="004934E9"/>
    <w:rsid w:val="004943C2"/>
    <w:rsid w:val="004949F3"/>
    <w:rsid w:val="004A11A7"/>
    <w:rsid w:val="004A459C"/>
    <w:rsid w:val="004A7B1D"/>
    <w:rsid w:val="004B3695"/>
    <w:rsid w:val="004B6D83"/>
    <w:rsid w:val="004C0914"/>
    <w:rsid w:val="004C702F"/>
    <w:rsid w:val="004D340C"/>
    <w:rsid w:val="004D495A"/>
    <w:rsid w:val="004E1298"/>
    <w:rsid w:val="004E5975"/>
    <w:rsid w:val="004E790A"/>
    <w:rsid w:val="004E7AD3"/>
    <w:rsid w:val="004F1A4E"/>
    <w:rsid w:val="004F50FD"/>
    <w:rsid w:val="00500A03"/>
    <w:rsid w:val="00506EE6"/>
    <w:rsid w:val="00512200"/>
    <w:rsid w:val="005143CD"/>
    <w:rsid w:val="005144F2"/>
    <w:rsid w:val="00516618"/>
    <w:rsid w:val="00517989"/>
    <w:rsid w:val="005242A5"/>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F1F"/>
    <w:rsid w:val="005A6675"/>
    <w:rsid w:val="005B09FA"/>
    <w:rsid w:val="005B2E9C"/>
    <w:rsid w:val="005B3CC0"/>
    <w:rsid w:val="005B4F93"/>
    <w:rsid w:val="005B73D2"/>
    <w:rsid w:val="005D2B36"/>
    <w:rsid w:val="005E475E"/>
    <w:rsid w:val="005E56E7"/>
    <w:rsid w:val="005F118D"/>
    <w:rsid w:val="005F2ABA"/>
    <w:rsid w:val="005F3996"/>
    <w:rsid w:val="005F6AF6"/>
    <w:rsid w:val="00604E50"/>
    <w:rsid w:val="006054CF"/>
    <w:rsid w:val="006066D2"/>
    <w:rsid w:val="006075E6"/>
    <w:rsid w:val="0061286A"/>
    <w:rsid w:val="00613BB8"/>
    <w:rsid w:val="00614CC4"/>
    <w:rsid w:val="0062025E"/>
    <w:rsid w:val="00625BFC"/>
    <w:rsid w:val="00626998"/>
    <w:rsid w:val="006269FB"/>
    <w:rsid w:val="00626EE5"/>
    <w:rsid w:val="00627E2D"/>
    <w:rsid w:val="00627EDE"/>
    <w:rsid w:val="00631ED8"/>
    <w:rsid w:val="00632B0F"/>
    <w:rsid w:val="00636DB7"/>
    <w:rsid w:val="0063783A"/>
    <w:rsid w:val="006423B9"/>
    <w:rsid w:val="00642FA0"/>
    <w:rsid w:val="00654B0D"/>
    <w:rsid w:val="0065599B"/>
    <w:rsid w:val="00655CD8"/>
    <w:rsid w:val="00655E1C"/>
    <w:rsid w:val="006571DC"/>
    <w:rsid w:val="00660D4B"/>
    <w:rsid w:val="00664ECC"/>
    <w:rsid w:val="00670547"/>
    <w:rsid w:val="00670989"/>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16F"/>
    <w:rsid w:val="006D39E9"/>
    <w:rsid w:val="006D3BE3"/>
    <w:rsid w:val="006D7004"/>
    <w:rsid w:val="006D789D"/>
    <w:rsid w:val="006D7FF8"/>
    <w:rsid w:val="006E042A"/>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8601C"/>
    <w:rsid w:val="0079369C"/>
    <w:rsid w:val="00794090"/>
    <w:rsid w:val="00796CA8"/>
    <w:rsid w:val="00797305"/>
    <w:rsid w:val="007B035B"/>
    <w:rsid w:val="007B4C04"/>
    <w:rsid w:val="007B4DDA"/>
    <w:rsid w:val="007B5AFB"/>
    <w:rsid w:val="007C395A"/>
    <w:rsid w:val="007C5862"/>
    <w:rsid w:val="007D0922"/>
    <w:rsid w:val="007D100C"/>
    <w:rsid w:val="007E2686"/>
    <w:rsid w:val="007E57C0"/>
    <w:rsid w:val="007F29B1"/>
    <w:rsid w:val="007F797B"/>
    <w:rsid w:val="008014F9"/>
    <w:rsid w:val="0080358B"/>
    <w:rsid w:val="008059BD"/>
    <w:rsid w:val="0081286B"/>
    <w:rsid w:val="00812D46"/>
    <w:rsid w:val="008148E0"/>
    <w:rsid w:val="00815A38"/>
    <w:rsid w:val="0082103F"/>
    <w:rsid w:val="00824239"/>
    <w:rsid w:val="008279FE"/>
    <w:rsid w:val="00831259"/>
    <w:rsid w:val="0083208A"/>
    <w:rsid w:val="0083218A"/>
    <w:rsid w:val="00832A00"/>
    <w:rsid w:val="00836618"/>
    <w:rsid w:val="00837635"/>
    <w:rsid w:val="00837845"/>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1677"/>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12803"/>
    <w:rsid w:val="00921AC7"/>
    <w:rsid w:val="00924582"/>
    <w:rsid w:val="00931291"/>
    <w:rsid w:val="0093367D"/>
    <w:rsid w:val="009431FA"/>
    <w:rsid w:val="00945AF6"/>
    <w:rsid w:val="009550BE"/>
    <w:rsid w:val="00955531"/>
    <w:rsid w:val="00955BE8"/>
    <w:rsid w:val="00957594"/>
    <w:rsid w:val="00963F40"/>
    <w:rsid w:val="00970613"/>
    <w:rsid w:val="009730B8"/>
    <w:rsid w:val="0097424F"/>
    <w:rsid w:val="0098122D"/>
    <w:rsid w:val="00986596"/>
    <w:rsid w:val="00990685"/>
    <w:rsid w:val="009A0ABE"/>
    <w:rsid w:val="009A4E5D"/>
    <w:rsid w:val="009B2D4B"/>
    <w:rsid w:val="009C379B"/>
    <w:rsid w:val="009C5186"/>
    <w:rsid w:val="009C60F7"/>
    <w:rsid w:val="009D0952"/>
    <w:rsid w:val="009E19A9"/>
    <w:rsid w:val="009E31DA"/>
    <w:rsid w:val="009E402C"/>
    <w:rsid w:val="009E7C6A"/>
    <w:rsid w:val="009F0367"/>
    <w:rsid w:val="009F3659"/>
    <w:rsid w:val="009F4271"/>
    <w:rsid w:val="009F4861"/>
    <w:rsid w:val="009F61BE"/>
    <w:rsid w:val="009F7ED4"/>
    <w:rsid w:val="00A03AAC"/>
    <w:rsid w:val="00A047D1"/>
    <w:rsid w:val="00A17EEE"/>
    <w:rsid w:val="00A21300"/>
    <w:rsid w:val="00A22AD0"/>
    <w:rsid w:val="00A22DA8"/>
    <w:rsid w:val="00A3030E"/>
    <w:rsid w:val="00A31574"/>
    <w:rsid w:val="00A31671"/>
    <w:rsid w:val="00A324F4"/>
    <w:rsid w:val="00A36930"/>
    <w:rsid w:val="00A40F17"/>
    <w:rsid w:val="00A42DBD"/>
    <w:rsid w:val="00A45320"/>
    <w:rsid w:val="00A504C9"/>
    <w:rsid w:val="00A54C7D"/>
    <w:rsid w:val="00A5612C"/>
    <w:rsid w:val="00A5689C"/>
    <w:rsid w:val="00A575FF"/>
    <w:rsid w:val="00A57AE4"/>
    <w:rsid w:val="00A63F19"/>
    <w:rsid w:val="00A656BB"/>
    <w:rsid w:val="00A669FC"/>
    <w:rsid w:val="00A66F42"/>
    <w:rsid w:val="00A76625"/>
    <w:rsid w:val="00A81F53"/>
    <w:rsid w:val="00A83500"/>
    <w:rsid w:val="00A8721A"/>
    <w:rsid w:val="00A90049"/>
    <w:rsid w:val="00A90AED"/>
    <w:rsid w:val="00A917BF"/>
    <w:rsid w:val="00A96A94"/>
    <w:rsid w:val="00AA3A38"/>
    <w:rsid w:val="00AA4F94"/>
    <w:rsid w:val="00AA6513"/>
    <w:rsid w:val="00AB047E"/>
    <w:rsid w:val="00AB4DB6"/>
    <w:rsid w:val="00AC063D"/>
    <w:rsid w:val="00AC56B1"/>
    <w:rsid w:val="00AC592E"/>
    <w:rsid w:val="00AC6C10"/>
    <w:rsid w:val="00AC7BC6"/>
    <w:rsid w:val="00AD24AA"/>
    <w:rsid w:val="00AE7962"/>
    <w:rsid w:val="00AF0A7F"/>
    <w:rsid w:val="00AF3AB2"/>
    <w:rsid w:val="00B11BE5"/>
    <w:rsid w:val="00B12B7D"/>
    <w:rsid w:val="00B16985"/>
    <w:rsid w:val="00B22DEE"/>
    <w:rsid w:val="00B27479"/>
    <w:rsid w:val="00B32AA7"/>
    <w:rsid w:val="00B34678"/>
    <w:rsid w:val="00B35024"/>
    <w:rsid w:val="00B364DD"/>
    <w:rsid w:val="00B371B4"/>
    <w:rsid w:val="00B40F64"/>
    <w:rsid w:val="00B42A76"/>
    <w:rsid w:val="00B47982"/>
    <w:rsid w:val="00B56F53"/>
    <w:rsid w:val="00B64723"/>
    <w:rsid w:val="00B7378D"/>
    <w:rsid w:val="00B7444D"/>
    <w:rsid w:val="00B757E2"/>
    <w:rsid w:val="00B816A7"/>
    <w:rsid w:val="00B82413"/>
    <w:rsid w:val="00B85352"/>
    <w:rsid w:val="00B86CD8"/>
    <w:rsid w:val="00B87214"/>
    <w:rsid w:val="00B92FF5"/>
    <w:rsid w:val="00B959E6"/>
    <w:rsid w:val="00B97BFC"/>
    <w:rsid w:val="00BA3DC2"/>
    <w:rsid w:val="00BA604D"/>
    <w:rsid w:val="00BB51A0"/>
    <w:rsid w:val="00BB5DA7"/>
    <w:rsid w:val="00BB5E0E"/>
    <w:rsid w:val="00BB7F37"/>
    <w:rsid w:val="00BC14B3"/>
    <w:rsid w:val="00BC216C"/>
    <w:rsid w:val="00BC4585"/>
    <w:rsid w:val="00BC50F1"/>
    <w:rsid w:val="00BC73E5"/>
    <w:rsid w:val="00BD0031"/>
    <w:rsid w:val="00BD7473"/>
    <w:rsid w:val="00BD7703"/>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6A75"/>
    <w:rsid w:val="00C678B0"/>
    <w:rsid w:val="00C7047C"/>
    <w:rsid w:val="00C71497"/>
    <w:rsid w:val="00C7221C"/>
    <w:rsid w:val="00C72F5B"/>
    <w:rsid w:val="00C73BCD"/>
    <w:rsid w:val="00C74E5E"/>
    <w:rsid w:val="00C77AEF"/>
    <w:rsid w:val="00C85A6E"/>
    <w:rsid w:val="00C87129"/>
    <w:rsid w:val="00C91E1B"/>
    <w:rsid w:val="00C9690F"/>
    <w:rsid w:val="00CA574C"/>
    <w:rsid w:val="00CA5FD5"/>
    <w:rsid w:val="00CA7703"/>
    <w:rsid w:val="00CB0F92"/>
    <w:rsid w:val="00CD4E6D"/>
    <w:rsid w:val="00CD4F19"/>
    <w:rsid w:val="00CD5707"/>
    <w:rsid w:val="00CD7702"/>
    <w:rsid w:val="00CE29EA"/>
    <w:rsid w:val="00CF04CF"/>
    <w:rsid w:val="00CF2D3E"/>
    <w:rsid w:val="00CF6572"/>
    <w:rsid w:val="00D01FE6"/>
    <w:rsid w:val="00D02347"/>
    <w:rsid w:val="00D046DB"/>
    <w:rsid w:val="00D04755"/>
    <w:rsid w:val="00D13737"/>
    <w:rsid w:val="00D1638E"/>
    <w:rsid w:val="00D2061C"/>
    <w:rsid w:val="00D21FFF"/>
    <w:rsid w:val="00D272A5"/>
    <w:rsid w:val="00D346D9"/>
    <w:rsid w:val="00D417A6"/>
    <w:rsid w:val="00D43AFB"/>
    <w:rsid w:val="00D44EE8"/>
    <w:rsid w:val="00D503FE"/>
    <w:rsid w:val="00D57B7C"/>
    <w:rsid w:val="00D6166F"/>
    <w:rsid w:val="00D65994"/>
    <w:rsid w:val="00D65B44"/>
    <w:rsid w:val="00D71759"/>
    <w:rsid w:val="00D75E69"/>
    <w:rsid w:val="00D8099B"/>
    <w:rsid w:val="00D866A8"/>
    <w:rsid w:val="00D9082B"/>
    <w:rsid w:val="00D94B8D"/>
    <w:rsid w:val="00D96C8D"/>
    <w:rsid w:val="00D974EF"/>
    <w:rsid w:val="00DA0C61"/>
    <w:rsid w:val="00DA14B0"/>
    <w:rsid w:val="00DA2876"/>
    <w:rsid w:val="00DC0B51"/>
    <w:rsid w:val="00DC6B55"/>
    <w:rsid w:val="00DE08A7"/>
    <w:rsid w:val="00DE27F7"/>
    <w:rsid w:val="00DE39DD"/>
    <w:rsid w:val="00DE4B43"/>
    <w:rsid w:val="00DE4CFB"/>
    <w:rsid w:val="00DF0E5B"/>
    <w:rsid w:val="00E02660"/>
    <w:rsid w:val="00E02D1C"/>
    <w:rsid w:val="00E17817"/>
    <w:rsid w:val="00E215BA"/>
    <w:rsid w:val="00E36549"/>
    <w:rsid w:val="00E40D31"/>
    <w:rsid w:val="00E41260"/>
    <w:rsid w:val="00E44E18"/>
    <w:rsid w:val="00E52DBC"/>
    <w:rsid w:val="00E54301"/>
    <w:rsid w:val="00E54BF5"/>
    <w:rsid w:val="00E55ABD"/>
    <w:rsid w:val="00E60817"/>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F17AB"/>
    <w:rsid w:val="00EF6FA5"/>
    <w:rsid w:val="00F03621"/>
    <w:rsid w:val="00F046CE"/>
    <w:rsid w:val="00F11104"/>
    <w:rsid w:val="00F11BB5"/>
    <w:rsid w:val="00F16E3F"/>
    <w:rsid w:val="00F22499"/>
    <w:rsid w:val="00F22B0F"/>
    <w:rsid w:val="00F24B42"/>
    <w:rsid w:val="00F24F73"/>
    <w:rsid w:val="00F27299"/>
    <w:rsid w:val="00F31F6E"/>
    <w:rsid w:val="00F3389C"/>
    <w:rsid w:val="00F375F2"/>
    <w:rsid w:val="00F43802"/>
    <w:rsid w:val="00F45C47"/>
    <w:rsid w:val="00F53294"/>
    <w:rsid w:val="00F542E7"/>
    <w:rsid w:val="00F54EAE"/>
    <w:rsid w:val="00F66A51"/>
    <w:rsid w:val="00F71057"/>
    <w:rsid w:val="00F71A4B"/>
    <w:rsid w:val="00F728CF"/>
    <w:rsid w:val="00F743D4"/>
    <w:rsid w:val="00F80AC3"/>
    <w:rsid w:val="00F83B17"/>
    <w:rsid w:val="00F87EDA"/>
    <w:rsid w:val="00F94803"/>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469F"/>
    <w:rsid w:val="00FF5196"/>
    <w:rsid w:val="00FF6E8F"/>
    <w:rsid w:val="79736C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uiPriority="0"/>
    <w:lsdException w:name="annotation text" w:qFormat="1"/>
    <w:lsdException w:name="header" w:semiHidden="0"/>
    <w:lsdException w:name="footer" w:semiHidden="0"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qFormat="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qFormat="1"/>
    <w:lsdException w:name="Block Text" w:unhideWhenUsed="1"/>
    <w:lsdException w:name="Hyperlink" w:semiHidden="0" w:qFormat="1"/>
    <w:lsdException w:name="FollowedHyperlink" w:semiHidden="0" w:qFormat="1"/>
    <w:lsdException w:name="Strong" w:semiHidden="0" w:uiPriority="22" w:qFormat="1"/>
    <w:lsdException w:name="Emphasis" w:semiHidden="0" w:uiPriority="20" w:qFormat="1"/>
    <w:lsdException w:name="Plain Text" w:semiHidden="0"/>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1759"/>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rsid w:val="00D71759"/>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D71759"/>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D7175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D71759"/>
    <w:pPr>
      <w:ind w:firstLineChars="200" w:firstLine="420"/>
    </w:pPr>
  </w:style>
  <w:style w:type="paragraph" w:styleId="a4">
    <w:name w:val="annotation subject"/>
    <w:basedOn w:val="a5"/>
    <w:next w:val="a5"/>
    <w:link w:val="Char"/>
    <w:uiPriority w:val="99"/>
    <w:semiHidden/>
    <w:qFormat/>
    <w:rsid w:val="00D71759"/>
    <w:rPr>
      <w:b/>
      <w:bCs/>
    </w:rPr>
  </w:style>
  <w:style w:type="paragraph" w:styleId="a5">
    <w:name w:val="annotation text"/>
    <w:basedOn w:val="a"/>
    <w:link w:val="Char0"/>
    <w:uiPriority w:val="99"/>
    <w:semiHidden/>
    <w:qFormat/>
    <w:rsid w:val="00D71759"/>
    <w:pPr>
      <w:jc w:val="left"/>
    </w:pPr>
  </w:style>
  <w:style w:type="paragraph" w:styleId="a6">
    <w:name w:val="Document Map"/>
    <w:basedOn w:val="a"/>
    <w:link w:val="Char1"/>
    <w:uiPriority w:val="99"/>
    <w:semiHidden/>
    <w:rsid w:val="00D71759"/>
    <w:pPr>
      <w:shd w:val="clear" w:color="auto" w:fill="000080"/>
    </w:pPr>
  </w:style>
  <w:style w:type="paragraph" w:styleId="a7">
    <w:name w:val="Body Text"/>
    <w:basedOn w:val="a"/>
    <w:link w:val="Char2"/>
    <w:uiPriority w:val="99"/>
    <w:qFormat/>
    <w:rsid w:val="00D71759"/>
    <w:pPr>
      <w:spacing w:after="120"/>
    </w:pPr>
  </w:style>
  <w:style w:type="paragraph" w:styleId="a8">
    <w:name w:val="Body Text Indent"/>
    <w:basedOn w:val="a"/>
    <w:link w:val="Char3"/>
    <w:uiPriority w:val="99"/>
    <w:qFormat/>
    <w:rsid w:val="00D7175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sid w:val="00D71759"/>
    <w:rPr>
      <w:rFonts w:ascii="宋体" w:hAnsi="Courier New" w:cs="宋体"/>
    </w:rPr>
  </w:style>
  <w:style w:type="paragraph" w:styleId="aa">
    <w:name w:val="Date"/>
    <w:basedOn w:val="a"/>
    <w:next w:val="a"/>
    <w:link w:val="Char5"/>
    <w:qFormat/>
    <w:rsid w:val="00D71759"/>
    <w:rPr>
      <w:sz w:val="24"/>
      <w:szCs w:val="24"/>
    </w:rPr>
  </w:style>
  <w:style w:type="paragraph" w:styleId="20">
    <w:name w:val="Body Text Indent 2"/>
    <w:basedOn w:val="a"/>
    <w:link w:val="2Char0"/>
    <w:uiPriority w:val="99"/>
    <w:rsid w:val="00D71759"/>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sid w:val="00D71759"/>
    <w:rPr>
      <w:sz w:val="18"/>
      <w:szCs w:val="18"/>
    </w:rPr>
  </w:style>
  <w:style w:type="paragraph" w:styleId="ac">
    <w:name w:val="footer"/>
    <w:basedOn w:val="a"/>
    <w:link w:val="Char7"/>
    <w:rsid w:val="00D71759"/>
    <w:pPr>
      <w:tabs>
        <w:tab w:val="center" w:pos="4153"/>
        <w:tab w:val="right" w:pos="8306"/>
      </w:tabs>
      <w:snapToGrid w:val="0"/>
      <w:jc w:val="left"/>
    </w:pPr>
    <w:rPr>
      <w:sz w:val="18"/>
      <w:szCs w:val="18"/>
    </w:rPr>
  </w:style>
  <w:style w:type="paragraph" w:styleId="ad">
    <w:name w:val="header"/>
    <w:basedOn w:val="a"/>
    <w:link w:val="Char8"/>
    <w:uiPriority w:val="99"/>
    <w:rsid w:val="00D7175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qFormat/>
    <w:rsid w:val="00D71759"/>
    <w:pPr>
      <w:spacing w:after="220" w:line="220" w:lineRule="atLeast"/>
      <w:ind w:left="1440" w:hanging="360"/>
    </w:pPr>
  </w:style>
  <w:style w:type="paragraph" w:styleId="af">
    <w:name w:val="footnote text"/>
    <w:basedOn w:val="a"/>
    <w:link w:val="Char9"/>
    <w:rsid w:val="00D71759"/>
    <w:pPr>
      <w:snapToGrid w:val="0"/>
      <w:jc w:val="left"/>
    </w:pPr>
    <w:rPr>
      <w:sz w:val="18"/>
      <w:szCs w:val="18"/>
    </w:rPr>
  </w:style>
  <w:style w:type="paragraph" w:styleId="30">
    <w:name w:val="Body Text Indent 3"/>
    <w:basedOn w:val="a"/>
    <w:link w:val="3Char0"/>
    <w:uiPriority w:val="99"/>
    <w:qFormat/>
    <w:rsid w:val="00D71759"/>
    <w:pPr>
      <w:spacing w:line="560" w:lineRule="exact"/>
      <w:ind w:firstLineChars="200" w:firstLine="420"/>
    </w:pPr>
    <w:rPr>
      <w:rFonts w:ascii="Arial" w:hAnsi="Arial" w:cs="Arial"/>
      <w:color w:val="FF0000"/>
    </w:rPr>
  </w:style>
  <w:style w:type="paragraph" w:styleId="af0">
    <w:name w:val="Normal (Web)"/>
    <w:basedOn w:val="a"/>
    <w:uiPriority w:val="99"/>
    <w:qFormat/>
    <w:rsid w:val="00D7175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rsid w:val="00D71759"/>
    <w:pPr>
      <w:jc w:val="right"/>
    </w:pPr>
    <w:rPr>
      <w:color w:val="008000"/>
    </w:rPr>
  </w:style>
  <w:style w:type="paragraph" w:styleId="af1">
    <w:name w:val="Title"/>
    <w:basedOn w:val="a"/>
    <w:next w:val="a"/>
    <w:link w:val="Chara"/>
    <w:uiPriority w:val="99"/>
    <w:qFormat/>
    <w:rsid w:val="00D71759"/>
    <w:pPr>
      <w:spacing w:before="240" w:after="60"/>
      <w:jc w:val="center"/>
      <w:outlineLvl w:val="0"/>
    </w:pPr>
    <w:rPr>
      <w:rFonts w:ascii="Cambria" w:hAnsi="Cambria" w:cs="Cambria"/>
      <w:b/>
      <w:bCs/>
      <w:sz w:val="32"/>
      <w:szCs w:val="32"/>
    </w:rPr>
  </w:style>
  <w:style w:type="character" w:styleId="af2">
    <w:name w:val="Strong"/>
    <w:basedOn w:val="a1"/>
    <w:uiPriority w:val="22"/>
    <w:qFormat/>
    <w:rsid w:val="00D71759"/>
    <w:rPr>
      <w:b/>
      <w:bCs/>
    </w:rPr>
  </w:style>
  <w:style w:type="character" w:styleId="af3">
    <w:name w:val="page number"/>
    <w:basedOn w:val="a1"/>
    <w:uiPriority w:val="99"/>
    <w:rsid w:val="00D71759"/>
  </w:style>
  <w:style w:type="character" w:styleId="af4">
    <w:name w:val="FollowedHyperlink"/>
    <w:basedOn w:val="a1"/>
    <w:uiPriority w:val="99"/>
    <w:qFormat/>
    <w:rsid w:val="00D71759"/>
    <w:rPr>
      <w:color w:val="800080"/>
      <w:u w:val="single"/>
    </w:rPr>
  </w:style>
  <w:style w:type="character" w:styleId="af5">
    <w:name w:val="Hyperlink"/>
    <w:basedOn w:val="a1"/>
    <w:uiPriority w:val="99"/>
    <w:qFormat/>
    <w:rsid w:val="00D71759"/>
    <w:rPr>
      <w:color w:val="0000FF"/>
      <w:u w:val="single"/>
    </w:rPr>
  </w:style>
  <w:style w:type="character" w:styleId="af6">
    <w:name w:val="annotation reference"/>
    <w:basedOn w:val="a1"/>
    <w:uiPriority w:val="99"/>
    <w:semiHidden/>
    <w:rsid w:val="00D71759"/>
    <w:rPr>
      <w:sz w:val="21"/>
      <w:szCs w:val="21"/>
    </w:rPr>
  </w:style>
  <w:style w:type="character" w:styleId="af7">
    <w:name w:val="footnote reference"/>
    <w:basedOn w:val="a1"/>
    <w:qFormat/>
    <w:rsid w:val="00D71759"/>
    <w:rPr>
      <w:vertAlign w:val="superscript"/>
    </w:rPr>
  </w:style>
  <w:style w:type="table" w:styleId="af8">
    <w:name w:val="Table Grid"/>
    <w:basedOn w:val="a2"/>
    <w:uiPriority w:val="99"/>
    <w:rsid w:val="00D717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D71759"/>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rsid w:val="00D71759"/>
    <w:rPr>
      <w:rFonts w:ascii="Arial" w:eastAsia="宋体" w:hAnsi="Arial" w:cs="Arial"/>
      <w:b/>
      <w:bCs/>
      <w:sz w:val="24"/>
      <w:szCs w:val="24"/>
    </w:rPr>
  </w:style>
  <w:style w:type="character" w:customStyle="1" w:styleId="3Char">
    <w:name w:val="标题 3 Char"/>
    <w:basedOn w:val="a1"/>
    <w:link w:val="3"/>
    <w:uiPriority w:val="99"/>
    <w:rsid w:val="00D71759"/>
    <w:rPr>
      <w:rFonts w:ascii="Times New Roman" w:eastAsia="宋体" w:hAnsi="Times New Roman" w:cs="Times New Roman"/>
      <w:b/>
      <w:bCs/>
      <w:sz w:val="32"/>
      <w:szCs w:val="32"/>
    </w:rPr>
  </w:style>
  <w:style w:type="character" w:customStyle="1" w:styleId="Char3">
    <w:name w:val="正文文本缩进 Char"/>
    <w:basedOn w:val="a1"/>
    <w:link w:val="a8"/>
    <w:uiPriority w:val="99"/>
    <w:rsid w:val="00D7175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sid w:val="00D71759"/>
    <w:rPr>
      <w:rFonts w:ascii="宋体" w:eastAsia="宋体" w:hAnsi="Courier New" w:cs="宋体"/>
      <w:szCs w:val="21"/>
    </w:rPr>
  </w:style>
  <w:style w:type="character" w:customStyle="1" w:styleId="2Char0">
    <w:name w:val="正文文本缩进 2 Char"/>
    <w:basedOn w:val="a1"/>
    <w:link w:val="20"/>
    <w:uiPriority w:val="99"/>
    <w:rsid w:val="00D71759"/>
    <w:rPr>
      <w:rFonts w:ascii="宋体" w:eastAsia="宋体" w:hAnsi="宋体" w:cs="宋体"/>
      <w:color w:val="FF0000"/>
      <w:sz w:val="24"/>
      <w:szCs w:val="24"/>
    </w:rPr>
  </w:style>
  <w:style w:type="character" w:customStyle="1" w:styleId="Char7">
    <w:name w:val="页脚 Char"/>
    <w:basedOn w:val="a1"/>
    <w:link w:val="ac"/>
    <w:uiPriority w:val="99"/>
    <w:rsid w:val="00D71759"/>
    <w:rPr>
      <w:rFonts w:ascii="Times New Roman" w:eastAsia="宋体" w:hAnsi="Times New Roman" w:cs="Times New Roman"/>
      <w:sz w:val="18"/>
      <w:szCs w:val="18"/>
    </w:rPr>
  </w:style>
  <w:style w:type="character" w:customStyle="1" w:styleId="3Char0">
    <w:name w:val="正文文本缩进 3 Char"/>
    <w:basedOn w:val="a1"/>
    <w:link w:val="30"/>
    <w:uiPriority w:val="99"/>
    <w:qFormat/>
    <w:rsid w:val="00D71759"/>
    <w:rPr>
      <w:rFonts w:ascii="Arial" w:eastAsia="宋体" w:hAnsi="Arial" w:cs="Arial"/>
      <w:color w:val="FF0000"/>
      <w:szCs w:val="21"/>
    </w:rPr>
  </w:style>
  <w:style w:type="character" w:customStyle="1" w:styleId="Char8">
    <w:name w:val="页眉 Char"/>
    <w:basedOn w:val="a1"/>
    <w:link w:val="ad"/>
    <w:uiPriority w:val="99"/>
    <w:qFormat/>
    <w:rsid w:val="00D71759"/>
    <w:rPr>
      <w:rFonts w:ascii="Times New Roman" w:eastAsia="宋体" w:hAnsi="Times New Roman" w:cs="Times New Roman"/>
      <w:sz w:val="18"/>
      <w:szCs w:val="18"/>
    </w:rPr>
  </w:style>
  <w:style w:type="character" w:customStyle="1" w:styleId="Char2">
    <w:name w:val="正文文本 Char"/>
    <w:basedOn w:val="a1"/>
    <w:link w:val="a7"/>
    <w:uiPriority w:val="99"/>
    <w:qFormat/>
    <w:rsid w:val="00D71759"/>
    <w:rPr>
      <w:rFonts w:ascii="Times New Roman" w:eastAsia="宋体" w:hAnsi="Times New Roman" w:cs="Times New Roman"/>
      <w:szCs w:val="21"/>
    </w:rPr>
  </w:style>
  <w:style w:type="character" w:customStyle="1" w:styleId="Char5">
    <w:name w:val="日期 Char"/>
    <w:basedOn w:val="a1"/>
    <w:link w:val="aa"/>
    <w:rsid w:val="00D71759"/>
    <w:rPr>
      <w:rFonts w:ascii="Times New Roman" w:eastAsia="宋体" w:hAnsi="Times New Roman" w:cs="Times New Roman"/>
      <w:sz w:val="24"/>
      <w:szCs w:val="24"/>
    </w:rPr>
  </w:style>
  <w:style w:type="character" w:customStyle="1" w:styleId="c1">
    <w:name w:val="c1"/>
    <w:basedOn w:val="a1"/>
    <w:uiPriority w:val="99"/>
    <w:qFormat/>
    <w:rsid w:val="00D71759"/>
    <w:rPr>
      <w:color w:val="000000"/>
      <w:sz w:val="18"/>
      <w:szCs w:val="18"/>
    </w:rPr>
  </w:style>
  <w:style w:type="paragraph" w:customStyle="1" w:styleId="font5">
    <w:name w:val="font5"/>
    <w:basedOn w:val="a"/>
    <w:uiPriority w:val="99"/>
    <w:qFormat/>
    <w:rsid w:val="00D71759"/>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rsid w:val="00D71759"/>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rsid w:val="00D7175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rsid w:val="00D7175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D7175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rsid w:val="00D7175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rsid w:val="00D7175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rsid w:val="00D7175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rsid w:val="00D7175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rsid w:val="00D7175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rsid w:val="00D7175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D7175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rsid w:val="00D7175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rsid w:val="00D7175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rsid w:val="00D7175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rsid w:val="00D7175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sid w:val="00D71759"/>
    <w:rPr>
      <w:rFonts w:ascii="Times New Roman" w:eastAsia="宋体" w:hAnsi="Times New Roman" w:cs="Times New Roman"/>
      <w:sz w:val="18"/>
      <w:szCs w:val="18"/>
    </w:rPr>
  </w:style>
  <w:style w:type="character" w:customStyle="1" w:styleId="Char0">
    <w:name w:val="批注文字 Char"/>
    <w:basedOn w:val="a1"/>
    <w:link w:val="a5"/>
    <w:uiPriority w:val="99"/>
    <w:semiHidden/>
    <w:qFormat/>
    <w:rsid w:val="00D71759"/>
    <w:rPr>
      <w:rFonts w:ascii="Times New Roman" w:eastAsia="宋体" w:hAnsi="Times New Roman" w:cs="Times New Roman"/>
      <w:szCs w:val="21"/>
    </w:rPr>
  </w:style>
  <w:style w:type="character" w:customStyle="1" w:styleId="Char">
    <w:name w:val="批注主题 Char"/>
    <w:basedOn w:val="Char0"/>
    <w:link w:val="a4"/>
    <w:uiPriority w:val="99"/>
    <w:semiHidden/>
    <w:qFormat/>
    <w:rsid w:val="00D71759"/>
    <w:rPr>
      <w:rFonts w:ascii="Times New Roman" w:eastAsia="宋体" w:hAnsi="Times New Roman" w:cs="Times New Roman"/>
      <w:b/>
      <w:bCs/>
      <w:szCs w:val="21"/>
    </w:rPr>
  </w:style>
  <w:style w:type="paragraph" w:customStyle="1" w:styleId="Charb">
    <w:name w:val="Char"/>
    <w:basedOn w:val="a"/>
    <w:uiPriority w:val="99"/>
    <w:qFormat/>
    <w:rsid w:val="00D71759"/>
  </w:style>
  <w:style w:type="character" w:customStyle="1" w:styleId="Char1">
    <w:name w:val="文档结构图 Char"/>
    <w:basedOn w:val="a1"/>
    <w:link w:val="a6"/>
    <w:uiPriority w:val="99"/>
    <w:semiHidden/>
    <w:qFormat/>
    <w:rsid w:val="00D71759"/>
    <w:rPr>
      <w:rFonts w:ascii="Times New Roman" w:eastAsia="宋体" w:hAnsi="Times New Roman" w:cs="Times New Roman"/>
      <w:szCs w:val="21"/>
      <w:shd w:val="clear" w:color="auto" w:fill="000080"/>
    </w:rPr>
  </w:style>
  <w:style w:type="paragraph" w:customStyle="1" w:styleId="af9">
    <w:name w:val="正文 + (符号) 宋体"/>
    <w:basedOn w:val="a"/>
    <w:uiPriority w:val="99"/>
    <w:qFormat/>
    <w:rsid w:val="00D7175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qFormat/>
    <w:rsid w:val="00D71759"/>
    <w:rPr>
      <w:rFonts w:ascii="Times New Roman" w:eastAsia="宋体" w:hAnsi="Times New Roman" w:cs="Times New Roman"/>
      <w:sz w:val="18"/>
      <w:szCs w:val="18"/>
    </w:rPr>
  </w:style>
  <w:style w:type="paragraph" w:customStyle="1" w:styleId="Char10">
    <w:name w:val="Char1"/>
    <w:basedOn w:val="a"/>
    <w:uiPriority w:val="99"/>
    <w:qFormat/>
    <w:rsid w:val="00D71759"/>
  </w:style>
  <w:style w:type="paragraph" w:customStyle="1" w:styleId="CharCharCharCharCharChar1CharCharChar">
    <w:name w:val="Char Char Char Char Char Char1 Char Char Char"/>
    <w:basedOn w:val="a"/>
    <w:uiPriority w:val="99"/>
    <w:qFormat/>
    <w:rsid w:val="00D7175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qFormat/>
    <w:rsid w:val="00D7175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qFormat/>
    <w:rsid w:val="00D7175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D7175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sid w:val="00D71759"/>
    <w:rPr>
      <w:rFonts w:ascii="Calibri" w:eastAsia="宋体" w:hAnsi="Calibri" w:cs="Calibri"/>
      <w:sz w:val="22"/>
      <w:szCs w:val="22"/>
    </w:rPr>
  </w:style>
  <w:style w:type="character" w:customStyle="1" w:styleId="Charc">
    <w:name w:val="无间隔 Char"/>
    <w:basedOn w:val="a1"/>
    <w:link w:val="11"/>
    <w:uiPriority w:val="1"/>
    <w:qFormat/>
    <w:locked/>
    <w:rsid w:val="00D71759"/>
    <w:rPr>
      <w:rFonts w:ascii="Calibri" w:eastAsia="宋体" w:hAnsi="Calibri" w:cs="Calibri"/>
      <w:kern w:val="0"/>
      <w:sz w:val="22"/>
    </w:rPr>
  </w:style>
  <w:style w:type="character" w:customStyle="1" w:styleId="t1">
    <w:name w:val="t1"/>
    <w:basedOn w:val="a1"/>
    <w:uiPriority w:val="99"/>
    <w:qFormat/>
    <w:rsid w:val="00D71759"/>
    <w:rPr>
      <w:color w:val="auto"/>
    </w:rPr>
  </w:style>
  <w:style w:type="paragraph" w:customStyle="1" w:styleId="12">
    <w:name w:val="列出段落1"/>
    <w:basedOn w:val="a"/>
    <w:uiPriority w:val="34"/>
    <w:qFormat/>
    <w:rsid w:val="00D71759"/>
    <w:pPr>
      <w:ind w:firstLineChars="200" w:firstLine="420"/>
    </w:pPr>
  </w:style>
  <w:style w:type="paragraph" w:customStyle="1" w:styleId="Default">
    <w:name w:val="Default"/>
    <w:qFormat/>
    <w:rsid w:val="00D71759"/>
    <w:pPr>
      <w:widowControl w:val="0"/>
      <w:autoSpaceDE w:val="0"/>
      <w:autoSpaceDN w:val="0"/>
      <w:adjustRightInd w:val="0"/>
    </w:pPr>
    <w:rPr>
      <w:rFonts w:ascii="仿宋" w:eastAsia="宋体" w:hAnsi="仿宋" w:cs="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A8D49F4-072D-4B69-9CE8-A1D3715BD6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7435</Characters>
  <Application>Microsoft Office Word</Application>
  <DocSecurity>4</DocSecurity>
  <Lines>61</Lines>
  <Paragraphs>17</Paragraphs>
  <ScaleCrop>false</ScaleCrop>
  <Company>Microsoft</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ZHONGM</cp:lastModifiedBy>
  <cp:revision>2</cp:revision>
  <dcterms:created xsi:type="dcterms:W3CDTF">2018-07-17T18:07:00Z</dcterms:created>
  <dcterms:modified xsi:type="dcterms:W3CDTF">2018-07-17T18:07:00Z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