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Pr="00B9649E" w:rsidRDefault="00DF20DF">
      <w:pPr>
        <w:spacing w:line="288" w:lineRule="auto"/>
        <w:jc w:val="center"/>
        <w:rPr>
          <w:rFonts w:ascii="宋体" w:hAnsi="宋体"/>
          <w:b/>
          <w:bCs/>
          <w:color w:val="000000"/>
          <w:sz w:val="36"/>
          <w:szCs w:val="36"/>
        </w:rPr>
      </w:pPr>
      <w:bookmarkStart w:id="0" w:name="_Toc361324840"/>
      <w:r w:rsidRPr="00B9649E">
        <w:rPr>
          <w:rFonts w:ascii="宋体" w:hAnsi="宋体"/>
          <w:b/>
          <w:bCs/>
          <w:color w:val="000000"/>
          <w:sz w:val="36"/>
          <w:szCs w:val="36"/>
        </w:rPr>
        <w:t>海富通双福债券型证券投资基金</w:t>
      </w:r>
      <w:bookmarkEnd w:id="0"/>
    </w:p>
    <w:p w:rsidR="00EE2E42" w:rsidRPr="00B9649E" w:rsidRDefault="00DF20DF">
      <w:pPr>
        <w:spacing w:line="288" w:lineRule="auto"/>
        <w:jc w:val="center"/>
        <w:rPr>
          <w:rFonts w:ascii="宋体" w:hAnsi="宋体"/>
          <w:b/>
          <w:bCs/>
          <w:color w:val="000000"/>
          <w:sz w:val="36"/>
          <w:szCs w:val="36"/>
        </w:rPr>
      </w:pPr>
      <w:r w:rsidRPr="00B9649E">
        <w:rPr>
          <w:rFonts w:ascii="宋体" w:hAnsi="宋体" w:hint="eastAsia"/>
          <w:b/>
          <w:bCs/>
          <w:color w:val="000000"/>
          <w:sz w:val="36"/>
          <w:szCs w:val="36"/>
        </w:rPr>
        <w:t>(</w:t>
      </w:r>
      <w:r w:rsidR="007F33C6">
        <w:rPr>
          <w:rFonts w:ascii="宋体" w:hAnsi="宋体" w:hint="eastAsia"/>
          <w:b/>
          <w:bCs/>
          <w:color w:val="000000"/>
          <w:sz w:val="36"/>
          <w:szCs w:val="36"/>
        </w:rPr>
        <w:t>原</w:t>
      </w:r>
      <w:r w:rsidRPr="00B9649E">
        <w:rPr>
          <w:rFonts w:ascii="宋体" w:hAnsi="宋体"/>
          <w:b/>
          <w:bCs/>
          <w:color w:val="000000"/>
          <w:sz w:val="36"/>
          <w:szCs w:val="36"/>
        </w:rPr>
        <w:t>海富通双福分级债券型证券投资基金</w:t>
      </w:r>
      <w:r w:rsidRPr="00B9649E">
        <w:rPr>
          <w:rFonts w:ascii="宋体" w:hAnsi="宋体" w:hint="eastAsia"/>
          <w:b/>
          <w:bCs/>
          <w:color w:val="000000"/>
          <w:sz w:val="36"/>
          <w:szCs w:val="36"/>
        </w:rPr>
        <w:t>)</w:t>
      </w:r>
    </w:p>
    <w:p w:rsidR="00B9649E" w:rsidRPr="00B9649E" w:rsidRDefault="00B9649E" w:rsidP="00B9649E">
      <w:pPr>
        <w:spacing w:line="360" w:lineRule="auto"/>
        <w:jc w:val="center"/>
        <w:rPr>
          <w:rFonts w:asciiTheme="minorEastAsia" w:eastAsiaTheme="minorEastAsia" w:hAnsiTheme="minorEastAsia"/>
          <w:b/>
          <w:color w:val="000000" w:themeColor="text1"/>
          <w:sz w:val="36"/>
          <w:szCs w:val="36"/>
        </w:rPr>
      </w:pPr>
      <w:r w:rsidRPr="00B9649E">
        <w:rPr>
          <w:rFonts w:asciiTheme="minorEastAsia" w:eastAsiaTheme="minorEastAsia" w:hAnsiTheme="minorEastAsia" w:hint="eastAsia"/>
          <w:b/>
          <w:color w:val="000000" w:themeColor="text1"/>
          <w:sz w:val="36"/>
          <w:szCs w:val="36"/>
        </w:rPr>
        <w:t>2018年第2季度报告</w:t>
      </w:r>
    </w:p>
    <w:p w:rsidR="00EE2E42" w:rsidRPr="00B9649E" w:rsidRDefault="00DF20DF">
      <w:pPr>
        <w:spacing w:line="288" w:lineRule="auto"/>
        <w:jc w:val="center"/>
        <w:rPr>
          <w:rFonts w:ascii="宋体" w:hAnsi="宋体"/>
          <w:b/>
          <w:color w:val="000000"/>
          <w:sz w:val="36"/>
          <w:szCs w:val="36"/>
        </w:rPr>
      </w:pPr>
      <w:r w:rsidRPr="00B9649E">
        <w:rPr>
          <w:rFonts w:ascii="宋体" w:hAnsi="宋体"/>
          <w:b/>
          <w:color w:val="000000"/>
          <w:sz w:val="36"/>
          <w:szCs w:val="36"/>
        </w:rPr>
        <w:t>2018年6月30日</w:t>
      </w:r>
    </w:p>
    <w:p w:rsidR="00EE2E42" w:rsidRDefault="00EE2E42">
      <w:pPr>
        <w:spacing w:line="360" w:lineRule="auto"/>
        <w:jc w:val="center"/>
        <w:rPr>
          <w:rFonts w:asciiTheme="minorEastAsia" w:eastAsiaTheme="minorEastAsia" w:hAnsiTheme="minorEastAsia"/>
          <w:b/>
          <w:bCs/>
          <w:color w:val="000000" w:themeColor="text1"/>
          <w:sz w:val="24"/>
          <w:szCs w:val="24"/>
        </w:rPr>
      </w:pPr>
    </w:p>
    <w:p w:rsidR="00EE2E42" w:rsidRDefault="00EE2E42">
      <w:pPr>
        <w:spacing w:line="360" w:lineRule="auto"/>
        <w:jc w:val="center"/>
        <w:rPr>
          <w:rFonts w:asciiTheme="minorEastAsia" w:eastAsiaTheme="minorEastAsia" w:hAnsiTheme="minorEastAsia"/>
          <w:b/>
          <w:bCs/>
          <w:color w:val="000000" w:themeColor="text1"/>
          <w:sz w:val="24"/>
          <w:szCs w:val="24"/>
        </w:rPr>
      </w:pPr>
    </w:p>
    <w:p w:rsidR="00EE2E42" w:rsidRDefault="00EE2E42">
      <w:pPr>
        <w:spacing w:line="360" w:lineRule="auto"/>
        <w:jc w:val="center"/>
        <w:rPr>
          <w:rFonts w:asciiTheme="minorEastAsia" w:eastAsiaTheme="minorEastAsia" w:hAnsiTheme="minorEastAsia"/>
          <w:b/>
          <w:bCs/>
          <w:color w:val="000000" w:themeColor="text1"/>
          <w:sz w:val="24"/>
          <w:szCs w:val="24"/>
        </w:rPr>
      </w:pPr>
    </w:p>
    <w:p w:rsidR="00EE2E42" w:rsidRDefault="00EE2E42">
      <w:pPr>
        <w:spacing w:line="360" w:lineRule="auto"/>
        <w:jc w:val="center"/>
        <w:rPr>
          <w:rFonts w:asciiTheme="minorEastAsia" w:eastAsiaTheme="minorEastAsia" w:hAnsiTheme="minorEastAsia"/>
          <w:b/>
          <w:bCs/>
          <w:color w:val="000000" w:themeColor="text1"/>
          <w:sz w:val="24"/>
          <w:szCs w:val="24"/>
        </w:rPr>
      </w:pPr>
    </w:p>
    <w:p w:rsidR="00EE2E42" w:rsidRDefault="00EE2E42">
      <w:pPr>
        <w:spacing w:line="360" w:lineRule="auto"/>
        <w:jc w:val="center"/>
        <w:rPr>
          <w:rFonts w:asciiTheme="minorEastAsia" w:eastAsiaTheme="minorEastAsia" w:hAnsiTheme="minorEastAsia"/>
          <w:b/>
          <w:bCs/>
          <w:color w:val="000000" w:themeColor="text1"/>
          <w:sz w:val="24"/>
          <w:szCs w:val="24"/>
        </w:rPr>
      </w:pPr>
    </w:p>
    <w:p w:rsidR="00EE2E42" w:rsidRDefault="00EE2E42">
      <w:pPr>
        <w:spacing w:line="360" w:lineRule="auto"/>
        <w:jc w:val="center"/>
        <w:rPr>
          <w:rFonts w:asciiTheme="minorEastAsia" w:eastAsiaTheme="minorEastAsia" w:hAnsiTheme="minorEastAsia"/>
          <w:b/>
          <w:bCs/>
          <w:color w:val="000000" w:themeColor="text1"/>
          <w:sz w:val="24"/>
          <w:szCs w:val="24"/>
        </w:rPr>
      </w:pPr>
    </w:p>
    <w:p w:rsidR="00EE2E42" w:rsidRDefault="00EE2E42">
      <w:pPr>
        <w:spacing w:line="360" w:lineRule="auto"/>
        <w:jc w:val="center"/>
        <w:rPr>
          <w:rFonts w:asciiTheme="minorEastAsia" w:eastAsiaTheme="minorEastAsia" w:hAnsiTheme="minorEastAsia"/>
          <w:b/>
          <w:bCs/>
          <w:color w:val="000000" w:themeColor="text1"/>
          <w:sz w:val="24"/>
          <w:szCs w:val="24"/>
        </w:rPr>
      </w:pPr>
    </w:p>
    <w:p w:rsidR="00EE2E42" w:rsidRDefault="00EE2E42">
      <w:pPr>
        <w:spacing w:line="360" w:lineRule="auto"/>
        <w:jc w:val="center"/>
        <w:rPr>
          <w:rFonts w:asciiTheme="minorEastAsia" w:eastAsiaTheme="minorEastAsia" w:hAnsiTheme="minorEastAsia"/>
          <w:b/>
          <w:bCs/>
          <w:color w:val="000000" w:themeColor="text1"/>
          <w:sz w:val="24"/>
          <w:szCs w:val="24"/>
        </w:rPr>
      </w:pPr>
    </w:p>
    <w:p w:rsidR="00EE2E42" w:rsidRDefault="00EE2E42">
      <w:pPr>
        <w:spacing w:line="360" w:lineRule="auto"/>
        <w:jc w:val="center"/>
        <w:rPr>
          <w:rFonts w:asciiTheme="minorEastAsia" w:eastAsiaTheme="minorEastAsia" w:hAnsiTheme="minorEastAsia"/>
          <w:b/>
          <w:bCs/>
          <w:color w:val="000000" w:themeColor="text1"/>
          <w:sz w:val="24"/>
          <w:szCs w:val="24"/>
        </w:rPr>
      </w:pPr>
    </w:p>
    <w:p w:rsidR="00EE2E42" w:rsidRDefault="00EE2E42">
      <w:pPr>
        <w:spacing w:line="360" w:lineRule="auto"/>
        <w:jc w:val="center"/>
        <w:rPr>
          <w:rFonts w:asciiTheme="minorEastAsia" w:eastAsiaTheme="minorEastAsia" w:hAnsiTheme="minorEastAsia"/>
          <w:b/>
          <w:bCs/>
          <w:color w:val="000000" w:themeColor="text1"/>
          <w:sz w:val="24"/>
          <w:szCs w:val="24"/>
        </w:rPr>
      </w:pPr>
    </w:p>
    <w:p w:rsidR="00EE2E42" w:rsidRDefault="00EE2E42">
      <w:pPr>
        <w:spacing w:line="360" w:lineRule="auto"/>
        <w:jc w:val="center"/>
        <w:rPr>
          <w:rFonts w:asciiTheme="minorEastAsia" w:eastAsiaTheme="minorEastAsia" w:hAnsiTheme="minorEastAsia"/>
          <w:b/>
          <w:bCs/>
          <w:color w:val="000000" w:themeColor="text1"/>
          <w:sz w:val="24"/>
          <w:szCs w:val="24"/>
        </w:rPr>
      </w:pPr>
    </w:p>
    <w:p w:rsidR="00EE2E42" w:rsidRDefault="00EE2E42">
      <w:pPr>
        <w:spacing w:line="360" w:lineRule="auto"/>
        <w:jc w:val="center"/>
        <w:rPr>
          <w:rFonts w:asciiTheme="minorEastAsia" w:eastAsiaTheme="minorEastAsia" w:hAnsiTheme="minorEastAsia"/>
          <w:b/>
          <w:bCs/>
          <w:color w:val="000000" w:themeColor="text1"/>
          <w:sz w:val="24"/>
          <w:szCs w:val="24"/>
        </w:rPr>
      </w:pPr>
    </w:p>
    <w:p w:rsidR="00EE2E42" w:rsidRDefault="00EE2E42">
      <w:pPr>
        <w:spacing w:line="360" w:lineRule="auto"/>
        <w:jc w:val="center"/>
        <w:rPr>
          <w:rFonts w:asciiTheme="minorEastAsia" w:eastAsiaTheme="minorEastAsia" w:hAnsiTheme="minorEastAsia"/>
          <w:b/>
          <w:bCs/>
          <w:color w:val="000000" w:themeColor="text1"/>
          <w:sz w:val="24"/>
          <w:szCs w:val="24"/>
        </w:rPr>
      </w:pPr>
    </w:p>
    <w:p w:rsidR="00EE2E42" w:rsidRDefault="00EE2E42">
      <w:pPr>
        <w:spacing w:line="360" w:lineRule="auto"/>
        <w:rPr>
          <w:rFonts w:ascii="宋体" w:hAnsi="宋体"/>
          <w:color w:val="000000"/>
          <w:sz w:val="24"/>
          <w:szCs w:val="24"/>
        </w:rPr>
      </w:pPr>
    </w:p>
    <w:p w:rsidR="00EE2E42" w:rsidRPr="00B9649E" w:rsidRDefault="00DF20DF" w:rsidP="00B9649E">
      <w:pPr>
        <w:spacing w:line="288" w:lineRule="auto"/>
        <w:ind w:firstLineChars="900" w:firstLine="2168"/>
        <w:rPr>
          <w:rFonts w:ascii="宋体" w:hAnsi="宋体"/>
          <w:b/>
          <w:color w:val="000000"/>
          <w:sz w:val="24"/>
          <w:szCs w:val="24"/>
        </w:rPr>
      </w:pPr>
      <w:r w:rsidRPr="00B9649E">
        <w:rPr>
          <w:rFonts w:ascii="宋体" w:hAnsi="宋体" w:hint="eastAsia"/>
          <w:b/>
          <w:color w:val="000000"/>
          <w:sz w:val="24"/>
          <w:szCs w:val="24"/>
        </w:rPr>
        <w:t>基金管理人：</w:t>
      </w:r>
      <w:r w:rsidRPr="00B9649E">
        <w:rPr>
          <w:rFonts w:ascii="宋体" w:hAnsi="宋体"/>
          <w:b/>
          <w:color w:val="000000"/>
          <w:sz w:val="24"/>
          <w:szCs w:val="24"/>
        </w:rPr>
        <w:t>海富通基金管理有限公司</w:t>
      </w:r>
    </w:p>
    <w:p w:rsidR="00EE2E42" w:rsidRPr="00B9649E" w:rsidRDefault="00DF20DF" w:rsidP="00B9649E">
      <w:pPr>
        <w:spacing w:line="288" w:lineRule="auto"/>
        <w:ind w:firstLineChars="900" w:firstLine="2168"/>
        <w:rPr>
          <w:rFonts w:ascii="宋体" w:hAnsi="宋体"/>
          <w:b/>
          <w:color w:val="000000"/>
          <w:sz w:val="24"/>
          <w:szCs w:val="24"/>
        </w:rPr>
      </w:pPr>
      <w:r w:rsidRPr="00B9649E">
        <w:rPr>
          <w:rFonts w:ascii="宋体" w:hAnsi="宋体" w:hint="eastAsia"/>
          <w:b/>
          <w:color w:val="000000"/>
          <w:sz w:val="24"/>
          <w:szCs w:val="24"/>
        </w:rPr>
        <w:t>基金托管人：</w:t>
      </w:r>
      <w:r w:rsidRPr="00B9649E">
        <w:rPr>
          <w:rFonts w:ascii="宋体" w:hAnsi="宋体"/>
          <w:b/>
          <w:color w:val="000000"/>
          <w:sz w:val="24"/>
          <w:szCs w:val="24"/>
        </w:rPr>
        <w:t>中国银行股份有限公司</w:t>
      </w:r>
    </w:p>
    <w:p w:rsidR="00EE2E42" w:rsidRPr="00B9649E" w:rsidRDefault="00DF20DF" w:rsidP="00B9649E">
      <w:pPr>
        <w:spacing w:line="288" w:lineRule="auto"/>
        <w:ind w:firstLineChars="900" w:firstLine="2168"/>
        <w:rPr>
          <w:rFonts w:ascii="宋体" w:hAnsi="宋体"/>
          <w:b/>
          <w:color w:val="000000"/>
          <w:sz w:val="24"/>
          <w:szCs w:val="24"/>
        </w:rPr>
        <w:sectPr w:rsidR="00EE2E42" w:rsidRPr="00B9649E">
          <w:headerReference w:type="default" r:id="rId8"/>
          <w:footerReference w:type="default" r:id="rId9"/>
          <w:pgSz w:w="11926" w:h="15840"/>
          <w:pgMar w:top="1418" w:right="1418" w:bottom="851" w:left="1418" w:header="851" w:footer="992" w:gutter="0"/>
          <w:cols w:space="720"/>
        </w:sectPr>
      </w:pPr>
      <w:r w:rsidRPr="00B9649E">
        <w:rPr>
          <w:rFonts w:ascii="宋体" w:hAnsi="宋体" w:hint="eastAsia"/>
          <w:b/>
          <w:color w:val="000000"/>
          <w:sz w:val="24"/>
          <w:szCs w:val="24"/>
        </w:rPr>
        <w:t>报告送出日期：</w:t>
      </w:r>
      <w:r w:rsidRPr="00B9649E">
        <w:rPr>
          <w:rFonts w:ascii="宋体" w:hAnsi="宋体"/>
          <w:b/>
          <w:color w:val="000000"/>
          <w:sz w:val="24"/>
          <w:szCs w:val="24"/>
        </w:rPr>
        <w:t>二〇一八年七月十八日</w:t>
      </w:r>
    </w:p>
    <w:p w:rsidR="00EE2E42" w:rsidRDefault="00DF20DF" w:rsidP="00B9649E">
      <w:pPr>
        <w:pStyle w:val="1"/>
        <w:jc w:val="center"/>
        <w:rPr>
          <w:rFonts w:cs="Arial"/>
          <w:color w:val="000000"/>
          <w:kern w:val="0"/>
          <w:sz w:val="24"/>
          <w:szCs w:val="24"/>
        </w:rPr>
      </w:pPr>
      <w:r>
        <w:rPr>
          <w:rFonts w:cs="Arial" w:hint="eastAsia"/>
          <w:color w:val="000000"/>
          <w:kern w:val="0"/>
          <w:sz w:val="24"/>
          <w:szCs w:val="24"/>
        </w:rPr>
        <w:lastRenderedPageBreak/>
        <w:t>§</w:t>
      </w:r>
      <w:r>
        <w:rPr>
          <w:rFonts w:cs="Arial"/>
          <w:color w:val="000000"/>
          <w:kern w:val="0"/>
          <w:sz w:val="24"/>
          <w:szCs w:val="24"/>
        </w:rPr>
        <w:t xml:space="preserve">1  </w:t>
      </w:r>
      <w:r>
        <w:rPr>
          <w:rFonts w:cs="Arial" w:hint="eastAsia"/>
          <w:color w:val="000000"/>
          <w:kern w:val="0"/>
          <w:sz w:val="24"/>
          <w:szCs w:val="24"/>
        </w:rPr>
        <w:t>重要提示</w:t>
      </w:r>
    </w:p>
    <w:p w:rsidR="00B9649E" w:rsidRPr="00B9649E" w:rsidRDefault="00B9649E" w:rsidP="00B9649E"/>
    <w:p w:rsidR="0030403A" w:rsidRDefault="003F3530">
      <w:pPr>
        <w:spacing w:line="360" w:lineRule="auto"/>
        <w:ind w:firstLineChars="200" w:firstLine="480"/>
        <w:rPr>
          <w:rFonts w:hAnsi="宋体"/>
          <w:color w:val="000000"/>
          <w:sz w:val="24"/>
          <w:szCs w:val="24"/>
        </w:rPr>
      </w:pPr>
      <w:r>
        <w:rPr>
          <w:rFonts w:hAnsi="宋体"/>
          <w:color w:val="000000"/>
          <w:sz w:val="24"/>
          <w:szCs w:val="24"/>
        </w:rPr>
        <w:t>基金管理人的董事会及董事保证本报告所载资料不存在虚假记载、误导性陈述或重大遗漏，并对其内容的真实性、准确性和完整性承担个别及连带责任。</w:t>
      </w:r>
    </w:p>
    <w:p w:rsidR="0030403A" w:rsidRDefault="003F3530">
      <w:pPr>
        <w:spacing w:line="360" w:lineRule="auto"/>
        <w:ind w:firstLineChars="200" w:firstLine="480"/>
        <w:rPr>
          <w:rFonts w:hAnsi="宋体"/>
          <w:color w:val="000000"/>
          <w:sz w:val="24"/>
          <w:szCs w:val="24"/>
        </w:rPr>
      </w:pPr>
      <w:r>
        <w:rPr>
          <w:rFonts w:hAnsi="宋体"/>
          <w:color w:val="000000"/>
          <w:sz w:val="24"/>
          <w:szCs w:val="24"/>
        </w:rPr>
        <w:t>基金托管人中国银行股份有限公司根据本基金合同规定，于</w:t>
      </w:r>
      <w:r>
        <w:rPr>
          <w:rFonts w:hAnsi="宋体"/>
          <w:color w:val="000000"/>
          <w:sz w:val="24"/>
          <w:szCs w:val="24"/>
        </w:rPr>
        <w:t>2018</w:t>
      </w:r>
      <w:r>
        <w:rPr>
          <w:rFonts w:hAnsi="宋体"/>
          <w:color w:val="000000"/>
          <w:sz w:val="24"/>
          <w:szCs w:val="24"/>
        </w:rPr>
        <w:t>年</w:t>
      </w:r>
      <w:r>
        <w:rPr>
          <w:rFonts w:hAnsi="宋体"/>
          <w:color w:val="000000"/>
          <w:sz w:val="24"/>
          <w:szCs w:val="24"/>
        </w:rPr>
        <w:t>7</w:t>
      </w:r>
      <w:r>
        <w:rPr>
          <w:rFonts w:hAnsi="宋体"/>
          <w:color w:val="000000"/>
          <w:sz w:val="24"/>
          <w:szCs w:val="24"/>
        </w:rPr>
        <w:t>月</w:t>
      </w:r>
      <w:r>
        <w:rPr>
          <w:rFonts w:hAnsi="宋体"/>
          <w:color w:val="000000"/>
          <w:sz w:val="24"/>
          <w:szCs w:val="24"/>
        </w:rPr>
        <w:t>17</w:t>
      </w:r>
      <w:r>
        <w:rPr>
          <w:rFonts w:hAnsi="宋体"/>
          <w:color w:val="000000"/>
          <w:sz w:val="24"/>
          <w:szCs w:val="24"/>
        </w:rPr>
        <w:t>日复核了本报告中的财务指标、净值表现和投资组合报告等内容，保证复核内容不存在虚假记载、误导性陈述或者重大遗漏。</w:t>
      </w:r>
    </w:p>
    <w:p w:rsidR="0030403A" w:rsidRDefault="003F3530">
      <w:pPr>
        <w:spacing w:line="360" w:lineRule="auto"/>
        <w:ind w:firstLineChars="200" w:firstLine="480"/>
        <w:rPr>
          <w:rFonts w:hAnsi="宋体"/>
          <w:color w:val="000000"/>
          <w:sz w:val="24"/>
          <w:szCs w:val="24"/>
        </w:rPr>
      </w:pPr>
      <w:r>
        <w:rPr>
          <w:rFonts w:hAnsi="宋体"/>
          <w:color w:val="000000"/>
          <w:sz w:val="24"/>
          <w:szCs w:val="24"/>
        </w:rPr>
        <w:t>基金管理人承诺以诚实信用、勤勉尽责的原则管理和运用基金资产，但不保证基金一定盈利。</w:t>
      </w:r>
    </w:p>
    <w:p w:rsidR="0030403A" w:rsidRDefault="003F3530">
      <w:pPr>
        <w:spacing w:line="360" w:lineRule="auto"/>
        <w:ind w:firstLineChars="200" w:firstLine="480"/>
        <w:rPr>
          <w:rFonts w:hAnsi="宋体"/>
          <w:color w:val="000000"/>
          <w:sz w:val="24"/>
          <w:szCs w:val="24"/>
        </w:rPr>
      </w:pPr>
      <w:r>
        <w:rPr>
          <w:rFonts w:hAnsi="宋体"/>
          <w:color w:val="000000"/>
          <w:sz w:val="24"/>
          <w:szCs w:val="24"/>
        </w:rPr>
        <w:t>基金的过往业绩并不代表其未来表现。投资有风险，投资者在作出投资决策前应仔细阅读本基金的招募说明书。</w:t>
      </w:r>
    </w:p>
    <w:p w:rsidR="0030403A" w:rsidRDefault="003F3530">
      <w:pPr>
        <w:spacing w:line="360" w:lineRule="auto"/>
        <w:ind w:firstLineChars="200" w:firstLine="480"/>
        <w:rPr>
          <w:rFonts w:hAnsi="宋体"/>
          <w:color w:val="000000"/>
          <w:sz w:val="24"/>
          <w:szCs w:val="24"/>
        </w:rPr>
      </w:pPr>
      <w:r>
        <w:rPr>
          <w:rFonts w:hAnsi="宋体"/>
          <w:color w:val="000000"/>
          <w:sz w:val="24"/>
          <w:szCs w:val="24"/>
        </w:rPr>
        <w:t>本报告中财务资料未经审计。</w:t>
      </w:r>
    </w:p>
    <w:p w:rsidR="00EE2E42" w:rsidRDefault="00DF20DF">
      <w:pPr>
        <w:spacing w:line="360" w:lineRule="auto"/>
        <w:ind w:firstLineChars="200" w:firstLine="480"/>
        <w:rPr>
          <w:rFonts w:hAnsi="宋体"/>
          <w:color w:val="000000"/>
          <w:sz w:val="24"/>
          <w:szCs w:val="24"/>
        </w:rPr>
      </w:pPr>
      <w:r>
        <w:rPr>
          <w:rFonts w:hAnsi="宋体"/>
          <w:color w:val="000000"/>
          <w:sz w:val="24"/>
          <w:szCs w:val="24"/>
        </w:rPr>
        <w:t>本报告期内，原海富通双福分级债券型证券投资基金转换为海富通双福债券型证券投资基金。原海富通双福分级债券型证券投资基金本报告期自</w:t>
      </w:r>
      <w:r>
        <w:rPr>
          <w:rFonts w:hAnsi="宋体"/>
          <w:color w:val="000000"/>
          <w:sz w:val="24"/>
          <w:szCs w:val="24"/>
        </w:rPr>
        <w:t>2018</w:t>
      </w:r>
      <w:r>
        <w:rPr>
          <w:rFonts w:hAnsi="宋体"/>
          <w:color w:val="000000"/>
          <w:sz w:val="24"/>
          <w:szCs w:val="24"/>
        </w:rPr>
        <w:t>年</w:t>
      </w:r>
      <w:r>
        <w:rPr>
          <w:rFonts w:hAnsi="宋体"/>
          <w:color w:val="000000"/>
          <w:sz w:val="24"/>
          <w:szCs w:val="24"/>
        </w:rPr>
        <w:t>4</w:t>
      </w:r>
      <w:r>
        <w:rPr>
          <w:rFonts w:hAnsi="宋体"/>
          <w:color w:val="000000"/>
          <w:sz w:val="24"/>
          <w:szCs w:val="24"/>
        </w:rPr>
        <w:t>月</w:t>
      </w:r>
      <w:r>
        <w:rPr>
          <w:rFonts w:hAnsi="宋体"/>
          <w:color w:val="000000"/>
          <w:sz w:val="24"/>
          <w:szCs w:val="24"/>
        </w:rPr>
        <w:t>1</w:t>
      </w:r>
      <w:r>
        <w:rPr>
          <w:rFonts w:hAnsi="宋体"/>
          <w:color w:val="000000"/>
          <w:sz w:val="24"/>
          <w:szCs w:val="24"/>
        </w:rPr>
        <w:t>日至</w:t>
      </w:r>
      <w:r>
        <w:rPr>
          <w:rFonts w:hAnsi="宋体"/>
          <w:color w:val="000000"/>
          <w:sz w:val="24"/>
          <w:szCs w:val="24"/>
        </w:rPr>
        <w:t>2018</w:t>
      </w:r>
      <w:r>
        <w:rPr>
          <w:rFonts w:hAnsi="宋体"/>
          <w:color w:val="000000"/>
          <w:sz w:val="24"/>
          <w:szCs w:val="24"/>
        </w:rPr>
        <w:t>年</w:t>
      </w:r>
      <w:r>
        <w:rPr>
          <w:rFonts w:hAnsi="宋体"/>
          <w:color w:val="000000"/>
          <w:sz w:val="24"/>
          <w:szCs w:val="24"/>
        </w:rPr>
        <w:t>6</w:t>
      </w:r>
      <w:r>
        <w:rPr>
          <w:rFonts w:hAnsi="宋体"/>
          <w:color w:val="000000"/>
          <w:sz w:val="24"/>
          <w:szCs w:val="24"/>
        </w:rPr>
        <w:t>月</w:t>
      </w:r>
      <w:r>
        <w:rPr>
          <w:rFonts w:hAnsi="宋体"/>
          <w:color w:val="000000"/>
          <w:sz w:val="24"/>
          <w:szCs w:val="24"/>
        </w:rPr>
        <w:t>4</w:t>
      </w:r>
      <w:r>
        <w:rPr>
          <w:rFonts w:hAnsi="宋体"/>
          <w:color w:val="000000"/>
          <w:sz w:val="24"/>
          <w:szCs w:val="24"/>
        </w:rPr>
        <w:t>日止，海富通双福债券型证券投资基金本报告期自</w:t>
      </w:r>
      <w:r>
        <w:rPr>
          <w:rFonts w:hAnsi="宋体"/>
          <w:color w:val="000000"/>
          <w:sz w:val="24"/>
          <w:szCs w:val="24"/>
        </w:rPr>
        <w:t>2018</w:t>
      </w:r>
      <w:r>
        <w:rPr>
          <w:rFonts w:hAnsi="宋体"/>
          <w:color w:val="000000"/>
          <w:sz w:val="24"/>
          <w:szCs w:val="24"/>
        </w:rPr>
        <w:t>年</w:t>
      </w:r>
      <w:r>
        <w:rPr>
          <w:rFonts w:hAnsi="宋体"/>
          <w:color w:val="000000"/>
          <w:sz w:val="24"/>
          <w:szCs w:val="24"/>
        </w:rPr>
        <w:t>6</w:t>
      </w:r>
      <w:r>
        <w:rPr>
          <w:rFonts w:hAnsi="宋体"/>
          <w:color w:val="000000"/>
          <w:sz w:val="24"/>
          <w:szCs w:val="24"/>
        </w:rPr>
        <w:t>月</w:t>
      </w:r>
      <w:r>
        <w:rPr>
          <w:rFonts w:hAnsi="宋体"/>
          <w:color w:val="000000"/>
          <w:sz w:val="24"/>
          <w:szCs w:val="24"/>
        </w:rPr>
        <w:t>5</w:t>
      </w:r>
      <w:r>
        <w:rPr>
          <w:rFonts w:hAnsi="宋体"/>
          <w:color w:val="000000"/>
          <w:sz w:val="24"/>
          <w:szCs w:val="24"/>
        </w:rPr>
        <w:t>日至</w:t>
      </w:r>
      <w:r>
        <w:rPr>
          <w:rFonts w:hAnsi="宋体"/>
          <w:color w:val="000000"/>
          <w:sz w:val="24"/>
          <w:szCs w:val="24"/>
        </w:rPr>
        <w:t>2018</w:t>
      </w:r>
      <w:r>
        <w:rPr>
          <w:rFonts w:hAnsi="宋体"/>
          <w:color w:val="000000"/>
          <w:sz w:val="24"/>
          <w:szCs w:val="24"/>
        </w:rPr>
        <w:t>年</w:t>
      </w:r>
      <w:r>
        <w:rPr>
          <w:rFonts w:hAnsi="宋体"/>
          <w:color w:val="000000"/>
          <w:sz w:val="24"/>
          <w:szCs w:val="24"/>
        </w:rPr>
        <w:t>6</w:t>
      </w:r>
      <w:r>
        <w:rPr>
          <w:rFonts w:hAnsi="宋体"/>
          <w:color w:val="000000"/>
          <w:sz w:val="24"/>
          <w:szCs w:val="24"/>
        </w:rPr>
        <w:t>月</w:t>
      </w:r>
      <w:r>
        <w:rPr>
          <w:rFonts w:hAnsi="宋体"/>
          <w:color w:val="000000"/>
          <w:sz w:val="24"/>
          <w:szCs w:val="24"/>
        </w:rPr>
        <w:t>30</w:t>
      </w:r>
      <w:r>
        <w:rPr>
          <w:rFonts w:hAnsi="宋体"/>
          <w:color w:val="000000"/>
          <w:sz w:val="24"/>
          <w:szCs w:val="24"/>
        </w:rPr>
        <w:t>日止。</w:t>
      </w:r>
    </w:p>
    <w:p w:rsidR="00EE2E42" w:rsidRDefault="00EE2E42">
      <w:pPr>
        <w:spacing w:line="360" w:lineRule="auto"/>
        <w:ind w:firstLineChars="200" w:firstLine="480"/>
        <w:rPr>
          <w:rFonts w:hAnsi="宋体"/>
          <w:color w:val="000000"/>
          <w:sz w:val="24"/>
          <w:szCs w:val="24"/>
        </w:rPr>
      </w:pPr>
    </w:p>
    <w:p w:rsidR="00EE2E42" w:rsidRDefault="00DF20DF" w:rsidP="00923B0C">
      <w:pPr>
        <w:pStyle w:val="1"/>
        <w:jc w:val="center"/>
        <w:rPr>
          <w:rFonts w:cs="Arial"/>
          <w:b w:val="0"/>
          <w:color w:val="000000"/>
          <w:kern w:val="0"/>
          <w:sz w:val="24"/>
          <w:szCs w:val="24"/>
        </w:rPr>
      </w:pPr>
      <w:r>
        <w:rPr>
          <w:rFonts w:cs="Arial" w:hint="eastAsia"/>
          <w:color w:val="000000"/>
          <w:kern w:val="0"/>
          <w:sz w:val="24"/>
          <w:szCs w:val="24"/>
        </w:rPr>
        <w:t>§</w:t>
      </w:r>
      <w:r>
        <w:rPr>
          <w:rFonts w:cs="Arial"/>
          <w:color w:val="000000"/>
          <w:kern w:val="0"/>
          <w:sz w:val="24"/>
          <w:szCs w:val="24"/>
        </w:rPr>
        <w:t xml:space="preserve">2  </w:t>
      </w:r>
      <w:r>
        <w:rPr>
          <w:rFonts w:cs="Arial" w:hint="eastAsia"/>
          <w:color w:val="000000"/>
          <w:kern w:val="0"/>
          <w:sz w:val="24"/>
          <w:szCs w:val="24"/>
        </w:rPr>
        <w:t>基金产品概况</w:t>
      </w:r>
    </w:p>
    <w:p w:rsidR="00EE2E42" w:rsidRDefault="00EE2E42">
      <w:pPr>
        <w:autoSpaceDE w:val="0"/>
        <w:autoSpaceDN w:val="0"/>
        <w:adjustRightInd w:val="0"/>
        <w:spacing w:before="29" w:line="288" w:lineRule="auto"/>
        <w:ind w:left="15"/>
        <w:jc w:val="center"/>
        <w:rPr>
          <w:rFonts w:cs="Arial"/>
          <w:b/>
          <w:color w:val="000000"/>
          <w:kern w:val="0"/>
          <w:sz w:val="24"/>
          <w:szCs w:val="24"/>
        </w:rPr>
      </w:pPr>
    </w:p>
    <w:p w:rsidR="00EE2E42" w:rsidRDefault="00DF20DF">
      <w:pPr>
        <w:pStyle w:val="a0"/>
        <w:ind w:firstLineChars="0" w:firstLine="0"/>
        <w:outlineLvl w:val="1"/>
        <w:rPr>
          <w:b/>
          <w:sz w:val="24"/>
          <w:szCs w:val="24"/>
        </w:rPr>
      </w:pPr>
      <w:r>
        <w:rPr>
          <w:rFonts w:hint="eastAsia"/>
          <w:b/>
          <w:sz w:val="24"/>
          <w:szCs w:val="24"/>
        </w:rPr>
        <w:t xml:space="preserve">2.1 </w:t>
      </w:r>
      <w:r>
        <w:rPr>
          <w:b/>
          <w:sz w:val="24"/>
          <w:szCs w:val="24"/>
        </w:rPr>
        <w:t>海富通双福债券型证券投资基金</w:t>
      </w:r>
    </w:p>
    <w:tbl>
      <w:tblPr>
        <w:tblW w:w="8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5479"/>
      </w:tblGrid>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cs="宋体" w:hint="eastAsia"/>
                <w:color w:val="000000" w:themeColor="text1"/>
                <w:kern w:val="0"/>
              </w:rPr>
              <w:t>基金简称</w:t>
            </w:r>
          </w:p>
        </w:tc>
        <w:tc>
          <w:tcPr>
            <w:tcW w:w="5479"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color w:val="000000" w:themeColor="text1"/>
                <w:kern w:val="0"/>
              </w:rPr>
              <w:t>海富通双福债券</w:t>
            </w:r>
          </w:p>
        </w:tc>
      </w:tr>
      <w:tr w:rsidR="00EE2E42">
        <w:tc>
          <w:tcPr>
            <w:tcW w:w="2835" w:type="dxa"/>
            <w:tcBorders>
              <w:top w:val="single" w:sz="4" w:space="0" w:color="auto"/>
              <w:left w:val="single" w:sz="4" w:space="0" w:color="auto"/>
              <w:bottom w:val="single" w:sz="4" w:space="0" w:color="auto"/>
              <w:right w:val="single" w:sz="4" w:space="0" w:color="auto"/>
            </w:tcBorders>
            <w:vAlign w:val="center"/>
          </w:tcPr>
          <w:p w:rsidR="00EE2E42" w:rsidRDefault="00DF20DF">
            <w:pPr>
              <w:adjustRightInd w:val="0"/>
              <w:spacing w:before="29" w:line="360" w:lineRule="auto"/>
              <w:ind w:left="17"/>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基金主代码</w:t>
            </w:r>
          </w:p>
        </w:tc>
        <w:tc>
          <w:tcPr>
            <w:tcW w:w="5479" w:type="dxa"/>
            <w:tcBorders>
              <w:top w:val="single" w:sz="4" w:space="0" w:color="auto"/>
              <w:left w:val="single" w:sz="4" w:space="0" w:color="auto"/>
              <w:bottom w:val="single" w:sz="4" w:space="0" w:color="auto"/>
              <w:right w:val="single" w:sz="4" w:space="0" w:color="auto"/>
            </w:tcBorders>
            <w:vAlign w:val="center"/>
          </w:tcPr>
          <w:p w:rsidR="00EE2E42" w:rsidRDefault="00DF20DF">
            <w:pPr>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519059</w:t>
            </w:r>
          </w:p>
        </w:tc>
      </w:tr>
      <w:tr w:rsidR="00EE2E42">
        <w:tc>
          <w:tcPr>
            <w:tcW w:w="2835" w:type="dxa"/>
            <w:tcBorders>
              <w:top w:val="single" w:sz="4" w:space="0" w:color="auto"/>
              <w:left w:val="single" w:sz="4" w:space="0" w:color="auto"/>
              <w:bottom w:val="single" w:sz="4" w:space="0" w:color="auto"/>
              <w:right w:val="single" w:sz="4" w:space="0" w:color="auto"/>
            </w:tcBorders>
            <w:vAlign w:val="center"/>
          </w:tcPr>
          <w:p w:rsidR="00EE2E42" w:rsidRDefault="00DF20DF">
            <w:pPr>
              <w:adjustRightInd w:val="0"/>
              <w:spacing w:before="29" w:line="360" w:lineRule="auto"/>
              <w:ind w:left="17"/>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交易代码</w:t>
            </w:r>
          </w:p>
        </w:tc>
        <w:tc>
          <w:tcPr>
            <w:tcW w:w="5479" w:type="dxa"/>
            <w:tcBorders>
              <w:top w:val="single" w:sz="4" w:space="0" w:color="auto"/>
              <w:left w:val="single" w:sz="4" w:space="0" w:color="auto"/>
              <w:bottom w:val="single" w:sz="4" w:space="0" w:color="auto"/>
              <w:right w:val="single" w:sz="4" w:space="0" w:color="auto"/>
            </w:tcBorders>
            <w:vAlign w:val="center"/>
          </w:tcPr>
          <w:p w:rsidR="00EE2E42" w:rsidRDefault="00DF20DF">
            <w:pPr>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cs="宋体" w:hint="eastAsia"/>
                <w:color w:val="000000" w:themeColor="text1"/>
                <w:kern w:val="0"/>
              </w:rPr>
              <w:t>519059</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t>基金运作方式</w:t>
            </w:r>
          </w:p>
        </w:tc>
        <w:tc>
          <w:tcPr>
            <w:tcW w:w="5479"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olor w:val="000000" w:themeColor="text1"/>
                <w:kern w:val="0"/>
              </w:rPr>
              <w:t>契约型开放式</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t>基金合同生效日</w:t>
            </w:r>
          </w:p>
        </w:tc>
        <w:tc>
          <w:tcPr>
            <w:tcW w:w="5479"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olor w:val="000000" w:themeColor="text1"/>
                <w:kern w:val="0"/>
              </w:rPr>
              <w:t>2014年5月6日</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t>报告期末基金份额总额</w:t>
            </w:r>
          </w:p>
        </w:tc>
        <w:tc>
          <w:tcPr>
            <w:tcW w:w="5479"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olor w:val="000000" w:themeColor="text1"/>
                <w:kern w:val="0"/>
              </w:rPr>
              <w:t>7,858,067.22</w:t>
            </w:r>
            <w:r>
              <w:rPr>
                <w:rFonts w:asciiTheme="minorEastAsia" w:eastAsiaTheme="minorEastAsia" w:hAnsiTheme="minorEastAsia" w:hint="eastAsia"/>
                <w:color w:val="000000" w:themeColor="text1"/>
                <w:kern w:val="0"/>
              </w:rPr>
              <w:t>份</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lastRenderedPageBreak/>
              <w:t>投资目标</w:t>
            </w:r>
          </w:p>
        </w:tc>
        <w:tc>
          <w:tcPr>
            <w:tcW w:w="5479"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olor w:val="000000" w:themeColor="text1"/>
                <w:kern w:val="0"/>
              </w:rPr>
              <w:t>本基金在追求基金资产长期稳定增值的基础上，积极把握信用类债券的投资机会，力求获得高于业绩比较基准的投资收益。</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t>投资策略</w:t>
            </w:r>
          </w:p>
        </w:tc>
        <w:tc>
          <w:tcPr>
            <w:tcW w:w="5479"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olor w:val="000000" w:themeColor="text1"/>
                <w:kern w:val="0"/>
              </w:rPr>
              <w:t>本基金为债券型基金，对债券类资产的投资比例不低于基金资产的80%。在此约束下，本基金通过对宏观经济趋势、金融货币政策、供求因素、估值因素、市场行为因素等进行评估分析，对固定收益类资产和货币资产等的预期收益进行动态跟踪，从而决定其配置比例。</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t>业绩比较基准</w:t>
            </w:r>
          </w:p>
        </w:tc>
        <w:tc>
          <w:tcPr>
            <w:tcW w:w="5479"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olor w:val="000000" w:themeColor="text1"/>
                <w:kern w:val="0"/>
              </w:rPr>
              <w:t>中证全债指数</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t>风险收益特征</w:t>
            </w:r>
          </w:p>
        </w:tc>
        <w:tc>
          <w:tcPr>
            <w:tcW w:w="5479"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olor w:val="000000" w:themeColor="text1"/>
                <w:kern w:val="0"/>
              </w:rPr>
              <w:t xml:space="preserve">本基金为债券型基金，属于证券投资基金中的较低风险品种，其预期风险与预期收益高于货币市场基金，低于混合型基金和股票型基金。 </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t>基金管理人</w:t>
            </w:r>
          </w:p>
        </w:tc>
        <w:tc>
          <w:tcPr>
            <w:tcW w:w="5479"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olor w:val="000000" w:themeColor="text1"/>
                <w:kern w:val="0"/>
              </w:rPr>
              <w:t>海富通基金管理有限公司</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t>基金托管人</w:t>
            </w:r>
          </w:p>
        </w:tc>
        <w:tc>
          <w:tcPr>
            <w:tcW w:w="5479"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olor w:val="000000" w:themeColor="text1"/>
                <w:kern w:val="0"/>
              </w:rPr>
              <w:t>中国银行股份有限公司</w:t>
            </w:r>
          </w:p>
        </w:tc>
      </w:tr>
    </w:tbl>
    <w:p w:rsidR="00EE2E42" w:rsidRDefault="00DF20DF">
      <w:pPr>
        <w:pStyle w:val="a0"/>
        <w:ind w:firstLineChars="0" w:firstLine="0"/>
        <w:outlineLvl w:val="1"/>
        <w:rPr>
          <w:b/>
          <w:sz w:val="24"/>
        </w:rPr>
      </w:pPr>
      <w:r>
        <w:rPr>
          <w:rFonts w:hint="eastAsia"/>
          <w:b/>
          <w:sz w:val="24"/>
        </w:rPr>
        <w:t xml:space="preserve">2.2 </w:t>
      </w:r>
      <w:r>
        <w:rPr>
          <w:rFonts w:cs="Arial"/>
          <w:b/>
          <w:color w:val="000000"/>
          <w:kern w:val="0"/>
          <w:sz w:val="24"/>
        </w:rPr>
        <w:t>海富通双福分级债券型证券投资基金</w:t>
      </w:r>
    </w:p>
    <w:tbl>
      <w:tblPr>
        <w:tblW w:w="8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739"/>
        <w:gridCol w:w="2740"/>
      </w:tblGrid>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cs="宋体" w:hint="eastAsia"/>
                <w:color w:val="000000" w:themeColor="text1"/>
                <w:kern w:val="0"/>
              </w:rPr>
              <w:t>基金简称</w:t>
            </w:r>
          </w:p>
        </w:tc>
        <w:tc>
          <w:tcPr>
            <w:tcW w:w="5479" w:type="dxa"/>
            <w:gridSpan w:val="2"/>
            <w:vAlign w:val="center"/>
          </w:tcPr>
          <w:p w:rsidR="00EE2E42" w:rsidRDefault="00DF20DF">
            <w:pPr>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color w:val="000000" w:themeColor="text1"/>
                <w:kern w:val="0"/>
              </w:rPr>
              <w:t>海富通双福分级债券</w:t>
            </w:r>
          </w:p>
        </w:tc>
      </w:tr>
      <w:tr w:rsidR="00EE2E42">
        <w:tc>
          <w:tcPr>
            <w:tcW w:w="2835" w:type="dxa"/>
            <w:tcBorders>
              <w:top w:val="single" w:sz="4" w:space="0" w:color="auto"/>
              <w:left w:val="single" w:sz="4" w:space="0" w:color="auto"/>
              <w:bottom w:val="single" w:sz="4" w:space="0" w:color="auto"/>
              <w:right w:val="single" w:sz="4" w:space="0" w:color="auto"/>
            </w:tcBorders>
            <w:vAlign w:val="center"/>
          </w:tcPr>
          <w:p w:rsidR="00EE2E42" w:rsidRDefault="00DF20DF">
            <w:pPr>
              <w:adjustRightInd w:val="0"/>
              <w:spacing w:before="29" w:line="360" w:lineRule="auto"/>
              <w:ind w:left="17"/>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基金主代码</w:t>
            </w:r>
          </w:p>
        </w:tc>
        <w:tc>
          <w:tcPr>
            <w:tcW w:w="5479" w:type="dxa"/>
            <w:gridSpan w:val="2"/>
            <w:tcBorders>
              <w:top w:val="single" w:sz="4" w:space="0" w:color="auto"/>
              <w:left w:val="single" w:sz="4" w:space="0" w:color="auto"/>
              <w:bottom w:val="single" w:sz="4" w:space="0" w:color="auto"/>
              <w:right w:val="single" w:sz="4" w:space="0" w:color="auto"/>
            </w:tcBorders>
            <w:vAlign w:val="center"/>
          </w:tcPr>
          <w:p w:rsidR="00EE2E42" w:rsidRDefault="00DF20DF">
            <w:pPr>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519059</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t>基金运作方式</w:t>
            </w:r>
          </w:p>
        </w:tc>
        <w:tc>
          <w:tcPr>
            <w:tcW w:w="5479" w:type="dxa"/>
            <w:gridSpan w:val="2"/>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olor w:val="000000" w:themeColor="text1"/>
                <w:kern w:val="0"/>
              </w:rPr>
              <w:t>契约型，本基金以“运作周期滚动”的方式运作。双福A自每个运作周期起始日起每满6个月设一个开放期，双福B在任一运作周期内封闭运作，不上市交易。运作周期届满，在满足本基金合同约定的条件下，本基金将转换为“海富通双福债券型证券投资基金”；不满足条件时，本基金将进入过渡期，过渡期结束将进入下一运作周期。</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t>基金合同生效日</w:t>
            </w:r>
          </w:p>
        </w:tc>
        <w:tc>
          <w:tcPr>
            <w:tcW w:w="5479" w:type="dxa"/>
            <w:gridSpan w:val="2"/>
            <w:vAlign w:val="center"/>
          </w:tcPr>
          <w:p w:rsidR="00EE2E42" w:rsidRDefault="00DF20DF">
            <w:pPr>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2014年5月6日</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t>报告期末基金份额总额</w:t>
            </w:r>
          </w:p>
        </w:tc>
        <w:tc>
          <w:tcPr>
            <w:tcW w:w="5479" w:type="dxa"/>
            <w:gridSpan w:val="2"/>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olor w:val="000000" w:themeColor="text1"/>
                <w:kern w:val="0"/>
              </w:rPr>
              <w:t>108,155,078.72</w:t>
            </w:r>
            <w:r>
              <w:rPr>
                <w:rFonts w:asciiTheme="minorEastAsia" w:eastAsiaTheme="minorEastAsia" w:hAnsiTheme="minorEastAsia" w:hint="eastAsia"/>
                <w:color w:val="000000" w:themeColor="text1"/>
                <w:kern w:val="0"/>
              </w:rPr>
              <w:t>份</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t>投资目标</w:t>
            </w:r>
          </w:p>
        </w:tc>
        <w:tc>
          <w:tcPr>
            <w:tcW w:w="5479" w:type="dxa"/>
            <w:gridSpan w:val="2"/>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olor w:val="000000" w:themeColor="text1"/>
                <w:kern w:val="0"/>
              </w:rPr>
              <w:t>本基金在追求基金资产长期稳定增值的基础上，积极把握信用类债券的投资机会，力求获得高于业绩比较基准的投资收益。</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t>投资策略</w:t>
            </w:r>
          </w:p>
        </w:tc>
        <w:tc>
          <w:tcPr>
            <w:tcW w:w="5479" w:type="dxa"/>
            <w:gridSpan w:val="2"/>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olor w:val="000000" w:themeColor="text1"/>
                <w:kern w:val="0"/>
              </w:rPr>
              <w:t>本基金为债券型基金，对债券类资产的投资比例不低于基金资产的80%。在此约束下，本基金通过对宏观经济趋势、金融货币政策、供求因素、估值因素、市场行为因素等进行评估分析，对固定收益类资产和货币资产等的预期收益进行动态跟踪，从而决定其配置比例。</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t>业绩比较基准</w:t>
            </w:r>
          </w:p>
        </w:tc>
        <w:tc>
          <w:tcPr>
            <w:tcW w:w="5479" w:type="dxa"/>
            <w:gridSpan w:val="2"/>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olor w:val="000000" w:themeColor="text1"/>
                <w:kern w:val="0"/>
              </w:rPr>
              <w:t>中证全债指数</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t>风险收益特征</w:t>
            </w:r>
          </w:p>
        </w:tc>
        <w:tc>
          <w:tcPr>
            <w:tcW w:w="5479" w:type="dxa"/>
            <w:gridSpan w:val="2"/>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olor w:val="000000" w:themeColor="text1"/>
                <w:kern w:val="0"/>
              </w:rPr>
              <w:t>本基金为债券型基金，属于证券投资基金中的较低风险品种，其预期风险与预期收益高于货币市场基金，低于混合型基金和股票型基金。</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t>基金管理人</w:t>
            </w:r>
          </w:p>
        </w:tc>
        <w:tc>
          <w:tcPr>
            <w:tcW w:w="5479" w:type="dxa"/>
            <w:gridSpan w:val="2"/>
            <w:vAlign w:val="center"/>
          </w:tcPr>
          <w:p w:rsidR="00EE2E42" w:rsidRDefault="00DF20DF">
            <w:pPr>
              <w:adjustRightInd w:val="0"/>
              <w:spacing w:before="29" w:line="360" w:lineRule="auto"/>
              <w:ind w:left="17"/>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海富通基金管理有限公司</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kern w:val="0"/>
              </w:rPr>
              <w:t>基金托管人</w:t>
            </w:r>
          </w:p>
        </w:tc>
        <w:tc>
          <w:tcPr>
            <w:tcW w:w="5479" w:type="dxa"/>
            <w:gridSpan w:val="2"/>
            <w:vAlign w:val="center"/>
          </w:tcPr>
          <w:p w:rsidR="00EE2E42" w:rsidRDefault="00DF20DF">
            <w:pPr>
              <w:adjustRightInd w:val="0"/>
              <w:spacing w:before="29" w:line="360" w:lineRule="auto"/>
              <w:ind w:left="17"/>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中国银行股份有限公司</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s="宋体"/>
                <w:color w:val="000000" w:themeColor="text1"/>
                <w:kern w:val="0"/>
              </w:rPr>
            </w:pPr>
            <w:r>
              <w:rPr>
                <w:rFonts w:asciiTheme="minorEastAsia" w:eastAsiaTheme="minorEastAsia" w:hAnsiTheme="minorEastAsia" w:hint="eastAsia"/>
                <w:color w:val="000000" w:themeColor="text1"/>
              </w:rPr>
              <w:t>下属两级基金的基金简称</w:t>
            </w:r>
          </w:p>
        </w:tc>
        <w:tc>
          <w:tcPr>
            <w:tcW w:w="2739" w:type="dxa"/>
            <w:vAlign w:val="center"/>
          </w:tcPr>
          <w:p w:rsidR="00EE2E42" w:rsidRDefault="00DF20DF">
            <w:pP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海富通双福分级债券A</w:t>
            </w:r>
          </w:p>
        </w:tc>
        <w:tc>
          <w:tcPr>
            <w:tcW w:w="2740" w:type="dxa"/>
            <w:vAlign w:val="center"/>
          </w:tcPr>
          <w:p w:rsidR="00EE2E42" w:rsidRDefault="00DF20DF">
            <w:pP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海富通双福分级债券B</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下属两级基金的交易代码</w:t>
            </w:r>
          </w:p>
        </w:tc>
        <w:tc>
          <w:tcPr>
            <w:tcW w:w="2739" w:type="dxa"/>
            <w:vAlign w:val="center"/>
          </w:tcPr>
          <w:p w:rsidR="00EE2E42" w:rsidRDefault="00DF20DF">
            <w:pP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519057</w:t>
            </w:r>
          </w:p>
        </w:tc>
        <w:tc>
          <w:tcPr>
            <w:tcW w:w="2740" w:type="dxa"/>
            <w:vAlign w:val="center"/>
          </w:tcPr>
          <w:p w:rsidR="00EE2E42" w:rsidRDefault="00DF20DF">
            <w:pP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519058</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报告期末下属两级基金的份额总额</w:t>
            </w:r>
          </w:p>
        </w:tc>
        <w:tc>
          <w:tcPr>
            <w:tcW w:w="2739" w:type="dxa"/>
            <w:vAlign w:val="center"/>
          </w:tcPr>
          <w:p w:rsidR="00EE2E42" w:rsidRDefault="00DF20DF">
            <w:pP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11,092,791.47份</w:t>
            </w:r>
          </w:p>
        </w:tc>
        <w:tc>
          <w:tcPr>
            <w:tcW w:w="2740" w:type="dxa"/>
            <w:vAlign w:val="center"/>
          </w:tcPr>
          <w:p w:rsidR="00EE2E42" w:rsidRDefault="00DF20DF">
            <w:pP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97,062,287.25份</w:t>
            </w:r>
          </w:p>
        </w:tc>
      </w:tr>
      <w:tr w:rsidR="00EE2E42">
        <w:tc>
          <w:tcPr>
            <w:tcW w:w="2835" w:type="dxa"/>
            <w:vAlign w:val="center"/>
          </w:tcPr>
          <w:p w:rsidR="00EE2E42" w:rsidRDefault="00DF20DF">
            <w:pPr>
              <w:adjustRightInd w:val="0"/>
              <w:spacing w:before="29" w:line="360" w:lineRule="auto"/>
              <w:ind w:left="1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下属两级基金的风险收益特征</w:t>
            </w:r>
          </w:p>
        </w:tc>
        <w:tc>
          <w:tcPr>
            <w:tcW w:w="2739" w:type="dxa"/>
            <w:vAlign w:val="center"/>
          </w:tcPr>
          <w:p w:rsidR="00EE2E42" w:rsidRDefault="00DF20DF">
            <w:pP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双福A将表现出低风险、收益相对稳定的特征。</w:t>
            </w:r>
          </w:p>
        </w:tc>
        <w:tc>
          <w:tcPr>
            <w:tcW w:w="2740" w:type="dxa"/>
            <w:vAlign w:val="center"/>
          </w:tcPr>
          <w:p w:rsidR="00EE2E42" w:rsidRDefault="00DF20DF">
            <w:pP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双福B则表现出较高风险、收益相对较高的特征。</w:t>
            </w:r>
          </w:p>
        </w:tc>
      </w:tr>
    </w:tbl>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DF20DF">
      <w:pPr>
        <w:pStyle w:val="1"/>
        <w:jc w:val="center"/>
        <w:rPr>
          <w:rFonts w:cs="Arial"/>
          <w:b w:val="0"/>
          <w:color w:val="000000"/>
          <w:kern w:val="0"/>
          <w:sz w:val="24"/>
          <w:szCs w:val="24"/>
        </w:rPr>
      </w:pPr>
      <w:r>
        <w:rPr>
          <w:rFonts w:cs="Arial" w:hint="eastAsia"/>
          <w:color w:val="000000"/>
          <w:kern w:val="0"/>
          <w:sz w:val="24"/>
          <w:szCs w:val="24"/>
        </w:rPr>
        <w:t>§</w:t>
      </w:r>
      <w:r>
        <w:rPr>
          <w:rFonts w:cs="Arial"/>
          <w:color w:val="000000"/>
          <w:kern w:val="0"/>
          <w:sz w:val="24"/>
          <w:szCs w:val="24"/>
        </w:rPr>
        <w:t xml:space="preserve">3  </w:t>
      </w:r>
      <w:r>
        <w:rPr>
          <w:rFonts w:cs="Arial" w:hint="eastAsia"/>
          <w:color w:val="000000"/>
          <w:kern w:val="0"/>
          <w:sz w:val="24"/>
          <w:szCs w:val="24"/>
        </w:rPr>
        <w:t>主要财务指标和基金净值表现</w:t>
      </w:r>
    </w:p>
    <w:p w:rsidR="00EE2E42" w:rsidRDefault="00DF20DF">
      <w:pPr>
        <w:pStyle w:val="2"/>
        <w:rPr>
          <w:color w:val="000000"/>
          <w:kern w:val="0"/>
        </w:rPr>
      </w:pPr>
      <w:r>
        <w:rPr>
          <w:color w:val="000000"/>
          <w:kern w:val="0"/>
        </w:rPr>
        <w:t xml:space="preserve">3.1 </w:t>
      </w:r>
      <w:r>
        <w:rPr>
          <w:rFonts w:hint="eastAsia"/>
          <w:color w:val="000000"/>
          <w:kern w:val="0"/>
        </w:rPr>
        <w:t>主要财务指标</w:t>
      </w:r>
    </w:p>
    <w:p w:rsidR="00EE2E42" w:rsidRDefault="00DF20DF">
      <w:pPr>
        <w:autoSpaceDE w:val="0"/>
        <w:autoSpaceDN w:val="0"/>
        <w:adjustRightInd w:val="0"/>
        <w:spacing w:before="29" w:line="360" w:lineRule="auto"/>
        <w:ind w:left="15"/>
        <w:jc w:val="right"/>
        <w:rPr>
          <w:rFonts w:cs="Arial"/>
          <w:color w:val="000000"/>
          <w:kern w:val="0"/>
          <w:sz w:val="24"/>
          <w:szCs w:val="24"/>
        </w:rPr>
      </w:pPr>
      <w:r>
        <w:rPr>
          <w:rFonts w:cs="Arial" w:hint="eastAsia"/>
          <w:color w:val="000000"/>
          <w:kern w:val="0"/>
          <w:sz w:val="24"/>
          <w:szCs w:val="24"/>
        </w:rPr>
        <w:t>单位：人民币元</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03"/>
        <w:gridCol w:w="2835"/>
        <w:gridCol w:w="2526"/>
      </w:tblGrid>
      <w:tr w:rsidR="00EE2E42">
        <w:trPr>
          <w:jc w:val="center"/>
        </w:trPr>
        <w:tc>
          <w:tcPr>
            <w:tcW w:w="3003" w:type="dxa"/>
            <w:vAlign w:val="center"/>
          </w:tcPr>
          <w:p w:rsidR="00EE2E42" w:rsidRDefault="00DF20DF">
            <w:pPr>
              <w:autoSpaceDE w:val="0"/>
              <w:autoSpaceDN w:val="0"/>
              <w:adjustRightInd w:val="0"/>
              <w:spacing w:line="288" w:lineRule="auto"/>
              <w:jc w:val="center"/>
              <w:rPr>
                <w:rFonts w:cs="Arial"/>
                <w:color w:val="000000"/>
                <w:kern w:val="0"/>
                <w:sz w:val="24"/>
                <w:szCs w:val="24"/>
              </w:rPr>
            </w:pPr>
            <w:r>
              <w:rPr>
                <w:rFonts w:cs="Arial" w:hint="eastAsia"/>
                <w:color w:val="000000"/>
                <w:kern w:val="0"/>
                <w:sz w:val="24"/>
                <w:szCs w:val="24"/>
              </w:rPr>
              <w:t>主要财务指标</w:t>
            </w:r>
          </w:p>
        </w:tc>
        <w:tc>
          <w:tcPr>
            <w:tcW w:w="2835" w:type="dxa"/>
            <w:vAlign w:val="center"/>
          </w:tcPr>
          <w:p w:rsidR="00EE2E42" w:rsidRDefault="00DF20DF">
            <w:pPr>
              <w:autoSpaceDE w:val="0"/>
              <w:autoSpaceDN w:val="0"/>
              <w:adjustRightInd w:val="0"/>
              <w:spacing w:line="288" w:lineRule="auto"/>
              <w:jc w:val="center"/>
              <w:rPr>
                <w:rFonts w:cs="Arial"/>
                <w:color w:val="000000"/>
                <w:kern w:val="0"/>
                <w:sz w:val="24"/>
                <w:szCs w:val="24"/>
              </w:rPr>
            </w:pPr>
            <w:r>
              <w:rPr>
                <w:rFonts w:cs="Arial"/>
                <w:color w:val="000000"/>
                <w:kern w:val="0"/>
                <w:sz w:val="24"/>
                <w:szCs w:val="24"/>
              </w:rPr>
              <w:t>海富通双福债券型证券投资基金</w:t>
            </w:r>
          </w:p>
          <w:p w:rsidR="00EE2E42" w:rsidRDefault="00DF20DF">
            <w:pPr>
              <w:autoSpaceDE w:val="0"/>
              <w:autoSpaceDN w:val="0"/>
              <w:adjustRightInd w:val="0"/>
              <w:spacing w:line="288" w:lineRule="auto"/>
              <w:jc w:val="center"/>
              <w:rPr>
                <w:rFonts w:cs="Arial"/>
                <w:color w:val="000000"/>
                <w:kern w:val="0"/>
                <w:sz w:val="24"/>
                <w:szCs w:val="24"/>
              </w:rPr>
            </w:pPr>
            <w:r>
              <w:rPr>
                <w:rFonts w:cs="Arial" w:hint="eastAsia"/>
                <w:color w:val="000000"/>
                <w:kern w:val="0"/>
                <w:sz w:val="24"/>
                <w:szCs w:val="24"/>
              </w:rPr>
              <w:t>(2018</w:t>
            </w:r>
            <w:r>
              <w:rPr>
                <w:rFonts w:cs="Arial" w:hint="eastAsia"/>
                <w:color w:val="000000"/>
                <w:kern w:val="0"/>
                <w:sz w:val="24"/>
                <w:szCs w:val="24"/>
              </w:rPr>
              <w:t>年</w:t>
            </w:r>
            <w:r>
              <w:rPr>
                <w:rFonts w:cs="Arial" w:hint="eastAsia"/>
                <w:color w:val="000000"/>
                <w:kern w:val="0"/>
                <w:sz w:val="24"/>
                <w:szCs w:val="24"/>
              </w:rPr>
              <w:t>6</w:t>
            </w:r>
            <w:r>
              <w:rPr>
                <w:rFonts w:cs="Arial" w:hint="eastAsia"/>
                <w:color w:val="000000"/>
                <w:kern w:val="0"/>
                <w:sz w:val="24"/>
                <w:szCs w:val="24"/>
              </w:rPr>
              <w:t>月</w:t>
            </w:r>
            <w:r>
              <w:rPr>
                <w:rFonts w:cs="Arial" w:hint="eastAsia"/>
                <w:color w:val="000000"/>
                <w:kern w:val="0"/>
                <w:sz w:val="24"/>
                <w:szCs w:val="24"/>
              </w:rPr>
              <w:t>5</w:t>
            </w:r>
            <w:r>
              <w:rPr>
                <w:rFonts w:cs="Arial" w:hint="eastAsia"/>
                <w:color w:val="000000"/>
                <w:kern w:val="0"/>
                <w:sz w:val="24"/>
                <w:szCs w:val="24"/>
              </w:rPr>
              <w:t>日</w:t>
            </w:r>
            <w:r>
              <w:rPr>
                <w:rFonts w:cs="Arial" w:hint="eastAsia"/>
                <w:color w:val="000000"/>
                <w:kern w:val="0"/>
                <w:sz w:val="24"/>
                <w:szCs w:val="24"/>
              </w:rPr>
              <w:t>-2018</w:t>
            </w:r>
            <w:r>
              <w:rPr>
                <w:rFonts w:cs="Arial" w:hint="eastAsia"/>
                <w:color w:val="000000"/>
                <w:kern w:val="0"/>
                <w:sz w:val="24"/>
                <w:szCs w:val="24"/>
              </w:rPr>
              <w:t>年</w:t>
            </w:r>
            <w:r>
              <w:rPr>
                <w:rFonts w:cs="Arial" w:hint="eastAsia"/>
                <w:color w:val="000000"/>
                <w:kern w:val="0"/>
                <w:sz w:val="24"/>
                <w:szCs w:val="24"/>
              </w:rPr>
              <w:t>6</w:t>
            </w:r>
            <w:r>
              <w:rPr>
                <w:rFonts w:cs="Arial" w:hint="eastAsia"/>
                <w:color w:val="000000"/>
                <w:kern w:val="0"/>
                <w:sz w:val="24"/>
                <w:szCs w:val="24"/>
              </w:rPr>
              <w:t>月</w:t>
            </w:r>
            <w:r>
              <w:rPr>
                <w:rFonts w:cs="Arial" w:hint="eastAsia"/>
                <w:color w:val="000000"/>
                <w:kern w:val="0"/>
                <w:sz w:val="24"/>
                <w:szCs w:val="24"/>
              </w:rPr>
              <w:t>30</w:t>
            </w:r>
            <w:r>
              <w:rPr>
                <w:rFonts w:cs="Arial" w:hint="eastAsia"/>
                <w:color w:val="000000"/>
                <w:kern w:val="0"/>
                <w:sz w:val="24"/>
                <w:szCs w:val="24"/>
              </w:rPr>
              <w:t>日</w:t>
            </w:r>
            <w:r>
              <w:rPr>
                <w:rFonts w:cs="Arial" w:hint="eastAsia"/>
                <w:color w:val="000000"/>
                <w:kern w:val="0"/>
                <w:sz w:val="24"/>
                <w:szCs w:val="24"/>
              </w:rPr>
              <w:t>)</w:t>
            </w:r>
          </w:p>
        </w:tc>
        <w:tc>
          <w:tcPr>
            <w:tcW w:w="2526" w:type="dxa"/>
            <w:vAlign w:val="center"/>
          </w:tcPr>
          <w:p w:rsidR="00EE2E42" w:rsidRPr="001562C7" w:rsidRDefault="00DF20DF">
            <w:pPr>
              <w:autoSpaceDE w:val="0"/>
              <w:autoSpaceDN w:val="0"/>
              <w:adjustRightInd w:val="0"/>
              <w:spacing w:line="288" w:lineRule="auto"/>
              <w:jc w:val="center"/>
              <w:rPr>
                <w:rFonts w:cs="Arial"/>
                <w:color w:val="000000"/>
                <w:kern w:val="0"/>
                <w:sz w:val="24"/>
                <w:szCs w:val="24"/>
              </w:rPr>
            </w:pPr>
            <w:r w:rsidRPr="001562C7">
              <w:rPr>
                <w:rFonts w:cs="Arial"/>
                <w:color w:val="000000"/>
                <w:kern w:val="0"/>
                <w:sz w:val="24"/>
                <w:szCs w:val="24"/>
              </w:rPr>
              <w:t>海富通双福分级债券型证券投资基金</w:t>
            </w:r>
          </w:p>
          <w:p w:rsidR="00EE2E42" w:rsidRPr="001562C7" w:rsidRDefault="00DF20DF">
            <w:pPr>
              <w:autoSpaceDE w:val="0"/>
              <w:autoSpaceDN w:val="0"/>
              <w:adjustRightInd w:val="0"/>
              <w:spacing w:line="288" w:lineRule="auto"/>
              <w:jc w:val="center"/>
              <w:rPr>
                <w:rFonts w:cs="Arial"/>
                <w:color w:val="000000"/>
                <w:kern w:val="0"/>
                <w:sz w:val="24"/>
                <w:szCs w:val="24"/>
              </w:rPr>
            </w:pPr>
            <w:r w:rsidRPr="001562C7">
              <w:rPr>
                <w:rFonts w:cs="Arial" w:hint="eastAsia"/>
                <w:color w:val="000000"/>
                <w:kern w:val="0"/>
                <w:sz w:val="24"/>
                <w:szCs w:val="24"/>
              </w:rPr>
              <w:t>(2018</w:t>
            </w:r>
            <w:r w:rsidRPr="001562C7">
              <w:rPr>
                <w:rFonts w:cs="Arial" w:hint="eastAsia"/>
                <w:color w:val="000000"/>
                <w:kern w:val="0"/>
                <w:sz w:val="24"/>
                <w:szCs w:val="24"/>
              </w:rPr>
              <w:t>年</w:t>
            </w:r>
            <w:r w:rsidRPr="001562C7">
              <w:rPr>
                <w:rFonts w:cs="Arial" w:hint="eastAsia"/>
                <w:color w:val="000000"/>
                <w:kern w:val="0"/>
                <w:sz w:val="24"/>
                <w:szCs w:val="24"/>
              </w:rPr>
              <w:t>4</w:t>
            </w:r>
            <w:r w:rsidRPr="001562C7">
              <w:rPr>
                <w:rFonts w:cs="Arial" w:hint="eastAsia"/>
                <w:color w:val="000000"/>
                <w:kern w:val="0"/>
                <w:sz w:val="24"/>
                <w:szCs w:val="24"/>
              </w:rPr>
              <w:t>月</w:t>
            </w:r>
            <w:r w:rsidRPr="001562C7">
              <w:rPr>
                <w:rFonts w:cs="Arial" w:hint="eastAsia"/>
                <w:color w:val="000000"/>
                <w:kern w:val="0"/>
                <w:sz w:val="24"/>
                <w:szCs w:val="24"/>
              </w:rPr>
              <w:t>1</w:t>
            </w:r>
            <w:r w:rsidRPr="001562C7">
              <w:rPr>
                <w:rFonts w:cs="Arial" w:hint="eastAsia"/>
                <w:color w:val="000000"/>
                <w:kern w:val="0"/>
                <w:sz w:val="24"/>
                <w:szCs w:val="24"/>
              </w:rPr>
              <w:t>日</w:t>
            </w:r>
            <w:r w:rsidRPr="001562C7">
              <w:rPr>
                <w:rFonts w:cs="Arial" w:hint="eastAsia"/>
                <w:color w:val="000000"/>
                <w:kern w:val="0"/>
                <w:sz w:val="24"/>
                <w:szCs w:val="24"/>
              </w:rPr>
              <w:t>-</w:t>
            </w:r>
            <w:r w:rsidRPr="001562C7">
              <w:rPr>
                <w:rFonts w:cs="Arial"/>
                <w:color w:val="000000"/>
                <w:kern w:val="0"/>
                <w:sz w:val="24"/>
                <w:szCs w:val="24"/>
              </w:rPr>
              <w:t>2018</w:t>
            </w:r>
            <w:r w:rsidRPr="001562C7">
              <w:rPr>
                <w:rFonts w:cs="Arial"/>
                <w:color w:val="000000"/>
                <w:kern w:val="0"/>
                <w:sz w:val="24"/>
                <w:szCs w:val="24"/>
              </w:rPr>
              <w:t>年</w:t>
            </w:r>
            <w:r w:rsidRPr="001562C7">
              <w:rPr>
                <w:rFonts w:cs="Arial"/>
                <w:color w:val="000000"/>
                <w:kern w:val="0"/>
                <w:sz w:val="24"/>
                <w:szCs w:val="24"/>
              </w:rPr>
              <w:t>6</w:t>
            </w:r>
            <w:r w:rsidRPr="001562C7">
              <w:rPr>
                <w:rFonts w:cs="Arial"/>
                <w:color w:val="000000"/>
                <w:kern w:val="0"/>
                <w:sz w:val="24"/>
                <w:szCs w:val="24"/>
              </w:rPr>
              <w:t>月</w:t>
            </w:r>
            <w:r w:rsidRPr="001562C7">
              <w:rPr>
                <w:rFonts w:cs="Arial"/>
                <w:color w:val="000000"/>
                <w:kern w:val="0"/>
                <w:sz w:val="24"/>
                <w:szCs w:val="24"/>
              </w:rPr>
              <w:t>4</w:t>
            </w:r>
            <w:r w:rsidRPr="001562C7">
              <w:rPr>
                <w:rFonts w:cs="Arial"/>
                <w:color w:val="000000"/>
                <w:kern w:val="0"/>
                <w:sz w:val="24"/>
                <w:szCs w:val="24"/>
              </w:rPr>
              <w:t>日</w:t>
            </w:r>
            <w:r w:rsidRPr="001562C7">
              <w:rPr>
                <w:rFonts w:cs="Arial" w:hint="eastAsia"/>
                <w:color w:val="000000"/>
                <w:kern w:val="0"/>
                <w:sz w:val="24"/>
                <w:szCs w:val="24"/>
              </w:rPr>
              <w:t>)</w:t>
            </w:r>
          </w:p>
        </w:tc>
      </w:tr>
      <w:tr w:rsidR="00EE2E42">
        <w:trPr>
          <w:jc w:val="center"/>
        </w:trPr>
        <w:tc>
          <w:tcPr>
            <w:tcW w:w="3003" w:type="dxa"/>
            <w:vAlign w:val="center"/>
          </w:tcPr>
          <w:p w:rsidR="00EE2E42" w:rsidRDefault="00DF20DF">
            <w:pPr>
              <w:autoSpaceDE w:val="0"/>
              <w:autoSpaceDN w:val="0"/>
              <w:adjustRightInd w:val="0"/>
              <w:spacing w:line="288" w:lineRule="auto"/>
              <w:jc w:val="left"/>
              <w:rPr>
                <w:rFonts w:cs="Arial"/>
                <w:color w:val="000000"/>
                <w:kern w:val="0"/>
                <w:sz w:val="24"/>
                <w:szCs w:val="24"/>
              </w:rPr>
            </w:pPr>
            <w:r>
              <w:rPr>
                <w:rFonts w:cs="Arial"/>
                <w:color w:val="000000"/>
                <w:kern w:val="0"/>
                <w:sz w:val="24"/>
                <w:szCs w:val="24"/>
              </w:rPr>
              <w:t>1.</w:t>
            </w:r>
            <w:r>
              <w:rPr>
                <w:rFonts w:cs="Arial" w:hint="eastAsia"/>
                <w:color w:val="000000"/>
                <w:kern w:val="0"/>
                <w:sz w:val="24"/>
                <w:szCs w:val="24"/>
              </w:rPr>
              <w:t>本期已实现收益</w:t>
            </w:r>
          </w:p>
        </w:tc>
        <w:tc>
          <w:tcPr>
            <w:tcW w:w="2835" w:type="dxa"/>
            <w:vAlign w:val="center"/>
          </w:tcPr>
          <w:p w:rsidR="00EE2E42" w:rsidRDefault="00DF20DF">
            <w:pPr>
              <w:autoSpaceDE w:val="0"/>
              <w:autoSpaceDN w:val="0"/>
              <w:adjustRightInd w:val="0"/>
              <w:spacing w:line="288" w:lineRule="auto"/>
              <w:jc w:val="right"/>
              <w:rPr>
                <w:rFonts w:cs="Arial"/>
                <w:color w:val="000000"/>
                <w:kern w:val="0"/>
                <w:sz w:val="24"/>
                <w:szCs w:val="24"/>
              </w:rPr>
            </w:pPr>
            <w:r>
              <w:rPr>
                <w:rFonts w:cs="Arial"/>
                <w:color w:val="000000"/>
                <w:kern w:val="0"/>
                <w:sz w:val="24"/>
                <w:szCs w:val="24"/>
              </w:rPr>
              <w:t>-10,306.78</w:t>
            </w:r>
          </w:p>
        </w:tc>
        <w:tc>
          <w:tcPr>
            <w:tcW w:w="2526" w:type="dxa"/>
            <w:vAlign w:val="center"/>
          </w:tcPr>
          <w:p w:rsidR="00EE2E42" w:rsidRPr="001562C7" w:rsidRDefault="00DF20DF">
            <w:pPr>
              <w:autoSpaceDE w:val="0"/>
              <w:autoSpaceDN w:val="0"/>
              <w:adjustRightInd w:val="0"/>
              <w:spacing w:line="288" w:lineRule="auto"/>
              <w:jc w:val="right"/>
              <w:rPr>
                <w:rFonts w:cs="Arial"/>
                <w:color w:val="000000"/>
                <w:kern w:val="0"/>
                <w:sz w:val="24"/>
                <w:szCs w:val="24"/>
              </w:rPr>
            </w:pPr>
            <w:r w:rsidRPr="001562C7">
              <w:rPr>
                <w:rFonts w:cs="Arial"/>
                <w:color w:val="000000"/>
                <w:kern w:val="0"/>
                <w:sz w:val="24"/>
                <w:szCs w:val="24"/>
              </w:rPr>
              <w:t>368,119.67</w:t>
            </w:r>
          </w:p>
        </w:tc>
      </w:tr>
      <w:tr w:rsidR="00EE2E42">
        <w:trPr>
          <w:jc w:val="center"/>
        </w:trPr>
        <w:tc>
          <w:tcPr>
            <w:tcW w:w="3003" w:type="dxa"/>
            <w:vAlign w:val="center"/>
          </w:tcPr>
          <w:p w:rsidR="00EE2E42" w:rsidRDefault="00DF20DF">
            <w:pPr>
              <w:autoSpaceDE w:val="0"/>
              <w:autoSpaceDN w:val="0"/>
              <w:adjustRightInd w:val="0"/>
              <w:spacing w:line="288" w:lineRule="auto"/>
              <w:jc w:val="left"/>
              <w:rPr>
                <w:rFonts w:cs="Arial"/>
                <w:color w:val="000000"/>
                <w:kern w:val="0"/>
                <w:sz w:val="24"/>
                <w:szCs w:val="24"/>
              </w:rPr>
            </w:pPr>
            <w:r>
              <w:rPr>
                <w:rFonts w:cs="Arial"/>
                <w:color w:val="000000"/>
                <w:kern w:val="0"/>
                <w:sz w:val="24"/>
                <w:szCs w:val="24"/>
              </w:rPr>
              <w:t>2.</w:t>
            </w:r>
            <w:r>
              <w:rPr>
                <w:rFonts w:cs="Arial" w:hint="eastAsia"/>
                <w:color w:val="000000"/>
                <w:kern w:val="0"/>
                <w:sz w:val="24"/>
                <w:szCs w:val="24"/>
              </w:rPr>
              <w:t>本期利润</w:t>
            </w:r>
          </w:p>
        </w:tc>
        <w:tc>
          <w:tcPr>
            <w:tcW w:w="2835" w:type="dxa"/>
            <w:vAlign w:val="center"/>
          </w:tcPr>
          <w:p w:rsidR="00EE2E42" w:rsidRDefault="00DF20DF">
            <w:pPr>
              <w:autoSpaceDE w:val="0"/>
              <w:autoSpaceDN w:val="0"/>
              <w:adjustRightInd w:val="0"/>
              <w:spacing w:line="288" w:lineRule="auto"/>
              <w:jc w:val="right"/>
              <w:rPr>
                <w:rFonts w:cs="Arial"/>
                <w:color w:val="000000"/>
                <w:kern w:val="0"/>
                <w:sz w:val="24"/>
                <w:szCs w:val="24"/>
              </w:rPr>
            </w:pPr>
            <w:r>
              <w:rPr>
                <w:rFonts w:cs="Arial"/>
                <w:color w:val="000000"/>
                <w:kern w:val="0"/>
                <w:sz w:val="24"/>
                <w:szCs w:val="24"/>
              </w:rPr>
              <w:t>-10,306.78</w:t>
            </w:r>
          </w:p>
        </w:tc>
        <w:tc>
          <w:tcPr>
            <w:tcW w:w="2526" w:type="dxa"/>
            <w:vAlign w:val="center"/>
          </w:tcPr>
          <w:p w:rsidR="00EE2E42" w:rsidRPr="001562C7" w:rsidRDefault="00DF20DF">
            <w:pPr>
              <w:autoSpaceDE w:val="0"/>
              <w:autoSpaceDN w:val="0"/>
              <w:adjustRightInd w:val="0"/>
              <w:spacing w:line="288" w:lineRule="auto"/>
              <w:jc w:val="right"/>
              <w:rPr>
                <w:rFonts w:cs="Arial"/>
                <w:color w:val="000000"/>
                <w:kern w:val="0"/>
                <w:sz w:val="24"/>
                <w:szCs w:val="24"/>
              </w:rPr>
            </w:pPr>
            <w:r w:rsidRPr="001562C7">
              <w:rPr>
                <w:rFonts w:cs="Arial"/>
                <w:color w:val="000000"/>
                <w:kern w:val="0"/>
                <w:sz w:val="24"/>
                <w:szCs w:val="24"/>
              </w:rPr>
              <w:t>357,799.87</w:t>
            </w:r>
          </w:p>
        </w:tc>
      </w:tr>
      <w:tr w:rsidR="00EE2E42">
        <w:trPr>
          <w:jc w:val="center"/>
        </w:trPr>
        <w:tc>
          <w:tcPr>
            <w:tcW w:w="3003" w:type="dxa"/>
            <w:vAlign w:val="center"/>
          </w:tcPr>
          <w:p w:rsidR="00EE2E42" w:rsidRDefault="00DF20DF">
            <w:pPr>
              <w:autoSpaceDE w:val="0"/>
              <w:autoSpaceDN w:val="0"/>
              <w:adjustRightInd w:val="0"/>
              <w:spacing w:line="288" w:lineRule="auto"/>
              <w:jc w:val="left"/>
              <w:rPr>
                <w:rFonts w:cs="Arial"/>
                <w:color w:val="000000"/>
                <w:kern w:val="0"/>
                <w:sz w:val="24"/>
                <w:szCs w:val="24"/>
              </w:rPr>
            </w:pPr>
            <w:r>
              <w:rPr>
                <w:rFonts w:cs="Arial"/>
                <w:color w:val="000000"/>
                <w:kern w:val="0"/>
                <w:sz w:val="24"/>
                <w:szCs w:val="24"/>
              </w:rPr>
              <w:t>3.</w:t>
            </w:r>
            <w:r>
              <w:rPr>
                <w:rFonts w:cs="Arial" w:hint="eastAsia"/>
                <w:color w:val="000000"/>
                <w:kern w:val="0"/>
                <w:sz w:val="24"/>
                <w:szCs w:val="24"/>
              </w:rPr>
              <w:t>加权平均基金份额本期利润</w:t>
            </w:r>
          </w:p>
        </w:tc>
        <w:tc>
          <w:tcPr>
            <w:tcW w:w="2835" w:type="dxa"/>
            <w:vAlign w:val="center"/>
          </w:tcPr>
          <w:p w:rsidR="00EE2E42" w:rsidRDefault="00DF20DF">
            <w:pPr>
              <w:autoSpaceDE w:val="0"/>
              <w:autoSpaceDN w:val="0"/>
              <w:adjustRightInd w:val="0"/>
              <w:spacing w:line="288" w:lineRule="auto"/>
              <w:jc w:val="right"/>
              <w:rPr>
                <w:rFonts w:cs="Arial"/>
                <w:color w:val="000000"/>
                <w:kern w:val="0"/>
                <w:sz w:val="24"/>
                <w:szCs w:val="24"/>
              </w:rPr>
            </w:pPr>
            <w:r>
              <w:rPr>
                <w:rFonts w:cs="Arial"/>
                <w:color w:val="000000"/>
                <w:kern w:val="0"/>
                <w:sz w:val="24"/>
                <w:szCs w:val="24"/>
              </w:rPr>
              <w:t>-0.0008</w:t>
            </w:r>
          </w:p>
        </w:tc>
        <w:tc>
          <w:tcPr>
            <w:tcW w:w="2526" w:type="dxa"/>
            <w:vAlign w:val="center"/>
          </w:tcPr>
          <w:p w:rsidR="00EE2E42" w:rsidRPr="001562C7" w:rsidRDefault="00DF20DF">
            <w:pPr>
              <w:autoSpaceDE w:val="0"/>
              <w:autoSpaceDN w:val="0"/>
              <w:adjustRightInd w:val="0"/>
              <w:spacing w:line="288" w:lineRule="auto"/>
              <w:jc w:val="right"/>
              <w:rPr>
                <w:rFonts w:cs="Arial"/>
                <w:color w:val="000000"/>
                <w:kern w:val="0"/>
                <w:sz w:val="24"/>
                <w:szCs w:val="24"/>
              </w:rPr>
            </w:pPr>
            <w:r w:rsidRPr="001562C7">
              <w:rPr>
                <w:rFonts w:cs="Arial"/>
                <w:color w:val="000000"/>
                <w:kern w:val="0"/>
                <w:sz w:val="24"/>
                <w:szCs w:val="24"/>
              </w:rPr>
              <w:t>0.0033</w:t>
            </w:r>
          </w:p>
        </w:tc>
      </w:tr>
      <w:tr w:rsidR="00EE2E42">
        <w:trPr>
          <w:jc w:val="center"/>
        </w:trPr>
        <w:tc>
          <w:tcPr>
            <w:tcW w:w="3003" w:type="dxa"/>
            <w:vAlign w:val="center"/>
          </w:tcPr>
          <w:p w:rsidR="00EE2E42" w:rsidRDefault="00DF20DF">
            <w:pPr>
              <w:autoSpaceDE w:val="0"/>
              <w:autoSpaceDN w:val="0"/>
              <w:adjustRightInd w:val="0"/>
              <w:spacing w:line="288" w:lineRule="auto"/>
              <w:jc w:val="left"/>
              <w:rPr>
                <w:rFonts w:cs="Arial"/>
                <w:color w:val="000000"/>
                <w:kern w:val="0"/>
                <w:sz w:val="24"/>
                <w:szCs w:val="24"/>
              </w:rPr>
            </w:pPr>
            <w:r>
              <w:rPr>
                <w:rFonts w:cs="Arial"/>
                <w:color w:val="000000"/>
                <w:kern w:val="0"/>
                <w:sz w:val="24"/>
                <w:szCs w:val="24"/>
              </w:rPr>
              <w:t>4.</w:t>
            </w:r>
            <w:r>
              <w:rPr>
                <w:rFonts w:cs="Arial" w:hint="eastAsia"/>
                <w:color w:val="000000"/>
                <w:kern w:val="0"/>
                <w:sz w:val="24"/>
                <w:szCs w:val="24"/>
              </w:rPr>
              <w:t>期末基金资产净值</w:t>
            </w:r>
          </w:p>
        </w:tc>
        <w:tc>
          <w:tcPr>
            <w:tcW w:w="2835" w:type="dxa"/>
            <w:vAlign w:val="center"/>
          </w:tcPr>
          <w:p w:rsidR="00EE2E42" w:rsidRDefault="00DF20DF">
            <w:pPr>
              <w:autoSpaceDE w:val="0"/>
              <w:autoSpaceDN w:val="0"/>
              <w:adjustRightInd w:val="0"/>
              <w:spacing w:line="288" w:lineRule="auto"/>
              <w:jc w:val="right"/>
              <w:rPr>
                <w:rFonts w:cs="Arial"/>
                <w:color w:val="000000"/>
                <w:kern w:val="0"/>
                <w:sz w:val="24"/>
                <w:szCs w:val="24"/>
              </w:rPr>
            </w:pPr>
            <w:r>
              <w:rPr>
                <w:rFonts w:cs="Arial"/>
                <w:color w:val="000000"/>
                <w:kern w:val="0"/>
                <w:sz w:val="24"/>
                <w:szCs w:val="24"/>
              </w:rPr>
              <w:t>6,466,089.26</w:t>
            </w:r>
          </w:p>
        </w:tc>
        <w:tc>
          <w:tcPr>
            <w:tcW w:w="2526" w:type="dxa"/>
            <w:vAlign w:val="center"/>
          </w:tcPr>
          <w:p w:rsidR="00EE2E42" w:rsidRPr="001562C7" w:rsidRDefault="00DF20DF">
            <w:pPr>
              <w:autoSpaceDE w:val="0"/>
              <w:autoSpaceDN w:val="0"/>
              <w:adjustRightInd w:val="0"/>
              <w:spacing w:line="288" w:lineRule="auto"/>
              <w:jc w:val="right"/>
              <w:rPr>
                <w:rFonts w:cs="Arial"/>
                <w:color w:val="000000"/>
                <w:kern w:val="0"/>
                <w:sz w:val="24"/>
                <w:szCs w:val="24"/>
              </w:rPr>
            </w:pPr>
            <w:r w:rsidRPr="001562C7">
              <w:rPr>
                <w:rFonts w:cs="Arial"/>
                <w:color w:val="000000"/>
                <w:kern w:val="0"/>
                <w:sz w:val="24"/>
                <w:szCs w:val="24"/>
              </w:rPr>
              <w:t>89,237,055.11</w:t>
            </w:r>
          </w:p>
        </w:tc>
      </w:tr>
      <w:tr w:rsidR="00EE2E42">
        <w:trPr>
          <w:trHeight w:val="158"/>
          <w:jc w:val="center"/>
        </w:trPr>
        <w:tc>
          <w:tcPr>
            <w:tcW w:w="3003" w:type="dxa"/>
            <w:vAlign w:val="center"/>
          </w:tcPr>
          <w:p w:rsidR="00EE2E42" w:rsidRDefault="00DF20DF">
            <w:pPr>
              <w:autoSpaceDE w:val="0"/>
              <w:autoSpaceDN w:val="0"/>
              <w:adjustRightInd w:val="0"/>
              <w:spacing w:line="288" w:lineRule="auto"/>
              <w:jc w:val="left"/>
              <w:rPr>
                <w:rFonts w:cs="Arial"/>
                <w:color w:val="000000"/>
                <w:kern w:val="0"/>
                <w:sz w:val="24"/>
                <w:szCs w:val="24"/>
              </w:rPr>
            </w:pPr>
            <w:r>
              <w:rPr>
                <w:rFonts w:cs="Arial"/>
                <w:color w:val="000000"/>
                <w:kern w:val="0"/>
                <w:sz w:val="24"/>
                <w:szCs w:val="24"/>
              </w:rPr>
              <w:t>5.</w:t>
            </w:r>
            <w:r>
              <w:rPr>
                <w:rFonts w:cs="Arial" w:hint="eastAsia"/>
                <w:color w:val="000000"/>
                <w:kern w:val="0"/>
                <w:sz w:val="24"/>
                <w:szCs w:val="24"/>
              </w:rPr>
              <w:t>期末基金份额净值</w:t>
            </w:r>
          </w:p>
        </w:tc>
        <w:tc>
          <w:tcPr>
            <w:tcW w:w="2835" w:type="dxa"/>
            <w:vAlign w:val="center"/>
          </w:tcPr>
          <w:p w:rsidR="00EE2E42" w:rsidRDefault="00DF20DF">
            <w:pPr>
              <w:autoSpaceDE w:val="0"/>
              <w:autoSpaceDN w:val="0"/>
              <w:adjustRightInd w:val="0"/>
              <w:spacing w:line="288" w:lineRule="auto"/>
              <w:jc w:val="right"/>
              <w:rPr>
                <w:rFonts w:cs="Arial"/>
                <w:color w:val="000000"/>
                <w:kern w:val="0"/>
                <w:sz w:val="24"/>
                <w:szCs w:val="24"/>
              </w:rPr>
            </w:pPr>
            <w:r>
              <w:rPr>
                <w:rFonts w:cs="Arial"/>
                <w:color w:val="000000"/>
                <w:kern w:val="0"/>
                <w:sz w:val="24"/>
                <w:szCs w:val="24"/>
              </w:rPr>
              <w:t>0.823</w:t>
            </w:r>
          </w:p>
        </w:tc>
        <w:tc>
          <w:tcPr>
            <w:tcW w:w="2526" w:type="dxa"/>
            <w:vAlign w:val="center"/>
          </w:tcPr>
          <w:p w:rsidR="00EE2E42" w:rsidRPr="001562C7" w:rsidRDefault="00DF20DF">
            <w:pPr>
              <w:autoSpaceDE w:val="0"/>
              <w:autoSpaceDN w:val="0"/>
              <w:adjustRightInd w:val="0"/>
              <w:spacing w:line="288" w:lineRule="auto"/>
              <w:jc w:val="right"/>
              <w:rPr>
                <w:rFonts w:cs="Arial"/>
                <w:color w:val="000000"/>
                <w:kern w:val="0"/>
                <w:sz w:val="24"/>
                <w:szCs w:val="24"/>
              </w:rPr>
            </w:pPr>
            <w:r w:rsidRPr="001562C7">
              <w:rPr>
                <w:rFonts w:cs="Arial"/>
                <w:color w:val="000000"/>
                <w:kern w:val="0"/>
                <w:sz w:val="24"/>
                <w:szCs w:val="24"/>
              </w:rPr>
              <w:t>0.825</w:t>
            </w:r>
          </w:p>
        </w:tc>
      </w:tr>
    </w:tbl>
    <w:p w:rsidR="0030403A" w:rsidRDefault="003F3530">
      <w:pPr>
        <w:ind w:firstLineChars="50" w:firstLine="120"/>
        <w:rPr>
          <w:rFonts w:cs="Arial"/>
          <w:color w:val="000000"/>
          <w:kern w:val="0"/>
          <w:sz w:val="24"/>
          <w:szCs w:val="24"/>
        </w:rPr>
      </w:pPr>
      <w:r>
        <w:rPr>
          <w:rFonts w:cs="Arial"/>
          <w:color w:val="000000"/>
          <w:kern w:val="0"/>
          <w:sz w:val="24"/>
          <w:szCs w:val="24"/>
        </w:rPr>
        <w:t>注：</w:t>
      </w:r>
      <w:r>
        <w:rPr>
          <w:rFonts w:cs="Arial"/>
          <w:color w:val="000000"/>
          <w:kern w:val="0"/>
          <w:sz w:val="24"/>
          <w:szCs w:val="24"/>
        </w:rPr>
        <w:t>(1)</w:t>
      </w:r>
      <w:r>
        <w:rPr>
          <w:rFonts w:cs="Arial"/>
          <w:color w:val="000000"/>
          <w:kern w:val="0"/>
          <w:sz w:val="24"/>
          <w:szCs w:val="24"/>
        </w:rPr>
        <w:t>所述基金业绩指标不包括持有人认购或交易基金的各项费用，计入费用后实际收益水平要低于所列数字。</w:t>
      </w:r>
    </w:p>
    <w:p w:rsidR="0030403A" w:rsidRDefault="003F3530">
      <w:pPr>
        <w:ind w:firstLineChars="50" w:firstLine="120"/>
        <w:rPr>
          <w:rFonts w:cs="Arial"/>
          <w:color w:val="000000"/>
          <w:kern w:val="0"/>
          <w:sz w:val="24"/>
          <w:szCs w:val="24"/>
        </w:rPr>
      </w:pPr>
      <w:r>
        <w:rPr>
          <w:rFonts w:cs="Arial"/>
          <w:color w:val="000000"/>
          <w:kern w:val="0"/>
          <w:sz w:val="24"/>
          <w:szCs w:val="24"/>
        </w:rPr>
        <w:t>(2)</w:t>
      </w:r>
      <w:r>
        <w:rPr>
          <w:rFonts w:cs="Arial"/>
          <w:color w:val="000000"/>
          <w:kern w:val="0"/>
          <w:sz w:val="24"/>
          <w:szCs w:val="24"/>
        </w:rPr>
        <w:t>本期已实现收益指基金本期利息收入、投资收益、其他收入（不含公允价值变动收益）扣除相关费用后的余额，本期利润为本期已实现收益加上本期公允价值变动收益。</w:t>
      </w:r>
    </w:p>
    <w:p w:rsidR="00EE2E42" w:rsidRDefault="00DF20DF">
      <w:pPr>
        <w:ind w:firstLineChars="50" w:firstLine="120"/>
        <w:rPr>
          <w:rFonts w:cs="Arial"/>
          <w:color w:val="000000"/>
          <w:kern w:val="0"/>
          <w:sz w:val="24"/>
          <w:szCs w:val="24"/>
        </w:rPr>
      </w:pPr>
      <w:r>
        <w:rPr>
          <w:rFonts w:cs="Arial"/>
          <w:color w:val="000000"/>
          <w:kern w:val="0"/>
          <w:sz w:val="24"/>
          <w:szCs w:val="24"/>
        </w:rPr>
        <w:t>(3)</w:t>
      </w:r>
      <w:r>
        <w:rPr>
          <w:rFonts w:cs="Arial"/>
          <w:color w:val="000000"/>
          <w:kern w:val="0"/>
          <w:sz w:val="24"/>
          <w:szCs w:val="24"/>
        </w:rPr>
        <w:t>原海富通双福分级债券型证券投资基金之双福</w:t>
      </w:r>
      <w:r>
        <w:rPr>
          <w:rFonts w:cs="Arial"/>
          <w:color w:val="000000"/>
          <w:kern w:val="0"/>
          <w:sz w:val="24"/>
          <w:szCs w:val="24"/>
        </w:rPr>
        <w:t>A</w:t>
      </w:r>
      <w:r>
        <w:rPr>
          <w:rFonts w:cs="Arial"/>
          <w:color w:val="000000"/>
          <w:kern w:val="0"/>
          <w:sz w:val="24"/>
          <w:szCs w:val="24"/>
        </w:rPr>
        <w:t>、双福</w:t>
      </w:r>
      <w:r>
        <w:rPr>
          <w:rFonts w:cs="Arial"/>
          <w:color w:val="000000"/>
          <w:kern w:val="0"/>
          <w:sz w:val="24"/>
          <w:szCs w:val="24"/>
        </w:rPr>
        <w:t>B</w:t>
      </w:r>
      <w:r>
        <w:rPr>
          <w:rFonts w:cs="Arial"/>
          <w:color w:val="000000"/>
          <w:kern w:val="0"/>
          <w:sz w:val="24"/>
          <w:szCs w:val="24"/>
        </w:rPr>
        <w:t>以</w:t>
      </w:r>
      <w:r>
        <w:rPr>
          <w:rFonts w:cs="Arial"/>
          <w:color w:val="000000"/>
          <w:kern w:val="0"/>
          <w:sz w:val="24"/>
          <w:szCs w:val="24"/>
        </w:rPr>
        <w:t>2018</w:t>
      </w:r>
      <w:r>
        <w:rPr>
          <w:rFonts w:cs="Arial"/>
          <w:color w:val="000000"/>
          <w:kern w:val="0"/>
          <w:sz w:val="24"/>
          <w:szCs w:val="24"/>
        </w:rPr>
        <w:t>年</w:t>
      </w:r>
      <w:r>
        <w:rPr>
          <w:rFonts w:cs="Arial"/>
          <w:color w:val="000000"/>
          <w:kern w:val="0"/>
          <w:sz w:val="24"/>
          <w:szCs w:val="24"/>
        </w:rPr>
        <w:t>6</w:t>
      </w:r>
      <w:r>
        <w:rPr>
          <w:rFonts w:cs="Arial"/>
          <w:color w:val="000000"/>
          <w:kern w:val="0"/>
          <w:sz w:val="24"/>
          <w:szCs w:val="24"/>
        </w:rPr>
        <w:t>月</w:t>
      </w:r>
      <w:r>
        <w:rPr>
          <w:rFonts w:cs="Arial"/>
          <w:color w:val="000000"/>
          <w:kern w:val="0"/>
          <w:sz w:val="24"/>
          <w:szCs w:val="24"/>
        </w:rPr>
        <w:t>4</w:t>
      </w:r>
      <w:r>
        <w:rPr>
          <w:rFonts w:cs="Arial"/>
          <w:color w:val="000000"/>
          <w:kern w:val="0"/>
          <w:sz w:val="24"/>
          <w:szCs w:val="24"/>
        </w:rPr>
        <w:t>日各自的份额净值为基础，按照本基金的基金份额净值（</w:t>
      </w:r>
      <w:r>
        <w:rPr>
          <w:rFonts w:cs="Arial"/>
          <w:color w:val="000000"/>
          <w:kern w:val="0"/>
          <w:sz w:val="24"/>
          <w:szCs w:val="24"/>
        </w:rPr>
        <w:t>NAV</w:t>
      </w:r>
      <w:r>
        <w:rPr>
          <w:rFonts w:cs="Arial"/>
          <w:color w:val="000000"/>
          <w:kern w:val="0"/>
          <w:sz w:val="24"/>
          <w:szCs w:val="24"/>
        </w:rPr>
        <w:t>）转换为海富通双福债券型证券投资基金，双福</w:t>
      </w:r>
      <w:r>
        <w:rPr>
          <w:rFonts w:cs="Arial"/>
          <w:color w:val="000000"/>
          <w:kern w:val="0"/>
          <w:sz w:val="24"/>
          <w:szCs w:val="24"/>
        </w:rPr>
        <w:t>A</w:t>
      </w:r>
      <w:r>
        <w:rPr>
          <w:rFonts w:cs="Arial"/>
          <w:color w:val="000000"/>
          <w:kern w:val="0"/>
          <w:sz w:val="24"/>
          <w:szCs w:val="24"/>
        </w:rPr>
        <w:t>转换比例为</w:t>
      </w:r>
      <w:r>
        <w:rPr>
          <w:rFonts w:cs="Arial"/>
          <w:color w:val="000000"/>
          <w:kern w:val="0"/>
          <w:sz w:val="24"/>
          <w:szCs w:val="24"/>
        </w:rPr>
        <w:t>1</w:t>
      </w:r>
      <w:r>
        <w:rPr>
          <w:rFonts w:cs="Arial"/>
          <w:color w:val="000000"/>
          <w:kern w:val="0"/>
          <w:sz w:val="24"/>
          <w:szCs w:val="24"/>
        </w:rPr>
        <w:t>：</w:t>
      </w:r>
      <w:r>
        <w:rPr>
          <w:rFonts w:cs="Arial"/>
          <w:color w:val="000000"/>
          <w:kern w:val="0"/>
          <w:sz w:val="24"/>
          <w:szCs w:val="24"/>
        </w:rPr>
        <w:t>1.23496225</w:t>
      </w:r>
      <w:r>
        <w:rPr>
          <w:rFonts w:cs="Arial"/>
          <w:color w:val="000000"/>
          <w:kern w:val="0"/>
          <w:sz w:val="24"/>
          <w:szCs w:val="24"/>
        </w:rPr>
        <w:t>，双福</w:t>
      </w:r>
      <w:r>
        <w:rPr>
          <w:rFonts w:cs="Arial"/>
          <w:color w:val="000000"/>
          <w:kern w:val="0"/>
          <w:sz w:val="24"/>
          <w:szCs w:val="24"/>
        </w:rPr>
        <w:t>B</w:t>
      </w:r>
      <w:r>
        <w:rPr>
          <w:rFonts w:cs="Arial"/>
          <w:color w:val="000000"/>
          <w:kern w:val="0"/>
          <w:sz w:val="24"/>
          <w:szCs w:val="24"/>
        </w:rPr>
        <w:t>转换比例为</w:t>
      </w:r>
      <w:r>
        <w:rPr>
          <w:rFonts w:cs="Arial"/>
          <w:color w:val="000000"/>
          <w:kern w:val="0"/>
          <w:sz w:val="24"/>
          <w:szCs w:val="24"/>
        </w:rPr>
        <w:t xml:space="preserve"> 1</w:t>
      </w:r>
      <w:r>
        <w:rPr>
          <w:rFonts w:cs="Arial"/>
          <w:color w:val="000000"/>
          <w:kern w:val="0"/>
          <w:sz w:val="24"/>
          <w:szCs w:val="24"/>
        </w:rPr>
        <w:t>：</w:t>
      </w:r>
      <w:r>
        <w:rPr>
          <w:rFonts w:cs="Arial"/>
          <w:color w:val="000000"/>
          <w:kern w:val="0"/>
          <w:sz w:val="24"/>
          <w:szCs w:val="24"/>
        </w:rPr>
        <w:t>0.97314726</w:t>
      </w:r>
      <w:r>
        <w:rPr>
          <w:rFonts w:cs="Arial"/>
          <w:color w:val="000000"/>
          <w:kern w:val="0"/>
          <w:sz w:val="24"/>
          <w:szCs w:val="24"/>
        </w:rPr>
        <w:t>。</w:t>
      </w:r>
    </w:p>
    <w:p w:rsidR="00EE2E42" w:rsidRDefault="00DF20DF">
      <w:pPr>
        <w:pStyle w:val="2"/>
        <w:rPr>
          <w:b w:val="0"/>
          <w:color w:val="000000"/>
          <w:kern w:val="0"/>
        </w:rPr>
      </w:pPr>
      <w:r>
        <w:rPr>
          <w:color w:val="000000"/>
          <w:kern w:val="0"/>
        </w:rPr>
        <w:t xml:space="preserve">3.2 </w:t>
      </w:r>
      <w:r>
        <w:rPr>
          <w:rFonts w:hint="eastAsia"/>
          <w:color w:val="000000"/>
          <w:kern w:val="0"/>
        </w:rPr>
        <w:t>基金净值表现</w:t>
      </w:r>
    </w:p>
    <w:p w:rsidR="00EE2E42" w:rsidRPr="000B09C6" w:rsidRDefault="00DF20DF">
      <w:pPr>
        <w:pStyle w:val="3"/>
        <w:rPr>
          <w:rFonts w:cs="Arial"/>
          <w:color w:val="000000"/>
          <w:kern w:val="0"/>
          <w:sz w:val="24"/>
          <w:szCs w:val="24"/>
        </w:rPr>
      </w:pPr>
      <w:r w:rsidRPr="000B09C6">
        <w:rPr>
          <w:rFonts w:cs="Arial"/>
          <w:color w:val="000000"/>
          <w:kern w:val="0"/>
          <w:sz w:val="24"/>
          <w:szCs w:val="24"/>
        </w:rPr>
        <w:t>3.2.1</w:t>
      </w:r>
      <w:r w:rsidRPr="000B09C6">
        <w:rPr>
          <w:rFonts w:cs="Arial"/>
          <w:color w:val="000000"/>
          <w:kern w:val="0"/>
          <w:sz w:val="24"/>
          <w:szCs w:val="24"/>
        </w:rPr>
        <w:t>海富通双福债券型证券投资基金</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（报告期：</w:t>
      </w:r>
      <w:r>
        <w:rPr>
          <w:rFonts w:cs="Arial" w:hint="eastAsia"/>
          <w:b/>
          <w:color w:val="000000"/>
          <w:kern w:val="0"/>
          <w:sz w:val="24"/>
          <w:szCs w:val="24"/>
        </w:rPr>
        <w:t>2018</w:t>
      </w:r>
      <w:r>
        <w:rPr>
          <w:rFonts w:cs="Arial" w:hint="eastAsia"/>
          <w:b/>
          <w:color w:val="000000"/>
          <w:kern w:val="0"/>
          <w:sz w:val="24"/>
          <w:szCs w:val="24"/>
        </w:rPr>
        <w:t>年</w:t>
      </w:r>
      <w:r>
        <w:rPr>
          <w:rFonts w:cs="Arial" w:hint="eastAsia"/>
          <w:b/>
          <w:color w:val="000000"/>
          <w:kern w:val="0"/>
          <w:sz w:val="24"/>
          <w:szCs w:val="24"/>
        </w:rPr>
        <w:t>6</w:t>
      </w:r>
      <w:r>
        <w:rPr>
          <w:rFonts w:cs="Arial" w:hint="eastAsia"/>
          <w:b/>
          <w:color w:val="000000"/>
          <w:kern w:val="0"/>
          <w:sz w:val="24"/>
          <w:szCs w:val="24"/>
        </w:rPr>
        <w:t>月</w:t>
      </w:r>
      <w:r>
        <w:rPr>
          <w:rFonts w:cs="Arial" w:hint="eastAsia"/>
          <w:b/>
          <w:color w:val="000000"/>
          <w:kern w:val="0"/>
          <w:sz w:val="24"/>
          <w:szCs w:val="24"/>
        </w:rPr>
        <w:t>5</w:t>
      </w:r>
      <w:r>
        <w:rPr>
          <w:rFonts w:cs="Arial" w:hint="eastAsia"/>
          <w:b/>
          <w:color w:val="000000"/>
          <w:kern w:val="0"/>
          <w:sz w:val="24"/>
          <w:szCs w:val="24"/>
        </w:rPr>
        <w:t>日</w:t>
      </w:r>
      <w:r>
        <w:rPr>
          <w:rFonts w:cs="Arial" w:hint="eastAsia"/>
          <w:b/>
          <w:color w:val="000000"/>
          <w:kern w:val="0"/>
          <w:sz w:val="24"/>
          <w:szCs w:val="24"/>
        </w:rPr>
        <w:t>-2018</w:t>
      </w:r>
      <w:r>
        <w:rPr>
          <w:rFonts w:cs="Arial" w:hint="eastAsia"/>
          <w:b/>
          <w:color w:val="000000"/>
          <w:kern w:val="0"/>
          <w:sz w:val="24"/>
          <w:szCs w:val="24"/>
        </w:rPr>
        <w:t>年</w:t>
      </w:r>
      <w:r>
        <w:rPr>
          <w:rFonts w:cs="Arial" w:hint="eastAsia"/>
          <w:b/>
          <w:color w:val="000000"/>
          <w:kern w:val="0"/>
          <w:sz w:val="24"/>
          <w:szCs w:val="24"/>
        </w:rPr>
        <w:t>6</w:t>
      </w:r>
      <w:r>
        <w:rPr>
          <w:rFonts w:cs="Arial" w:hint="eastAsia"/>
          <w:b/>
          <w:color w:val="000000"/>
          <w:kern w:val="0"/>
          <w:sz w:val="24"/>
          <w:szCs w:val="24"/>
        </w:rPr>
        <w:t>月</w:t>
      </w:r>
      <w:r>
        <w:rPr>
          <w:rFonts w:cs="Arial" w:hint="eastAsia"/>
          <w:b/>
          <w:color w:val="000000"/>
          <w:kern w:val="0"/>
          <w:sz w:val="24"/>
          <w:szCs w:val="24"/>
        </w:rPr>
        <w:t>30</w:t>
      </w:r>
      <w:r>
        <w:rPr>
          <w:rFonts w:cs="Arial" w:hint="eastAsia"/>
          <w:b/>
          <w:color w:val="000000"/>
          <w:kern w:val="0"/>
          <w:sz w:val="24"/>
          <w:szCs w:val="24"/>
        </w:rPr>
        <w:t>日）</w:t>
      </w:r>
    </w:p>
    <w:p w:rsidR="00EE2E42" w:rsidRDefault="00DF20DF">
      <w:pPr>
        <w:rPr>
          <w:rFonts w:cs="Arial"/>
          <w:b/>
          <w:color w:val="000000"/>
          <w:kern w:val="0"/>
          <w:sz w:val="24"/>
          <w:szCs w:val="24"/>
        </w:rPr>
      </w:pPr>
      <w:r>
        <w:rPr>
          <w:rFonts w:cs="Arial"/>
          <w:b/>
          <w:color w:val="000000"/>
          <w:kern w:val="0"/>
          <w:sz w:val="24"/>
          <w:szCs w:val="24"/>
        </w:rPr>
        <w:t>3.2.1</w:t>
      </w:r>
      <w:r>
        <w:rPr>
          <w:rFonts w:cs="Arial" w:hint="eastAsia"/>
          <w:b/>
          <w:color w:val="000000"/>
          <w:kern w:val="0"/>
          <w:sz w:val="24"/>
          <w:szCs w:val="24"/>
        </w:rPr>
        <w:t>.1</w:t>
      </w:r>
      <w:r>
        <w:rPr>
          <w:rFonts w:cs="Arial" w:hint="eastAsia"/>
          <w:b/>
          <w:color w:val="000000"/>
          <w:kern w:val="0"/>
          <w:sz w:val="24"/>
          <w:szCs w:val="24"/>
        </w:rPr>
        <w:t>本报告期基金份额净值增长率及其与同期业绩比较基准收益率的比较</w:t>
      </w:r>
    </w:p>
    <w:tbl>
      <w:tblPr>
        <w:tblStyle w:val="af8"/>
        <w:tblW w:w="8420" w:type="dxa"/>
        <w:tblInd w:w="108" w:type="dxa"/>
        <w:tblLayout w:type="fixed"/>
        <w:tblLook w:val="04A0"/>
      </w:tblPr>
      <w:tblGrid>
        <w:gridCol w:w="1395"/>
        <w:gridCol w:w="1092"/>
        <w:gridCol w:w="1161"/>
        <w:gridCol w:w="1181"/>
        <w:gridCol w:w="1188"/>
        <w:gridCol w:w="1199"/>
        <w:gridCol w:w="1204"/>
      </w:tblGrid>
      <w:tr w:rsidR="00EE2E42">
        <w:tc>
          <w:tcPr>
            <w:tcW w:w="139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阶段</w:t>
            </w:r>
          </w:p>
        </w:tc>
        <w:tc>
          <w:tcPr>
            <w:tcW w:w="1092"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净值增长率①</w:t>
            </w:r>
          </w:p>
        </w:tc>
        <w:tc>
          <w:tcPr>
            <w:tcW w:w="1161"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净值增长率标准差②</w:t>
            </w:r>
          </w:p>
        </w:tc>
        <w:tc>
          <w:tcPr>
            <w:tcW w:w="1181"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业绩比较基准收益率③</w:t>
            </w:r>
          </w:p>
        </w:tc>
        <w:tc>
          <w:tcPr>
            <w:tcW w:w="1188"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业绩比较基准收益率标准差④</w:t>
            </w:r>
          </w:p>
        </w:tc>
        <w:tc>
          <w:tcPr>
            <w:tcW w:w="1199"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①</w:t>
            </w:r>
            <w:r>
              <w:rPr>
                <w:rFonts w:cs="Arial"/>
                <w:color w:val="000000"/>
                <w:kern w:val="0"/>
                <w:sz w:val="24"/>
                <w:szCs w:val="24"/>
              </w:rPr>
              <w:t>-</w:t>
            </w:r>
            <w:r>
              <w:rPr>
                <w:rFonts w:cs="Arial" w:hint="eastAsia"/>
                <w:color w:val="000000"/>
                <w:kern w:val="0"/>
                <w:sz w:val="24"/>
                <w:szCs w:val="24"/>
              </w:rPr>
              <w:t>③</w:t>
            </w:r>
          </w:p>
        </w:tc>
        <w:tc>
          <w:tcPr>
            <w:tcW w:w="1204"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②</w:t>
            </w:r>
            <w:r>
              <w:rPr>
                <w:rFonts w:cs="Arial"/>
                <w:color w:val="000000"/>
                <w:kern w:val="0"/>
                <w:sz w:val="24"/>
                <w:szCs w:val="24"/>
              </w:rPr>
              <w:t>-</w:t>
            </w:r>
            <w:r>
              <w:rPr>
                <w:rFonts w:cs="Arial" w:hint="eastAsia"/>
                <w:color w:val="000000"/>
                <w:kern w:val="0"/>
                <w:sz w:val="24"/>
                <w:szCs w:val="24"/>
              </w:rPr>
              <w:t>④</w:t>
            </w:r>
          </w:p>
        </w:tc>
      </w:tr>
      <w:tr w:rsidR="0030403A">
        <w:tc>
          <w:tcPr>
            <w:tcW w:w="1395" w:type="dxa"/>
            <w:vAlign w:val="center"/>
          </w:tcPr>
          <w:p w:rsidR="0030403A" w:rsidRDefault="003F3530">
            <w:pPr>
              <w:jc w:val="left"/>
            </w:pPr>
            <w:r>
              <w:rPr>
                <w:rFonts w:cs="Arial"/>
                <w:color w:val="000000"/>
                <w:kern w:val="0"/>
                <w:sz w:val="24"/>
                <w:szCs w:val="24"/>
              </w:rPr>
              <w:t>2018-6-5--2018-6-30</w:t>
            </w:r>
          </w:p>
        </w:tc>
        <w:tc>
          <w:tcPr>
            <w:tcW w:w="1092" w:type="dxa"/>
            <w:vAlign w:val="center"/>
          </w:tcPr>
          <w:p w:rsidR="0030403A" w:rsidRDefault="003F3530">
            <w:pPr>
              <w:jc w:val="center"/>
            </w:pPr>
            <w:r>
              <w:rPr>
                <w:rFonts w:cs="Arial"/>
                <w:color w:val="000000"/>
                <w:kern w:val="0"/>
                <w:sz w:val="24"/>
                <w:szCs w:val="24"/>
              </w:rPr>
              <w:t>-0.24%</w:t>
            </w:r>
          </w:p>
        </w:tc>
        <w:tc>
          <w:tcPr>
            <w:tcW w:w="1161" w:type="dxa"/>
            <w:vAlign w:val="center"/>
          </w:tcPr>
          <w:p w:rsidR="0030403A" w:rsidRDefault="003F3530">
            <w:pPr>
              <w:jc w:val="center"/>
            </w:pPr>
            <w:r>
              <w:rPr>
                <w:rFonts w:cs="Arial"/>
                <w:color w:val="000000"/>
                <w:kern w:val="0"/>
                <w:sz w:val="24"/>
                <w:szCs w:val="24"/>
              </w:rPr>
              <w:t>0.04%</w:t>
            </w:r>
          </w:p>
        </w:tc>
        <w:tc>
          <w:tcPr>
            <w:tcW w:w="1181" w:type="dxa"/>
            <w:vAlign w:val="center"/>
          </w:tcPr>
          <w:p w:rsidR="0030403A" w:rsidRDefault="003F3530">
            <w:pPr>
              <w:jc w:val="center"/>
            </w:pPr>
            <w:r>
              <w:rPr>
                <w:rFonts w:cs="Arial"/>
                <w:color w:val="000000"/>
                <w:kern w:val="0"/>
                <w:sz w:val="24"/>
                <w:szCs w:val="24"/>
              </w:rPr>
              <w:t>0.70%</w:t>
            </w:r>
          </w:p>
        </w:tc>
        <w:tc>
          <w:tcPr>
            <w:tcW w:w="1188" w:type="dxa"/>
            <w:vAlign w:val="center"/>
          </w:tcPr>
          <w:p w:rsidR="0030403A" w:rsidRDefault="003F3530">
            <w:pPr>
              <w:jc w:val="center"/>
            </w:pPr>
            <w:r>
              <w:rPr>
                <w:rFonts w:cs="Arial"/>
                <w:color w:val="000000"/>
                <w:kern w:val="0"/>
                <w:sz w:val="24"/>
                <w:szCs w:val="24"/>
              </w:rPr>
              <w:t>0.06%</w:t>
            </w:r>
          </w:p>
        </w:tc>
        <w:tc>
          <w:tcPr>
            <w:tcW w:w="1199" w:type="dxa"/>
            <w:vAlign w:val="center"/>
          </w:tcPr>
          <w:p w:rsidR="0030403A" w:rsidRDefault="003F3530">
            <w:pPr>
              <w:jc w:val="center"/>
            </w:pPr>
            <w:r>
              <w:rPr>
                <w:rFonts w:cs="Arial"/>
                <w:color w:val="000000"/>
                <w:kern w:val="0"/>
                <w:sz w:val="24"/>
                <w:szCs w:val="24"/>
              </w:rPr>
              <w:t>-0.94%</w:t>
            </w:r>
          </w:p>
        </w:tc>
        <w:tc>
          <w:tcPr>
            <w:tcW w:w="1204" w:type="dxa"/>
            <w:vAlign w:val="center"/>
          </w:tcPr>
          <w:p w:rsidR="0030403A" w:rsidRDefault="003F3530">
            <w:pPr>
              <w:jc w:val="center"/>
            </w:pPr>
            <w:r>
              <w:rPr>
                <w:rFonts w:cs="Arial"/>
                <w:color w:val="000000"/>
                <w:kern w:val="0"/>
                <w:sz w:val="24"/>
                <w:szCs w:val="24"/>
              </w:rPr>
              <w:t>-0.02%</w:t>
            </w:r>
          </w:p>
        </w:tc>
      </w:tr>
    </w:tbl>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DF20DF">
      <w:pPr>
        <w:spacing w:line="288" w:lineRule="auto"/>
        <w:rPr>
          <w:rFonts w:cs="Arial"/>
          <w:b/>
          <w:color w:val="000000"/>
          <w:kern w:val="0"/>
          <w:sz w:val="24"/>
          <w:szCs w:val="24"/>
        </w:rPr>
      </w:pPr>
      <w:r>
        <w:rPr>
          <w:rFonts w:cs="Arial"/>
          <w:b/>
          <w:color w:val="000000"/>
          <w:kern w:val="0"/>
          <w:sz w:val="24"/>
          <w:szCs w:val="24"/>
        </w:rPr>
        <w:t>3.2.</w:t>
      </w:r>
      <w:r>
        <w:rPr>
          <w:rFonts w:cs="Arial" w:hint="eastAsia"/>
          <w:b/>
          <w:color w:val="000000"/>
          <w:kern w:val="0"/>
          <w:sz w:val="24"/>
          <w:szCs w:val="24"/>
        </w:rPr>
        <w:t>1.</w:t>
      </w:r>
      <w:r>
        <w:rPr>
          <w:rFonts w:cs="Arial"/>
          <w:b/>
          <w:color w:val="000000"/>
          <w:kern w:val="0"/>
          <w:sz w:val="24"/>
          <w:szCs w:val="24"/>
        </w:rPr>
        <w:t>2</w:t>
      </w:r>
      <w:r>
        <w:rPr>
          <w:rFonts w:cs="Arial" w:hint="eastAsia"/>
          <w:b/>
          <w:color w:val="000000"/>
          <w:kern w:val="0"/>
          <w:sz w:val="24"/>
          <w:szCs w:val="24"/>
        </w:rPr>
        <w:t>自基金转型以来基金份额累计净值增长率变动及其与同期业绩比较基准收益率变动的比较</w:t>
      </w:r>
    </w:p>
    <w:p w:rsidR="00EE2E42" w:rsidRDefault="00DF20DF">
      <w:pPr>
        <w:spacing w:line="288" w:lineRule="auto"/>
        <w:jc w:val="center"/>
        <w:rPr>
          <w:color w:val="000000"/>
          <w:sz w:val="24"/>
          <w:szCs w:val="24"/>
        </w:rPr>
      </w:pPr>
      <w:r>
        <w:rPr>
          <w:rFonts w:hint="eastAsia"/>
          <w:color w:val="000000"/>
          <w:sz w:val="24"/>
          <w:szCs w:val="24"/>
        </w:rPr>
        <w:t>海富通双福债券型证券投资基金</w:t>
      </w:r>
    </w:p>
    <w:p w:rsidR="00EE2E42" w:rsidRDefault="00DF20DF">
      <w:pPr>
        <w:spacing w:line="288" w:lineRule="auto"/>
        <w:jc w:val="center"/>
        <w:rPr>
          <w:color w:val="000000"/>
          <w:sz w:val="24"/>
          <w:szCs w:val="24"/>
        </w:rPr>
      </w:pPr>
      <w:r>
        <w:rPr>
          <w:rFonts w:hint="eastAsia"/>
          <w:color w:val="000000"/>
          <w:sz w:val="24"/>
          <w:szCs w:val="24"/>
        </w:rPr>
        <w:t>份额累计净值增长率与业绩比较基准收益率历史走势对比图</w:t>
      </w:r>
    </w:p>
    <w:p w:rsidR="00EE2E42" w:rsidRDefault="00DF20DF">
      <w:pPr>
        <w:spacing w:line="288" w:lineRule="auto"/>
        <w:jc w:val="center"/>
        <w:rPr>
          <w:rFonts w:asciiTheme="minorEastAsia" w:eastAsiaTheme="minorEastAsia" w:hAnsiTheme="minorEastAsia"/>
          <w:color w:val="000000" w:themeColor="text1"/>
          <w:sz w:val="24"/>
          <w:szCs w:val="24"/>
        </w:rPr>
      </w:pPr>
      <w:r>
        <w:rPr>
          <w:rFonts w:hint="eastAsia"/>
          <w:color w:val="000000"/>
          <w:sz w:val="24"/>
          <w:szCs w:val="24"/>
        </w:rPr>
        <w:t>(2018</w:t>
      </w:r>
      <w:r>
        <w:rPr>
          <w:rFonts w:hint="eastAsia"/>
          <w:color w:val="000000"/>
          <w:sz w:val="24"/>
          <w:szCs w:val="24"/>
        </w:rPr>
        <w:t>年</w:t>
      </w:r>
      <w:r>
        <w:rPr>
          <w:rFonts w:hint="eastAsia"/>
          <w:color w:val="000000"/>
          <w:sz w:val="24"/>
          <w:szCs w:val="24"/>
        </w:rPr>
        <w:t>6</w:t>
      </w:r>
      <w:r>
        <w:rPr>
          <w:rFonts w:hint="eastAsia"/>
          <w:color w:val="000000"/>
          <w:sz w:val="24"/>
          <w:szCs w:val="24"/>
        </w:rPr>
        <w:t>月</w:t>
      </w:r>
      <w:r>
        <w:rPr>
          <w:rFonts w:hint="eastAsia"/>
          <w:color w:val="000000"/>
          <w:sz w:val="24"/>
          <w:szCs w:val="24"/>
        </w:rPr>
        <w:t>5</w:t>
      </w:r>
      <w:r>
        <w:rPr>
          <w:rFonts w:hint="eastAsia"/>
          <w:color w:val="000000"/>
          <w:sz w:val="24"/>
          <w:szCs w:val="24"/>
        </w:rPr>
        <w:t>日</w:t>
      </w:r>
      <w:r>
        <w:rPr>
          <w:rFonts w:hint="eastAsia"/>
          <w:color w:val="000000"/>
          <w:sz w:val="24"/>
          <w:szCs w:val="24"/>
        </w:rPr>
        <w:t>-2018</w:t>
      </w:r>
      <w:r>
        <w:rPr>
          <w:rFonts w:hint="eastAsia"/>
          <w:color w:val="000000"/>
          <w:sz w:val="24"/>
          <w:szCs w:val="24"/>
        </w:rPr>
        <w:t>年</w:t>
      </w:r>
      <w:r>
        <w:rPr>
          <w:rFonts w:hint="eastAsia"/>
          <w:color w:val="000000"/>
          <w:sz w:val="24"/>
          <w:szCs w:val="24"/>
        </w:rPr>
        <w:t>6</w:t>
      </w:r>
      <w:r>
        <w:rPr>
          <w:rFonts w:hint="eastAsia"/>
          <w:color w:val="000000"/>
          <w:sz w:val="24"/>
          <w:szCs w:val="24"/>
        </w:rPr>
        <w:t>月</w:t>
      </w:r>
      <w:r>
        <w:rPr>
          <w:rFonts w:hint="eastAsia"/>
          <w:color w:val="000000"/>
          <w:sz w:val="24"/>
          <w:szCs w:val="24"/>
        </w:rPr>
        <w:t>30</w:t>
      </w:r>
      <w:r>
        <w:rPr>
          <w:rFonts w:hint="eastAsia"/>
          <w:color w:val="000000"/>
          <w:sz w:val="24"/>
          <w:szCs w:val="24"/>
        </w:rPr>
        <w:t>日</w:t>
      </w:r>
      <w:r>
        <w:rPr>
          <w:rFonts w:hint="eastAsia"/>
          <w:color w:val="000000"/>
          <w:sz w:val="24"/>
          <w:szCs w:val="24"/>
        </w:rPr>
        <w:t>)</w:t>
      </w:r>
      <w:r>
        <w:rPr>
          <w:rFonts w:asciiTheme="minorEastAsia" w:eastAsiaTheme="minorEastAsia" w:hAnsiTheme="minorEastAsia"/>
          <w:noProof/>
          <w:color w:val="000000" w:themeColor="text1"/>
          <w:sz w:val="24"/>
          <w:szCs w:val="24"/>
        </w:rPr>
        <w:drawing>
          <wp:inline distT="0" distB="0" distL="0" distR="0">
            <wp:extent cx="5276850" cy="3086100"/>
            <wp:effectExtent l="0" t="0" r="0" b="0"/>
            <wp:docPr id="1" name="图片 1"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浏览器下载\走势图柱状图\走势图1.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276850" cy="3086100"/>
                    </a:xfrm>
                    <a:prstGeom prst="rect">
                      <a:avLst/>
                    </a:prstGeom>
                    <a:noFill/>
                    <a:ln>
                      <a:noFill/>
                    </a:ln>
                  </pic:spPr>
                </pic:pic>
              </a:graphicData>
            </a:graphic>
          </wp:inline>
        </w:drawing>
      </w:r>
    </w:p>
    <w:p w:rsidR="0030403A" w:rsidRPr="00A02D5E" w:rsidRDefault="003F3530" w:rsidP="00A02D5E">
      <w:pPr>
        <w:autoSpaceDE w:val="0"/>
        <w:autoSpaceDN w:val="0"/>
        <w:adjustRightInd w:val="0"/>
        <w:spacing w:before="29" w:line="360" w:lineRule="auto"/>
        <w:ind w:left="15"/>
        <w:rPr>
          <w:color w:val="000000"/>
        </w:rPr>
      </w:pPr>
      <w:r w:rsidRPr="00A02D5E">
        <w:rPr>
          <w:color w:val="000000"/>
        </w:rPr>
        <w:t>注：</w:t>
      </w:r>
      <w:r w:rsidRPr="00A02D5E">
        <w:rPr>
          <w:color w:val="000000"/>
        </w:rPr>
        <w:t>1</w:t>
      </w:r>
      <w:r w:rsidRPr="00A02D5E">
        <w:rPr>
          <w:color w:val="000000"/>
        </w:rPr>
        <w:t>、本基金转型日期为</w:t>
      </w:r>
      <w:r w:rsidRPr="00A02D5E">
        <w:rPr>
          <w:color w:val="000000"/>
        </w:rPr>
        <w:t>2018</w:t>
      </w:r>
      <w:r w:rsidRPr="00A02D5E">
        <w:rPr>
          <w:color w:val="000000"/>
        </w:rPr>
        <w:t>年</w:t>
      </w:r>
      <w:r w:rsidRPr="00A02D5E">
        <w:rPr>
          <w:color w:val="000000"/>
        </w:rPr>
        <w:t>6</w:t>
      </w:r>
      <w:r w:rsidRPr="00A02D5E">
        <w:rPr>
          <w:color w:val="000000"/>
        </w:rPr>
        <w:t>月</w:t>
      </w:r>
      <w:r w:rsidRPr="00A02D5E">
        <w:rPr>
          <w:color w:val="000000"/>
        </w:rPr>
        <w:t>4</w:t>
      </w:r>
      <w:r w:rsidRPr="00A02D5E">
        <w:rPr>
          <w:color w:val="000000"/>
        </w:rPr>
        <w:t>日，截止报告期末，本基金转型未满一年。</w:t>
      </w:r>
    </w:p>
    <w:p w:rsidR="00EE2E42" w:rsidRPr="00A02D5E" w:rsidRDefault="00DF20DF" w:rsidP="00A02D5E">
      <w:pPr>
        <w:autoSpaceDE w:val="0"/>
        <w:autoSpaceDN w:val="0"/>
        <w:adjustRightInd w:val="0"/>
        <w:spacing w:before="29" w:line="360" w:lineRule="auto"/>
        <w:ind w:left="15"/>
        <w:rPr>
          <w:color w:val="000000"/>
        </w:rPr>
      </w:pPr>
      <w:r w:rsidRPr="00A02D5E">
        <w:rPr>
          <w:color w:val="000000"/>
        </w:rPr>
        <w:t>2</w:t>
      </w:r>
      <w:r w:rsidRPr="00A02D5E">
        <w:rPr>
          <w:color w:val="000000"/>
        </w:rPr>
        <w:t>、按照本基金合同规定，本基金建仓期为自基金合同生效起六个月。建仓期结束时本基金的各项投资比例已达到基金合同第十四部分（二）投资范围、（四）投资限制中规定的各项比例。</w:t>
      </w:r>
    </w:p>
    <w:p w:rsidR="00C570AE" w:rsidRPr="00514C11" w:rsidRDefault="00C570AE" w:rsidP="00C570AE">
      <w:pPr>
        <w:autoSpaceDE w:val="0"/>
        <w:autoSpaceDN w:val="0"/>
        <w:adjustRightInd w:val="0"/>
        <w:spacing w:before="29" w:line="360" w:lineRule="auto"/>
        <w:ind w:left="15"/>
        <w:jc w:val="left"/>
        <w:rPr>
          <w:b/>
          <w:color w:val="000000"/>
          <w:kern w:val="0"/>
        </w:rPr>
      </w:pPr>
      <w:r w:rsidRPr="00514C11">
        <w:rPr>
          <w:b/>
          <w:color w:val="000000"/>
          <w:kern w:val="0"/>
        </w:rPr>
        <w:t xml:space="preserve">3.2.2 </w:t>
      </w:r>
      <w:r w:rsidRPr="00514C11">
        <w:rPr>
          <w:b/>
          <w:color w:val="000000"/>
          <w:kern w:val="0"/>
        </w:rPr>
        <w:t>海富通双福分级债券型证券投资基金</w:t>
      </w:r>
    </w:p>
    <w:p w:rsidR="00C570AE" w:rsidRPr="00514C11" w:rsidRDefault="00C570AE" w:rsidP="00C570AE">
      <w:pPr>
        <w:autoSpaceDE w:val="0"/>
        <w:autoSpaceDN w:val="0"/>
        <w:adjustRightInd w:val="0"/>
        <w:spacing w:before="29" w:line="360" w:lineRule="auto"/>
        <w:ind w:left="15"/>
        <w:jc w:val="left"/>
        <w:rPr>
          <w:b/>
          <w:color w:val="000000"/>
          <w:kern w:val="0"/>
        </w:rPr>
      </w:pPr>
      <w:r w:rsidRPr="00514C11">
        <w:rPr>
          <w:b/>
          <w:color w:val="000000"/>
          <w:kern w:val="0"/>
        </w:rPr>
        <w:t>（报告期：</w:t>
      </w:r>
      <w:r w:rsidRPr="00514C11">
        <w:rPr>
          <w:b/>
          <w:color w:val="000000"/>
          <w:kern w:val="0"/>
        </w:rPr>
        <w:t>2018</w:t>
      </w:r>
      <w:r w:rsidRPr="00514C11">
        <w:rPr>
          <w:b/>
          <w:color w:val="000000"/>
          <w:kern w:val="0"/>
        </w:rPr>
        <w:t>年</w:t>
      </w:r>
      <w:r w:rsidRPr="00514C11">
        <w:rPr>
          <w:b/>
          <w:color w:val="000000"/>
          <w:kern w:val="0"/>
        </w:rPr>
        <w:t>4</w:t>
      </w:r>
      <w:r w:rsidRPr="00514C11">
        <w:rPr>
          <w:b/>
          <w:color w:val="000000"/>
          <w:kern w:val="0"/>
        </w:rPr>
        <w:t>月</w:t>
      </w:r>
      <w:r w:rsidRPr="00514C11">
        <w:rPr>
          <w:b/>
          <w:color w:val="000000"/>
          <w:kern w:val="0"/>
        </w:rPr>
        <w:t>1</w:t>
      </w:r>
      <w:r w:rsidRPr="00514C11">
        <w:rPr>
          <w:b/>
          <w:color w:val="000000"/>
          <w:kern w:val="0"/>
        </w:rPr>
        <w:t>日</w:t>
      </w:r>
      <w:r w:rsidRPr="00514C11">
        <w:rPr>
          <w:b/>
          <w:color w:val="000000"/>
          <w:kern w:val="0"/>
        </w:rPr>
        <w:t>-2018</w:t>
      </w:r>
      <w:r w:rsidRPr="00514C11">
        <w:rPr>
          <w:b/>
          <w:color w:val="000000"/>
          <w:kern w:val="0"/>
        </w:rPr>
        <w:t>年</w:t>
      </w:r>
      <w:r w:rsidRPr="00514C11">
        <w:rPr>
          <w:b/>
          <w:color w:val="000000"/>
          <w:kern w:val="0"/>
        </w:rPr>
        <w:t>6</w:t>
      </w:r>
      <w:r w:rsidRPr="00514C11">
        <w:rPr>
          <w:b/>
          <w:color w:val="000000"/>
          <w:kern w:val="0"/>
        </w:rPr>
        <w:t>月</w:t>
      </w:r>
      <w:r w:rsidRPr="00514C11">
        <w:rPr>
          <w:b/>
          <w:color w:val="000000"/>
          <w:kern w:val="0"/>
        </w:rPr>
        <w:t>4</w:t>
      </w:r>
      <w:r w:rsidRPr="00514C11">
        <w:rPr>
          <w:b/>
          <w:color w:val="000000"/>
          <w:kern w:val="0"/>
        </w:rPr>
        <w:t>日）</w:t>
      </w:r>
    </w:p>
    <w:p w:rsidR="00C570AE" w:rsidRPr="00514C11" w:rsidRDefault="00C570AE" w:rsidP="00C570AE">
      <w:pPr>
        <w:autoSpaceDE w:val="0"/>
        <w:autoSpaceDN w:val="0"/>
        <w:adjustRightInd w:val="0"/>
        <w:spacing w:before="29" w:line="360" w:lineRule="auto"/>
        <w:ind w:left="15"/>
        <w:jc w:val="left"/>
        <w:rPr>
          <w:b/>
          <w:color w:val="000000"/>
          <w:kern w:val="0"/>
        </w:rPr>
      </w:pPr>
      <w:r w:rsidRPr="00514C11">
        <w:rPr>
          <w:b/>
          <w:color w:val="000000"/>
          <w:kern w:val="0"/>
        </w:rPr>
        <w:t xml:space="preserve">3.2.2.1 </w:t>
      </w:r>
      <w:r w:rsidRPr="00514C11">
        <w:rPr>
          <w:b/>
          <w:color w:val="000000"/>
          <w:kern w:val="0"/>
        </w:rPr>
        <w:t>本报告期基金份额净值增长率及其与同期业绩比较基准收益率的比较</w:t>
      </w:r>
    </w:p>
    <w:tbl>
      <w:tblPr>
        <w:tblStyle w:val="af8"/>
        <w:tblW w:w="0" w:type="auto"/>
        <w:tblInd w:w="108" w:type="dxa"/>
        <w:tblLayout w:type="fixed"/>
        <w:tblLook w:val="04A0"/>
      </w:tblPr>
      <w:tblGrid>
        <w:gridCol w:w="1395"/>
        <w:gridCol w:w="1092"/>
        <w:gridCol w:w="1161"/>
        <w:gridCol w:w="1181"/>
        <w:gridCol w:w="1188"/>
        <w:gridCol w:w="1199"/>
        <w:gridCol w:w="1204"/>
      </w:tblGrid>
      <w:tr w:rsidR="00C570AE" w:rsidRPr="00514C11" w:rsidTr="0047678D">
        <w:tc>
          <w:tcPr>
            <w:tcW w:w="1395" w:type="dxa"/>
            <w:vAlign w:val="center"/>
          </w:tcPr>
          <w:p w:rsidR="00C570AE" w:rsidRPr="00514C11" w:rsidRDefault="00C570AE" w:rsidP="0047678D">
            <w:pPr>
              <w:autoSpaceDE w:val="0"/>
              <w:autoSpaceDN w:val="0"/>
              <w:adjustRightInd w:val="0"/>
              <w:spacing w:before="29" w:line="360" w:lineRule="auto"/>
              <w:ind w:left="15"/>
              <w:jc w:val="center"/>
              <w:rPr>
                <w:color w:val="000000"/>
              </w:rPr>
            </w:pPr>
            <w:r w:rsidRPr="00514C11">
              <w:rPr>
                <w:color w:val="000000"/>
              </w:rPr>
              <w:t>阶段</w:t>
            </w:r>
          </w:p>
        </w:tc>
        <w:tc>
          <w:tcPr>
            <w:tcW w:w="1092" w:type="dxa"/>
            <w:vAlign w:val="center"/>
          </w:tcPr>
          <w:p w:rsidR="00C570AE" w:rsidRPr="00514C11" w:rsidRDefault="00C570AE" w:rsidP="0047678D">
            <w:pPr>
              <w:autoSpaceDE w:val="0"/>
              <w:autoSpaceDN w:val="0"/>
              <w:adjustRightInd w:val="0"/>
              <w:spacing w:before="29" w:line="360" w:lineRule="auto"/>
              <w:ind w:left="15"/>
              <w:jc w:val="center"/>
              <w:rPr>
                <w:color w:val="000000"/>
              </w:rPr>
            </w:pPr>
            <w:r w:rsidRPr="00514C11">
              <w:rPr>
                <w:color w:val="000000"/>
              </w:rPr>
              <w:t>净值增长率</w:t>
            </w:r>
            <w:r w:rsidRPr="00514C11">
              <w:rPr>
                <w:rFonts w:ascii="宋体" w:hAnsi="宋体" w:cs="宋体" w:hint="eastAsia"/>
                <w:color w:val="000000"/>
              </w:rPr>
              <w:t>①</w:t>
            </w:r>
          </w:p>
        </w:tc>
        <w:tc>
          <w:tcPr>
            <w:tcW w:w="1161" w:type="dxa"/>
            <w:vAlign w:val="center"/>
          </w:tcPr>
          <w:p w:rsidR="00C570AE" w:rsidRPr="00514C11" w:rsidRDefault="00C570AE" w:rsidP="0047678D">
            <w:pPr>
              <w:autoSpaceDE w:val="0"/>
              <w:autoSpaceDN w:val="0"/>
              <w:adjustRightInd w:val="0"/>
              <w:spacing w:before="29" w:line="360" w:lineRule="auto"/>
              <w:ind w:left="15"/>
              <w:jc w:val="center"/>
              <w:rPr>
                <w:color w:val="000000"/>
              </w:rPr>
            </w:pPr>
            <w:r w:rsidRPr="00514C11">
              <w:rPr>
                <w:color w:val="000000"/>
              </w:rPr>
              <w:t>净值增长率标准差</w:t>
            </w:r>
            <w:r w:rsidRPr="00514C11">
              <w:rPr>
                <w:rFonts w:ascii="宋体" w:hAnsi="宋体" w:cs="宋体" w:hint="eastAsia"/>
                <w:color w:val="000000"/>
              </w:rPr>
              <w:t>②</w:t>
            </w:r>
          </w:p>
        </w:tc>
        <w:tc>
          <w:tcPr>
            <w:tcW w:w="1181" w:type="dxa"/>
            <w:vAlign w:val="center"/>
          </w:tcPr>
          <w:p w:rsidR="00C570AE" w:rsidRPr="00514C11" w:rsidRDefault="00C570AE" w:rsidP="0047678D">
            <w:pPr>
              <w:autoSpaceDE w:val="0"/>
              <w:autoSpaceDN w:val="0"/>
              <w:adjustRightInd w:val="0"/>
              <w:spacing w:before="29" w:line="360" w:lineRule="auto"/>
              <w:ind w:left="15"/>
              <w:jc w:val="center"/>
              <w:rPr>
                <w:color w:val="000000"/>
              </w:rPr>
            </w:pPr>
            <w:r w:rsidRPr="00514C11">
              <w:rPr>
                <w:color w:val="000000"/>
              </w:rPr>
              <w:t>业绩比较基准收益率</w:t>
            </w:r>
            <w:r w:rsidRPr="00514C11">
              <w:rPr>
                <w:rFonts w:ascii="宋体" w:hAnsi="宋体" w:cs="宋体" w:hint="eastAsia"/>
                <w:color w:val="000000"/>
              </w:rPr>
              <w:t>③</w:t>
            </w:r>
          </w:p>
        </w:tc>
        <w:tc>
          <w:tcPr>
            <w:tcW w:w="1188" w:type="dxa"/>
            <w:vAlign w:val="center"/>
          </w:tcPr>
          <w:p w:rsidR="00C570AE" w:rsidRPr="00514C11" w:rsidRDefault="00C570AE" w:rsidP="0047678D">
            <w:pPr>
              <w:autoSpaceDE w:val="0"/>
              <w:autoSpaceDN w:val="0"/>
              <w:adjustRightInd w:val="0"/>
              <w:spacing w:before="29" w:line="360" w:lineRule="auto"/>
              <w:ind w:left="15"/>
              <w:jc w:val="center"/>
              <w:rPr>
                <w:color w:val="000000"/>
              </w:rPr>
            </w:pPr>
            <w:r w:rsidRPr="00514C11">
              <w:rPr>
                <w:color w:val="000000"/>
              </w:rPr>
              <w:t>业绩比较基准收益率标准差</w:t>
            </w:r>
            <w:r w:rsidRPr="00514C11">
              <w:rPr>
                <w:rFonts w:ascii="宋体" w:hAnsi="宋体" w:cs="宋体" w:hint="eastAsia"/>
                <w:color w:val="000000"/>
              </w:rPr>
              <w:t>④</w:t>
            </w:r>
          </w:p>
        </w:tc>
        <w:tc>
          <w:tcPr>
            <w:tcW w:w="1199" w:type="dxa"/>
            <w:vAlign w:val="center"/>
          </w:tcPr>
          <w:p w:rsidR="00C570AE" w:rsidRPr="00514C11" w:rsidRDefault="00C570AE" w:rsidP="0047678D">
            <w:pPr>
              <w:autoSpaceDE w:val="0"/>
              <w:autoSpaceDN w:val="0"/>
              <w:adjustRightInd w:val="0"/>
              <w:spacing w:before="29" w:line="360" w:lineRule="auto"/>
              <w:ind w:left="15"/>
              <w:jc w:val="center"/>
              <w:rPr>
                <w:color w:val="000000"/>
              </w:rPr>
            </w:pPr>
            <w:r w:rsidRPr="00514C11">
              <w:rPr>
                <w:rFonts w:ascii="宋体" w:hAnsi="宋体" w:cs="宋体" w:hint="eastAsia"/>
                <w:color w:val="000000"/>
              </w:rPr>
              <w:t>①</w:t>
            </w:r>
            <w:r w:rsidRPr="00514C11">
              <w:rPr>
                <w:color w:val="000000"/>
              </w:rPr>
              <w:t>-</w:t>
            </w:r>
            <w:r w:rsidRPr="00514C11">
              <w:rPr>
                <w:rFonts w:ascii="宋体" w:hAnsi="宋体" w:cs="宋体" w:hint="eastAsia"/>
                <w:color w:val="000000"/>
              </w:rPr>
              <w:t>③</w:t>
            </w:r>
          </w:p>
        </w:tc>
        <w:tc>
          <w:tcPr>
            <w:tcW w:w="1204" w:type="dxa"/>
            <w:vAlign w:val="center"/>
          </w:tcPr>
          <w:p w:rsidR="00C570AE" w:rsidRPr="00514C11" w:rsidRDefault="00C570AE" w:rsidP="0047678D">
            <w:pPr>
              <w:autoSpaceDE w:val="0"/>
              <w:autoSpaceDN w:val="0"/>
              <w:adjustRightInd w:val="0"/>
              <w:spacing w:before="29" w:line="360" w:lineRule="auto"/>
              <w:ind w:left="15"/>
              <w:jc w:val="center"/>
              <w:rPr>
                <w:color w:val="000000"/>
              </w:rPr>
            </w:pPr>
            <w:r w:rsidRPr="00514C11">
              <w:rPr>
                <w:rFonts w:ascii="宋体" w:hAnsi="宋体" w:cs="宋体" w:hint="eastAsia"/>
                <w:color w:val="000000"/>
              </w:rPr>
              <w:t>②</w:t>
            </w:r>
            <w:r w:rsidRPr="00514C11">
              <w:rPr>
                <w:color w:val="000000"/>
              </w:rPr>
              <w:t>-</w:t>
            </w:r>
            <w:r w:rsidRPr="00514C11">
              <w:rPr>
                <w:rFonts w:ascii="宋体" w:hAnsi="宋体" w:cs="宋体" w:hint="eastAsia"/>
                <w:color w:val="000000"/>
              </w:rPr>
              <w:t>④</w:t>
            </w:r>
          </w:p>
        </w:tc>
      </w:tr>
      <w:tr w:rsidR="0030403A">
        <w:tc>
          <w:tcPr>
            <w:tcW w:w="1395" w:type="dxa"/>
            <w:vAlign w:val="center"/>
          </w:tcPr>
          <w:p w:rsidR="0030403A" w:rsidRDefault="003F3530">
            <w:pPr>
              <w:jc w:val="left"/>
            </w:pPr>
            <w:r>
              <w:rPr>
                <w:color w:val="000000"/>
              </w:rPr>
              <w:t>2018-4-1---2018-6-4</w:t>
            </w:r>
          </w:p>
        </w:tc>
        <w:tc>
          <w:tcPr>
            <w:tcW w:w="1092" w:type="dxa"/>
            <w:vAlign w:val="center"/>
          </w:tcPr>
          <w:p w:rsidR="0030403A" w:rsidRDefault="003F3530">
            <w:pPr>
              <w:jc w:val="center"/>
            </w:pPr>
            <w:r>
              <w:rPr>
                <w:color w:val="000000"/>
              </w:rPr>
              <w:t>0.36%</w:t>
            </w:r>
          </w:p>
        </w:tc>
        <w:tc>
          <w:tcPr>
            <w:tcW w:w="1161" w:type="dxa"/>
            <w:vAlign w:val="center"/>
          </w:tcPr>
          <w:p w:rsidR="0030403A" w:rsidRDefault="003F3530">
            <w:pPr>
              <w:jc w:val="center"/>
            </w:pPr>
            <w:r>
              <w:rPr>
                <w:color w:val="000000"/>
              </w:rPr>
              <w:t>0.03%</w:t>
            </w:r>
          </w:p>
        </w:tc>
        <w:tc>
          <w:tcPr>
            <w:tcW w:w="1181" w:type="dxa"/>
            <w:vAlign w:val="center"/>
          </w:tcPr>
          <w:p w:rsidR="0030403A" w:rsidRDefault="003F3530">
            <w:pPr>
              <w:jc w:val="center"/>
            </w:pPr>
            <w:r>
              <w:rPr>
                <w:color w:val="000000"/>
              </w:rPr>
              <w:t>1.46%</w:t>
            </w:r>
          </w:p>
        </w:tc>
        <w:tc>
          <w:tcPr>
            <w:tcW w:w="1188" w:type="dxa"/>
            <w:vAlign w:val="center"/>
          </w:tcPr>
          <w:p w:rsidR="0030403A" w:rsidRDefault="003F3530">
            <w:pPr>
              <w:jc w:val="center"/>
            </w:pPr>
            <w:r>
              <w:rPr>
                <w:color w:val="000000"/>
              </w:rPr>
              <w:t>0.12%</w:t>
            </w:r>
          </w:p>
        </w:tc>
        <w:tc>
          <w:tcPr>
            <w:tcW w:w="1199" w:type="dxa"/>
            <w:vAlign w:val="center"/>
          </w:tcPr>
          <w:p w:rsidR="0030403A" w:rsidRDefault="003F3530">
            <w:pPr>
              <w:jc w:val="center"/>
            </w:pPr>
            <w:r>
              <w:rPr>
                <w:color w:val="000000"/>
              </w:rPr>
              <w:t>-1.10%</w:t>
            </w:r>
          </w:p>
        </w:tc>
        <w:tc>
          <w:tcPr>
            <w:tcW w:w="1204" w:type="dxa"/>
            <w:vAlign w:val="center"/>
          </w:tcPr>
          <w:p w:rsidR="0030403A" w:rsidRDefault="003F3530">
            <w:pPr>
              <w:jc w:val="center"/>
            </w:pPr>
            <w:r>
              <w:rPr>
                <w:color w:val="000000"/>
              </w:rPr>
              <w:t>-0.09%</w:t>
            </w:r>
          </w:p>
        </w:tc>
      </w:tr>
    </w:tbl>
    <w:p w:rsidR="00C570AE" w:rsidRPr="00514C11" w:rsidRDefault="00C570AE" w:rsidP="00C570AE">
      <w:pPr>
        <w:spacing w:line="360" w:lineRule="auto"/>
        <w:ind w:rightChars="-60" w:right="-126"/>
        <w:rPr>
          <w:b/>
          <w:color w:val="000000"/>
          <w:kern w:val="0"/>
        </w:rPr>
      </w:pPr>
      <w:r w:rsidRPr="00514C11">
        <w:rPr>
          <w:b/>
          <w:color w:val="000000"/>
          <w:kern w:val="0"/>
        </w:rPr>
        <w:t>3.2.2.2</w:t>
      </w:r>
      <w:r w:rsidRPr="00514C11">
        <w:rPr>
          <w:b/>
          <w:color w:val="000000"/>
          <w:kern w:val="0"/>
        </w:rPr>
        <w:t>自基金转型以来基金份额累计净值增长率变动及其与同期业绩比较基准收益率变动的比较</w:t>
      </w:r>
    </w:p>
    <w:p w:rsidR="00C570AE" w:rsidRPr="00514C11" w:rsidRDefault="00C570AE" w:rsidP="00C570AE">
      <w:pPr>
        <w:spacing w:line="360" w:lineRule="auto"/>
        <w:jc w:val="center"/>
        <w:rPr>
          <w:color w:val="000000"/>
        </w:rPr>
      </w:pPr>
      <w:r w:rsidRPr="00514C11">
        <w:rPr>
          <w:color w:val="000000"/>
        </w:rPr>
        <w:t>海富通双福分级债券型证券投资基金</w:t>
      </w:r>
    </w:p>
    <w:p w:rsidR="00C570AE" w:rsidRPr="00514C11" w:rsidRDefault="00C570AE" w:rsidP="00C570AE">
      <w:pPr>
        <w:spacing w:line="360" w:lineRule="auto"/>
        <w:jc w:val="center"/>
        <w:rPr>
          <w:color w:val="000000"/>
        </w:rPr>
      </w:pPr>
      <w:r w:rsidRPr="00514C11">
        <w:rPr>
          <w:color w:val="000000"/>
        </w:rPr>
        <w:t>份额累计净值增长率与业绩比较基准收益率历史走势对比图</w:t>
      </w:r>
    </w:p>
    <w:p w:rsidR="00C570AE" w:rsidRPr="00514C11" w:rsidRDefault="00C570AE" w:rsidP="00C570AE">
      <w:pPr>
        <w:spacing w:line="360" w:lineRule="auto"/>
        <w:jc w:val="center"/>
        <w:rPr>
          <w:color w:val="000000"/>
        </w:rPr>
      </w:pPr>
      <w:r w:rsidRPr="002444FA">
        <w:rPr>
          <w:color w:val="000000"/>
        </w:rPr>
        <w:t>(</w:t>
      </w:r>
      <w:r w:rsidR="00414F93" w:rsidRPr="002444FA">
        <w:rPr>
          <w:rFonts w:eastAsiaTheme="minorEastAsia"/>
          <w:color w:val="000000" w:themeColor="text1"/>
        </w:rPr>
        <w:t>2014</w:t>
      </w:r>
      <w:r w:rsidR="00414F93" w:rsidRPr="002444FA">
        <w:rPr>
          <w:rFonts w:eastAsiaTheme="minorEastAsia"/>
          <w:color w:val="000000" w:themeColor="text1"/>
        </w:rPr>
        <w:t>年</w:t>
      </w:r>
      <w:r w:rsidR="00414F93" w:rsidRPr="002444FA">
        <w:rPr>
          <w:rFonts w:eastAsiaTheme="minorEastAsia"/>
          <w:color w:val="000000" w:themeColor="text1"/>
        </w:rPr>
        <w:t>5</w:t>
      </w:r>
      <w:r w:rsidR="00414F93" w:rsidRPr="002444FA">
        <w:rPr>
          <w:rFonts w:eastAsiaTheme="minorEastAsia"/>
          <w:color w:val="000000" w:themeColor="text1"/>
        </w:rPr>
        <w:t>月</w:t>
      </w:r>
      <w:r w:rsidR="00414F93" w:rsidRPr="002444FA">
        <w:rPr>
          <w:rFonts w:eastAsiaTheme="minorEastAsia"/>
          <w:color w:val="000000" w:themeColor="text1"/>
        </w:rPr>
        <w:t>6</w:t>
      </w:r>
      <w:r w:rsidR="00414F93" w:rsidRPr="002444FA">
        <w:rPr>
          <w:rFonts w:eastAsiaTheme="minorEastAsia"/>
          <w:color w:val="000000" w:themeColor="text1"/>
        </w:rPr>
        <w:t>日</w:t>
      </w:r>
      <w:r w:rsidRPr="002444FA">
        <w:rPr>
          <w:color w:val="000000"/>
        </w:rPr>
        <w:t>-</w:t>
      </w:r>
      <w:r w:rsidRPr="00514C11">
        <w:rPr>
          <w:color w:val="000000"/>
        </w:rPr>
        <w:t>2018</w:t>
      </w:r>
      <w:r w:rsidRPr="00514C11">
        <w:rPr>
          <w:color w:val="000000"/>
        </w:rPr>
        <w:t>年</w:t>
      </w:r>
      <w:r w:rsidRPr="00514C11">
        <w:rPr>
          <w:color w:val="000000"/>
        </w:rPr>
        <w:t>6</w:t>
      </w:r>
      <w:r w:rsidRPr="00514C11">
        <w:rPr>
          <w:color w:val="000000"/>
        </w:rPr>
        <w:t>月</w:t>
      </w:r>
      <w:r w:rsidRPr="00514C11">
        <w:rPr>
          <w:color w:val="000000"/>
        </w:rPr>
        <w:t>4</w:t>
      </w:r>
      <w:r w:rsidRPr="00514C11">
        <w:rPr>
          <w:color w:val="000000"/>
        </w:rPr>
        <w:t>日</w:t>
      </w:r>
      <w:r w:rsidRPr="00514C11">
        <w:rPr>
          <w:color w:val="000000"/>
        </w:rPr>
        <w:t>)</w:t>
      </w:r>
    </w:p>
    <w:p w:rsidR="00C570AE" w:rsidRPr="00514C11" w:rsidRDefault="00C570AE" w:rsidP="00C570AE">
      <w:pPr>
        <w:pStyle w:val="a9"/>
        <w:snapToGrid w:val="0"/>
        <w:spacing w:before="120" w:line="360" w:lineRule="auto"/>
        <w:jc w:val="center"/>
        <w:rPr>
          <w:rFonts w:ascii="Times New Roman" w:eastAsiaTheme="minorEastAsia" w:hAnsi="Times New Roman" w:cs="Times New Roman"/>
          <w:color w:val="000000" w:themeColor="text1"/>
        </w:rPr>
      </w:pPr>
      <w:r w:rsidRPr="00514C11">
        <w:rPr>
          <w:rFonts w:ascii="Times New Roman" w:eastAsiaTheme="minorEastAsia" w:hAnsi="Times New Roman" w:cs="Times New Roman"/>
          <w:noProof/>
          <w:color w:val="000000" w:themeColor="text1"/>
        </w:rPr>
        <w:drawing>
          <wp:inline distT="0" distB="0" distL="0" distR="0">
            <wp:extent cx="5276850" cy="3086100"/>
            <wp:effectExtent l="0" t="0" r="0" b="0"/>
            <wp:docPr id="3" name="图片 3" descr="C:\Users\luoluo\Desktop\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oluo\Desktop\走势图2.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6850" cy="3086100"/>
                    </a:xfrm>
                    <a:prstGeom prst="rect">
                      <a:avLst/>
                    </a:prstGeom>
                    <a:noFill/>
                    <a:ln>
                      <a:noFill/>
                    </a:ln>
                  </pic:spPr>
                </pic:pic>
              </a:graphicData>
            </a:graphic>
          </wp:inline>
        </w:drawing>
      </w:r>
    </w:p>
    <w:p w:rsidR="00C570AE" w:rsidRPr="00514C11" w:rsidRDefault="00C570AE" w:rsidP="00C570AE">
      <w:pPr>
        <w:tabs>
          <w:tab w:val="left" w:pos="1800"/>
        </w:tabs>
        <w:adjustRightInd w:val="0"/>
        <w:snapToGrid w:val="0"/>
        <w:spacing w:line="360" w:lineRule="auto"/>
        <w:rPr>
          <w:color w:val="000000"/>
        </w:rPr>
      </w:pPr>
      <w:r w:rsidRPr="00514C11">
        <w:rPr>
          <w:color w:val="000000"/>
        </w:rPr>
        <w:t>注：本基金合同于</w:t>
      </w:r>
      <w:r w:rsidRPr="00514C11">
        <w:rPr>
          <w:color w:val="000000"/>
        </w:rPr>
        <w:t>2014</w:t>
      </w:r>
      <w:r w:rsidRPr="00514C11">
        <w:rPr>
          <w:color w:val="000000"/>
        </w:rPr>
        <w:t>年</w:t>
      </w:r>
      <w:r w:rsidRPr="00514C11">
        <w:rPr>
          <w:color w:val="000000"/>
        </w:rPr>
        <w:t>5</w:t>
      </w:r>
      <w:r w:rsidRPr="00514C11">
        <w:rPr>
          <w:color w:val="000000"/>
        </w:rPr>
        <w:t>月</w:t>
      </w:r>
      <w:r w:rsidRPr="00514C11">
        <w:rPr>
          <w:color w:val="000000"/>
        </w:rPr>
        <w:t>6</w:t>
      </w:r>
      <w:r w:rsidRPr="00514C11">
        <w:rPr>
          <w:color w:val="000000"/>
        </w:rPr>
        <w:t>日生效，按基金合同规定，本基金自基金合同生效起</w:t>
      </w:r>
      <w:r w:rsidRPr="00514C11">
        <w:rPr>
          <w:color w:val="000000"/>
        </w:rPr>
        <w:t>6</w:t>
      </w:r>
      <w:r w:rsidRPr="00514C11">
        <w:rPr>
          <w:color w:val="000000"/>
        </w:rPr>
        <w:t>个月内为建仓期。建仓期结束时本基金的各项投资比例已达到基金合同第十四部分（二）投资范围、（四）投资限制中规定的各项比例。</w:t>
      </w:r>
    </w:p>
    <w:p w:rsidR="00EE2E42" w:rsidRDefault="00DF20DF">
      <w:pPr>
        <w:pStyle w:val="2"/>
        <w:rPr>
          <w:rFonts w:asciiTheme="minorEastAsia" w:eastAsiaTheme="minorEastAsia" w:hAnsiTheme="minorEastAsia"/>
          <w:color w:val="000000" w:themeColor="text1"/>
          <w:kern w:val="0"/>
        </w:rPr>
      </w:pPr>
      <w:r>
        <w:rPr>
          <w:rFonts w:asciiTheme="minorEastAsia" w:eastAsiaTheme="minorEastAsia" w:hAnsiTheme="minorEastAsia"/>
          <w:color w:val="000000" w:themeColor="text1"/>
          <w:kern w:val="0"/>
        </w:rPr>
        <w:t xml:space="preserve">3.3 </w:t>
      </w:r>
      <w:r>
        <w:rPr>
          <w:rFonts w:asciiTheme="minorEastAsia" w:eastAsiaTheme="minorEastAsia" w:hAnsiTheme="minorEastAsia" w:hint="eastAsia"/>
          <w:color w:val="000000" w:themeColor="text1"/>
          <w:kern w:val="0"/>
        </w:rPr>
        <w:t>其他指标</w:t>
      </w:r>
    </w:p>
    <w:p w:rsidR="00EE2E42" w:rsidRDefault="00DF20DF">
      <w:pPr>
        <w:pStyle w:val="a0"/>
        <w:ind w:firstLineChars="0" w:firstLine="0"/>
        <w:outlineLvl w:val="2"/>
        <w:rPr>
          <w:color w:val="000000"/>
        </w:rPr>
      </w:pPr>
      <w:r>
        <w:rPr>
          <w:color w:val="000000"/>
        </w:rPr>
        <w:t>3.3</w:t>
      </w:r>
      <w:r>
        <w:rPr>
          <w:rFonts w:hint="eastAsia"/>
          <w:color w:val="000000"/>
        </w:rPr>
        <w:t>.1</w:t>
      </w:r>
      <w:r>
        <w:rPr>
          <w:color w:val="000000"/>
        </w:rPr>
        <w:t>海富通双福债券型证券投资基金</w:t>
      </w:r>
    </w:p>
    <w:p w:rsidR="00EE2E42" w:rsidRDefault="00DF20DF">
      <w:pPr>
        <w:wordWrap w:val="0"/>
        <w:autoSpaceDE w:val="0"/>
        <w:autoSpaceDN w:val="0"/>
        <w:adjustRightInd w:val="0"/>
        <w:spacing w:line="360" w:lineRule="auto"/>
        <w:ind w:right="15"/>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单位：人民币元</w:t>
      </w:r>
    </w:p>
    <w:p w:rsidR="00EE2E42" w:rsidRDefault="00EE2E42">
      <w:pPr>
        <w:tabs>
          <w:tab w:val="left" w:pos="1800"/>
        </w:tabs>
        <w:spacing w:line="360" w:lineRule="auto"/>
        <w:rPr>
          <w:color w:val="00000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987"/>
      </w:tblGrid>
      <w:tr w:rsidR="00EE2E42">
        <w:tc>
          <w:tcPr>
            <w:tcW w:w="2518" w:type="dxa"/>
            <w:tcBorders>
              <w:top w:val="single" w:sz="4" w:space="0" w:color="auto"/>
              <w:left w:val="single" w:sz="4" w:space="0" w:color="auto"/>
              <w:bottom w:val="single" w:sz="4" w:space="0" w:color="auto"/>
              <w:right w:val="single" w:sz="4" w:space="0" w:color="auto"/>
            </w:tcBorders>
          </w:tcPr>
          <w:p w:rsidR="00EE2E42" w:rsidRDefault="00DF20DF">
            <w:pPr>
              <w:autoSpaceDE w:val="0"/>
              <w:autoSpaceDN w:val="0"/>
              <w:adjustRightInd w:val="0"/>
              <w:spacing w:before="29" w:line="360" w:lineRule="auto"/>
              <w:ind w:left="15"/>
              <w:jc w:val="center"/>
              <w:rPr>
                <w:color w:val="000000"/>
              </w:rPr>
            </w:pPr>
            <w:r>
              <w:rPr>
                <w:color w:val="000000"/>
              </w:rPr>
              <w:t>其他指标</w:t>
            </w:r>
          </w:p>
        </w:tc>
        <w:tc>
          <w:tcPr>
            <w:tcW w:w="5987" w:type="dxa"/>
            <w:tcBorders>
              <w:top w:val="single" w:sz="4" w:space="0" w:color="auto"/>
              <w:left w:val="single" w:sz="4" w:space="0" w:color="auto"/>
              <w:bottom w:val="single" w:sz="4" w:space="0" w:color="auto"/>
              <w:right w:val="single" w:sz="4" w:space="0" w:color="auto"/>
            </w:tcBorders>
            <w:vAlign w:val="center"/>
          </w:tcPr>
          <w:p w:rsidR="00EE2E42" w:rsidRDefault="00DF20DF">
            <w:pPr>
              <w:spacing w:line="360" w:lineRule="auto"/>
              <w:jc w:val="center"/>
              <w:rPr>
                <w:color w:val="000000"/>
              </w:rPr>
            </w:pPr>
            <w:r>
              <w:rPr>
                <w:color w:val="000000"/>
              </w:rPr>
              <w:t>报告期末</w:t>
            </w:r>
            <w:r>
              <w:rPr>
                <w:color w:val="000000"/>
              </w:rPr>
              <w:t>(2018</w:t>
            </w:r>
            <w:r>
              <w:rPr>
                <w:color w:val="000000"/>
              </w:rPr>
              <w:t>年</w:t>
            </w:r>
            <w:r>
              <w:rPr>
                <w:color w:val="000000"/>
              </w:rPr>
              <w:t>6</w:t>
            </w:r>
            <w:r>
              <w:rPr>
                <w:color w:val="000000"/>
              </w:rPr>
              <w:t>月</w:t>
            </w:r>
            <w:r>
              <w:rPr>
                <w:color w:val="000000"/>
              </w:rPr>
              <w:t>30</w:t>
            </w:r>
            <w:r>
              <w:rPr>
                <w:color w:val="000000"/>
              </w:rPr>
              <w:t>日</w:t>
            </w:r>
            <w:r>
              <w:rPr>
                <w:color w:val="000000"/>
              </w:rPr>
              <w:t>)</w:t>
            </w:r>
          </w:p>
        </w:tc>
      </w:tr>
      <w:tr w:rsidR="0030403A">
        <w:tc>
          <w:tcPr>
            <w:tcW w:w="2518" w:type="dxa"/>
            <w:vAlign w:val="center"/>
          </w:tcPr>
          <w:p w:rsidR="0030403A" w:rsidRDefault="003F3530">
            <w:pPr>
              <w:jc w:val="left"/>
            </w:pPr>
            <w:r>
              <w:rPr>
                <w:color w:val="000000"/>
              </w:rPr>
              <w:t>期末双福份额累计参考净值</w:t>
            </w:r>
          </w:p>
        </w:tc>
        <w:tc>
          <w:tcPr>
            <w:tcW w:w="5987" w:type="dxa"/>
            <w:vAlign w:val="center"/>
          </w:tcPr>
          <w:p w:rsidR="0030403A" w:rsidRDefault="003F3530">
            <w:pPr>
              <w:jc w:val="right"/>
            </w:pPr>
            <w:r>
              <w:rPr>
                <w:color w:val="000000"/>
              </w:rPr>
              <w:t>0.823</w:t>
            </w:r>
          </w:p>
        </w:tc>
      </w:tr>
      <w:tr w:rsidR="0030403A">
        <w:tc>
          <w:tcPr>
            <w:tcW w:w="2518" w:type="dxa"/>
            <w:vAlign w:val="center"/>
          </w:tcPr>
          <w:p w:rsidR="0030403A" w:rsidRDefault="003F3530">
            <w:pPr>
              <w:jc w:val="left"/>
            </w:pPr>
            <w:r>
              <w:rPr>
                <w:color w:val="000000"/>
              </w:rPr>
              <w:t>期末双福份额参考净值</w:t>
            </w:r>
          </w:p>
        </w:tc>
        <w:tc>
          <w:tcPr>
            <w:tcW w:w="5987" w:type="dxa"/>
            <w:vAlign w:val="center"/>
          </w:tcPr>
          <w:p w:rsidR="0030403A" w:rsidRDefault="003F3530">
            <w:pPr>
              <w:jc w:val="right"/>
            </w:pPr>
            <w:r>
              <w:rPr>
                <w:color w:val="000000"/>
              </w:rPr>
              <w:t>0.823</w:t>
            </w:r>
          </w:p>
        </w:tc>
      </w:tr>
    </w:tbl>
    <w:p w:rsidR="00EE2E42" w:rsidRDefault="00DF20DF">
      <w:pPr>
        <w:autoSpaceDE w:val="0"/>
        <w:autoSpaceDN w:val="0"/>
        <w:adjustRightInd w:val="0"/>
        <w:spacing w:line="360" w:lineRule="auto"/>
        <w:jc w:val="left"/>
        <w:rPr>
          <w:rFonts w:asciiTheme="minorEastAsia" w:eastAsiaTheme="minorEastAsia" w:hAnsiTheme="minorEastAsia"/>
          <w:color w:val="000000" w:themeColor="text1"/>
        </w:rPr>
      </w:pPr>
      <w:r>
        <w:rPr>
          <w:color w:val="000000"/>
          <w:kern w:val="0"/>
        </w:rPr>
        <w:t>注：海富通双福债券型证券投资基金报告期期间</w:t>
      </w:r>
      <w:r>
        <w:rPr>
          <w:color w:val="000000"/>
          <w:kern w:val="0"/>
        </w:rPr>
        <w:t>:2018</w:t>
      </w:r>
      <w:r>
        <w:rPr>
          <w:color w:val="000000"/>
          <w:kern w:val="0"/>
        </w:rPr>
        <w:t>年</w:t>
      </w:r>
      <w:r>
        <w:rPr>
          <w:color w:val="000000"/>
          <w:kern w:val="0"/>
        </w:rPr>
        <w:t>6</w:t>
      </w:r>
      <w:r>
        <w:rPr>
          <w:color w:val="000000"/>
          <w:kern w:val="0"/>
        </w:rPr>
        <w:t>月</w:t>
      </w:r>
      <w:r>
        <w:rPr>
          <w:color w:val="000000"/>
          <w:kern w:val="0"/>
        </w:rPr>
        <w:t>5</w:t>
      </w:r>
      <w:r>
        <w:rPr>
          <w:color w:val="000000"/>
          <w:kern w:val="0"/>
        </w:rPr>
        <w:t>日至</w:t>
      </w:r>
      <w:r>
        <w:rPr>
          <w:color w:val="000000"/>
          <w:kern w:val="0"/>
        </w:rPr>
        <w:t>2018</w:t>
      </w:r>
      <w:r>
        <w:rPr>
          <w:color w:val="000000"/>
          <w:kern w:val="0"/>
        </w:rPr>
        <w:t>年</w:t>
      </w:r>
      <w:r>
        <w:rPr>
          <w:color w:val="000000"/>
          <w:kern w:val="0"/>
        </w:rPr>
        <w:t>6</w:t>
      </w:r>
      <w:r>
        <w:rPr>
          <w:color w:val="000000"/>
          <w:kern w:val="0"/>
        </w:rPr>
        <w:t>月</w:t>
      </w:r>
      <w:r>
        <w:rPr>
          <w:color w:val="000000"/>
          <w:kern w:val="0"/>
        </w:rPr>
        <w:t>30</w:t>
      </w:r>
      <w:r>
        <w:rPr>
          <w:color w:val="000000"/>
          <w:kern w:val="0"/>
        </w:rPr>
        <w:t>日。</w:t>
      </w:r>
    </w:p>
    <w:p w:rsidR="00EE2E42" w:rsidRDefault="00DF20DF">
      <w:pPr>
        <w:pStyle w:val="a0"/>
        <w:ind w:firstLineChars="0" w:firstLine="0"/>
        <w:outlineLvl w:val="2"/>
        <w:rPr>
          <w:color w:val="000000"/>
          <w:kern w:val="0"/>
        </w:rPr>
      </w:pPr>
      <w:r>
        <w:rPr>
          <w:color w:val="000000"/>
          <w:kern w:val="0"/>
        </w:rPr>
        <w:t>3.3</w:t>
      </w:r>
      <w:r>
        <w:rPr>
          <w:rFonts w:hint="eastAsia"/>
          <w:color w:val="000000"/>
          <w:kern w:val="0"/>
        </w:rPr>
        <w:t>.2</w:t>
      </w:r>
      <w:r>
        <w:rPr>
          <w:color w:val="000000"/>
          <w:kern w:val="0"/>
        </w:rPr>
        <w:t>海富通双福分级债券型证券投资基金</w:t>
      </w:r>
    </w:p>
    <w:p w:rsidR="00EE2E42" w:rsidRDefault="00DF20DF">
      <w:pPr>
        <w:pStyle w:val="a0"/>
        <w:jc w:val="right"/>
      </w:pPr>
      <w:r>
        <w:rPr>
          <w:rFonts w:asciiTheme="minorEastAsia" w:eastAsiaTheme="minorEastAsia" w:hAnsiTheme="minorEastAsia" w:hint="eastAsia"/>
          <w:color w:val="000000" w:themeColor="text1"/>
        </w:rPr>
        <w:t>单位：人民币元</w:t>
      </w:r>
    </w:p>
    <w:p w:rsidR="00EE2E42" w:rsidRDefault="00EE2E42">
      <w:pPr>
        <w:tabs>
          <w:tab w:val="left" w:pos="1800"/>
        </w:tabs>
        <w:spacing w:line="360" w:lineRule="auto"/>
        <w:rPr>
          <w:color w:val="00000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5987"/>
      </w:tblGrid>
      <w:tr w:rsidR="00EE2E42">
        <w:tc>
          <w:tcPr>
            <w:tcW w:w="2518" w:type="dxa"/>
            <w:tcBorders>
              <w:top w:val="single" w:sz="4" w:space="0" w:color="auto"/>
              <w:left w:val="single" w:sz="4" w:space="0" w:color="auto"/>
              <w:bottom w:val="single" w:sz="4" w:space="0" w:color="auto"/>
              <w:right w:val="single" w:sz="4" w:space="0" w:color="auto"/>
            </w:tcBorders>
          </w:tcPr>
          <w:p w:rsidR="00EE2E42" w:rsidRDefault="00DF20DF">
            <w:pPr>
              <w:autoSpaceDE w:val="0"/>
              <w:autoSpaceDN w:val="0"/>
              <w:adjustRightInd w:val="0"/>
              <w:spacing w:before="29" w:line="360" w:lineRule="auto"/>
              <w:ind w:left="15"/>
              <w:jc w:val="center"/>
              <w:rPr>
                <w:color w:val="000000"/>
              </w:rPr>
            </w:pPr>
            <w:r>
              <w:rPr>
                <w:color w:val="000000"/>
              </w:rPr>
              <w:t>其他指标</w:t>
            </w:r>
          </w:p>
        </w:tc>
        <w:tc>
          <w:tcPr>
            <w:tcW w:w="5987" w:type="dxa"/>
            <w:tcBorders>
              <w:top w:val="single" w:sz="4" w:space="0" w:color="auto"/>
              <w:left w:val="single" w:sz="4" w:space="0" w:color="auto"/>
              <w:bottom w:val="single" w:sz="4" w:space="0" w:color="auto"/>
              <w:right w:val="single" w:sz="4" w:space="0" w:color="auto"/>
            </w:tcBorders>
            <w:vAlign w:val="center"/>
          </w:tcPr>
          <w:p w:rsidR="00EE2E42" w:rsidRDefault="00DF20DF">
            <w:pPr>
              <w:spacing w:line="360" w:lineRule="auto"/>
              <w:jc w:val="center"/>
              <w:rPr>
                <w:color w:val="000000"/>
              </w:rPr>
            </w:pPr>
            <w:r>
              <w:rPr>
                <w:color w:val="000000"/>
              </w:rPr>
              <w:t>报告期末</w:t>
            </w:r>
            <w:r>
              <w:rPr>
                <w:color w:val="000000"/>
              </w:rPr>
              <w:t>(2018</w:t>
            </w:r>
            <w:r>
              <w:rPr>
                <w:color w:val="000000"/>
              </w:rPr>
              <w:t>年</w:t>
            </w:r>
            <w:r>
              <w:rPr>
                <w:color w:val="000000"/>
              </w:rPr>
              <w:t>6</w:t>
            </w:r>
            <w:r>
              <w:rPr>
                <w:color w:val="000000"/>
              </w:rPr>
              <w:t>月</w:t>
            </w:r>
            <w:r>
              <w:rPr>
                <w:color w:val="000000"/>
              </w:rPr>
              <w:t>4</w:t>
            </w:r>
            <w:r>
              <w:rPr>
                <w:color w:val="000000"/>
              </w:rPr>
              <w:t>日</w:t>
            </w:r>
            <w:r>
              <w:rPr>
                <w:color w:val="000000"/>
              </w:rPr>
              <w:t>)</w:t>
            </w:r>
          </w:p>
        </w:tc>
      </w:tr>
      <w:tr w:rsidR="0030403A">
        <w:tc>
          <w:tcPr>
            <w:tcW w:w="2518" w:type="dxa"/>
            <w:vAlign w:val="center"/>
          </w:tcPr>
          <w:p w:rsidR="0030403A" w:rsidRDefault="003F3530">
            <w:pPr>
              <w:jc w:val="left"/>
            </w:pPr>
            <w:r>
              <w:rPr>
                <w:color w:val="000000"/>
              </w:rPr>
              <w:t>期末双福</w:t>
            </w:r>
            <w:r>
              <w:rPr>
                <w:color w:val="000000"/>
              </w:rPr>
              <w:t>B</w:t>
            </w:r>
            <w:r>
              <w:rPr>
                <w:color w:val="000000"/>
              </w:rPr>
              <w:t>份额累计参考净值</w:t>
            </w:r>
          </w:p>
        </w:tc>
        <w:tc>
          <w:tcPr>
            <w:tcW w:w="5987" w:type="dxa"/>
            <w:vAlign w:val="center"/>
          </w:tcPr>
          <w:p w:rsidR="0030403A" w:rsidRDefault="003F3530">
            <w:pPr>
              <w:jc w:val="right"/>
            </w:pPr>
            <w:r>
              <w:rPr>
                <w:color w:val="000000"/>
              </w:rPr>
              <w:t>1.234</w:t>
            </w:r>
          </w:p>
        </w:tc>
      </w:tr>
      <w:tr w:rsidR="0030403A">
        <w:tc>
          <w:tcPr>
            <w:tcW w:w="2518" w:type="dxa"/>
            <w:vAlign w:val="center"/>
          </w:tcPr>
          <w:p w:rsidR="0030403A" w:rsidRDefault="003F3530">
            <w:pPr>
              <w:jc w:val="left"/>
            </w:pPr>
            <w:r>
              <w:rPr>
                <w:color w:val="000000"/>
              </w:rPr>
              <w:t>期末双福</w:t>
            </w:r>
            <w:r>
              <w:rPr>
                <w:color w:val="000000"/>
              </w:rPr>
              <w:t>B</w:t>
            </w:r>
            <w:r>
              <w:rPr>
                <w:color w:val="000000"/>
              </w:rPr>
              <w:t>份额参考净值</w:t>
            </w:r>
          </w:p>
        </w:tc>
        <w:tc>
          <w:tcPr>
            <w:tcW w:w="5987" w:type="dxa"/>
            <w:vAlign w:val="center"/>
          </w:tcPr>
          <w:p w:rsidR="0030403A" w:rsidRDefault="003F3530">
            <w:pPr>
              <w:jc w:val="right"/>
            </w:pPr>
            <w:r>
              <w:rPr>
                <w:color w:val="000000"/>
              </w:rPr>
              <w:t>0.803</w:t>
            </w:r>
          </w:p>
        </w:tc>
      </w:tr>
      <w:tr w:rsidR="0030403A">
        <w:tc>
          <w:tcPr>
            <w:tcW w:w="2518" w:type="dxa"/>
            <w:vAlign w:val="center"/>
          </w:tcPr>
          <w:p w:rsidR="0030403A" w:rsidRDefault="003F3530">
            <w:pPr>
              <w:jc w:val="left"/>
            </w:pPr>
            <w:r>
              <w:rPr>
                <w:color w:val="000000"/>
              </w:rPr>
              <w:t>期末双福</w:t>
            </w:r>
            <w:r>
              <w:rPr>
                <w:color w:val="000000"/>
              </w:rPr>
              <w:t>A</w:t>
            </w:r>
            <w:r>
              <w:rPr>
                <w:color w:val="000000"/>
              </w:rPr>
              <w:t>份额累计参考净值</w:t>
            </w:r>
          </w:p>
        </w:tc>
        <w:tc>
          <w:tcPr>
            <w:tcW w:w="5987" w:type="dxa"/>
            <w:vAlign w:val="center"/>
          </w:tcPr>
          <w:p w:rsidR="0030403A" w:rsidRDefault="003F3530">
            <w:pPr>
              <w:jc w:val="right"/>
            </w:pPr>
            <w:r>
              <w:rPr>
                <w:color w:val="000000"/>
              </w:rPr>
              <w:t>1.166</w:t>
            </w:r>
          </w:p>
        </w:tc>
      </w:tr>
      <w:tr w:rsidR="0030403A">
        <w:tc>
          <w:tcPr>
            <w:tcW w:w="2518" w:type="dxa"/>
            <w:vAlign w:val="center"/>
          </w:tcPr>
          <w:p w:rsidR="0030403A" w:rsidRDefault="003F3530">
            <w:pPr>
              <w:jc w:val="left"/>
            </w:pPr>
            <w:r>
              <w:rPr>
                <w:color w:val="000000"/>
              </w:rPr>
              <w:t>双福</w:t>
            </w:r>
            <w:r>
              <w:rPr>
                <w:color w:val="000000"/>
              </w:rPr>
              <w:t>A</w:t>
            </w:r>
            <w:r>
              <w:rPr>
                <w:color w:val="000000"/>
              </w:rPr>
              <w:t>与双福</w:t>
            </w:r>
            <w:r>
              <w:rPr>
                <w:color w:val="000000"/>
              </w:rPr>
              <w:t>B</w:t>
            </w:r>
            <w:r>
              <w:rPr>
                <w:color w:val="000000"/>
              </w:rPr>
              <w:t>基金份额配比</w:t>
            </w:r>
          </w:p>
        </w:tc>
        <w:tc>
          <w:tcPr>
            <w:tcW w:w="5987" w:type="dxa"/>
            <w:vAlign w:val="center"/>
          </w:tcPr>
          <w:p w:rsidR="0030403A" w:rsidRDefault="003F3530">
            <w:pPr>
              <w:jc w:val="right"/>
            </w:pPr>
            <w:r>
              <w:rPr>
                <w:color w:val="000000"/>
              </w:rPr>
              <w:t>0.11428529 :1</w:t>
            </w:r>
          </w:p>
        </w:tc>
      </w:tr>
      <w:tr w:rsidR="0030403A">
        <w:tc>
          <w:tcPr>
            <w:tcW w:w="2518" w:type="dxa"/>
            <w:vAlign w:val="center"/>
          </w:tcPr>
          <w:p w:rsidR="0030403A" w:rsidRDefault="003F3530">
            <w:pPr>
              <w:jc w:val="left"/>
            </w:pPr>
            <w:r>
              <w:rPr>
                <w:color w:val="000000"/>
              </w:rPr>
              <w:t>期末双福</w:t>
            </w:r>
            <w:r>
              <w:rPr>
                <w:color w:val="000000"/>
              </w:rPr>
              <w:t>A</w:t>
            </w:r>
            <w:r>
              <w:rPr>
                <w:color w:val="000000"/>
              </w:rPr>
              <w:t>份额参考净值</w:t>
            </w:r>
          </w:p>
        </w:tc>
        <w:tc>
          <w:tcPr>
            <w:tcW w:w="5987" w:type="dxa"/>
            <w:vAlign w:val="center"/>
          </w:tcPr>
          <w:p w:rsidR="0030403A" w:rsidRDefault="003F3530">
            <w:pPr>
              <w:jc w:val="right"/>
            </w:pPr>
            <w:r>
              <w:rPr>
                <w:color w:val="000000"/>
              </w:rPr>
              <w:t>1.019</w:t>
            </w:r>
          </w:p>
        </w:tc>
      </w:tr>
      <w:tr w:rsidR="0030403A">
        <w:tc>
          <w:tcPr>
            <w:tcW w:w="2518" w:type="dxa"/>
            <w:vAlign w:val="center"/>
          </w:tcPr>
          <w:p w:rsidR="0030403A" w:rsidRDefault="003F3530">
            <w:pPr>
              <w:jc w:val="left"/>
            </w:pPr>
            <w:r>
              <w:rPr>
                <w:color w:val="000000"/>
              </w:rPr>
              <w:t>双福</w:t>
            </w:r>
            <w:r>
              <w:rPr>
                <w:color w:val="000000"/>
              </w:rPr>
              <w:t>A</w:t>
            </w:r>
            <w:r>
              <w:rPr>
                <w:color w:val="000000"/>
              </w:rPr>
              <w:t>的预计年收益率</w:t>
            </w:r>
          </w:p>
        </w:tc>
        <w:tc>
          <w:tcPr>
            <w:tcW w:w="5987" w:type="dxa"/>
            <w:vAlign w:val="center"/>
          </w:tcPr>
          <w:p w:rsidR="0030403A" w:rsidRDefault="003F3530">
            <w:pPr>
              <w:jc w:val="right"/>
            </w:pPr>
            <w:r>
              <w:rPr>
                <w:color w:val="000000"/>
              </w:rPr>
              <w:t>3.80%</w:t>
            </w:r>
          </w:p>
        </w:tc>
      </w:tr>
    </w:tbl>
    <w:p w:rsidR="00EE2E42" w:rsidRDefault="00DF20DF">
      <w:pPr>
        <w:autoSpaceDE w:val="0"/>
        <w:autoSpaceDN w:val="0"/>
        <w:adjustRightInd w:val="0"/>
        <w:spacing w:line="360" w:lineRule="auto"/>
        <w:jc w:val="left"/>
        <w:rPr>
          <w:rFonts w:asciiTheme="minorEastAsia" w:eastAsiaTheme="minorEastAsia" w:hAnsiTheme="minorEastAsia"/>
          <w:color w:val="000000" w:themeColor="text1"/>
        </w:rPr>
      </w:pPr>
      <w:r>
        <w:rPr>
          <w:color w:val="000000"/>
          <w:kern w:val="0"/>
        </w:rPr>
        <w:t>注：海富通双福分级债券型证券投资基金报告期期间</w:t>
      </w:r>
      <w:r>
        <w:rPr>
          <w:color w:val="000000"/>
          <w:kern w:val="0"/>
        </w:rPr>
        <w:t>:2018</w:t>
      </w:r>
      <w:r>
        <w:rPr>
          <w:color w:val="000000"/>
          <w:kern w:val="0"/>
        </w:rPr>
        <w:t>年</w:t>
      </w:r>
      <w:r>
        <w:rPr>
          <w:color w:val="000000"/>
          <w:kern w:val="0"/>
        </w:rPr>
        <w:t>4</w:t>
      </w:r>
      <w:r>
        <w:rPr>
          <w:color w:val="000000"/>
          <w:kern w:val="0"/>
        </w:rPr>
        <w:t>月</w:t>
      </w:r>
      <w:r>
        <w:rPr>
          <w:color w:val="000000"/>
          <w:kern w:val="0"/>
        </w:rPr>
        <w:t>1</w:t>
      </w:r>
      <w:r>
        <w:rPr>
          <w:color w:val="000000"/>
          <w:kern w:val="0"/>
        </w:rPr>
        <w:t>日至</w:t>
      </w:r>
      <w:r>
        <w:rPr>
          <w:color w:val="000000"/>
          <w:kern w:val="0"/>
        </w:rPr>
        <w:t>2018</w:t>
      </w:r>
      <w:r>
        <w:rPr>
          <w:color w:val="000000"/>
          <w:kern w:val="0"/>
        </w:rPr>
        <w:t>年</w:t>
      </w:r>
      <w:r>
        <w:rPr>
          <w:color w:val="000000"/>
          <w:kern w:val="0"/>
        </w:rPr>
        <w:t>6</w:t>
      </w:r>
      <w:r>
        <w:rPr>
          <w:color w:val="000000"/>
          <w:kern w:val="0"/>
        </w:rPr>
        <w:t>月</w:t>
      </w:r>
      <w:r>
        <w:rPr>
          <w:color w:val="000000"/>
          <w:kern w:val="0"/>
        </w:rPr>
        <w:t>4</w:t>
      </w:r>
      <w:r>
        <w:rPr>
          <w:color w:val="000000"/>
          <w:kern w:val="0"/>
        </w:rPr>
        <w:t>日。</w:t>
      </w:r>
    </w:p>
    <w:p w:rsidR="00EE2E42" w:rsidRDefault="00DF20DF">
      <w:pPr>
        <w:pStyle w:val="1"/>
        <w:jc w:val="center"/>
        <w:rPr>
          <w:rFonts w:cs="Arial"/>
          <w:color w:val="000000"/>
          <w:kern w:val="0"/>
          <w:sz w:val="24"/>
          <w:szCs w:val="24"/>
        </w:rPr>
      </w:pPr>
      <w:r>
        <w:rPr>
          <w:rFonts w:cs="Arial" w:hint="eastAsia"/>
          <w:color w:val="000000"/>
          <w:kern w:val="0"/>
          <w:sz w:val="24"/>
          <w:szCs w:val="24"/>
        </w:rPr>
        <w:t>§</w:t>
      </w:r>
      <w:r>
        <w:rPr>
          <w:rFonts w:cs="Arial"/>
          <w:color w:val="000000"/>
          <w:kern w:val="0"/>
          <w:sz w:val="24"/>
          <w:szCs w:val="24"/>
        </w:rPr>
        <w:t xml:space="preserve">4  </w:t>
      </w:r>
      <w:r>
        <w:rPr>
          <w:rFonts w:cs="Arial" w:hint="eastAsia"/>
          <w:color w:val="000000"/>
          <w:kern w:val="0"/>
          <w:sz w:val="24"/>
          <w:szCs w:val="24"/>
        </w:rPr>
        <w:t>管理人报告</w:t>
      </w:r>
    </w:p>
    <w:p w:rsidR="00EE2E42" w:rsidRDefault="00DF20DF">
      <w:pPr>
        <w:pStyle w:val="2"/>
        <w:rPr>
          <w:b w:val="0"/>
          <w:color w:val="000000"/>
          <w:kern w:val="0"/>
        </w:rPr>
      </w:pPr>
      <w:r>
        <w:rPr>
          <w:color w:val="000000"/>
          <w:kern w:val="0"/>
        </w:rPr>
        <w:t xml:space="preserve">4.1 </w:t>
      </w:r>
      <w:r>
        <w:rPr>
          <w:rFonts w:hint="eastAsia"/>
          <w:color w:val="000000"/>
          <w:kern w:val="0"/>
        </w:rPr>
        <w:t>基金经理</w:t>
      </w:r>
      <w:r>
        <w:rPr>
          <w:rFonts w:hint="eastAsia"/>
          <w:color w:val="000000"/>
          <w:kern w:val="0"/>
        </w:rPr>
        <w:t>(</w:t>
      </w:r>
      <w:r>
        <w:rPr>
          <w:rFonts w:hint="eastAsia"/>
          <w:color w:val="000000"/>
          <w:kern w:val="0"/>
        </w:rPr>
        <w:t>或基金经理小组</w:t>
      </w:r>
      <w:r>
        <w:rPr>
          <w:rFonts w:hint="eastAsia"/>
          <w:color w:val="000000"/>
          <w:kern w:val="0"/>
        </w:rPr>
        <w:t>)</w:t>
      </w:r>
      <w:r>
        <w:rPr>
          <w:rFonts w:hint="eastAsia"/>
          <w:color w:val="000000"/>
          <w:kern w:val="0"/>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850"/>
        <w:gridCol w:w="1560"/>
        <w:gridCol w:w="1559"/>
        <w:gridCol w:w="1417"/>
        <w:gridCol w:w="2694"/>
      </w:tblGrid>
      <w:tr w:rsidR="00EE2E42">
        <w:trPr>
          <w:cantSplit/>
          <w:trHeight w:val="292"/>
        </w:trPr>
        <w:tc>
          <w:tcPr>
            <w:tcW w:w="851" w:type="dxa"/>
            <w:vMerge w:val="restart"/>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姓名</w:t>
            </w:r>
          </w:p>
        </w:tc>
        <w:tc>
          <w:tcPr>
            <w:tcW w:w="850" w:type="dxa"/>
            <w:vMerge w:val="restart"/>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职务</w:t>
            </w:r>
          </w:p>
        </w:tc>
        <w:tc>
          <w:tcPr>
            <w:tcW w:w="3119" w:type="dxa"/>
            <w:gridSpan w:val="2"/>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任本基金的基金经理期限</w:t>
            </w:r>
          </w:p>
        </w:tc>
        <w:tc>
          <w:tcPr>
            <w:tcW w:w="1417" w:type="dxa"/>
            <w:vMerge w:val="restart"/>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证券从业年限</w:t>
            </w:r>
          </w:p>
        </w:tc>
        <w:tc>
          <w:tcPr>
            <w:tcW w:w="2694" w:type="dxa"/>
            <w:vMerge w:val="restart"/>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说明</w:t>
            </w:r>
          </w:p>
        </w:tc>
      </w:tr>
      <w:tr w:rsidR="00EE2E42">
        <w:trPr>
          <w:cantSplit/>
        </w:trPr>
        <w:tc>
          <w:tcPr>
            <w:tcW w:w="851" w:type="dxa"/>
            <w:vMerge/>
            <w:vAlign w:val="center"/>
          </w:tcPr>
          <w:p w:rsidR="00EE2E42" w:rsidRDefault="00EE2E42">
            <w:pPr>
              <w:autoSpaceDE w:val="0"/>
              <w:autoSpaceDN w:val="0"/>
              <w:adjustRightInd w:val="0"/>
              <w:spacing w:before="29" w:line="288" w:lineRule="auto"/>
              <w:ind w:left="15"/>
              <w:jc w:val="center"/>
              <w:rPr>
                <w:rFonts w:cs="Arial"/>
                <w:color w:val="000000"/>
                <w:kern w:val="0"/>
                <w:sz w:val="24"/>
                <w:szCs w:val="24"/>
              </w:rPr>
            </w:pPr>
          </w:p>
        </w:tc>
        <w:tc>
          <w:tcPr>
            <w:tcW w:w="850" w:type="dxa"/>
            <w:vMerge/>
            <w:vAlign w:val="center"/>
          </w:tcPr>
          <w:p w:rsidR="00EE2E42" w:rsidRDefault="00EE2E42">
            <w:pPr>
              <w:autoSpaceDE w:val="0"/>
              <w:autoSpaceDN w:val="0"/>
              <w:adjustRightInd w:val="0"/>
              <w:spacing w:before="29" w:line="288" w:lineRule="auto"/>
              <w:ind w:left="15"/>
              <w:jc w:val="center"/>
              <w:rPr>
                <w:rFonts w:cs="Arial"/>
                <w:color w:val="000000"/>
                <w:kern w:val="0"/>
                <w:sz w:val="24"/>
                <w:szCs w:val="24"/>
              </w:rPr>
            </w:pPr>
          </w:p>
        </w:tc>
        <w:tc>
          <w:tcPr>
            <w:tcW w:w="156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任职日期</w:t>
            </w:r>
          </w:p>
        </w:tc>
        <w:tc>
          <w:tcPr>
            <w:tcW w:w="1559"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离任日期</w:t>
            </w:r>
          </w:p>
        </w:tc>
        <w:tc>
          <w:tcPr>
            <w:tcW w:w="1417" w:type="dxa"/>
            <w:vMerge/>
            <w:vAlign w:val="center"/>
          </w:tcPr>
          <w:p w:rsidR="00EE2E42" w:rsidRDefault="00EE2E42">
            <w:pPr>
              <w:autoSpaceDE w:val="0"/>
              <w:autoSpaceDN w:val="0"/>
              <w:adjustRightInd w:val="0"/>
              <w:spacing w:before="29" w:line="288" w:lineRule="auto"/>
              <w:ind w:left="15"/>
              <w:jc w:val="center"/>
              <w:rPr>
                <w:rFonts w:cs="Arial"/>
                <w:color w:val="000000"/>
                <w:kern w:val="0"/>
                <w:sz w:val="24"/>
                <w:szCs w:val="24"/>
              </w:rPr>
            </w:pPr>
          </w:p>
        </w:tc>
        <w:tc>
          <w:tcPr>
            <w:tcW w:w="2694" w:type="dxa"/>
            <w:vMerge/>
            <w:vAlign w:val="center"/>
          </w:tcPr>
          <w:p w:rsidR="00EE2E42" w:rsidRDefault="00EE2E42">
            <w:pPr>
              <w:autoSpaceDE w:val="0"/>
              <w:autoSpaceDN w:val="0"/>
              <w:adjustRightInd w:val="0"/>
              <w:spacing w:before="29" w:line="288" w:lineRule="auto"/>
              <w:ind w:left="15"/>
              <w:jc w:val="center"/>
              <w:rPr>
                <w:rFonts w:cs="Arial"/>
                <w:color w:val="000000"/>
                <w:kern w:val="0"/>
                <w:sz w:val="24"/>
                <w:szCs w:val="24"/>
              </w:rPr>
            </w:pPr>
          </w:p>
        </w:tc>
      </w:tr>
      <w:tr w:rsidR="0030403A">
        <w:tc>
          <w:tcPr>
            <w:tcW w:w="851" w:type="dxa"/>
            <w:vAlign w:val="center"/>
          </w:tcPr>
          <w:p w:rsidR="0030403A" w:rsidRDefault="003F3530">
            <w:pPr>
              <w:jc w:val="center"/>
            </w:pPr>
            <w:r>
              <w:rPr>
                <w:rFonts w:cs="Arial"/>
                <w:color w:val="000000"/>
                <w:kern w:val="0"/>
                <w:sz w:val="24"/>
                <w:szCs w:val="24"/>
              </w:rPr>
              <w:t>何谦</w:t>
            </w:r>
          </w:p>
        </w:tc>
        <w:tc>
          <w:tcPr>
            <w:tcW w:w="850" w:type="dxa"/>
            <w:vAlign w:val="center"/>
          </w:tcPr>
          <w:p w:rsidR="0030403A" w:rsidRDefault="003F3530">
            <w:pPr>
              <w:jc w:val="center"/>
            </w:pPr>
            <w:r>
              <w:rPr>
                <w:rFonts w:cs="Arial"/>
                <w:color w:val="000000"/>
                <w:kern w:val="0"/>
                <w:sz w:val="24"/>
                <w:szCs w:val="24"/>
              </w:rPr>
              <w:t>本基金的基金经理；海富通纯债债券基金经理；海富通货币基金经理；海富通集利债券基金经理；海富通添益货币基金经理。</w:t>
            </w:r>
          </w:p>
        </w:tc>
        <w:tc>
          <w:tcPr>
            <w:tcW w:w="1560" w:type="dxa"/>
            <w:vAlign w:val="center"/>
          </w:tcPr>
          <w:p w:rsidR="0030403A" w:rsidRDefault="003F3530">
            <w:pPr>
              <w:jc w:val="center"/>
            </w:pPr>
            <w:r>
              <w:rPr>
                <w:rFonts w:cs="Arial"/>
                <w:color w:val="000000"/>
                <w:kern w:val="0"/>
                <w:sz w:val="24"/>
                <w:szCs w:val="24"/>
              </w:rPr>
              <w:t>2016-05-06</w:t>
            </w:r>
          </w:p>
        </w:tc>
        <w:tc>
          <w:tcPr>
            <w:tcW w:w="1559" w:type="dxa"/>
            <w:vAlign w:val="center"/>
          </w:tcPr>
          <w:p w:rsidR="0030403A" w:rsidRDefault="003F3530">
            <w:pPr>
              <w:jc w:val="center"/>
            </w:pPr>
            <w:r>
              <w:rPr>
                <w:rFonts w:cs="Arial"/>
                <w:color w:val="000000"/>
                <w:kern w:val="0"/>
                <w:sz w:val="24"/>
                <w:szCs w:val="24"/>
              </w:rPr>
              <w:t>-</w:t>
            </w:r>
          </w:p>
        </w:tc>
        <w:tc>
          <w:tcPr>
            <w:tcW w:w="1417" w:type="dxa"/>
            <w:vAlign w:val="center"/>
          </w:tcPr>
          <w:p w:rsidR="0030403A" w:rsidRDefault="003F3530">
            <w:pPr>
              <w:jc w:val="center"/>
            </w:pPr>
            <w:r>
              <w:rPr>
                <w:rFonts w:cs="Arial"/>
                <w:color w:val="000000"/>
                <w:kern w:val="0"/>
                <w:sz w:val="24"/>
                <w:szCs w:val="24"/>
              </w:rPr>
              <w:t>7</w:t>
            </w:r>
            <w:r>
              <w:rPr>
                <w:rFonts w:cs="Arial"/>
                <w:color w:val="000000"/>
                <w:kern w:val="0"/>
                <w:sz w:val="24"/>
                <w:szCs w:val="24"/>
              </w:rPr>
              <w:t>年</w:t>
            </w:r>
          </w:p>
        </w:tc>
        <w:tc>
          <w:tcPr>
            <w:tcW w:w="2694" w:type="dxa"/>
            <w:vAlign w:val="center"/>
          </w:tcPr>
          <w:p w:rsidR="0030403A" w:rsidRDefault="003F3530">
            <w:r>
              <w:rPr>
                <w:rFonts w:cs="Arial"/>
                <w:color w:val="000000"/>
                <w:kern w:val="0"/>
                <w:sz w:val="24"/>
                <w:szCs w:val="24"/>
              </w:rPr>
              <w:t>硕士，持有基金从业人员资格证书。历任平安银行资金交易员，华安基金管理有限公司债券交易员，</w:t>
            </w:r>
            <w:r>
              <w:rPr>
                <w:rFonts w:cs="Arial"/>
                <w:color w:val="000000"/>
                <w:kern w:val="0"/>
                <w:sz w:val="24"/>
                <w:szCs w:val="24"/>
              </w:rPr>
              <w:t>2014</w:t>
            </w:r>
            <w:r>
              <w:rPr>
                <w:rFonts w:cs="Arial"/>
                <w:color w:val="000000"/>
                <w:kern w:val="0"/>
                <w:sz w:val="24"/>
                <w:szCs w:val="24"/>
              </w:rPr>
              <w:t>年</w:t>
            </w:r>
            <w:r>
              <w:rPr>
                <w:rFonts w:cs="Arial"/>
                <w:color w:val="000000"/>
                <w:kern w:val="0"/>
                <w:sz w:val="24"/>
                <w:szCs w:val="24"/>
              </w:rPr>
              <w:t>6</w:t>
            </w:r>
            <w:r>
              <w:rPr>
                <w:rFonts w:cs="Arial"/>
                <w:color w:val="000000"/>
                <w:kern w:val="0"/>
                <w:sz w:val="24"/>
                <w:szCs w:val="24"/>
              </w:rPr>
              <w:t>月加入海富通基金管理有限公司，任海富通货币基金经理助理。</w:t>
            </w:r>
            <w:r>
              <w:rPr>
                <w:rFonts w:cs="Arial"/>
                <w:color w:val="000000"/>
                <w:kern w:val="0"/>
                <w:sz w:val="24"/>
                <w:szCs w:val="24"/>
              </w:rPr>
              <w:t>2016</w:t>
            </w:r>
            <w:r>
              <w:rPr>
                <w:rFonts w:cs="Arial"/>
                <w:color w:val="000000"/>
                <w:kern w:val="0"/>
                <w:sz w:val="24"/>
                <w:szCs w:val="24"/>
              </w:rPr>
              <w:t>年</w:t>
            </w:r>
            <w:r>
              <w:rPr>
                <w:rFonts w:cs="Arial"/>
                <w:color w:val="000000"/>
                <w:kern w:val="0"/>
                <w:sz w:val="24"/>
                <w:szCs w:val="24"/>
              </w:rPr>
              <w:t>5</w:t>
            </w:r>
            <w:r>
              <w:rPr>
                <w:rFonts w:cs="Arial"/>
                <w:color w:val="000000"/>
                <w:kern w:val="0"/>
                <w:sz w:val="24"/>
                <w:szCs w:val="24"/>
              </w:rPr>
              <w:t>月至</w:t>
            </w:r>
            <w:r>
              <w:rPr>
                <w:rFonts w:cs="Arial"/>
                <w:color w:val="000000"/>
                <w:kern w:val="0"/>
                <w:sz w:val="24"/>
                <w:szCs w:val="24"/>
              </w:rPr>
              <w:t>2017</w:t>
            </w:r>
            <w:r>
              <w:rPr>
                <w:rFonts w:cs="Arial"/>
                <w:color w:val="000000"/>
                <w:kern w:val="0"/>
                <w:sz w:val="24"/>
                <w:szCs w:val="24"/>
              </w:rPr>
              <w:t>年</w:t>
            </w:r>
            <w:r>
              <w:rPr>
                <w:rFonts w:cs="Arial"/>
                <w:color w:val="000000"/>
                <w:kern w:val="0"/>
                <w:sz w:val="24"/>
                <w:szCs w:val="24"/>
              </w:rPr>
              <w:t>10</w:t>
            </w:r>
            <w:r>
              <w:rPr>
                <w:rFonts w:cs="Arial"/>
                <w:color w:val="000000"/>
                <w:kern w:val="0"/>
                <w:sz w:val="24"/>
                <w:szCs w:val="24"/>
              </w:rPr>
              <w:t>月兼任海富通双利债券基金经理。</w:t>
            </w:r>
            <w:r>
              <w:rPr>
                <w:rFonts w:cs="Arial"/>
                <w:color w:val="000000"/>
                <w:kern w:val="0"/>
                <w:sz w:val="24"/>
                <w:szCs w:val="24"/>
              </w:rPr>
              <w:t>2016</w:t>
            </w:r>
            <w:r>
              <w:rPr>
                <w:rFonts w:cs="Arial"/>
                <w:color w:val="000000"/>
                <w:kern w:val="0"/>
                <w:sz w:val="24"/>
                <w:szCs w:val="24"/>
              </w:rPr>
              <w:t>年</w:t>
            </w:r>
            <w:r>
              <w:rPr>
                <w:rFonts w:cs="Arial"/>
                <w:color w:val="000000"/>
                <w:kern w:val="0"/>
                <w:sz w:val="24"/>
                <w:szCs w:val="24"/>
              </w:rPr>
              <w:t>5</w:t>
            </w:r>
            <w:r>
              <w:rPr>
                <w:rFonts w:cs="Arial"/>
                <w:color w:val="000000"/>
                <w:kern w:val="0"/>
                <w:sz w:val="24"/>
                <w:szCs w:val="24"/>
              </w:rPr>
              <w:t>月起任海富通纯债债券、海富通双福债券（原海富通双福分级债券）及海富通货币基金经理。</w:t>
            </w:r>
            <w:r>
              <w:rPr>
                <w:rFonts w:cs="Arial"/>
                <w:color w:val="000000"/>
                <w:kern w:val="0"/>
                <w:sz w:val="24"/>
                <w:szCs w:val="24"/>
              </w:rPr>
              <w:t>2016</w:t>
            </w:r>
            <w:r>
              <w:rPr>
                <w:rFonts w:cs="Arial"/>
                <w:color w:val="000000"/>
                <w:kern w:val="0"/>
                <w:sz w:val="24"/>
                <w:szCs w:val="24"/>
              </w:rPr>
              <w:t>年</w:t>
            </w:r>
            <w:r>
              <w:rPr>
                <w:rFonts w:cs="Arial"/>
                <w:color w:val="000000"/>
                <w:kern w:val="0"/>
                <w:sz w:val="24"/>
                <w:szCs w:val="24"/>
              </w:rPr>
              <w:t>9</w:t>
            </w:r>
            <w:r>
              <w:rPr>
                <w:rFonts w:cs="Arial"/>
                <w:color w:val="000000"/>
                <w:kern w:val="0"/>
                <w:sz w:val="24"/>
                <w:szCs w:val="24"/>
              </w:rPr>
              <w:t>月起兼任海富通集利债券基金经理。</w:t>
            </w:r>
            <w:r>
              <w:rPr>
                <w:rFonts w:cs="Arial"/>
                <w:color w:val="000000"/>
                <w:kern w:val="0"/>
                <w:sz w:val="24"/>
                <w:szCs w:val="24"/>
              </w:rPr>
              <w:t>2017</w:t>
            </w:r>
            <w:r>
              <w:rPr>
                <w:rFonts w:cs="Arial"/>
                <w:color w:val="000000"/>
                <w:kern w:val="0"/>
                <w:sz w:val="24"/>
                <w:szCs w:val="24"/>
              </w:rPr>
              <w:t>年</w:t>
            </w:r>
            <w:r>
              <w:rPr>
                <w:rFonts w:cs="Arial"/>
                <w:color w:val="000000"/>
                <w:kern w:val="0"/>
                <w:sz w:val="24"/>
                <w:szCs w:val="24"/>
              </w:rPr>
              <w:t>8</w:t>
            </w:r>
            <w:r>
              <w:rPr>
                <w:rFonts w:cs="Arial"/>
                <w:color w:val="000000"/>
                <w:kern w:val="0"/>
                <w:sz w:val="24"/>
                <w:szCs w:val="24"/>
              </w:rPr>
              <w:t>月起兼任海富通添益货币基金经理。</w:t>
            </w:r>
          </w:p>
        </w:tc>
      </w:tr>
    </w:tbl>
    <w:p w:rsidR="0030403A" w:rsidRDefault="003F3530">
      <w:pPr>
        <w:autoSpaceDE w:val="0"/>
        <w:autoSpaceDN w:val="0"/>
        <w:adjustRightInd w:val="0"/>
        <w:spacing w:before="29" w:line="288" w:lineRule="auto"/>
        <w:jc w:val="left"/>
        <w:rPr>
          <w:rFonts w:ascii="宋体" w:hAnsi="宋体" w:cs="Arial"/>
          <w:color w:val="000000"/>
          <w:sz w:val="24"/>
          <w:szCs w:val="24"/>
        </w:rPr>
      </w:pPr>
      <w:r>
        <w:rPr>
          <w:rFonts w:ascii="宋体" w:hAnsi="宋体" w:cs="Arial"/>
          <w:color w:val="000000"/>
          <w:sz w:val="24"/>
          <w:szCs w:val="24"/>
        </w:rPr>
        <w:t>注：1、对基金的首任基金经理，其任职日期指基金合同生效日，离任日期指公司做出决定之日；非首任基金经理，其任职日期和离任日期均指公司做出决定之日。</w:t>
      </w:r>
    </w:p>
    <w:p w:rsidR="00EE2E42" w:rsidRDefault="00DF20DF">
      <w:pPr>
        <w:autoSpaceDE w:val="0"/>
        <w:autoSpaceDN w:val="0"/>
        <w:adjustRightInd w:val="0"/>
        <w:spacing w:before="29" w:line="288" w:lineRule="auto"/>
        <w:jc w:val="left"/>
        <w:rPr>
          <w:rFonts w:ascii="宋体" w:hAnsi="宋体" w:cs="Arial"/>
          <w:color w:val="000000"/>
          <w:sz w:val="24"/>
          <w:szCs w:val="24"/>
        </w:rPr>
      </w:pPr>
      <w:r>
        <w:rPr>
          <w:rFonts w:ascii="宋体" w:hAnsi="宋体" w:cs="Arial"/>
          <w:color w:val="000000"/>
          <w:sz w:val="24"/>
          <w:szCs w:val="24"/>
        </w:rPr>
        <w:t>2、证券从业年限的计算标准为：自参加证券行业的相关工作开始计算。</w:t>
      </w: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DF20DF">
      <w:pPr>
        <w:spacing w:line="360" w:lineRule="auto"/>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4.2 报告期内本基金运作遵规守信情况说明</w:t>
      </w:r>
    </w:p>
    <w:p w:rsidR="00EE2E42" w:rsidRDefault="00DF20DF">
      <w:pPr>
        <w:spacing w:line="360" w:lineRule="auto"/>
        <w:ind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本报告期内，本基金管理人认真遵循《中华人民共和国证券投资基金法》及其他有关法律法规、基金合同的规定，本着诚实信用、勤勉尽职的原则管理和运用基金资产，没有发生损害基金份额持有人利益的行为。</w:t>
      </w:r>
    </w:p>
    <w:p w:rsidR="00EE2E42" w:rsidRDefault="00EE2E42">
      <w:pPr>
        <w:pStyle w:val="30"/>
        <w:snapToGrid w:val="0"/>
        <w:spacing w:line="360" w:lineRule="auto"/>
        <w:ind w:firstLine="480"/>
        <w:rPr>
          <w:rFonts w:asciiTheme="minorEastAsia" w:eastAsiaTheme="minorEastAsia" w:hAnsiTheme="minorEastAsia"/>
          <w:color w:val="000000" w:themeColor="text1"/>
          <w:sz w:val="24"/>
        </w:rPr>
      </w:pPr>
    </w:p>
    <w:p w:rsidR="00EE2E42" w:rsidRDefault="00DF20DF">
      <w:pPr>
        <w:autoSpaceDE w:val="0"/>
        <w:autoSpaceDN w:val="0"/>
        <w:adjustRightInd w:val="0"/>
        <w:spacing w:line="360" w:lineRule="auto"/>
        <w:jc w:val="left"/>
        <w:rPr>
          <w:rFonts w:asciiTheme="minorEastAsia" w:eastAsiaTheme="minorEastAsia" w:hAnsiTheme="minorEastAsia" w:cs="Arial"/>
          <w:b/>
          <w:color w:val="000000" w:themeColor="text1"/>
          <w:kern w:val="0"/>
          <w:sz w:val="24"/>
        </w:rPr>
      </w:pPr>
      <w:r>
        <w:rPr>
          <w:rFonts w:asciiTheme="minorEastAsia" w:eastAsiaTheme="minorEastAsia" w:hAnsiTheme="minorEastAsia" w:cs="Arial"/>
          <w:b/>
          <w:color w:val="000000" w:themeColor="text1"/>
          <w:kern w:val="0"/>
          <w:sz w:val="24"/>
        </w:rPr>
        <w:t xml:space="preserve">4.3 </w:t>
      </w:r>
      <w:r>
        <w:rPr>
          <w:rFonts w:asciiTheme="minorEastAsia" w:eastAsiaTheme="minorEastAsia" w:hAnsiTheme="minorEastAsia" w:cs="Arial" w:hint="eastAsia"/>
          <w:b/>
          <w:color w:val="000000" w:themeColor="text1"/>
          <w:kern w:val="0"/>
          <w:sz w:val="24"/>
        </w:rPr>
        <w:t>公平交易专项说明</w:t>
      </w:r>
    </w:p>
    <w:p w:rsidR="00EE2E42" w:rsidRDefault="00DF20DF">
      <w:pPr>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4.3.1 公平交易制度的执行情况</w:t>
      </w:r>
    </w:p>
    <w:p w:rsidR="0030403A" w:rsidRDefault="003F3530">
      <w:pPr>
        <w:spacing w:line="360" w:lineRule="auto"/>
        <w:ind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公司根据证监会2011年发布的《证券投资基金管理公司公平交易制度指导意见》的具体要求，持续完善了公司投资交易业务流程和公平交易制度。制度和流程覆盖了境内、境外上市股票、债券、基金的一级市场申购、二级市场交易等投资管理活动，涵盖了授权、研究分析、投资决策、交易执行、业绩评估等投资管理活动相关的各个环节。同时，公司投资交易业务组织架构保证了各投资组合投资决策相对独立，确保其在获得投资信息、投资建议和实施投资决策方面享有公平的机会。</w:t>
      </w:r>
    </w:p>
    <w:p w:rsidR="0030403A" w:rsidRDefault="003F3530">
      <w:pPr>
        <w:spacing w:line="360" w:lineRule="auto"/>
        <w:ind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公司建立了严格的投资交易行为监控制度，公司投资交易行为监控体系由交易室、投资部门、监察稽核部和风险管理部组成，各部门各司其职，对投资交易行为进行事前、事中和事后的全程监控，保证本报告期内公平对待旗下管理的所有基金和投资组合。</w:t>
      </w:r>
    </w:p>
    <w:p w:rsidR="00EE2E42" w:rsidRDefault="00EE2E42">
      <w:pPr>
        <w:spacing w:line="360" w:lineRule="auto"/>
        <w:ind w:firstLineChars="200" w:firstLine="420"/>
        <w:rPr>
          <w:rFonts w:asciiTheme="minorEastAsia" w:eastAsiaTheme="minorEastAsia" w:hAnsiTheme="minorEastAsia"/>
          <w:color w:val="000000" w:themeColor="text1"/>
        </w:rPr>
      </w:pPr>
    </w:p>
    <w:p w:rsidR="00EE2E42" w:rsidRDefault="00DF20DF">
      <w:pPr>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4.3.2 异常交易行为的专项说明</w:t>
      </w:r>
    </w:p>
    <w:p w:rsidR="00EE2E42" w:rsidRDefault="00DF20DF">
      <w:pPr>
        <w:spacing w:line="360" w:lineRule="auto"/>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本报告期内，未发现本基金进行可能导致不公平交易和利益输送的异常交易。</w:t>
      </w:r>
    </w:p>
    <w:p w:rsidR="00EE2E42" w:rsidRDefault="00EE2E42">
      <w:pPr>
        <w:spacing w:line="360" w:lineRule="auto"/>
        <w:ind w:firstLineChars="200" w:firstLine="480"/>
        <w:rPr>
          <w:rFonts w:asciiTheme="minorEastAsia" w:eastAsiaTheme="minorEastAsia" w:hAnsiTheme="minorEastAsia"/>
          <w:color w:val="000000" w:themeColor="text1"/>
          <w:sz w:val="24"/>
        </w:rPr>
      </w:pPr>
    </w:p>
    <w:p w:rsidR="00EE2E42" w:rsidRDefault="00DF20DF">
      <w:pPr>
        <w:autoSpaceDE w:val="0"/>
        <w:autoSpaceDN w:val="0"/>
        <w:adjustRightInd w:val="0"/>
        <w:spacing w:line="360" w:lineRule="auto"/>
        <w:jc w:val="left"/>
        <w:rPr>
          <w:rFonts w:asciiTheme="minorEastAsia" w:eastAsiaTheme="minorEastAsia" w:hAnsiTheme="minorEastAsia" w:cs="Arial"/>
          <w:b/>
          <w:color w:val="000000" w:themeColor="text1"/>
          <w:kern w:val="0"/>
          <w:sz w:val="24"/>
        </w:rPr>
      </w:pPr>
      <w:r>
        <w:rPr>
          <w:rFonts w:asciiTheme="minorEastAsia" w:eastAsiaTheme="minorEastAsia" w:hAnsiTheme="minorEastAsia" w:cs="Arial"/>
          <w:b/>
          <w:color w:val="000000" w:themeColor="text1"/>
          <w:kern w:val="0"/>
          <w:sz w:val="24"/>
        </w:rPr>
        <w:t xml:space="preserve">4.4 </w:t>
      </w:r>
      <w:r>
        <w:rPr>
          <w:rFonts w:asciiTheme="minorEastAsia" w:eastAsiaTheme="minorEastAsia" w:hAnsiTheme="minorEastAsia" w:cs="Arial" w:hint="eastAsia"/>
          <w:b/>
          <w:color w:val="000000" w:themeColor="text1"/>
          <w:kern w:val="0"/>
          <w:sz w:val="24"/>
        </w:rPr>
        <w:t>报告期内基金的投资策略和业绩表现说明</w:t>
      </w:r>
    </w:p>
    <w:p w:rsidR="00EE2E42" w:rsidRDefault="00DF20DF">
      <w:pPr>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4.4.1报告期内基金投资策略和运作分析</w:t>
      </w:r>
    </w:p>
    <w:p w:rsidR="0030403A" w:rsidRDefault="003F3530">
      <w:pPr>
        <w:spacing w:line="360" w:lineRule="auto"/>
        <w:ind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从经济层面看，二季度经济数据呈现供给强于需求的特征。供给端，工业企业生产相对旺盛，4-5月工业增加值同比增幅和PMI生产指数均高于去年同期，工业品库存加速去化，工业品价格普遍上涨，且高炉开工率已恢复到去年10月底的水平；需求端，房地产投资依靠前期的土地购置费保持一定的增速，但已出现边际转弱的迹象，基建投资受非标和融资渠道的收紧出现大幅下滑，同时消费端表现较弱。通胀方面，整体表现相对温和，CPI受食品项低于季节性的影响表现较弱，而因工业品价格普涨和低基数效应，PPI同比增速相较一季度有所上行。二季度货币政策稳健偏松，资金面整体保持平稳，而债券收益率呈现震荡下行的态势。4月中旬央行宣布年内第二次定向降准的消息，市场情绪随之高涨，10年期国债收益率快速下行至3.5%，但随后出现回调；5月中旬至6月，随着中美贸易摩擦不断反复，5月经济数据又出现超预期的下滑，央行宽货币的意图进一步明确，不仅未跟随美联储加息，随之又宣布第三次定向降准以支持银行“债转股”项目和解决小微企业融资问题。在上述多重利好因素下，6月下旬利率再次大幅下行。信用债方面，二季度民营企业债券违约事件频发，城投非标逾期等负面消息不断，市场笼罩在违约阴影下，风险偏好急剧下降，信用利差也随之大幅走扩。整个二季度，10年期国债收益率下行27BP，10年期国开债收益率下行39BP，3年期AAA级企业债收益率下行39BP，AA级企业债收益率上行10BP。可转债方面，二季度转债市场受股市下跌影响较大，整体巨幅波动，呈现出前期震荡、后期单边下行的走势。此外，信用风险的叠加使得低价券杀跌更为严重，二季度中证转债指数跌5.82%。</w:t>
      </w:r>
    </w:p>
    <w:p w:rsidR="00EE2E42" w:rsidRDefault="00DF20DF">
      <w:pPr>
        <w:spacing w:line="360" w:lineRule="auto"/>
        <w:ind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在二季度，为应对本基金的开放申赎和转型，我们主动变现了所有资产以应对赎回。</w:t>
      </w:r>
    </w:p>
    <w:p w:rsidR="00EE2E42" w:rsidRDefault="00EE2E42">
      <w:pPr>
        <w:spacing w:line="360" w:lineRule="auto"/>
        <w:ind w:firstLineChars="200" w:firstLine="420"/>
        <w:rPr>
          <w:rFonts w:asciiTheme="minorEastAsia" w:eastAsiaTheme="minorEastAsia" w:hAnsiTheme="minorEastAsia"/>
          <w:color w:val="000000" w:themeColor="text1"/>
          <w:kern w:val="0"/>
        </w:rPr>
      </w:pPr>
    </w:p>
    <w:p w:rsidR="00EE2E42" w:rsidRDefault="00DF20DF">
      <w:pPr>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4.4.2报告期内基金的业绩表现</w:t>
      </w:r>
    </w:p>
    <w:p w:rsidR="00EE2E42" w:rsidRDefault="00DF20DF">
      <w:pPr>
        <w:spacing w:line="360" w:lineRule="auto"/>
        <w:ind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rPr>
        <w:t>报告期内，原海富通双福分级债券型证券投资基金（2018.4.1-2018.6.4）基金份额净值增长率为0.36%，同期业绩比较基准收益率为</w:t>
      </w:r>
      <w:r w:rsidR="00A02D5E">
        <w:rPr>
          <w:rFonts w:asciiTheme="minorEastAsia" w:eastAsiaTheme="minorEastAsia" w:hAnsiTheme="minorEastAsia" w:hint="eastAsia"/>
          <w:color w:val="000000" w:themeColor="text1"/>
        </w:rPr>
        <w:t>1.46</w:t>
      </w:r>
      <w:r>
        <w:rPr>
          <w:rFonts w:asciiTheme="minorEastAsia" w:eastAsiaTheme="minorEastAsia" w:hAnsiTheme="minorEastAsia"/>
          <w:color w:val="000000" w:themeColor="text1"/>
        </w:rPr>
        <w:t>%</w:t>
      </w:r>
      <w:r w:rsidR="00A02D5E">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海富通双福债券型证券投资基金（2018.6.5-2018.6.30）基金份额净值增长率为-0.24%，同期业绩比较基准收益率为0.70%。</w:t>
      </w:r>
    </w:p>
    <w:p w:rsidR="00EE2E42" w:rsidRDefault="00EE2E42">
      <w:pPr>
        <w:spacing w:line="360" w:lineRule="auto"/>
        <w:ind w:firstLineChars="200" w:firstLine="420"/>
        <w:rPr>
          <w:rFonts w:asciiTheme="minorEastAsia" w:eastAsiaTheme="minorEastAsia" w:hAnsiTheme="minorEastAsia"/>
          <w:color w:val="000000" w:themeColor="text1"/>
          <w:kern w:val="0"/>
        </w:rPr>
      </w:pPr>
    </w:p>
    <w:p w:rsidR="00EE2E42" w:rsidRDefault="00DF20DF">
      <w:pPr>
        <w:autoSpaceDE w:val="0"/>
        <w:autoSpaceDN w:val="0"/>
        <w:adjustRightInd w:val="0"/>
        <w:spacing w:line="360" w:lineRule="auto"/>
        <w:jc w:val="left"/>
        <w:rPr>
          <w:rFonts w:asciiTheme="minorEastAsia" w:eastAsiaTheme="minorEastAsia" w:hAnsiTheme="minorEastAsia" w:cs="Arial"/>
          <w:b/>
          <w:color w:val="000000" w:themeColor="text1"/>
          <w:kern w:val="0"/>
          <w:sz w:val="24"/>
        </w:rPr>
      </w:pPr>
      <w:bookmarkStart w:id="1" w:name="_Toc255486598"/>
      <w:bookmarkStart w:id="2" w:name="_Toc245193825"/>
      <w:r>
        <w:rPr>
          <w:rFonts w:asciiTheme="minorEastAsia" w:eastAsiaTheme="minorEastAsia" w:hAnsiTheme="minorEastAsia"/>
          <w:b/>
          <w:color w:val="000000" w:themeColor="text1"/>
          <w:kern w:val="0"/>
          <w:sz w:val="24"/>
        </w:rPr>
        <w:t>4</w:t>
      </w:r>
      <w:r>
        <w:rPr>
          <w:rFonts w:asciiTheme="minorEastAsia" w:eastAsiaTheme="minorEastAsia" w:hAnsiTheme="minorEastAsia" w:hint="eastAsia"/>
          <w:b/>
          <w:color w:val="000000" w:themeColor="text1"/>
          <w:kern w:val="0"/>
          <w:sz w:val="24"/>
        </w:rPr>
        <w:t>.5</w:t>
      </w:r>
      <w:r>
        <w:rPr>
          <w:rFonts w:asciiTheme="minorEastAsia" w:eastAsiaTheme="minorEastAsia" w:hAnsiTheme="minorEastAsia" w:cs="Arial" w:hint="eastAsia"/>
          <w:b/>
          <w:color w:val="000000" w:themeColor="text1"/>
          <w:kern w:val="0"/>
          <w:sz w:val="24"/>
        </w:rPr>
        <w:t>管理人对宏观经济、证券市场及行业走势的简要展望</w:t>
      </w:r>
      <w:bookmarkEnd w:id="1"/>
      <w:bookmarkEnd w:id="2"/>
    </w:p>
    <w:p w:rsidR="0030403A" w:rsidRDefault="003F3530">
      <w:pPr>
        <w:spacing w:line="360" w:lineRule="auto"/>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展望三季度，预计经济数据有一些回落的压力，而通胀数据较为温和。6月中下旬以来，工业品价格出现小幅回调，库存去化速度放缓，预计三季度工业生产会季节性走弱。房地产投资虽有前期土地购置费用的支撑，但受房地产企业融资渠道受限的影响，或边际转弱；而在二季度基建投资大幅下滑的背景下，三季度政府或增加财政支出，基建投资增速或保持相对平稳。随着中美贸易战的不断反复，出口仍存在边际下行压力。总体看经济承压但有一定的韧性，或继续呈现平稳下行的态势。通胀方面，受季节性和高基数效应的影响，PPI相较二季度走弱，同时考虑到猪肉价格底部震荡，CPI增长或保持温和态势。政策方面，紧信用环境下实体经济融资难度和成本提高，为对冲经济的下滑，三季度货币政策或延续稳健偏松和灵活操作，定向降准仍有空间。在上述判断下，我们认为三季度利率仍有进一步下行的机会和空间，可积极参与利率债交易，但要把握节奏，密切关注资管新规细则落地的影响和人民币汇率的走势。信用债方面，低资质企业非标转标和直接融资预计仍然比较困难，叠加三季度信用债到期和回售压力较大，信用负面事件对市场的冲击或仍未结束，信用策略总体仍以防守为主，但亦要观察可能出现的政策托底带来的机会。可转债方面，估值已接近历史底部但股市风险未消，与二季度相同的是，情绪化引起的大幅波动将是交易机会和风险的集中体现，而不同于二季度的个券行情，三季度市场的beta机会可能会更多显现。</w:t>
      </w:r>
    </w:p>
    <w:p w:rsidR="00EE2E42" w:rsidRDefault="00DF20DF">
      <w:pPr>
        <w:spacing w:line="360" w:lineRule="auto"/>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三季度,本基金转型为普通的开放式债基，主要投资范围为：可转债，利率债等固定收益品种。本基金将根据规模变动情况来优化组合结构。</w:t>
      </w:r>
    </w:p>
    <w:p w:rsidR="00EE2E42" w:rsidRDefault="00EE2E42">
      <w:pPr>
        <w:spacing w:line="360" w:lineRule="auto"/>
        <w:rPr>
          <w:rFonts w:asciiTheme="minorEastAsia" w:eastAsiaTheme="minorEastAsia" w:hAnsiTheme="minorEastAsia"/>
          <w:color w:val="000000" w:themeColor="text1"/>
        </w:rPr>
      </w:pPr>
    </w:p>
    <w:p w:rsidR="00EE2E42" w:rsidRDefault="00DF20DF">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b/>
          <w:color w:val="000000" w:themeColor="text1"/>
          <w:kern w:val="0"/>
          <w:sz w:val="24"/>
        </w:rPr>
        <w:t>4</w:t>
      </w:r>
      <w:r>
        <w:rPr>
          <w:rFonts w:asciiTheme="minorEastAsia" w:eastAsiaTheme="minorEastAsia" w:hAnsiTheme="minorEastAsia" w:hint="eastAsia"/>
          <w:b/>
          <w:color w:val="000000" w:themeColor="text1"/>
          <w:kern w:val="0"/>
          <w:sz w:val="24"/>
        </w:rPr>
        <w:t>.6报告期内基金持有人数或基金资产净值预警说明</w:t>
      </w:r>
    </w:p>
    <w:p w:rsidR="00EE2E42" w:rsidRDefault="00DF20DF">
      <w:pPr>
        <w:spacing w:line="360" w:lineRule="auto"/>
        <w:ind w:firstLineChars="200" w:firstLine="420"/>
        <w:rPr>
          <w:rFonts w:asciiTheme="minorEastAsia" w:eastAsiaTheme="minorEastAsia" w:hAnsiTheme="minorEastAsia"/>
          <w:color w:val="000000" w:themeColor="text1"/>
        </w:rPr>
      </w:pPr>
      <w:r>
        <w:rPr>
          <w:rFonts w:asciiTheme="minorEastAsia" w:eastAsiaTheme="minorEastAsia" w:hAnsiTheme="minorEastAsia"/>
          <w:color w:val="000000" w:themeColor="text1"/>
          <w:kern w:val="0"/>
        </w:rPr>
        <w:t>本基金本报告期无需要说明的情形。</w:t>
      </w:r>
    </w:p>
    <w:p w:rsidR="00EE2E42" w:rsidRDefault="00EE2E42">
      <w:pPr>
        <w:spacing w:line="360" w:lineRule="auto"/>
        <w:ind w:firstLineChars="200" w:firstLine="480"/>
        <w:rPr>
          <w:rFonts w:ascii="宋体" w:hAnsi="宋体" w:cs="Arial"/>
          <w:color w:val="000000"/>
          <w:sz w:val="24"/>
          <w:szCs w:val="24"/>
        </w:rPr>
      </w:pPr>
    </w:p>
    <w:p w:rsidR="00EE2E42" w:rsidRDefault="00DF20DF">
      <w:pPr>
        <w:pStyle w:val="1"/>
        <w:jc w:val="center"/>
        <w:rPr>
          <w:rFonts w:cs="Arial"/>
          <w:b w:val="0"/>
          <w:color w:val="000000"/>
          <w:kern w:val="0"/>
          <w:sz w:val="24"/>
          <w:szCs w:val="24"/>
        </w:rPr>
      </w:pPr>
      <w:r>
        <w:rPr>
          <w:rFonts w:cs="Arial" w:hint="eastAsia"/>
          <w:color w:val="000000"/>
          <w:kern w:val="0"/>
          <w:sz w:val="24"/>
          <w:szCs w:val="24"/>
        </w:rPr>
        <w:t>§</w:t>
      </w:r>
      <w:r>
        <w:rPr>
          <w:rFonts w:cs="Arial" w:hint="eastAsia"/>
          <w:color w:val="000000"/>
          <w:kern w:val="0"/>
          <w:sz w:val="24"/>
          <w:szCs w:val="24"/>
        </w:rPr>
        <w:t>5</w:t>
      </w:r>
      <w:r>
        <w:rPr>
          <w:rFonts w:cs="Arial" w:hint="eastAsia"/>
          <w:color w:val="000000"/>
          <w:kern w:val="0"/>
          <w:sz w:val="24"/>
          <w:szCs w:val="24"/>
        </w:rPr>
        <w:t>投资组合报告</w:t>
      </w:r>
    </w:p>
    <w:p w:rsidR="00EE2E42" w:rsidRDefault="00EE2E42">
      <w:pPr>
        <w:autoSpaceDE w:val="0"/>
        <w:autoSpaceDN w:val="0"/>
        <w:adjustRightInd w:val="0"/>
        <w:spacing w:before="29" w:line="288" w:lineRule="auto"/>
        <w:ind w:left="15"/>
        <w:jc w:val="center"/>
        <w:rPr>
          <w:rFonts w:cs="Arial"/>
          <w:b/>
          <w:color w:val="000000"/>
          <w:kern w:val="0"/>
          <w:sz w:val="24"/>
          <w:szCs w:val="24"/>
        </w:rPr>
      </w:pPr>
    </w:p>
    <w:p w:rsidR="00EE2E42" w:rsidRDefault="00DF20DF">
      <w:pPr>
        <w:pStyle w:val="2"/>
        <w:rPr>
          <w:b w:val="0"/>
          <w:color w:val="000000"/>
          <w:kern w:val="0"/>
        </w:rPr>
      </w:pPr>
      <w:r>
        <w:rPr>
          <w:color w:val="000000"/>
          <w:kern w:val="0"/>
        </w:rPr>
        <w:t>5.1</w:t>
      </w:r>
      <w:r>
        <w:rPr>
          <w:color w:val="000000"/>
          <w:kern w:val="0"/>
        </w:rPr>
        <w:t>海富通双福债券型证券投资基金</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（报告期：</w:t>
      </w:r>
      <w:r>
        <w:rPr>
          <w:rFonts w:cs="Arial" w:hint="eastAsia"/>
          <w:b/>
          <w:color w:val="000000"/>
          <w:kern w:val="0"/>
          <w:sz w:val="24"/>
          <w:szCs w:val="24"/>
        </w:rPr>
        <w:t>2018</w:t>
      </w:r>
      <w:r>
        <w:rPr>
          <w:rFonts w:cs="Arial" w:hint="eastAsia"/>
          <w:b/>
          <w:color w:val="000000"/>
          <w:kern w:val="0"/>
          <w:sz w:val="24"/>
          <w:szCs w:val="24"/>
        </w:rPr>
        <w:t>年</w:t>
      </w:r>
      <w:r>
        <w:rPr>
          <w:rFonts w:cs="Arial" w:hint="eastAsia"/>
          <w:b/>
          <w:color w:val="000000"/>
          <w:kern w:val="0"/>
          <w:sz w:val="24"/>
          <w:szCs w:val="24"/>
        </w:rPr>
        <w:t>6</w:t>
      </w:r>
      <w:r>
        <w:rPr>
          <w:rFonts w:cs="Arial" w:hint="eastAsia"/>
          <w:b/>
          <w:color w:val="000000"/>
          <w:kern w:val="0"/>
          <w:sz w:val="24"/>
          <w:szCs w:val="24"/>
        </w:rPr>
        <w:t>月</w:t>
      </w:r>
      <w:r>
        <w:rPr>
          <w:rFonts w:cs="Arial" w:hint="eastAsia"/>
          <w:b/>
          <w:color w:val="000000"/>
          <w:kern w:val="0"/>
          <w:sz w:val="24"/>
          <w:szCs w:val="24"/>
        </w:rPr>
        <w:t>5</w:t>
      </w:r>
      <w:r>
        <w:rPr>
          <w:rFonts w:cs="Arial" w:hint="eastAsia"/>
          <w:b/>
          <w:color w:val="000000"/>
          <w:kern w:val="0"/>
          <w:sz w:val="24"/>
          <w:szCs w:val="24"/>
        </w:rPr>
        <w:t>日</w:t>
      </w:r>
      <w:r>
        <w:rPr>
          <w:rFonts w:cs="Arial" w:hint="eastAsia"/>
          <w:b/>
          <w:color w:val="000000"/>
          <w:kern w:val="0"/>
          <w:sz w:val="24"/>
          <w:szCs w:val="24"/>
        </w:rPr>
        <w:t>-2018</w:t>
      </w:r>
      <w:r>
        <w:rPr>
          <w:rFonts w:cs="Arial" w:hint="eastAsia"/>
          <w:b/>
          <w:color w:val="000000"/>
          <w:kern w:val="0"/>
          <w:sz w:val="24"/>
          <w:szCs w:val="24"/>
        </w:rPr>
        <w:t>年</w:t>
      </w:r>
      <w:r>
        <w:rPr>
          <w:rFonts w:cs="Arial" w:hint="eastAsia"/>
          <w:b/>
          <w:color w:val="000000"/>
          <w:kern w:val="0"/>
          <w:sz w:val="24"/>
          <w:szCs w:val="24"/>
        </w:rPr>
        <w:t>6</w:t>
      </w:r>
      <w:r>
        <w:rPr>
          <w:rFonts w:cs="Arial" w:hint="eastAsia"/>
          <w:b/>
          <w:color w:val="000000"/>
          <w:kern w:val="0"/>
          <w:sz w:val="24"/>
          <w:szCs w:val="24"/>
        </w:rPr>
        <w:t>月</w:t>
      </w:r>
      <w:r>
        <w:rPr>
          <w:rFonts w:cs="Arial" w:hint="eastAsia"/>
          <w:b/>
          <w:color w:val="000000"/>
          <w:kern w:val="0"/>
          <w:sz w:val="24"/>
          <w:szCs w:val="24"/>
        </w:rPr>
        <w:t>30</w:t>
      </w:r>
      <w:r>
        <w:rPr>
          <w:rFonts w:cs="Arial" w:hint="eastAsia"/>
          <w:b/>
          <w:color w:val="000000"/>
          <w:kern w:val="0"/>
          <w:sz w:val="24"/>
          <w:szCs w:val="24"/>
        </w:rPr>
        <w:t>日）</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b/>
          <w:color w:val="000000"/>
          <w:kern w:val="0"/>
          <w:sz w:val="24"/>
          <w:szCs w:val="24"/>
        </w:rPr>
        <w:t>5.1</w:t>
      </w:r>
      <w:r>
        <w:rPr>
          <w:rFonts w:cs="Arial" w:hint="eastAsia"/>
          <w:b/>
          <w:color w:val="000000"/>
          <w:kern w:val="0"/>
          <w:sz w:val="24"/>
          <w:szCs w:val="24"/>
        </w:rPr>
        <w:t>.1</w:t>
      </w:r>
      <w:r>
        <w:rPr>
          <w:rFonts w:cs="Arial" w:hint="eastAsia"/>
          <w:b/>
          <w:color w:val="000000"/>
          <w:kern w:val="0"/>
          <w:sz w:val="24"/>
          <w:szCs w:val="24"/>
        </w:rPr>
        <w:t>报告期末基金资产组合情况</w:t>
      </w:r>
    </w:p>
    <w:tbl>
      <w:tblPr>
        <w:tblStyle w:val="af8"/>
        <w:tblW w:w="8897" w:type="dxa"/>
        <w:jc w:val="center"/>
        <w:tblLayout w:type="fixed"/>
        <w:tblLook w:val="04A0"/>
      </w:tblPr>
      <w:tblGrid>
        <w:gridCol w:w="720"/>
        <w:gridCol w:w="3357"/>
        <w:gridCol w:w="2977"/>
        <w:gridCol w:w="1843"/>
      </w:tblGrid>
      <w:tr w:rsidR="00EE2E42">
        <w:trPr>
          <w:jc w:val="center"/>
        </w:trPr>
        <w:tc>
          <w:tcPr>
            <w:tcW w:w="72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序号</w:t>
            </w:r>
          </w:p>
        </w:tc>
        <w:tc>
          <w:tcPr>
            <w:tcW w:w="3357"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项目</w:t>
            </w:r>
          </w:p>
        </w:tc>
        <w:tc>
          <w:tcPr>
            <w:tcW w:w="2977"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金额</w:t>
            </w:r>
            <w:r>
              <w:rPr>
                <w:rFonts w:cs="Arial" w:hint="eastAsia"/>
                <w:color w:val="000000"/>
                <w:kern w:val="0"/>
                <w:sz w:val="24"/>
                <w:szCs w:val="24"/>
              </w:rPr>
              <w:t>(</w:t>
            </w:r>
            <w:r>
              <w:rPr>
                <w:rFonts w:cs="Arial" w:hint="eastAsia"/>
                <w:color w:val="000000"/>
                <w:kern w:val="0"/>
                <w:sz w:val="24"/>
                <w:szCs w:val="24"/>
              </w:rPr>
              <w:t>元</w:t>
            </w: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占基金总资产的比例</w:t>
            </w:r>
            <w:r>
              <w:rPr>
                <w:rFonts w:cs="Arial" w:hint="eastAsia"/>
                <w:color w:val="000000"/>
                <w:kern w:val="0"/>
                <w:sz w:val="24"/>
                <w:szCs w:val="24"/>
              </w:rPr>
              <w:t>(</w:t>
            </w:r>
            <w:r>
              <w:rPr>
                <w:rFonts w:cs="Arial"/>
                <w:color w:val="000000"/>
                <w:kern w:val="0"/>
                <w:sz w:val="24"/>
                <w:szCs w:val="24"/>
              </w:rPr>
              <w:t>%</w:t>
            </w:r>
            <w:r>
              <w:rPr>
                <w:rFonts w:cs="Arial" w:hint="eastAsia"/>
                <w:color w:val="000000"/>
                <w:kern w:val="0"/>
                <w:sz w:val="24"/>
                <w:szCs w:val="24"/>
              </w:rPr>
              <w:t>)</w:t>
            </w:r>
          </w:p>
        </w:tc>
      </w:tr>
      <w:tr w:rsidR="00EE2E42">
        <w:trPr>
          <w:jc w:val="center"/>
        </w:trPr>
        <w:tc>
          <w:tcPr>
            <w:tcW w:w="72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1</w:t>
            </w:r>
          </w:p>
        </w:tc>
        <w:tc>
          <w:tcPr>
            <w:tcW w:w="3357" w:type="dxa"/>
            <w:vAlign w:val="center"/>
          </w:tcPr>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权益投资</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vAlign w:val="center"/>
          </w:tcPr>
          <w:p w:rsidR="00EE2E42" w:rsidRDefault="00EE2E42">
            <w:pPr>
              <w:autoSpaceDE w:val="0"/>
              <w:autoSpaceDN w:val="0"/>
              <w:adjustRightInd w:val="0"/>
              <w:spacing w:before="29" w:line="288" w:lineRule="auto"/>
              <w:ind w:left="15"/>
              <w:jc w:val="center"/>
              <w:rPr>
                <w:rFonts w:cs="Arial"/>
                <w:color w:val="000000"/>
                <w:kern w:val="0"/>
                <w:sz w:val="24"/>
                <w:szCs w:val="24"/>
              </w:rPr>
            </w:pPr>
          </w:p>
        </w:tc>
        <w:tc>
          <w:tcPr>
            <w:tcW w:w="3357" w:type="dxa"/>
            <w:vAlign w:val="center"/>
          </w:tcPr>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其中：股票</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2</w:t>
            </w:r>
          </w:p>
        </w:tc>
        <w:tc>
          <w:tcPr>
            <w:tcW w:w="3357" w:type="dxa"/>
            <w:vAlign w:val="center"/>
          </w:tcPr>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固定收益投资</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vAlign w:val="center"/>
          </w:tcPr>
          <w:p w:rsidR="00EE2E42" w:rsidRDefault="00EE2E42">
            <w:pPr>
              <w:autoSpaceDE w:val="0"/>
              <w:autoSpaceDN w:val="0"/>
              <w:adjustRightInd w:val="0"/>
              <w:spacing w:before="29" w:line="288" w:lineRule="auto"/>
              <w:ind w:left="15"/>
              <w:jc w:val="center"/>
              <w:rPr>
                <w:rFonts w:cs="Arial"/>
                <w:color w:val="000000"/>
                <w:kern w:val="0"/>
                <w:sz w:val="24"/>
                <w:szCs w:val="24"/>
              </w:rPr>
            </w:pPr>
          </w:p>
        </w:tc>
        <w:tc>
          <w:tcPr>
            <w:tcW w:w="3357" w:type="dxa"/>
            <w:vAlign w:val="center"/>
          </w:tcPr>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其中：债券</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vAlign w:val="center"/>
          </w:tcPr>
          <w:p w:rsidR="00EE2E42" w:rsidRDefault="00EE2E42">
            <w:pPr>
              <w:autoSpaceDE w:val="0"/>
              <w:autoSpaceDN w:val="0"/>
              <w:adjustRightInd w:val="0"/>
              <w:spacing w:before="29" w:line="288" w:lineRule="auto"/>
              <w:ind w:left="15"/>
              <w:jc w:val="center"/>
              <w:rPr>
                <w:rFonts w:cs="Arial"/>
                <w:color w:val="000000"/>
                <w:kern w:val="0"/>
                <w:sz w:val="24"/>
                <w:szCs w:val="24"/>
              </w:rPr>
            </w:pPr>
          </w:p>
        </w:tc>
        <w:tc>
          <w:tcPr>
            <w:tcW w:w="3357" w:type="dxa"/>
            <w:vAlign w:val="center"/>
          </w:tcPr>
          <w:p w:rsidR="00EE2E42" w:rsidRDefault="00DF20DF">
            <w:pPr>
              <w:autoSpaceDE w:val="0"/>
              <w:autoSpaceDN w:val="0"/>
              <w:adjustRightInd w:val="0"/>
              <w:spacing w:before="29" w:line="288" w:lineRule="auto"/>
              <w:ind w:left="15" w:firstLineChars="250" w:firstLine="600"/>
              <w:jc w:val="left"/>
              <w:rPr>
                <w:rFonts w:cs="Arial"/>
                <w:color w:val="000000"/>
                <w:kern w:val="0"/>
                <w:sz w:val="24"/>
                <w:szCs w:val="24"/>
              </w:rPr>
            </w:pPr>
            <w:r>
              <w:rPr>
                <w:rFonts w:cs="Arial" w:hint="eastAsia"/>
                <w:color w:val="000000"/>
                <w:kern w:val="0"/>
                <w:sz w:val="24"/>
                <w:szCs w:val="24"/>
              </w:rPr>
              <w:t>资产支持证券</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3</w:t>
            </w:r>
          </w:p>
        </w:tc>
        <w:tc>
          <w:tcPr>
            <w:tcW w:w="3357" w:type="dxa"/>
            <w:vAlign w:val="center"/>
          </w:tcPr>
          <w:p w:rsidR="00EE2E42" w:rsidRDefault="00DF20DF">
            <w:pPr>
              <w:autoSpaceDE w:val="0"/>
              <w:autoSpaceDN w:val="0"/>
              <w:adjustRightInd w:val="0"/>
              <w:spacing w:before="29" w:line="288" w:lineRule="auto"/>
              <w:rPr>
                <w:rFonts w:cs="Arial"/>
                <w:color w:val="000000"/>
                <w:kern w:val="0"/>
                <w:sz w:val="24"/>
                <w:szCs w:val="24"/>
              </w:rPr>
            </w:pPr>
            <w:r>
              <w:rPr>
                <w:rFonts w:cs="Arial" w:hint="eastAsia"/>
                <w:color w:val="000000"/>
                <w:kern w:val="0"/>
                <w:sz w:val="24"/>
                <w:szCs w:val="24"/>
              </w:rPr>
              <w:t>贵金属投资</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4</w:t>
            </w:r>
          </w:p>
        </w:tc>
        <w:tc>
          <w:tcPr>
            <w:tcW w:w="3357" w:type="dxa"/>
            <w:vAlign w:val="center"/>
          </w:tcPr>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金融衍生品投资</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5</w:t>
            </w:r>
          </w:p>
        </w:tc>
        <w:tc>
          <w:tcPr>
            <w:tcW w:w="3357" w:type="dxa"/>
            <w:vAlign w:val="center"/>
          </w:tcPr>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买入返售金融资产</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vAlign w:val="center"/>
          </w:tcPr>
          <w:p w:rsidR="00EE2E42" w:rsidRDefault="00EE2E42">
            <w:pPr>
              <w:autoSpaceDE w:val="0"/>
              <w:autoSpaceDN w:val="0"/>
              <w:adjustRightInd w:val="0"/>
              <w:spacing w:before="29" w:line="288" w:lineRule="auto"/>
              <w:ind w:left="15"/>
              <w:jc w:val="center"/>
              <w:rPr>
                <w:rFonts w:cs="Arial"/>
                <w:color w:val="000000"/>
                <w:kern w:val="0"/>
                <w:sz w:val="24"/>
                <w:szCs w:val="24"/>
              </w:rPr>
            </w:pPr>
          </w:p>
        </w:tc>
        <w:tc>
          <w:tcPr>
            <w:tcW w:w="3357" w:type="dxa"/>
            <w:vAlign w:val="center"/>
          </w:tcPr>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其中：买断式回购的买入返售金融资产</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6</w:t>
            </w:r>
          </w:p>
        </w:tc>
        <w:tc>
          <w:tcPr>
            <w:tcW w:w="3357" w:type="dxa"/>
            <w:vAlign w:val="center"/>
          </w:tcPr>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银行存款和结算备付金合计</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6,700,689.74</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99.92</w:t>
            </w:r>
          </w:p>
        </w:tc>
      </w:tr>
      <w:tr w:rsidR="00EE2E42">
        <w:trPr>
          <w:jc w:val="center"/>
        </w:trPr>
        <w:tc>
          <w:tcPr>
            <w:tcW w:w="72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7</w:t>
            </w:r>
          </w:p>
        </w:tc>
        <w:tc>
          <w:tcPr>
            <w:tcW w:w="3357" w:type="dxa"/>
            <w:vAlign w:val="center"/>
          </w:tcPr>
          <w:p w:rsidR="00EE2E42" w:rsidRDefault="00DF20DF">
            <w:pPr>
              <w:autoSpaceDE w:val="0"/>
              <w:autoSpaceDN w:val="0"/>
              <w:adjustRightInd w:val="0"/>
              <w:spacing w:line="288" w:lineRule="auto"/>
              <w:ind w:left="15"/>
              <w:jc w:val="left"/>
              <w:rPr>
                <w:rFonts w:cs="Arial"/>
                <w:color w:val="000000"/>
                <w:kern w:val="0"/>
                <w:sz w:val="24"/>
                <w:szCs w:val="24"/>
              </w:rPr>
            </w:pPr>
            <w:r>
              <w:rPr>
                <w:rFonts w:cs="Arial" w:hint="eastAsia"/>
                <w:color w:val="000000"/>
                <w:kern w:val="0"/>
                <w:sz w:val="24"/>
                <w:szCs w:val="24"/>
              </w:rPr>
              <w:t>其他各项资产</w:t>
            </w:r>
          </w:p>
        </w:tc>
        <w:tc>
          <w:tcPr>
            <w:tcW w:w="2977" w:type="dxa"/>
            <w:vAlign w:val="center"/>
          </w:tcPr>
          <w:p w:rsidR="00EE2E42" w:rsidRDefault="00DF20DF">
            <w:pPr>
              <w:autoSpaceDE w:val="0"/>
              <w:autoSpaceDN w:val="0"/>
              <w:adjustRightInd w:val="0"/>
              <w:spacing w:line="288" w:lineRule="auto"/>
              <w:ind w:left="15"/>
              <w:jc w:val="right"/>
              <w:rPr>
                <w:rFonts w:cs="Arial"/>
                <w:color w:val="000000"/>
                <w:kern w:val="0"/>
                <w:sz w:val="24"/>
                <w:szCs w:val="24"/>
              </w:rPr>
            </w:pPr>
            <w:r>
              <w:rPr>
                <w:rFonts w:cs="Arial" w:hint="eastAsia"/>
                <w:color w:val="000000"/>
                <w:kern w:val="0"/>
                <w:sz w:val="24"/>
                <w:szCs w:val="24"/>
              </w:rPr>
              <w:t>5,243.99</w:t>
            </w:r>
          </w:p>
        </w:tc>
        <w:tc>
          <w:tcPr>
            <w:tcW w:w="1843" w:type="dxa"/>
            <w:vAlign w:val="center"/>
          </w:tcPr>
          <w:p w:rsidR="00EE2E42" w:rsidRDefault="00DF20DF">
            <w:pPr>
              <w:autoSpaceDE w:val="0"/>
              <w:autoSpaceDN w:val="0"/>
              <w:adjustRightInd w:val="0"/>
              <w:spacing w:line="288" w:lineRule="auto"/>
              <w:ind w:left="15"/>
              <w:jc w:val="right"/>
              <w:rPr>
                <w:rFonts w:cs="Arial"/>
                <w:color w:val="000000"/>
                <w:kern w:val="0"/>
                <w:sz w:val="24"/>
                <w:szCs w:val="24"/>
              </w:rPr>
            </w:pPr>
            <w:r>
              <w:rPr>
                <w:rFonts w:cs="Arial" w:hint="eastAsia"/>
                <w:color w:val="000000"/>
                <w:kern w:val="0"/>
                <w:sz w:val="24"/>
                <w:szCs w:val="24"/>
              </w:rPr>
              <w:t>0.08</w:t>
            </w:r>
          </w:p>
        </w:tc>
      </w:tr>
      <w:tr w:rsidR="00EE2E42">
        <w:trPr>
          <w:jc w:val="center"/>
        </w:trPr>
        <w:tc>
          <w:tcPr>
            <w:tcW w:w="72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8</w:t>
            </w:r>
          </w:p>
        </w:tc>
        <w:tc>
          <w:tcPr>
            <w:tcW w:w="3357" w:type="dxa"/>
            <w:vAlign w:val="center"/>
          </w:tcPr>
          <w:p w:rsidR="00EE2E42" w:rsidRDefault="00DF20DF">
            <w:pPr>
              <w:autoSpaceDE w:val="0"/>
              <w:autoSpaceDN w:val="0"/>
              <w:adjustRightInd w:val="0"/>
              <w:spacing w:line="288" w:lineRule="auto"/>
              <w:ind w:left="15"/>
              <w:jc w:val="left"/>
              <w:rPr>
                <w:rFonts w:cs="Arial"/>
                <w:color w:val="000000"/>
                <w:kern w:val="0"/>
                <w:sz w:val="24"/>
                <w:szCs w:val="24"/>
              </w:rPr>
            </w:pPr>
            <w:r>
              <w:rPr>
                <w:rFonts w:cs="Arial" w:hint="eastAsia"/>
                <w:color w:val="000000"/>
                <w:kern w:val="0"/>
                <w:sz w:val="24"/>
                <w:szCs w:val="24"/>
              </w:rPr>
              <w:t>合计</w:t>
            </w:r>
          </w:p>
        </w:tc>
        <w:tc>
          <w:tcPr>
            <w:tcW w:w="2977" w:type="dxa"/>
            <w:vAlign w:val="center"/>
          </w:tcPr>
          <w:p w:rsidR="00EE2E42" w:rsidRDefault="00DF20DF">
            <w:pPr>
              <w:autoSpaceDE w:val="0"/>
              <w:autoSpaceDN w:val="0"/>
              <w:adjustRightInd w:val="0"/>
              <w:spacing w:line="288" w:lineRule="auto"/>
              <w:ind w:left="15"/>
              <w:jc w:val="right"/>
              <w:rPr>
                <w:rFonts w:cs="Arial"/>
                <w:color w:val="000000"/>
                <w:kern w:val="0"/>
                <w:sz w:val="24"/>
                <w:szCs w:val="24"/>
              </w:rPr>
            </w:pPr>
            <w:r>
              <w:rPr>
                <w:rFonts w:cs="Arial" w:hint="eastAsia"/>
                <w:color w:val="000000"/>
                <w:kern w:val="0"/>
                <w:sz w:val="24"/>
                <w:szCs w:val="24"/>
              </w:rPr>
              <w:t>6,705,933.73</w:t>
            </w:r>
          </w:p>
        </w:tc>
        <w:tc>
          <w:tcPr>
            <w:tcW w:w="1843" w:type="dxa"/>
            <w:vAlign w:val="center"/>
          </w:tcPr>
          <w:p w:rsidR="00EE2E42" w:rsidRDefault="00DF20DF">
            <w:pPr>
              <w:autoSpaceDE w:val="0"/>
              <w:autoSpaceDN w:val="0"/>
              <w:adjustRightInd w:val="0"/>
              <w:spacing w:line="288" w:lineRule="auto"/>
              <w:ind w:left="15"/>
              <w:jc w:val="right"/>
              <w:rPr>
                <w:rFonts w:cs="Arial"/>
                <w:color w:val="000000"/>
                <w:kern w:val="0"/>
                <w:sz w:val="24"/>
                <w:szCs w:val="24"/>
              </w:rPr>
            </w:pPr>
            <w:r>
              <w:rPr>
                <w:rFonts w:cs="Arial" w:hint="eastAsia"/>
                <w:color w:val="000000"/>
                <w:kern w:val="0"/>
                <w:sz w:val="24"/>
                <w:szCs w:val="24"/>
              </w:rPr>
              <w:t>100.00</w:t>
            </w:r>
          </w:p>
        </w:tc>
      </w:tr>
    </w:tbl>
    <w:p w:rsidR="00EE2E42" w:rsidRDefault="00EE2E42">
      <w:pPr>
        <w:autoSpaceDE w:val="0"/>
        <w:autoSpaceDN w:val="0"/>
        <w:adjustRightInd w:val="0"/>
        <w:spacing w:line="360" w:lineRule="auto"/>
        <w:jc w:val="left"/>
        <w:rPr>
          <w:rFonts w:asciiTheme="minorEastAsia" w:eastAsiaTheme="minorEastAsia" w:hAnsiTheme="minorEastAsia" w:cs="宋体"/>
          <w:color w:val="000000" w:themeColor="text1"/>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b/>
          <w:color w:val="000000"/>
          <w:kern w:val="0"/>
          <w:sz w:val="24"/>
          <w:szCs w:val="24"/>
        </w:rPr>
        <w:t>5.</w:t>
      </w:r>
      <w:r>
        <w:rPr>
          <w:rFonts w:cs="Arial" w:hint="eastAsia"/>
          <w:b/>
          <w:color w:val="000000"/>
          <w:kern w:val="0"/>
          <w:sz w:val="24"/>
          <w:szCs w:val="24"/>
        </w:rPr>
        <w:t>1.</w:t>
      </w:r>
      <w:r>
        <w:rPr>
          <w:rFonts w:cs="Arial"/>
          <w:b/>
          <w:color w:val="000000"/>
          <w:kern w:val="0"/>
          <w:sz w:val="24"/>
          <w:szCs w:val="24"/>
        </w:rPr>
        <w:t xml:space="preserve">2 </w:t>
      </w:r>
      <w:r>
        <w:rPr>
          <w:rFonts w:cs="Arial" w:hint="eastAsia"/>
          <w:b/>
          <w:color w:val="000000"/>
          <w:kern w:val="0"/>
          <w:sz w:val="24"/>
          <w:szCs w:val="24"/>
        </w:rPr>
        <w:t>报告期末按行业分类的股票投资组合</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eastAsiaTheme="minorEastAsia" w:hint="eastAsia"/>
          <w:b/>
          <w:color w:val="000000" w:themeColor="text1"/>
          <w:kern w:val="0"/>
        </w:rPr>
        <w:t>5.1.2.1</w:t>
      </w:r>
      <w:r>
        <w:rPr>
          <w:rFonts w:eastAsiaTheme="minorEastAsia" w:hint="eastAsia"/>
          <w:b/>
          <w:color w:val="000000" w:themeColor="text1"/>
          <w:kern w:val="0"/>
        </w:rPr>
        <w:t>报告期末按行业分类的境内股票投资组合</w:t>
      </w:r>
    </w:p>
    <w:p w:rsidR="00FA0930" w:rsidRDefault="00DF20DF" w:rsidP="003A5C4A">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本基金本报告期末未持有股票。</w:t>
      </w:r>
    </w:p>
    <w:p w:rsidR="00EE2E42" w:rsidRPr="003A5C4A" w:rsidRDefault="00DF20DF" w:rsidP="003A5C4A">
      <w:pPr>
        <w:autoSpaceDE w:val="0"/>
        <w:autoSpaceDN w:val="0"/>
        <w:adjustRightInd w:val="0"/>
        <w:spacing w:before="29" w:line="288" w:lineRule="auto"/>
        <w:ind w:left="15"/>
        <w:jc w:val="left"/>
        <w:rPr>
          <w:rFonts w:cs="Arial"/>
          <w:b/>
          <w:color w:val="000000"/>
          <w:kern w:val="0"/>
          <w:sz w:val="24"/>
          <w:szCs w:val="24"/>
        </w:rPr>
      </w:pPr>
      <w:r w:rsidRPr="003A5C4A">
        <w:rPr>
          <w:rFonts w:cs="Arial" w:hint="eastAsia"/>
          <w:b/>
          <w:color w:val="000000"/>
          <w:kern w:val="0"/>
          <w:sz w:val="24"/>
          <w:szCs w:val="24"/>
        </w:rPr>
        <w:t>5.1.2.2</w:t>
      </w:r>
      <w:r w:rsidRPr="003A5C4A">
        <w:rPr>
          <w:rFonts w:cs="Arial" w:hint="eastAsia"/>
          <w:b/>
          <w:color w:val="000000"/>
          <w:kern w:val="0"/>
          <w:sz w:val="24"/>
          <w:szCs w:val="24"/>
        </w:rPr>
        <w:t>报告期末按行业分类的港股通投资股票投资组合</w:t>
      </w:r>
    </w:p>
    <w:p w:rsidR="00EE2E42" w:rsidRDefault="00DF20DF">
      <w:pPr>
        <w:autoSpaceDE w:val="0"/>
        <w:autoSpaceDN w:val="0"/>
        <w:adjustRightInd w:val="0"/>
        <w:spacing w:before="29" w:line="288" w:lineRule="auto"/>
        <w:ind w:left="15"/>
        <w:jc w:val="left"/>
        <w:rPr>
          <w:sz w:val="24"/>
        </w:rPr>
      </w:pPr>
      <w:r>
        <w:rPr>
          <w:sz w:val="24"/>
        </w:rPr>
        <w:t>本基金本报告期末未持有港股通股票。</w:t>
      </w:r>
    </w:p>
    <w:p w:rsidR="003A5C4A" w:rsidRDefault="003A5C4A">
      <w:pPr>
        <w:autoSpaceDE w:val="0"/>
        <w:autoSpaceDN w:val="0"/>
        <w:adjustRightInd w:val="0"/>
        <w:spacing w:before="29" w:line="288" w:lineRule="auto"/>
        <w:ind w:left="15"/>
        <w:jc w:val="left"/>
        <w:rPr>
          <w:rFonts w:ascii="宋体" w:hAnsi="宋体" w:cs="STSong-Light"/>
          <w:color w:val="000000"/>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b/>
          <w:color w:val="000000"/>
          <w:kern w:val="0"/>
          <w:sz w:val="24"/>
          <w:szCs w:val="24"/>
        </w:rPr>
        <w:t>5.</w:t>
      </w:r>
      <w:r>
        <w:rPr>
          <w:rFonts w:cs="Arial" w:hint="eastAsia"/>
          <w:b/>
          <w:color w:val="000000"/>
          <w:kern w:val="0"/>
          <w:sz w:val="24"/>
          <w:szCs w:val="24"/>
        </w:rPr>
        <w:t>1.</w:t>
      </w:r>
      <w:r>
        <w:rPr>
          <w:rFonts w:cs="Arial"/>
          <w:b/>
          <w:color w:val="000000"/>
          <w:kern w:val="0"/>
          <w:sz w:val="24"/>
          <w:szCs w:val="24"/>
        </w:rPr>
        <w:t xml:space="preserve">3 </w:t>
      </w:r>
      <w:r>
        <w:rPr>
          <w:rFonts w:cs="Arial" w:hint="eastAsia"/>
          <w:b/>
          <w:color w:val="000000"/>
          <w:kern w:val="0"/>
          <w:sz w:val="24"/>
          <w:szCs w:val="24"/>
        </w:rPr>
        <w:t>报告期末按公允价值占基金资产净值比例大小排序的前十名股票投资明细</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bookmarkStart w:id="3" w:name="OLE_LINK3"/>
      <w:bookmarkStart w:id="4" w:name="OLE_LINK4"/>
      <w:bookmarkStart w:id="5" w:name="OLE_LINK5"/>
      <w:r>
        <w:rPr>
          <w:rFonts w:ascii="宋体" w:hAnsi="宋体" w:cs="STSong-Light"/>
          <w:color w:val="000000"/>
          <w:sz w:val="24"/>
          <w:szCs w:val="24"/>
        </w:rPr>
        <w:t>本基金本报告期末未持有股票。</w:t>
      </w:r>
      <w:bookmarkEnd w:id="3"/>
      <w:bookmarkEnd w:id="4"/>
      <w:bookmarkEnd w:id="5"/>
    </w:p>
    <w:p w:rsidR="00EE2E42" w:rsidRDefault="00EE2E42">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b/>
          <w:color w:val="000000"/>
          <w:kern w:val="0"/>
          <w:sz w:val="24"/>
          <w:szCs w:val="24"/>
        </w:rPr>
        <w:t>5.</w:t>
      </w:r>
      <w:r>
        <w:rPr>
          <w:rFonts w:cs="Arial" w:hint="eastAsia"/>
          <w:b/>
          <w:color w:val="000000"/>
          <w:kern w:val="0"/>
          <w:sz w:val="24"/>
          <w:szCs w:val="24"/>
        </w:rPr>
        <w:t>1.</w:t>
      </w:r>
      <w:r>
        <w:rPr>
          <w:rFonts w:cs="Arial"/>
          <w:b/>
          <w:color w:val="000000"/>
          <w:kern w:val="0"/>
          <w:sz w:val="24"/>
          <w:szCs w:val="24"/>
        </w:rPr>
        <w:t xml:space="preserve">4 </w:t>
      </w:r>
      <w:r>
        <w:rPr>
          <w:rFonts w:cs="Arial" w:hint="eastAsia"/>
          <w:b/>
          <w:color w:val="000000"/>
          <w:kern w:val="0"/>
          <w:sz w:val="24"/>
          <w:szCs w:val="24"/>
        </w:rPr>
        <w:t>报告期末按债券品种分类的债券投资组合</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本基金本报告期末未持有债券。</w:t>
      </w: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b/>
          <w:color w:val="000000"/>
          <w:kern w:val="0"/>
          <w:sz w:val="24"/>
          <w:szCs w:val="24"/>
        </w:rPr>
        <w:t>5.</w:t>
      </w:r>
      <w:r>
        <w:rPr>
          <w:rFonts w:cs="Arial" w:hint="eastAsia"/>
          <w:b/>
          <w:color w:val="000000"/>
          <w:kern w:val="0"/>
          <w:sz w:val="24"/>
          <w:szCs w:val="24"/>
        </w:rPr>
        <w:t>1.</w:t>
      </w:r>
      <w:r>
        <w:rPr>
          <w:rFonts w:cs="Arial"/>
          <w:b/>
          <w:color w:val="000000"/>
          <w:kern w:val="0"/>
          <w:sz w:val="24"/>
          <w:szCs w:val="24"/>
        </w:rPr>
        <w:t xml:space="preserve">5 </w:t>
      </w:r>
      <w:r>
        <w:rPr>
          <w:rFonts w:cs="Arial" w:hint="eastAsia"/>
          <w:b/>
          <w:color w:val="000000"/>
          <w:kern w:val="0"/>
          <w:sz w:val="24"/>
          <w:szCs w:val="24"/>
        </w:rPr>
        <w:t>报告期末按公允价值占基金资产净值比例大小排序的前五名债券投资明细</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本基金本报告期末未持有债券。</w:t>
      </w:r>
    </w:p>
    <w:p w:rsidR="00EE2E42" w:rsidRDefault="00EE2E42">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b/>
          <w:color w:val="000000"/>
          <w:kern w:val="0"/>
          <w:sz w:val="24"/>
          <w:szCs w:val="24"/>
        </w:rPr>
        <w:t>5.</w:t>
      </w:r>
      <w:r>
        <w:rPr>
          <w:rFonts w:cs="Arial" w:hint="eastAsia"/>
          <w:b/>
          <w:color w:val="000000"/>
          <w:kern w:val="0"/>
          <w:sz w:val="24"/>
          <w:szCs w:val="24"/>
        </w:rPr>
        <w:t>1.</w:t>
      </w:r>
      <w:r>
        <w:rPr>
          <w:rFonts w:cs="Arial"/>
          <w:b/>
          <w:color w:val="000000"/>
          <w:kern w:val="0"/>
          <w:sz w:val="24"/>
          <w:szCs w:val="24"/>
        </w:rPr>
        <w:t xml:space="preserve">6 </w:t>
      </w:r>
      <w:r>
        <w:rPr>
          <w:rFonts w:cs="Arial" w:hint="eastAsia"/>
          <w:b/>
          <w:color w:val="000000"/>
          <w:kern w:val="0"/>
          <w:sz w:val="24"/>
          <w:szCs w:val="24"/>
        </w:rPr>
        <w:t>报告期末按公允价值占基金资产净值比例大小排序的前十名资产支持证券投资明细</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本基金本报告期末未持有资产支持证券。</w:t>
      </w: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 xml:space="preserve">5.1.7 </w:t>
      </w:r>
      <w:r>
        <w:rPr>
          <w:rFonts w:cs="Arial" w:hint="eastAsia"/>
          <w:b/>
          <w:color w:val="000000"/>
          <w:kern w:val="0"/>
          <w:sz w:val="24"/>
          <w:szCs w:val="24"/>
        </w:rPr>
        <w:t>报告期末按公允价值占基金资产净值比例大小排序的前五名贵金属投资明细</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本基金本报告期末未持有贵金属。</w:t>
      </w: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5.1.8</w:t>
      </w:r>
      <w:r>
        <w:rPr>
          <w:rFonts w:cs="Arial" w:hint="eastAsia"/>
          <w:b/>
          <w:color w:val="000000"/>
          <w:kern w:val="0"/>
          <w:sz w:val="24"/>
          <w:szCs w:val="24"/>
        </w:rPr>
        <w:t>报告期末按公允价值占基金资产净值比例大小排序的前五名权证投资明细</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本基金本报告期末未持有权证。</w:t>
      </w: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 xml:space="preserve">5.1.9 </w:t>
      </w:r>
      <w:r>
        <w:rPr>
          <w:rFonts w:cs="Arial" w:hint="eastAsia"/>
          <w:b/>
          <w:color w:val="000000"/>
          <w:kern w:val="0"/>
          <w:sz w:val="24"/>
          <w:szCs w:val="24"/>
        </w:rPr>
        <w:t>报告期末本基金投资的股指期货交易情况说明</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 xml:space="preserve">5.1.9.1 </w:t>
      </w:r>
      <w:r>
        <w:rPr>
          <w:rFonts w:cs="Arial" w:hint="eastAsia"/>
          <w:b/>
          <w:color w:val="000000"/>
          <w:kern w:val="0"/>
          <w:sz w:val="24"/>
          <w:szCs w:val="24"/>
        </w:rPr>
        <w:t>报告期末本基金投资的股指期货持仓和损益明细</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本基金本报告期末未持有股指期货。</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5.1.9.2</w:t>
      </w:r>
      <w:r>
        <w:rPr>
          <w:rFonts w:cs="Arial" w:hint="eastAsia"/>
          <w:b/>
          <w:color w:val="000000"/>
          <w:kern w:val="0"/>
          <w:sz w:val="24"/>
          <w:szCs w:val="24"/>
        </w:rPr>
        <w:t>本基金投资股指期货的投资政策</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根据本基金合同，本基金不参与股指期货交易。</w:t>
      </w: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5.1.10</w:t>
      </w:r>
      <w:r>
        <w:rPr>
          <w:rFonts w:cs="Arial" w:hint="eastAsia"/>
          <w:b/>
          <w:color w:val="000000"/>
          <w:kern w:val="0"/>
          <w:sz w:val="24"/>
          <w:szCs w:val="24"/>
        </w:rPr>
        <w:t>报告期末本基金投资的国债期货交易情况说明</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5.1.10.1</w:t>
      </w:r>
      <w:r>
        <w:rPr>
          <w:rFonts w:cs="Arial" w:hint="eastAsia"/>
          <w:b/>
          <w:color w:val="000000"/>
          <w:kern w:val="0"/>
          <w:sz w:val="24"/>
          <w:szCs w:val="24"/>
        </w:rPr>
        <w:t>本期国债期货投资政策</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根据本基金合同，本基金不参与国债期货交易。</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5.1.10.2</w:t>
      </w:r>
      <w:r>
        <w:rPr>
          <w:rFonts w:cs="Arial" w:hint="eastAsia"/>
          <w:b/>
          <w:color w:val="000000"/>
          <w:kern w:val="0"/>
          <w:sz w:val="24"/>
          <w:szCs w:val="24"/>
        </w:rPr>
        <w:t>报告期末本基金投资的国债期货持仓和损益明细</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本基金本报告期末未持有国债期货。</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5.1.10.</w:t>
      </w:r>
      <w:r w:rsidR="003D1FED">
        <w:rPr>
          <w:rFonts w:cs="Arial" w:hint="eastAsia"/>
          <w:b/>
          <w:color w:val="000000"/>
          <w:kern w:val="0"/>
          <w:sz w:val="24"/>
          <w:szCs w:val="24"/>
        </w:rPr>
        <w:t>3</w:t>
      </w:r>
      <w:r>
        <w:rPr>
          <w:rFonts w:cs="Arial" w:hint="eastAsia"/>
          <w:b/>
          <w:color w:val="000000"/>
          <w:kern w:val="0"/>
          <w:sz w:val="24"/>
          <w:szCs w:val="24"/>
        </w:rPr>
        <w:t>本期国债期货投资评价</w:t>
      </w:r>
    </w:p>
    <w:p w:rsidR="00EE2E42" w:rsidRDefault="00DF20DF">
      <w:pPr>
        <w:adjustRightInd w:val="0"/>
        <w:spacing w:before="29" w:line="288" w:lineRule="auto"/>
        <w:rPr>
          <w:rFonts w:ascii="宋体" w:hAnsi="宋体" w:cs="宋体"/>
          <w:bCs/>
          <w:color w:val="000000"/>
          <w:sz w:val="24"/>
          <w:szCs w:val="24"/>
        </w:rPr>
      </w:pPr>
      <w:r>
        <w:rPr>
          <w:rFonts w:ascii="宋体" w:hAnsi="宋体" w:cs="宋体"/>
          <w:bCs/>
          <w:color w:val="000000"/>
          <w:sz w:val="24"/>
          <w:szCs w:val="24"/>
        </w:rPr>
        <w:t>根据本基金合同，本基金不参与国债期货交易。</w:t>
      </w: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5.1.11</w:t>
      </w:r>
      <w:r>
        <w:rPr>
          <w:rFonts w:cs="Arial" w:hint="eastAsia"/>
          <w:b/>
          <w:color w:val="000000"/>
          <w:kern w:val="0"/>
          <w:sz w:val="24"/>
          <w:szCs w:val="24"/>
        </w:rPr>
        <w:t>投资组合报告附注</w:t>
      </w:r>
    </w:p>
    <w:p w:rsidR="00EE2E42" w:rsidRDefault="00DF20DF">
      <w:pPr>
        <w:adjustRightInd w:val="0"/>
        <w:spacing w:before="29" w:line="288" w:lineRule="auto"/>
        <w:rPr>
          <w:rFonts w:ascii="宋体" w:hAnsi="宋体" w:cs="宋体"/>
          <w:bCs/>
          <w:color w:val="000000"/>
          <w:sz w:val="24"/>
          <w:szCs w:val="24"/>
        </w:rPr>
      </w:pPr>
      <w:r>
        <w:rPr>
          <w:rFonts w:ascii="宋体" w:hAnsi="宋体" w:cs="宋体" w:hint="eastAsia"/>
          <w:bCs/>
          <w:color w:val="000000"/>
          <w:sz w:val="24"/>
          <w:szCs w:val="24"/>
        </w:rPr>
        <w:t>5.1.11.1</w:t>
      </w:r>
      <w:r>
        <w:rPr>
          <w:rFonts w:ascii="宋体" w:hAnsi="宋体" w:cs="宋体"/>
          <w:bCs/>
          <w:color w:val="000000"/>
          <w:sz w:val="24"/>
          <w:szCs w:val="24"/>
        </w:rPr>
        <w:t>报告期内，本基金投资的前十名证券的发行主体没有出现被监管部门立案调查,或在报告编制日前一年内受到公开谴责、处罚的情形。</w:t>
      </w:r>
    </w:p>
    <w:p w:rsidR="00EE2E42" w:rsidRDefault="00DF20DF">
      <w:pPr>
        <w:adjustRightInd w:val="0"/>
        <w:spacing w:before="29" w:line="288" w:lineRule="auto"/>
        <w:rPr>
          <w:rFonts w:ascii="宋体" w:hAnsi="宋体" w:cs="宋体"/>
          <w:bCs/>
          <w:color w:val="000000"/>
          <w:sz w:val="24"/>
          <w:szCs w:val="24"/>
        </w:rPr>
      </w:pPr>
      <w:r>
        <w:rPr>
          <w:rFonts w:ascii="宋体" w:hAnsi="宋体" w:cs="宋体" w:hint="eastAsia"/>
          <w:bCs/>
          <w:color w:val="000000"/>
          <w:sz w:val="24"/>
          <w:szCs w:val="24"/>
        </w:rPr>
        <w:t>5.1.11.2</w:t>
      </w:r>
      <w:r>
        <w:rPr>
          <w:rFonts w:ascii="宋体" w:hAnsi="宋体" w:cs="宋体"/>
          <w:bCs/>
          <w:color w:val="000000"/>
          <w:sz w:val="24"/>
          <w:szCs w:val="24"/>
        </w:rPr>
        <w:t>本基金投资的前十名股票中，没有投资于超出基金合同规定备选股票库之外的股票。</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5.1.11.3</w:t>
      </w:r>
      <w:r>
        <w:rPr>
          <w:rFonts w:cs="Arial" w:hint="eastAsia"/>
          <w:b/>
          <w:color w:val="000000"/>
          <w:kern w:val="0"/>
          <w:sz w:val="24"/>
          <w:szCs w:val="24"/>
        </w:rPr>
        <w:t>其他各项资产构成</w:t>
      </w:r>
    </w:p>
    <w:tbl>
      <w:tblPr>
        <w:tblStyle w:val="af8"/>
        <w:tblW w:w="8513" w:type="dxa"/>
        <w:tblInd w:w="15" w:type="dxa"/>
        <w:tblLayout w:type="fixed"/>
        <w:tblLook w:val="04A0"/>
      </w:tblPr>
      <w:tblGrid>
        <w:gridCol w:w="1235"/>
        <w:gridCol w:w="1617"/>
        <w:gridCol w:w="5661"/>
      </w:tblGrid>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序号</w:t>
            </w:r>
          </w:p>
        </w:tc>
        <w:tc>
          <w:tcPr>
            <w:tcW w:w="1617"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名称</w:t>
            </w:r>
          </w:p>
        </w:tc>
        <w:tc>
          <w:tcPr>
            <w:tcW w:w="5661"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金额</w:t>
            </w:r>
            <w:r>
              <w:rPr>
                <w:rFonts w:cs="Arial" w:hint="eastAsia"/>
                <w:color w:val="000000"/>
                <w:kern w:val="0"/>
                <w:sz w:val="24"/>
                <w:szCs w:val="24"/>
              </w:rPr>
              <w:t>(</w:t>
            </w:r>
            <w:r>
              <w:rPr>
                <w:rFonts w:cs="Arial" w:hint="eastAsia"/>
                <w:color w:val="000000"/>
                <w:kern w:val="0"/>
                <w:sz w:val="24"/>
                <w:szCs w:val="24"/>
              </w:rPr>
              <w:t>元</w:t>
            </w:r>
            <w:r>
              <w:rPr>
                <w:rFonts w:cs="Arial" w:hint="eastAsia"/>
                <w:color w:val="000000"/>
                <w:kern w:val="0"/>
                <w:sz w:val="24"/>
                <w:szCs w:val="24"/>
              </w:rPr>
              <w:t>)</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1</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存出保证金</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color w:val="000000"/>
                <w:kern w:val="0"/>
                <w:sz w:val="24"/>
                <w:szCs w:val="24"/>
              </w:rPr>
              <w:t>2,538.05</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2</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应收证券清算款</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color w:val="000000"/>
                <w:kern w:val="0"/>
                <w:sz w:val="24"/>
                <w:szCs w:val="24"/>
              </w:rPr>
              <w:t>-</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3</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应收股利</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color w:val="000000"/>
                <w:kern w:val="0"/>
                <w:sz w:val="24"/>
                <w:szCs w:val="24"/>
              </w:rPr>
              <w:t>-</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4</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应收利息</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color w:val="000000"/>
                <w:kern w:val="0"/>
                <w:sz w:val="24"/>
                <w:szCs w:val="24"/>
              </w:rPr>
              <w:t>2,705.94</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5</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应收申购款</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color w:val="000000"/>
                <w:kern w:val="0"/>
                <w:sz w:val="24"/>
                <w:szCs w:val="24"/>
              </w:rPr>
              <w:t>-</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6</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其他应收款</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color w:val="000000"/>
                <w:kern w:val="0"/>
                <w:sz w:val="24"/>
                <w:szCs w:val="24"/>
              </w:rPr>
              <w:t>-</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7</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待摊费用</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8</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其他</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color w:val="000000"/>
                <w:kern w:val="0"/>
                <w:sz w:val="24"/>
                <w:szCs w:val="24"/>
              </w:rPr>
              <w:t>-</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9</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合计</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color w:val="000000"/>
                <w:kern w:val="0"/>
                <w:sz w:val="24"/>
                <w:szCs w:val="24"/>
              </w:rPr>
              <w:t>5,243.99</w:t>
            </w:r>
          </w:p>
        </w:tc>
      </w:tr>
    </w:tbl>
    <w:p w:rsidR="00EE2E42" w:rsidRDefault="00EE2E42">
      <w:pPr>
        <w:autoSpaceDE w:val="0"/>
        <w:autoSpaceDN w:val="0"/>
        <w:adjustRightInd w:val="0"/>
        <w:spacing w:line="360" w:lineRule="auto"/>
        <w:rPr>
          <w:rFonts w:asciiTheme="minorEastAsia" w:eastAsiaTheme="minorEastAsia" w:hAnsiTheme="minorEastAsia"/>
          <w:color w:val="000000" w:themeColor="text1"/>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5.1.11.4</w:t>
      </w:r>
      <w:r>
        <w:rPr>
          <w:rFonts w:cs="Arial" w:hint="eastAsia"/>
          <w:b/>
          <w:color w:val="000000"/>
          <w:kern w:val="0"/>
          <w:sz w:val="24"/>
          <w:szCs w:val="24"/>
        </w:rPr>
        <w:t>报告期末持有的处于转股期的可转换债券明细</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本基金本报告期末未持有处于转股期的可转换债券。</w:t>
      </w:r>
    </w:p>
    <w:p w:rsidR="00EE2E42" w:rsidRDefault="00EE2E42">
      <w:pPr>
        <w:autoSpaceDE w:val="0"/>
        <w:autoSpaceDN w:val="0"/>
        <w:adjustRightInd w:val="0"/>
        <w:spacing w:line="360" w:lineRule="auto"/>
        <w:rPr>
          <w:rFonts w:asciiTheme="minorEastAsia" w:eastAsiaTheme="minorEastAsia" w:hAnsiTheme="minorEastAsia"/>
          <w:color w:val="000000" w:themeColor="text1"/>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5.1.11.5</w:t>
      </w:r>
      <w:r>
        <w:rPr>
          <w:rFonts w:cs="Arial" w:hint="eastAsia"/>
          <w:b/>
          <w:color w:val="000000"/>
          <w:kern w:val="0"/>
          <w:sz w:val="24"/>
          <w:szCs w:val="24"/>
        </w:rPr>
        <w:t>报告期末前十名股票中存在流通受限情况的说明</w:t>
      </w:r>
    </w:p>
    <w:p w:rsidR="00EE2E42" w:rsidRPr="003A5C4A" w:rsidRDefault="00DF20DF" w:rsidP="003A5C4A">
      <w:pPr>
        <w:autoSpaceDE w:val="0"/>
        <w:autoSpaceDN w:val="0"/>
        <w:adjustRightInd w:val="0"/>
        <w:spacing w:before="29" w:line="288" w:lineRule="auto"/>
        <w:ind w:left="15"/>
        <w:jc w:val="left"/>
        <w:rPr>
          <w:rFonts w:ascii="宋体" w:hAnsi="宋体" w:cs="STSong-Light"/>
          <w:color w:val="000000"/>
          <w:sz w:val="24"/>
          <w:szCs w:val="24"/>
        </w:rPr>
      </w:pPr>
      <w:r w:rsidRPr="003A5C4A">
        <w:rPr>
          <w:rFonts w:ascii="宋体" w:hAnsi="宋体" w:cs="STSong-Light"/>
          <w:color w:val="000000"/>
          <w:sz w:val="24"/>
          <w:szCs w:val="24"/>
        </w:rPr>
        <w:t>本基金本报告期末未持有股票。</w:t>
      </w:r>
    </w:p>
    <w:p w:rsidR="00EE2E42" w:rsidRDefault="00EE2E42">
      <w:pPr>
        <w:autoSpaceDE w:val="0"/>
        <w:autoSpaceDN w:val="0"/>
        <w:adjustRightInd w:val="0"/>
        <w:spacing w:line="360" w:lineRule="auto"/>
        <w:rPr>
          <w:rFonts w:asciiTheme="minorEastAsia" w:eastAsiaTheme="minorEastAsia" w:hAnsiTheme="minorEastAsia"/>
          <w:color w:val="000000" w:themeColor="text1"/>
          <w:sz w:val="24"/>
          <w:szCs w:val="24"/>
        </w:rPr>
      </w:pPr>
    </w:p>
    <w:p w:rsidR="00EE2E42" w:rsidRDefault="00DF20DF">
      <w:pPr>
        <w:pStyle w:val="2"/>
        <w:rPr>
          <w:b w:val="0"/>
          <w:color w:val="000000"/>
          <w:kern w:val="0"/>
        </w:rPr>
      </w:pPr>
      <w:r>
        <w:rPr>
          <w:color w:val="000000"/>
          <w:kern w:val="0"/>
        </w:rPr>
        <w:t>5.2</w:t>
      </w:r>
      <w:r>
        <w:rPr>
          <w:color w:val="000000"/>
          <w:kern w:val="0"/>
        </w:rPr>
        <w:t>海富通双福分级债券型证券投资基金</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（报告期：</w:t>
      </w:r>
      <w:r>
        <w:rPr>
          <w:rFonts w:cs="Arial" w:hint="eastAsia"/>
          <w:b/>
          <w:color w:val="000000"/>
          <w:kern w:val="0"/>
          <w:sz w:val="24"/>
          <w:szCs w:val="24"/>
        </w:rPr>
        <w:t>2018</w:t>
      </w:r>
      <w:r>
        <w:rPr>
          <w:rFonts w:cs="Arial" w:hint="eastAsia"/>
          <w:b/>
          <w:color w:val="000000"/>
          <w:kern w:val="0"/>
          <w:sz w:val="24"/>
          <w:szCs w:val="24"/>
        </w:rPr>
        <w:t>年</w:t>
      </w:r>
      <w:r>
        <w:rPr>
          <w:rFonts w:cs="Arial" w:hint="eastAsia"/>
          <w:b/>
          <w:color w:val="000000"/>
          <w:kern w:val="0"/>
          <w:sz w:val="24"/>
          <w:szCs w:val="24"/>
        </w:rPr>
        <w:t>4</w:t>
      </w:r>
      <w:r>
        <w:rPr>
          <w:rFonts w:cs="Arial" w:hint="eastAsia"/>
          <w:b/>
          <w:color w:val="000000"/>
          <w:kern w:val="0"/>
          <w:sz w:val="24"/>
          <w:szCs w:val="24"/>
        </w:rPr>
        <w:t>月</w:t>
      </w:r>
      <w:r>
        <w:rPr>
          <w:rFonts w:cs="Arial" w:hint="eastAsia"/>
          <w:b/>
          <w:color w:val="000000"/>
          <w:kern w:val="0"/>
          <w:sz w:val="24"/>
          <w:szCs w:val="24"/>
        </w:rPr>
        <w:t>1</w:t>
      </w:r>
      <w:r>
        <w:rPr>
          <w:rFonts w:cs="Arial" w:hint="eastAsia"/>
          <w:b/>
          <w:color w:val="000000"/>
          <w:kern w:val="0"/>
          <w:sz w:val="24"/>
          <w:szCs w:val="24"/>
        </w:rPr>
        <w:t>日</w:t>
      </w:r>
      <w:r>
        <w:rPr>
          <w:rFonts w:cs="Arial" w:hint="eastAsia"/>
          <w:b/>
          <w:color w:val="000000"/>
          <w:kern w:val="0"/>
          <w:sz w:val="24"/>
          <w:szCs w:val="24"/>
        </w:rPr>
        <w:t>-2018</w:t>
      </w:r>
      <w:r>
        <w:rPr>
          <w:rFonts w:cs="Arial" w:hint="eastAsia"/>
          <w:b/>
          <w:color w:val="000000"/>
          <w:kern w:val="0"/>
          <w:sz w:val="24"/>
          <w:szCs w:val="24"/>
        </w:rPr>
        <w:t>年</w:t>
      </w:r>
      <w:r>
        <w:rPr>
          <w:rFonts w:cs="Arial" w:hint="eastAsia"/>
          <w:b/>
          <w:color w:val="000000"/>
          <w:kern w:val="0"/>
          <w:sz w:val="24"/>
          <w:szCs w:val="24"/>
        </w:rPr>
        <w:t>6</w:t>
      </w:r>
      <w:r>
        <w:rPr>
          <w:rFonts w:cs="Arial" w:hint="eastAsia"/>
          <w:b/>
          <w:color w:val="000000"/>
          <w:kern w:val="0"/>
          <w:sz w:val="24"/>
          <w:szCs w:val="24"/>
        </w:rPr>
        <w:t>月</w:t>
      </w:r>
      <w:r>
        <w:rPr>
          <w:rFonts w:cs="Arial" w:hint="eastAsia"/>
          <w:b/>
          <w:color w:val="000000"/>
          <w:kern w:val="0"/>
          <w:sz w:val="24"/>
          <w:szCs w:val="24"/>
        </w:rPr>
        <w:t>4</w:t>
      </w:r>
      <w:r>
        <w:rPr>
          <w:rFonts w:cs="Arial" w:hint="eastAsia"/>
          <w:b/>
          <w:color w:val="000000"/>
          <w:kern w:val="0"/>
          <w:sz w:val="24"/>
          <w:szCs w:val="24"/>
        </w:rPr>
        <w:t>日）</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b/>
          <w:color w:val="000000"/>
          <w:kern w:val="0"/>
          <w:sz w:val="24"/>
          <w:szCs w:val="24"/>
        </w:rPr>
        <w:t>5.2</w:t>
      </w:r>
      <w:r>
        <w:rPr>
          <w:rFonts w:cs="Arial" w:hint="eastAsia"/>
          <w:b/>
          <w:color w:val="000000"/>
          <w:kern w:val="0"/>
          <w:sz w:val="24"/>
          <w:szCs w:val="24"/>
        </w:rPr>
        <w:t>.1</w:t>
      </w:r>
      <w:r>
        <w:rPr>
          <w:rFonts w:cs="Arial" w:hint="eastAsia"/>
          <w:b/>
          <w:color w:val="000000"/>
          <w:kern w:val="0"/>
          <w:sz w:val="24"/>
          <w:szCs w:val="24"/>
        </w:rPr>
        <w:t>报告期末基金资产组合情况</w:t>
      </w:r>
    </w:p>
    <w:tbl>
      <w:tblPr>
        <w:tblStyle w:val="af8"/>
        <w:tblW w:w="8897" w:type="dxa"/>
        <w:jc w:val="center"/>
        <w:tblLayout w:type="fixed"/>
        <w:tblLook w:val="04A0"/>
      </w:tblPr>
      <w:tblGrid>
        <w:gridCol w:w="720"/>
        <w:gridCol w:w="3357"/>
        <w:gridCol w:w="2977"/>
        <w:gridCol w:w="1843"/>
      </w:tblGrid>
      <w:tr w:rsidR="00EE2E42">
        <w:trPr>
          <w:jc w:val="center"/>
        </w:trPr>
        <w:tc>
          <w:tcPr>
            <w:tcW w:w="72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序号</w:t>
            </w:r>
          </w:p>
        </w:tc>
        <w:tc>
          <w:tcPr>
            <w:tcW w:w="3357"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项目</w:t>
            </w:r>
          </w:p>
        </w:tc>
        <w:tc>
          <w:tcPr>
            <w:tcW w:w="2977"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金额</w:t>
            </w:r>
            <w:r>
              <w:rPr>
                <w:rFonts w:cs="Arial" w:hint="eastAsia"/>
                <w:color w:val="000000"/>
                <w:kern w:val="0"/>
                <w:sz w:val="24"/>
                <w:szCs w:val="24"/>
              </w:rPr>
              <w:t>(</w:t>
            </w:r>
            <w:r>
              <w:rPr>
                <w:rFonts w:cs="Arial" w:hint="eastAsia"/>
                <w:color w:val="000000"/>
                <w:kern w:val="0"/>
                <w:sz w:val="24"/>
                <w:szCs w:val="24"/>
              </w:rPr>
              <w:t>元</w:t>
            </w: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占基金总资产的比例</w:t>
            </w:r>
            <w:r>
              <w:rPr>
                <w:rFonts w:cs="Arial" w:hint="eastAsia"/>
                <w:color w:val="000000"/>
                <w:kern w:val="0"/>
                <w:sz w:val="24"/>
                <w:szCs w:val="24"/>
              </w:rPr>
              <w:t>(</w:t>
            </w:r>
            <w:r>
              <w:rPr>
                <w:rFonts w:cs="Arial"/>
                <w:color w:val="000000"/>
                <w:kern w:val="0"/>
                <w:sz w:val="24"/>
                <w:szCs w:val="24"/>
              </w:rPr>
              <w:t>%</w:t>
            </w:r>
            <w:r>
              <w:rPr>
                <w:rFonts w:cs="Arial" w:hint="eastAsia"/>
                <w:color w:val="000000"/>
                <w:kern w:val="0"/>
                <w:sz w:val="24"/>
                <w:szCs w:val="24"/>
              </w:rPr>
              <w:t>)</w:t>
            </w:r>
          </w:p>
        </w:tc>
      </w:tr>
      <w:tr w:rsidR="00EE2E42">
        <w:trPr>
          <w:jc w:val="center"/>
        </w:trPr>
        <w:tc>
          <w:tcPr>
            <w:tcW w:w="72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1</w:t>
            </w:r>
          </w:p>
        </w:tc>
        <w:tc>
          <w:tcPr>
            <w:tcW w:w="3357" w:type="dxa"/>
            <w:vAlign w:val="center"/>
          </w:tcPr>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权益投资</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vAlign w:val="center"/>
          </w:tcPr>
          <w:p w:rsidR="00EE2E42" w:rsidRDefault="00EE2E42">
            <w:pPr>
              <w:autoSpaceDE w:val="0"/>
              <w:autoSpaceDN w:val="0"/>
              <w:adjustRightInd w:val="0"/>
              <w:spacing w:before="29" w:line="288" w:lineRule="auto"/>
              <w:ind w:left="15"/>
              <w:jc w:val="center"/>
              <w:rPr>
                <w:rFonts w:cs="Arial"/>
                <w:color w:val="000000"/>
                <w:kern w:val="0"/>
                <w:sz w:val="24"/>
                <w:szCs w:val="24"/>
              </w:rPr>
            </w:pPr>
          </w:p>
        </w:tc>
        <w:tc>
          <w:tcPr>
            <w:tcW w:w="3357" w:type="dxa"/>
            <w:vAlign w:val="center"/>
          </w:tcPr>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其中：股票</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2</w:t>
            </w:r>
          </w:p>
        </w:tc>
        <w:tc>
          <w:tcPr>
            <w:tcW w:w="3357" w:type="dxa"/>
            <w:vAlign w:val="center"/>
          </w:tcPr>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固定收益投资</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vAlign w:val="center"/>
          </w:tcPr>
          <w:p w:rsidR="00EE2E42" w:rsidRDefault="00EE2E42">
            <w:pPr>
              <w:autoSpaceDE w:val="0"/>
              <w:autoSpaceDN w:val="0"/>
              <w:adjustRightInd w:val="0"/>
              <w:spacing w:before="29" w:line="288" w:lineRule="auto"/>
              <w:ind w:left="15"/>
              <w:jc w:val="center"/>
              <w:rPr>
                <w:rFonts w:cs="Arial"/>
                <w:color w:val="000000"/>
                <w:kern w:val="0"/>
                <w:sz w:val="24"/>
                <w:szCs w:val="24"/>
              </w:rPr>
            </w:pPr>
          </w:p>
        </w:tc>
        <w:tc>
          <w:tcPr>
            <w:tcW w:w="3357" w:type="dxa"/>
            <w:vAlign w:val="center"/>
          </w:tcPr>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其中：债券</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vAlign w:val="center"/>
          </w:tcPr>
          <w:p w:rsidR="00EE2E42" w:rsidRDefault="00EE2E42">
            <w:pPr>
              <w:autoSpaceDE w:val="0"/>
              <w:autoSpaceDN w:val="0"/>
              <w:adjustRightInd w:val="0"/>
              <w:spacing w:before="29" w:line="288" w:lineRule="auto"/>
              <w:ind w:left="15"/>
              <w:jc w:val="center"/>
              <w:rPr>
                <w:rFonts w:cs="Arial"/>
                <w:color w:val="000000"/>
                <w:kern w:val="0"/>
                <w:sz w:val="24"/>
                <w:szCs w:val="24"/>
              </w:rPr>
            </w:pPr>
          </w:p>
        </w:tc>
        <w:tc>
          <w:tcPr>
            <w:tcW w:w="3357" w:type="dxa"/>
            <w:vAlign w:val="center"/>
          </w:tcPr>
          <w:p w:rsidR="00EE2E42" w:rsidRDefault="00DF20DF">
            <w:pPr>
              <w:autoSpaceDE w:val="0"/>
              <w:autoSpaceDN w:val="0"/>
              <w:adjustRightInd w:val="0"/>
              <w:spacing w:before="29" w:line="288" w:lineRule="auto"/>
              <w:ind w:left="15" w:firstLineChars="250" w:firstLine="600"/>
              <w:jc w:val="left"/>
              <w:rPr>
                <w:rFonts w:cs="Arial"/>
                <w:color w:val="000000"/>
                <w:kern w:val="0"/>
                <w:sz w:val="24"/>
                <w:szCs w:val="24"/>
              </w:rPr>
            </w:pPr>
            <w:r>
              <w:rPr>
                <w:rFonts w:cs="Arial" w:hint="eastAsia"/>
                <w:color w:val="000000"/>
                <w:kern w:val="0"/>
                <w:sz w:val="24"/>
                <w:szCs w:val="24"/>
              </w:rPr>
              <w:t>资产支持证券</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3</w:t>
            </w:r>
          </w:p>
        </w:tc>
        <w:tc>
          <w:tcPr>
            <w:tcW w:w="3357" w:type="dxa"/>
          </w:tcPr>
          <w:p w:rsidR="00EE2E42" w:rsidRDefault="00DF20DF">
            <w:pPr>
              <w:autoSpaceDE w:val="0"/>
              <w:autoSpaceDN w:val="0"/>
              <w:adjustRightInd w:val="0"/>
              <w:spacing w:before="29" w:line="288" w:lineRule="auto"/>
              <w:ind w:leftChars="50" w:left="105"/>
              <w:rPr>
                <w:rFonts w:cs="Arial"/>
                <w:color w:val="000000"/>
                <w:kern w:val="0"/>
                <w:sz w:val="24"/>
                <w:szCs w:val="24"/>
              </w:rPr>
            </w:pPr>
            <w:r>
              <w:rPr>
                <w:rFonts w:cs="Arial" w:hint="eastAsia"/>
                <w:color w:val="000000"/>
                <w:kern w:val="0"/>
                <w:sz w:val="24"/>
                <w:szCs w:val="24"/>
              </w:rPr>
              <w:t>贵金属投资</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4</w:t>
            </w:r>
          </w:p>
        </w:tc>
        <w:tc>
          <w:tcPr>
            <w:tcW w:w="3357" w:type="dxa"/>
            <w:vAlign w:val="center"/>
          </w:tcPr>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金融衍生品投资</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5</w:t>
            </w:r>
          </w:p>
        </w:tc>
        <w:tc>
          <w:tcPr>
            <w:tcW w:w="3357" w:type="dxa"/>
            <w:vAlign w:val="center"/>
          </w:tcPr>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买入返售金融资产</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vAlign w:val="center"/>
          </w:tcPr>
          <w:p w:rsidR="00EE2E42" w:rsidRDefault="00EE2E42">
            <w:pPr>
              <w:autoSpaceDE w:val="0"/>
              <w:autoSpaceDN w:val="0"/>
              <w:adjustRightInd w:val="0"/>
              <w:spacing w:before="29" w:line="288" w:lineRule="auto"/>
              <w:ind w:left="15"/>
              <w:jc w:val="center"/>
              <w:rPr>
                <w:rFonts w:cs="Arial"/>
                <w:color w:val="000000"/>
                <w:kern w:val="0"/>
                <w:sz w:val="24"/>
                <w:szCs w:val="24"/>
              </w:rPr>
            </w:pPr>
          </w:p>
        </w:tc>
        <w:tc>
          <w:tcPr>
            <w:tcW w:w="3357" w:type="dxa"/>
            <w:vAlign w:val="center"/>
          </w:tcPr>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其中：买断式回购的买入返售金融资产</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rPr>
          <w:jc w:val="center"/>
        </w:trPr>
        <w:tc>
          <w:tcPr>
            <w:tcW w:w="72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6</w:t>
            </w:r>
          </w:p>
        </w:tc>
        <w:tc>
          <w:tcPr>
            <w:tcW w:w="3357" w:type="dxa"/>
            <w:vAlign w:val="center"/>
          </w:tcPr>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银行存款和结算备付金合计</w:t>
            </w:r>
          </w:p>
        </w:tc>
        <w:tc>
          <w:tcPr>
            <w:tcW w:w="2977"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8,237,691.86</w:t>
            </w:r>
          </w:p>
        </w:tc>
        <w:tc>
          <w:tcPr>
            <w:tcW w:w="1843"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9.22</w:t>
            </w:r>
          </w:p>
        </w:tc>
      </w:tr>
      <w:tr w:rsidR="00EE2E42">
        <w:trPr>
          <w:jc w:val="center"/>
        </w:trPr>
        <w:tc>
          <w:tcPr>
            <w:tcW w:w="72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7</w:t>
            </w:r>
          </w:p>
        </w:tc>
        <w:tc>
          <w:tcPr>
            <w:tcW w:w="3357" w:type="dxa"/>
            <w:vAlign w:val="center"/>
          </w:tcPr>
          <w:p w:rsidR="00EE2E42" w:rsidRDefault="00DF20DF">
            <w:pPr>
              <w:autoSpaceDE w:val="0"/>
              <w:autoSpaceDN w:val="0"/>
              <w:adjustRightInd w:val="0"/>
              <w:spacing w:line="288" w:lineRule="auto"/>
              <w:ind w:left="15"/>
              <w:jc w:val="left"/>
              <w:rPr>
                <w:rFonts w:cs="Arial"/>
                <w:color w:val="000000"/>
                <w:kern w:val="0"/>
                <w:sz w:val="24"/>
                <w:szCs w:val="24"/>
              </w:rPr>
            </w:pPr>
            <w:r>
              <w:rPr>
                <w:rFonts w:cs="Arial" w:hint="eastAsia"/>
                <w:color w:val="000000"/>
                <w:kern w:val="0"/>
                <w:sz w:val="24"/>
                <w:szCs w:val="24"/>
              </w:rPr>
              <w:t>其他各项资产</w:t>
            </w:r>
          </w:p>
        </w:tc>
        <w:tc>
          <w:tcPr>
            <w:tcW w:w="2977" w:type="dxa"/>
            <w:vAlign w:val="center"/>
          </w:tcPr>
          <w:p w:rsidR="00EE2E42" w:rsidRDefault="00DF20DF">
            <w:pPr>
              <w:autoSpaceDE w:val="0"/>
              <w:autoSpaceDN w:val="0"/>
              <w:adjustRightInd w:val="0"/>
              <w:spacing w:line="288" w:lineRule="auto"/>
              <w:ind w:left="15"/>
              <w:jc w:val="right"/>
              <w:rPr>
                <w:rFonts w:cs="Arial"/>
                <w:color w:val="000000"/>
                <w:kern w:val="0"/>
                <w:sz w:val="24"/>
                <w:szCs w:val="24"/>
              </w:rPr>
            </w:pPr>
            <w:r>
              <w:rPr>
                <w:rFonts w:cs="Arial" w:hint="eastAsia"/>
                <w:color w:val="000000"/>
                <w:kern w:val="0"/>
                <w:sz w:val="24"/>
                <w:szCs w:val="24"/>
              </w:rPr>
              <w:t>81,147,950.55</w:t>
            </w:r>
          </w:p>
        </w:tc>
        <w:tc>
          <w:tcPr>
            <w:tcW w:w="1843" w:type="dxa"/>
            <w:vAlign w:val="center"/>
          </w:tcPr>
          <w:p w:rsidR="00EE2E42" w:rsidRDefault="00DF20DF">
            <w:pPr>
              <w:autoSpaceDE w:val="0"/>
              <w:autoSpaceDN w:val="0"/>
              <w:adjustRightInd w:val="0"/>
              <w:spacing w:line="288" w:lineRule="auto"/>
              <w:ind w:left="15"/>
              <w:jc w:val="right"/>
              <w:rPr>
                <w:rFonts w:cs="Arial"/>
                <w:color w:val="000000"/>
                <w:kern w:val="0"/>
                <w:sz w:val="24"/>
                <w:szCs w:val="24"/>
              </w:rPr>
            </w:pPr>
            <w:r>
              <w:rPr>
                <w:rFonts w:cs="Arial" w:hint="eastAsia"/>
                <w:color w:val="000000"/>
                <w:kern w:val="0"/>
                <w:sz w:val="24"/>
                <w:szCs w:val="24"/>
              </w:rPr>
              <w:t>90.78</w:t>
            </w:r>
          </w:p>
        </w:tc>
      </w:tr>
      <w:tr w:rsidR="00EE2E42">
        <w:trPr>
          <w:jc w:val="center"/>
        </w:trPr>
        <w:tc>
          <w:tcPr>
            <w:tcW w:w="720"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8</w:t>
            </w:r>
          </w:p>
        </w:tc>
        <w:tc>
          <w:tcPr>
            <w:tcW w:w="3357" w:type="dxa"/>
            <w:vAlign w:val="center"/>
          </w:tcPr>
          <w:p w:rsidR="00EE2E42" w:rsidRDefault="00DF20DF">
            <w:pPr>
              <w:autoSpaceDE w:val="0"/>
              <w:autoSpaceDN w:val="0"/>
              <w:adjustRightInd w:val="0"/>
              <w:spacing w:line="288" w:lineRule="auto"/>
              <w:ind w:left="15"/>
              <w:jc w:val="left"/>
              <w:rPr>
                <w:rFonts w:cs="Arial"/>
                <w:color w:val="000000"/>
                <w:kern w:val="0"/>
                <w:sz w:val="24"/>
                <w:szCs w:val="24"/>
              </w:rPr>
            </w:pPr>
            <w:r>
              <w:rPr>
                <w:rFonts w:cs="Arial" w:hint="eastAsia"/>
                <w:color w:val="000000"/>
                <w:kern w:val="0"/>
                <w:sz w:val="24"/>
                <w:szCs w:val="24"/>
              </w:rPr>
              <w:t>合计</w:t>
            </w:r>
          </w:p>
        </w:tc>
        <w:tc>
          <w:tcPr>
            <w:tcW w:w="2977" w:type="dxa"/>
            <w:vAlign w:val="center"/>
          </w:tcPr>
          <w:p w:rsidR="00EE2E42" w:rsidRDefault="00DF20DF">
            <w:pPr>
              <w:autoSpaceDE w:val="0"/>
              <w:autoSpaceDN w:val="0"/>
              <w:adjustRightInd w:val="0"/>
              <w:spacing w:line="288" w:lineRule="auto"/>
              <w:ind w:left="15"/>
              <w:jc w:val="right"/>
              <w:rPr>
                <w:rFonts w:cs="Arial"/>
                <w:color w:val="000000"/>
                <w:kern w:val="0"/>
                <w:sz w:val="24"/>
                <w:szCs w:val="24"/>
              </w:rPr>
            </w:pPr>
            <w:r>
              <w:rPr>
                <w:rFonts w:cs="Arial" w:hint="eastAsia"/>
                <w:color w:val="000000"/>
                <w:kern w:val="0"/>
                <w:sz w:val="24"/>
                <w:szCs w:val="24"/>
              </w:rPr>
              <w:t>89,385,642.41</w:t>
            </w:r>
          </w:p>
        </w:tc>
        <w:tc>
          <w:tcPr>
            <w:tcW w:w="1843" w:type="dxa"/>
            <w:vAlign w:val="center"/>
          </w:tcPr>
          <w:p w:rsidR="00EE2E42" w:rsidRDefault="00DF20DF">
            <w:pPr>
              <w:autoSpaceDE w:val="0"/>
              <w:autoSpaceDN w:val="0"/>
              <w:adjustRightInd w:val="0"/>
              <w:spacing w:line="288" w:lineRule="auto"/>
              <w:ind w:left="15"/>
              <w:jc w:val="right"/>
              <w:rPr>
                <w:rFonts w:cs="Arial"/>
                <w:color w:val="000000"/>
                <w:kern w:val="0"/>
                <w:sz w:val="24"/>
                <w:szCs w:val="24"/>
              </w:rPr>
            </w:pPr>
            <w:r>
              <w:rPr>
                <w:rFonts w:cs="Arial" w:hint="eastAsia"/>
                <w:color w:val="000000"/>
                <w:kern w:val="0"/>
                <w:sz w:val="24"/>
                <w:szCs w:val="24"/>
              </w:rPr>
              <w:t>100.00</w:t>
            </w:r>
          </w:p>
        </w:tc>
      </w:tr>
    </w:tbl>
    <w:p w:rsidR="00EE2E42" w:rsidRDefault="00EE2E42">
      <w:pPr>
        <w:autoSpaceDE w:val="0"/>
        <w:autoSpaceDN w:val="0"/>
        <w:adjustRightInd w:val="0"/>
        <w:spacing w:line="360" w:lineRule="auto"/>
        <w:jc w:val="left"/>
        <w:rPr>
          <w:rFonts w:asciiTheme="minorEastAsia" w:eastAsiaTheme="minorEastAsia" w:hAnsiTheme="minorEastAsia" w:cs="宋体"/>
          <w:color w:val="000000" w:themeColor="text1"/>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b/>
          <w:color w:val="000000"/>
          <w:kern w:val="0"/>
          <w:sz w:val="24"/>
          <w:szCs w:val="24"/>
        </w:rPr>
        <w:t>5.2</w:t>
      </w:r>
      <w:r>
        <w:rPr>
          <w:rFonts w:cs="Arial" w:hint="eastAsia"/>
          <w:b/>
          <w:color w:val="000000"/>
          <w:kern w:val="0"/>
          <w:sz w:val="24"/>
          <w:szCs w:val="24"/>
        </w:rPr>
        <w:t>.</w:t>
      </w:r>
      <w:r>
        <w:rPr>
          <w:rFonts w:cs="Arial"/>
          <w:b/>
          <w:color w:val="000000"/>
          <w:kern w:val="0"/>
          <w:sz w:val="24"/>
          <w:szCs w:val="24"/>
        </w:rPr>
        <w:t xml:space="preserve">2 </w:t>
      </w:r>
      <w:r>
        <w:rPr>
          <w:rFonts w:cs="Arial" w:hint="eastAsia"/>
          <w:b/>
          <w:color w:val="000000"/>
          <w:kern w:val="0"/>
          <w:sz w:val="24"/>
          <w:szCs w:val="24"/>
        </w:rPr>
        <w:t>报告期末按行业分类的股票投资组合</w:t>
      </w:r>
    </w:p>
    <w:p w:rsidR="00EE2E42" w:rsidRDefault="00DF20DF">
      <w:pPr>
        <w:autoSpaceDE w:val="0"/>
        <w:autoSpaceDN w:val="0"/>
        <w:adjustRightInd w:val="0"/>
        <w:spacing w:before="29" w:line="288" w:lineRule="auto"/>
        <w:jc w:val="left"/>
        <w:rPr>
          <w:rFonts w:eastAsiaTheme="minorEastAsia"/>
          <w:b/>
          <w:color w:val="000000"/>
          <w:kern w:val="0"/>
          <w:sz w:val="24"/>
        </w:rPr>
      </w:pPr>
      <w:r>
        <w:rPr>
          <w:rFonts w:eastAsiaTheme="minorEastAsia" w:hint="eastAsia"/>
          <w:b/>
          <w:color w:val="000000" w:themeColor="text1"/>
          <w:kern w:val="0"/>
        </w:rPr>
        <w:t>5.2.2.1</w:t>
      </w:r>
      <w:r>
        <w:rPr>
          <w:rFonts w:eastAsiaTheme="minorEastAsia" w:hint="eastAsia"/>
          <w:b/>
          <w:color w:val="000000" w:themeColor="text1"/>
          <w:kern w:val="0"/>
        </w:rPr>
        <w:t>报告期末按行业分类的境内股票投资组合</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本基金本报告期末未持有股票。</w:t>
      </w:r>
    </w:p>
    <w:p w:rsidR="00EE2E42" w:rsidRDefault="00DF20DF">
      <w:pPr>
        <w:jc w:val="left"/>
        <w:rPr>
          <w:b/>
        </w:rPr>
      </w:pPr>
      <w:r>
        <w:rPr>
          <w:rFonts w:ascii="宋体" w:hAnsi="宋体" w:hint="eastAsia"/>
          <w:b/>
          <w:kern w:val="0"/>
          <w:sz w:val="18"/>
        </w:rPr>
        <w:t>5.2.2.2</w:t>
      </w:r>
      <w:r>
        <w:rPr>
          <w:rFonts w:hint="eastAsia"/>
          <w:b/>
        </w:rPr>
        <w:t>报告期末按行业分类的港股通投资股票投资组合</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sz w:val="24"/>
        </w:rPr>
        <w:t>本基金本报告期末未持有港股通股票。</w:t>
      </w: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DF20D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Pr>
          <w:rFonts w:cs="Arial"/>
          <w:b/>
          <w:color w:val="000000"/>
          <w:kern w:val="0"/>
          <w:sz w:val="24"/>
          <w:szCs w:val="24"/>
        </w:rPr>
        <w:t>5.2</w:t>
      </w:r>
      <w:r>
        <w:rPr>
          <w:rFonts w:cs="Arial" w:hint="eastAsia"/>
          <w:b/>
          <w:color w:val="000000"/>
          <w:kern w:val="0"/>
          <w:sz w:val="24"/>
          <w:szCs w:val="24"/>
        </w:rPr>
        <w:t>.</w:t>
      </w:r>
      <w:r>
        <w:rPr>
          <w:rFonts w:cs="Arial"/>
          <w:b/>
          <w:color w:val="000000"/>
          <w:kern w:val="0"/>
          <w:sz w:val="24"/>
          <w:szCs w:val="24"/>
        </w:rPr>
        <w:t xml:space="preserve">3 </w:t>
      </w:r>
      <w:bookmarkStart w:id="6" w:name="OLE_LINK1"/>
      <w:bookmarkStart w:id="7" w:name="OLE_LINK2"/>
      <w:r>
        <w:rPr>
          <w:rFonts w:cs="Arial" w:hint="eastAsia"/>
          <w:b/>
          <w:color w:val="000000"/>
          <w:kern w:val="0"/>
          <w:sz w:val="24"/>
          <w:szCs w:val="24"/>
        </w:rPr>
        <w:t>报告期末按公允价值占基金资产净值比例大小排序的前十名股票投资明</w:t>
      </w:r>
      <w:r>
        <w:rPr>
          <w:rFonts w:asciiTheme="minorEastAsia" w:eastAsiaTheme="minorEastAsia" w:hAnsiTheme="minorEastAsia" w:hint="eastAsia"/>
          <w:b/>
          <w:bCs/>
          <w:color w:val="000000" w:themeColor="text1"/>
          <w:kern w:val="0"/>
          <w:sz w:val="24"/>
          <w:szCs w:val="24"/>
        </w:rPr>
        <w:t>细</w:t>
      </w:r>
      <w:bookmarkEnd w:id="6"/>
      <w:bookmarkEnd w:id="7"/>
    </w:p>
    <w:p w:rsidR="00EE2E42" w:rsidRDefault="005F751E">
      <w:pPr>
        <w:autoSpaceDE w:val="0"/>
        <w:autoSpaceDN w:val="0"/>
        <w:adjustRightInd w:val="0"/>
        <w:spacing w:line="360" w:lineRule="auto"/>
        <w:jc w:val="left"/>
        <w:rPr>
          <w:rFonts w:ascii="宋体" w:hAnsi="宋体" w:cs="STSong-Light"/>
          <w:color w:val="000000"/>
          <w:sz w:val="24"/>
          <w:szCs w:val="24"/>
        </w:rPr>
      </w:pPr>
      <w:r>
        <w:rPr>
          <w:rFonts w:ascii="宋体" w:hAnsi="宋体" w:cs="STSong-Light"/>
          <w:color w:val="000000"/>
          <w:sz w:val="24"/>
          <w:szCs w:val="24"/>
        </w:rPr>
        <w:t>本基金本报告期末未持有股票。</w:t>
      </w:r>
      <w:bookmarkStart w:id="8" w:name="_GoBack"/>
      <w:bookmarkEnd w:id="8"/>
    </w:p>
    <w:p w:rsidR="005F751E" w:rsidRDefault="005F751E">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b/>
          <w:color w:val="000000"/>
          <w:kern w:val="0"/>
          <w:sz w:val="24"/>
          <w:szCs w:val="24"/>
        </w:rPr>
        <w:t>5.2</w:t>
      </w:r>
      <w:r>
        <w:rPr>
          <w:rFonts w:cs="Arial" w:hint="eastAsia"/>
          <w:b/>
          <w:color w:val="000000"/>
          <w:kern w:val="0"/>
          <w:sz w:val="24"/>
          <w:szCs w:val="24"/>
        </w:rPr>
        <w:t>.</w:t>
      </w:r>
      <w:r>
        <w:rPr>
          <w:rFonts w:cs="Arial"/>
          <w:b/>
          <w:color w:val="000000"/>
          <w:kern w:val="0"/>
          <w:sz w:val="24"/>
          <w:szCs w:val="24"/>
        </w:rPr>
        <w:t xml:space="preserve">4 </w:t>
      </w:r>
      <w:r>
        <w:rPr>
          <w:rFonts w:cs="Arial" w:hint="eastAsia"/>
          <w:b/>
          <w:color w:val="000000"/>
          <w:kern w:val="0"/>
          <w:sz w:val="24"/>
          <w:szCs w:val="24"/>
        </w:rPr>
        <w:t>报告期末按债券品种分类的债券投资组合</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本基金本报告期末未持有债券。</w:t>
      </w: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DF20D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Pr>
          <w:rFonts w:cs="Arial"/>
          <w:b/>
          <w:color w:val="000000"/>
          <w:kern w:val="0"/>
          <w:sz w:val="24"/>
          <w:szCs w:val="24"/>
        </w:rPr>
        <w:t>5.2</w:t>
      </w:r>
      <w:r>
        <w:rPr>
          <w:rFonts w:cs="Arial" w:hint="eastAsia"/>
          <w:b/>
          <w:color w:val="000000"/>
          <w:kern w:val="0"/>
          <w:sz w:val="24"/>
          <w:szCs w:val="24"/>
        </w:rPr>
        <w:t>.</w:t>
      </w:r>
      <w:r>
        <w:rPr>
          <w:rFonts w:cs="Arial"/>
          <w:b/>
          <w:color w:val="000000"/>
          <w:kern w:val="0"/>
          <w:sz w:val="24"/>
          <w:szCs w:val="24"/>
        </w:rPr>
        <w:t xml:space="preserve">5 </w:t>
      </w:r>
      <w:r>
        <w:rPr>
          <w:rFonts w:cs="Arial" w:hint="eastAsia"/>
          <w:b/>
          <w:color w:val="000000"/>
          <w:kern w:val="0"/>
          <w:sz w:val="24"/>
          <w:szCs w:val="24"/>
        </w:rPr>
        <w:t>报告期末按公允价值占基金资产净值比例大小排序的前五名债券投资明</w:t>
      </w:r>
      <w:r>
        <w:rPr>
          <w:rFonts w:asciiTheme="minorEastAsia" w:eastAsiaTheme="minorEastAsia" w:hAnsiTheme="minorEastAsia" w:hint="eastAsia"/>
          <w:b/>
          <w:bCs/>
          <w:color w:val="000000" w:themeColor="text1"/>
          <w:kern w:val="0"/>
          <w:sz w:val="24"/>
          <w:szCs w:val="24"/>
        </w:rPr>
        <w:t>细</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本基金本报告期末未持有债券。</w:t>
      </w:r>
    </w:p>
    <w:p w:rsidR="00EE2E42" w:rsidRDefault="00EE2E42">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p>
    <w:p w:rsidR="00EE2E42" w:rsidRDefault="00DF20D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Pr>
          <w:rFonts w:cs="Arial"/>
          <w:b/>
          <w:color w:val="000000"/>
          <w:kern w:val="0"/>
          <w:sz w:val="24"/>
          <w:szCs w:val="24"/>
        </w:rPr>
        <w:t>5.2</w:t>
      </w:r>
      <w:r>
        <w:rPr>
          <w:rFonts w:cs="Arial" w:hint="eastAsia"/>
          <w:b/>
          <w:color w:val="000000"/>
          <w:kern w:val="0"/>
          <w:sz w:val="24"/>
          <w:szCs w:val="24"/>
        </w:rPr>
        <w:t>.</w:t>
      </w:r>
      <w:r>
        <w:rPr>
          <w:rFonts w:cs="Arial"/>
          <w:b/>
          <w:color w:val="000000"/>
          <w:kern w:val="0"/>
          <w:sz w:val="24"/>
          <w:szCs w:val="24"/>
        </w:rPr>
        <w:t xml:space="preserve">6 </w:t>
      </w:r>
      <w:r>
        <w:rPr>
          <w:rFonts w:cs="Arial" w:hint="eastAsia"/>
          <w:b/>
          <w:color w:val="000000"/>
          <w:kern w:val="0"/>
          <w:sz w:val="24"/>
          <w:szCs w:val="24"/>
        </w:rPr>
        <w:t>报告期末按公允价值占基金资产净值比例大小排序的前十名资产支持证</w:t>
      </w:r>
      <w:r>
        <w:rPr>
          <w:rFonts w:asciiTheme="minorEastAsia" w:eastAsiaTheme="minorEastAsia" w:hAnsiTheme="minorEastAsia" w:hint="eastAsia"/>
          <w:b/>
          <w:bCs/>
          <w:color w:val="000000" w:themeColor="text1"/>
          <w:kern w:val="0"/>
          <w:sz w:val="24"/>
          <w:szCs w:val="24"/>
        </w:rPr>
        <w:t>券投资明细</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本基金本报告期末未持有资产支持证券。</w:t>
      </w: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sz w:val="24"/>
          <w:szCs w:val="24"/>
        </w:rPr>
      </w:pPr>
    </w:p>
    <w:p w:rsidR="00EE2E42" w:rsidRDefault="00DF20D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Pr>
          <w:rFonts w:cs="Arial" w:hint="eastAsia"/>
          <w:b/>
          <w:color w:val="000000"/>
          <w:kern w:val="0"/>
          <w:sz w:val="24"/>
          <w:szCs w:val="24"/>
        </w:rPr>
        <w:t xml:space="preserve">5.2.7 </w:t>
      </w:r>
      <w:r>
        <w:rPr>
          <w:rFonts w:cs="Arial" w:hint="eastAsia"/>
          <w:b/>
          <w:color w:val="000000"/>
          <w:kern w:val="0"/>
          <w:sz w:val="24"/>
          <w:szCs w:val="24"/>
        </w:rPr>
        <w:t>报告期末按公允价值占基金资产净值比例大小排序的前五名贵金属投资</w:t>
      </w:r>
      <w:r>
        <w:rPr>
          <w:rFonts w:asciiTheme="minorEastAsia" w:eastAsiaTheme="minorEastAsia" w:hAnsiTheme="minorEastAsia" w:hint="eastAsia"/>
          <w:b/>
          <w:bCs/>
          <w:color w:val="000000" w:themeColor="text1"/>
          <w:kern w:val="0"/>
          <w:sz w:val="24"/>
          <w:szCs w:val="24"/>
        </w:rPr>
        <w:t>明细</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本基金本报告期末未持有贵金属。</w:t>
      </w: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DF20D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Pr>
          <w:rFonts w:cs="Arial" w:hint="eastAsia"/>
          <w:b/>
          <w:color w:val="000000"/>
          <w:kern w:val="0"/>
          <w:sz w:val="24"/>
          <w:szCs w:val="24"/>
        </w:rPr>
        <w:t>5.2.8</w:t>
      </w:r>
      <w:r>
        <w:rPr>
          <w:rFonts w:cs="Arial" w:hint="eastAsia"/>
          <w:b/>
          <w:color w:val="000000"/>
          <w:kern w:val="0"/>
          <w:sz w:val="24"/>
          <w:szCs w:val="24"/>
        </w:rPr>
        <w:t>报告期末按公允价值占基金资产净值比例大小排序的前五名权证投资明</w:t>
      </w:r>
      <w:r>
        <w:rPr>
          <w:rFonts w:asciiTheme="minorEastAsia" w:eastAsiaTheme="minorEastAsia" w:hAnsiTheme="minorEastAsia" w:hint="eastAsia"/>
          <w:b/>
          <w:bCs/>
          <w:color w:val="000000" w:themeColor="text1"/>
          <w:kern w:val="0"/>
          <w:sz w:val="24"/>
          <w:szCs w:val="24"/>
        </w:rPr>
        <w:t>细</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本基金本报告期末未持有权证。</w:t>
      </w: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 xml:space="preserve">5.2.9 </w:t>
      </w:r>
      <w:r>
        <w:rPr>
          <w:rFonts w:cs="Arial" w:hint="eastAsia"/>
          <w:b/>
          <w:color w:val="000000"/>
          <w:kern w:val="0"/>
          <w:sz w:val="24"/>
          <w:szCs w:val="24"/>
        </w:rPr>
        <w:t>报告期末本基金投资的股指期货交易情况说明</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 xml:space="preserve">5.2.9.1 </w:t>
      </w:r>
      <w:r>
        <w:rPr>
          <w:rFonts w:cs="Arial" w:hint="eastAsia"/>
          <w:b/>
          <w:color w:val="000000"/>
          <w:kern w:val="0"/>
          <w:sz w:val="24"/>
          <w:szCs w:val="24"/>
        </w:rPr>
        <w:t>报告期末本基金投资的股指期货持仓和损益明细</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本基金本报告期末未持有股指期货。</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5.2.9.2</w:t>
      </w:r>
      <w:r>
        <w:rPr>
          <w:rFonts w:cs="Arial" w:hint="eastAsia"/>
          <w:b/>
          <w:color w:val="000000"/>
          <w:kern w:val="0"/>
          <w:sz w:val="24"/>
          <w:szCs w:val="24"/>
        </w:rPr>
        <w:t>本基金投资股指期货的投资政策</w:t>
      </w:r>
    </w:p>
    <w:p w:rsidR="00EE2E42" w:rsidRDefault="00DF20DF">
      <w:pPr>
        <w:adjustRightInd w:val="0"/>
        <w:spacing w:before="29" w:line="288" w:lineRule="auto"/>
        <w:rPr>
          <w:rFonts w:ascii="宋体" w:hAnsi="宋体" w:cs="宋体"/>
          <w:bCs/>
          <w:color w:val="000000"/>
          <w:sz w:val="24"/>
          <w:szCs w:val="24"/>
        </w:rPr>
      </w:pPr>
      <w:r>
        <w:rPr>
          <w:rFonts w:ascii="宋体" w:hAnsi="宋体" w:cs="宋体"/>
          <w:bCs/>
          <w:color w:val="000000"/>
          <w:sz w:val="24"/>
          <w:szCs w:val="24"/>
        </w:rPr>
        <w:t>根据本基金合同，本基金不参与股指期货交易。</w:t>
      </w: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5.2.10</w:t>
      </w:r>
      <w:r>
        <w:rPr>
          <w:rFonts w:cs="Arial" w:hint="eastAsia"/>
          <w:b/>
          <w:color w:val="000000"/>
          <w:kern w:val="0"/>
          <w:sz w:val="24"/>
          <w:szCs w:val="24"/>
        </w:rPr>
        <w:t>报告期末本基金投资的国债期货交易情况说明</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5.2.10.1</w:t>
      </w:r>
      <w:r>
        <w:rPr>
          <w:rFonts w:cs="Arial" w:hint="eastAsia"/>
          <w:b/>
          <w:color w:val="000000"/>
          <w:kern w:val="0"/>
          <w:sz w:val="24"/>
          <w:szCs w:val="24"/>
        </w:rPr>
        <w:t>本期国债期货投资政策</w:t>
      </w:r>
    </w:p>
    <w:p w:rsidR="00EE2E42" w:rsidRDefault="00DF20DF">
      <w:pPr>
        <w:adjustRightInd w:val="0"/>
        <w:spacing w:before="29" w:line="288" w:lineRule="auto"/>
        <w:rPr>
          <w:rFonts w:ascii="宋体" w:hAnsi="宋体" w:cs="宋体"/>
          <w:bCs/>
          <w:color w:val="000000"/>
          <w:sz w:val="24"/>
          <w:szCs w:val="24"/>
        </w:rPr>
      </w:pPr>
      <w:r>
        <w:rPr>
          <w:rFonts w:ascii="宋体" w:hAnsi="宋体" w:cs="宋体"/>
          <w:bCs/>
          <w:color w:val="000000"/>
          <w:sz w:val="24"/>
          <w:szCs w:val="24"/>
        </w:rPr>
        <w:t>根据本基金合同，本基金不参与国债期货交易。</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5.2.10.2</w:t>
      </w:r>
      <w:r>
        <w:rPr>
          <w:rFonts w:cs="Arial" w:hint="eastAsia"/>
          <w:b/>
          <w:color w:val="000000"/>
          <w:kern w:val="0"/>
          <w:sz w:val="24"/>
          <w:szCs w:val="24"/>
        </w:rPr>
        <w:t>报告期末本基金投资的国债期货持仓和损益明细</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本基金本报告期末未持有国债期货。</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5.2.10.</w:t>
      </w:r>
      <w:r w:rsidR="003D1FED">
        <w:rPr>
          <w:rFonts w:cs="Arial" w:hint="eastAsia"/>
          <w:b/>
          <w:color w:val="000000"/>
          <w:kern w:val="0"/>
          <w:sz w:val="24"/>
          <w:szCs w:val="24"/>
        </w:rPr>
        <w:t>3</w:t>
      </w:r>
      <w:r>
        <w:rPr>
          <w:rFonts w:cs="Arial" w:hint="eastAsia"/>
          <w:b/>
          <w:color w:val="000000"/>
          <w:kern w:val="0"/>
          <w:sz w:val="24"/>
          <w:szCs w:val="24"/>
        </w:rPr>
        <w:t>本期国债期货投资评价</w:t>
      </w:r>
    </w:p>
    <w:p w:rsidR="00EE2E42" w:rsidRDefault="00DF20DF">
      <w:pPr>
        <w:adjustRightInd w:val="0"/>
        <w:spacing w:before="29" w:line="288" w:lineRule="auto"/>
        <w:rPr>
          <w:rFonts w:ascii="宋体" w:hAnsi="宋体" w:cs="宋体"/>
          <w:bCs/>
          <w:color w:val="000000"/>
          <w:sz w:val="24"/>
          <w:szCs w:val="24"/>
        </w:rPr>
      </w:pPr>
      <w:r>
        <w:rPr>
          <w:rFonts w:ascii="宋体" w:hAnsi="宋体" w:cs="宋体"/>
          <w:bCs/>
          <w:color w:val="000000"/>
          <w:sz w:val="24"/>
          <w:szCs w:val="24"/>
        </w:rPr>
        <w:t>根据本基金合同，本基金不参与国债期货交易。</w:t>
      </w:r>
    </w:p>
    <w:p w:rsidR="00EE2E42" w:rsidRDefault="00EE2E42">
      <w:pPr>
        <w:autoSpaceDE w:val="0"/>
        <w:autoSpaceDN w:val="0"/>
        <w:adjustRightInd w:val="0"/>
        <w:spacing w:line="360" w:lineRule="auto"/>
        <w:jc w:val="left"/>
        <w:rPr>
          <w:rFonts w:asciiTheme="minorEastAsia" w:eastAsiaTheme="minorEastAsia" w:hAnsiTheme="minorEastAsia"/>
          <w:color w:val="000000" w:themeColor="text1"/>
          <w:kern w:val="0"/>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5.2.11</w:t>
      </w:r>
      <w:r>
        <w:rPr>
          <w:rFonts w:cs="Arial" w:hint="eastAsia"/>
          <w:b/>
          <w:color w:val="000000"/>
          <w:kern w:val="0"/>
          <w:sz w:val="24"/>
          <w:szCs w:val="24"/>
        </w:rPr>
        <w:t>投资组合报告附注</w:t>
      </w:r>
    </w:p>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5.2.11.1</w:t>
      </w:r>
      <w:r>
        <w:rPr>
          <w:rFonts w:cs="Arial"/>
          <w:color w:val="000000"/>
          <w:kern w:val="0"/>
          <w:sz w:val="24"/>
          <w:szCs w:val="24"/>
        </w:rPr>
        <w:t>报告期内，本基金投资的前十名证券的发行主体没有出现被监管部门立案调查</w:t>
      </w:r>
      <w:r>
        <w:rPr>
          <w:rFonts w:cs="Arial"/>
          <w:color w:val="000000"/>
          <w:kern w:val="0"/>
          <w:sz w:val="24"/>
          <w:szCs w:val="24"/>
        </w:rPr>
        <w:t>,</w:t>
      </w:r>
      <w:r>
        <w:rPr>
          <w:rFonts w:cs="Arial"/>
          <w:color w:val="000000"/>
          <w:kern w:val="0"/>
          <w:sz w:val="24"/>
          <w:szCs w:val="24"/>
        </w:rPr>
        <w:t>或在报告编制日前一年内受到公开谴责、处罚的情形。</w:t>
      </w:r>
    </w:p>
    <w:p w:rsidR="00EE2E42" w:rsidRDefault="00DF20DF">
      <w:pPr>
        <w:autoSpaceDE w:val="0"/>
        <w:autoSpaceDN w:val="0"/>
        <w:adjustRightInd w:val="0"/>
        <w:spacing w:before="29" w:line="288" w:lineRule="auto"/>
        <w:ind w:left="15"/>
        <w:jc w:val="left"/>
        <w:rPr>
          <w:rFonts w:cs="Arial"/>
          <w:color w:val="000000"/>
          <w:kern w:val="0"/>
          <w:sz w:val="24"/>
          <w:szCs w:val="24"/>
        </w:rPr>
      </w:pPr>
      <w:r>
        <w:rPr>
          <w:rFonts w:cs="Arial" w:hint="eastAsia"/>
          <w:color w:val="000000"/>
          <w:kern w:val="0"/>
          <w:sz w:val="24"/>
          <w:szCs w:val="24"/>
        </w:rPr>
        <w:t>5.2.11.2</w:t>
      </w:r>
      <w:r>
        <w:rPr>
          <w:rFonts w:cs="Arial"/>
          <w:color w:val="000000"/>
          <w:kern w:val="0"/>
          <w:sz w:val="24"/>
          <w:szCs w:val="24"/>
        </w:rPr>
        <w:t>本基金投资的前十名股票中，没有投资于超出基金合同规定备选股票库之外的股票。</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5.2.11.3</w:t>
      </w:r>
      <w:r>
        <w:rPr>
          <w:rFonts w:cs="Arial" w:hint="eastAsia"/>
          <w:b/>
          <w:color w:val="000000"/>
          <w:kern w:val="0"/>
          <w:sz w:val="24"/>
          <w:szCs w:val="24"/>
        </w:rPr>
        <w:t>其他各项资产构成</w:t>
      </w:r>
    </w:p>
    <w:tbl>
      <w:tblPr>
        <w:tblStyle w:val="af8"/>
        <w:tblW w:w="8513" w:type="dxa"/>
        <w:tblInd w:w="15" w:type="dxa"/>
        <w:tblLayout w:type="fixed"/>
        <w:tblLook w:val="04A0"/>
      </w:tblPr>
      <w:tblGrid>
        <w:gridCol w:w="1235"/>
        <w:gridCol w:w="1617"/>
        <w:gridCol w:w="5661"/>
      </w:tblGrid>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序号</w:t>
            </w:r>
          </w:p>
        </w:tc>
        <w:tc>
          <w:tcPr>
            <w:tcW w:w="1617"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名称</w:t>
            </w:r>
          </w:p>
        </w:tc>
        <w:tc>
          <w:tcPr>
            <w:tcW w:w="5661"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金额</w:t>
            </w:r>
            <w:r>
              <w:rPr>
                <w:rFonts w:cs="Arial" w:hint="eastAsia"/>
                <w:color w:val="000000"/>
                <w:kern w:val="0"/>
                <w:sz w:val="24"/>
                <w:szCs w:val="24"/>
              </w:rPr>
              <w:t>(</w:t>
            </w:r>
            <w:r>
              <w:rPr>
                <w:rFonts w:cs="Arial" w:hint="eastAsia"/>
                <w:color w:val="000000"/>
                <w:kern w:val="0"/>
                <w:sz w:val="24"/>
                <w:szCs w:val="24"/>
              </w:rPr>
              <w:t>元</w:t>
            </w:r>
            <w:r>
              <w:rPr>
                <w:rFonts w:cs="Arial" w:hint="eastAsia"/>
                <w:color w:val="000000"/>
                <w:kern w:val="0"/>
                <w:sz w:val="24"/>
                <w:szCs w:val="24"/>
              </w:rPr>
              <w:t>)</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1</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存出保证金</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color w:val="000000"/>
                <w:kern w:val="0"/>
                <w:sz w:val="24"/>
                <w:szCs w:val="24"/>
              </w:rPr>
              <w:t>2,538.05</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2</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应收证券清算款</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color w:val="000000"/>
                <w:kern w:val="0"/>
                <w:sz w:val="24"/>
                <w:szCs w:val="24"/>
              </w:rPr>
              <w:t>81,138,342.78</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3</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应收股利</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color w:val="000000"/>
                <w:kern w:val="0"/>
                <w:sz w:val="24"/>
                <w:szCs w:val="24"/>
              </w:rPr>
              <w:t>-</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4</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应收利息</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color w:val="000000"/>
                <w:kern w:val="0"/>
                <w:sz w:val="24"/>
                <w:szCs w:val="24"/>
              </w:rPr>
              <w:t>7,069.72</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5</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应收申购款</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color w:val="000000"/>
                <w:kern w:val="0"/>
                <w:sz w:val="24"/>
                <w:szCs w:val="24"/>
              </w:rPr>
              <w:t>-</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color w:val="000000"/>
                <w:kern w:val="0"/>
                <w:sz w:val="24"/>
                <w:szCs w:val="24"/>
              </w:rPr>
              <w:t>6</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其他应收款</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color w:val="000000"/>
                <w:kern w:val="0"/>
                <w:sz w:val="24"/>
                <w:szCs w:val="24"/>
              </w:rPr>
              <w:t>-</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7</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待摊费用</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hint="eastAsia"/>
                <w:color w:val="000000"/>
                <w:kern w:val="0"/>
                <w:sz w:val="24"/>
                <w:szCs w:val="24"/>
              </w:rPr>
              <w:t>-</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8</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其他</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color w:val="000000"/>
                <w:kern w:val="0"/>
                <w:sz w:val="24"/>
                <w:szCs w:val="24"/>
              </w:rPr>
              <w:t>-</w:t>
            </w:r>
          </w:p>
        </w:tc>
      </w:tr>
      <w:tr w:rsidR="00EE2E42">
        <w:tc>
          <w:tcPr>
            <w:tcW w:w="1235" w:type="dxa"/>
            <w:vAlign w:val="center"/>
          </w:tcPr>
          <w:p w:rsidR="00EE2E42" w:rsidRDefault="00DF20DF">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9</w:t>
            </w:r>
          </w:p>
        </w:tc>
        <w:tc>
          <w:tcPr>
            <w:tcW w:w="1617" w:type="dxa"/>
            <w:vAlign w:val="center"/>
          </w:tcPr>
          <w:p w:rsidR="00EE2E42" w:rsidRDefault="00DF20DF">
            <w:pPr>
              <w:autoSpaceDE w:val="0"/>
              <w:autoSpaceDN w:val="0"/>
              <w:adjustRightInd w:val="0"/>
              <w:spacing w:before="29" w:line="288" w:lineRule="auto"/>
              <w:ind w:left="15"/>
              <w:rPr>
                <w:rFonts w:cs="Arial"/>
                <w:color w:val="000000"/>
                <w:kern w:val="0"/>
                <w:sz w:val="24"/>
                <w:szCs w:val="24"/>
              </w:rPr>
            </w:pPr>
            <w:r>
              <w:rPr>
                <w:rFonts w:cs="Arial" w:hint="eastAsia"/>
                <w:color w:val="000000"/>
                <w:kern w:val="0"/>
                <w:sz w:val="24"/>
                <w:szCs w:val="24"/>
              </w:rPr>
              <w:t>合计</w:t>
            </w:r>
          </w:p>
        </w:tc>
        <w:tc>
          <w:tcPr>
            <w:tcW w:w="5661" w:type="dxa"/>
            <w:vAlign w:val="center"/>
          </w:tcPr>
          <w:p w:rsidR="00EE2E42" w:rsidRDefault="00DF20DF">
            <w:pPr>
              <w:autoSpaceDE w:val="0"/>
              <w:autoSpaceDN w:val="0"/>
              <w:adjustRightInd w:val="0"/>
              <w:spacing w:before="29" w:line="288" w:lineRule="auto"/>
              <w:ind w:left="15"/>
              <w:jc w:val="right"/>
              <w:rPr>
                <w:rFonts w:cs="Arial"/>
                <w:color w:val="000000"/>
                <w:kern w:val="0"/>
                <w:sz w:val="24"/>
                <w:szCs w:val="24"/>
              </w:rPr>
            </w:pPr>
            <w:r>
              <w:rPr>
                <w:rFonts w:cs="Arial"/>
                <w:color w:val="000000"/>
                <w:kern w:val="0"/>
                <w:sz w:val="24"/>
                <w:szCs w:val="24"/>
              </w:rPr>
              <w:t>81,147,950.55</w:t>
            </w:r>
          </w:p>
        </w:tc>
      </w:tr>
    </w:tbl>
    <w:p w:rsidR="00EE2E42" w:rsidRDefault="00EE2E42">
      <w:pPr>
        <w:autoSpaceDE w:val="0"/>
        <w:autoSpaceDN w:val="0"/>
        <w:adjustRightInd w:val="0"/>
        <w:spacing w:line="360" w:lineRule="auto"/>
        <w:rPr>
          <w:rFonts w:asciiTheme="minorEastAsia" w:eastAsiaTheme="minorEastAsia" w:hAnsiTheme="minorEastAsia"/>
          <w:color w:val="000000" w:themeColor="text1"/>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5.2.11.4</w:t>
      </w:r>
      <w:r>
        <w:rPr>
          <w:rFonts w:cs="Arial" w:hint="eastAsia"/>
          <w:b/>
          <w:color w:val="000000"/>
          <w:kern w:val="0"/>
          <w:sz w:val="24"/>
          <w:szCs w:val="24"/>
        </w:rPr>
        <w:t>报告期末持有的处于转股期的可转换债券明细</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本基金本报告期末未持有处于转股期的可转换债券。</w:t>
      </w:r>
    </w:p>
    <w:p w:rsidR="00EE2E42" w:rsidRDefault="00EE2E42">
      <w:pPr>
        <w:autoSpaceDE w:val="0"/>
        <w:autoSpaceDN w:val="0"/>
        <w:adjustRightInd w:val="0"/>
        <w:spacing w:line="360" w:lineRule="auto"/>
        <w:rPr>
          <w:rFonts w:asciiTheme="minorEastAsia" w:eastAsiaTheme="minorEastAsia" w:hAnsiTheme="minorEastAsia"/>
          <w:color w:val="000000" w:themeColor="text1"/>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5.2.11.5</w:t>
      </w:r>
      <w:r>
        <w:rPr>
          <w:rFonts w:cs="Arial" w:hint="eastAsia"/>
          <w:b/>
          <w:color w:val="000000"/>
          <w:kern w:val="0"/>
          <w:sz w:val="24"/>
          <w:szCs w:val="24"/>
        </w:rPr>
        <w:t>报告期末前十名股票中存在流通受限情况的说明</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color w:val="000000"/>
          <w:sz w:val="24"/>
          <w:szCs w:val="24"/>
        </w:rPr>
        <w:t>本基金本报告期末未持有股票。</w:t>
      </w:r>
    </w:p>
    <w:p w:rsidR="00EE2E42" w:rsidRDefault="00EE2E42">
      <w:pPr>
        <w:autoSpaceDE w:val="0"/>
        <w:autoSpaceDN w:val="0"/>
        <w:adjustRightInd w:val="0"/>
        <w:spacing w:line="360" w:lineRule="auto"/>
        <w:rPr>
          <w:rFonts w:asciiTheme="minorEastAsia" w:eastAsiaTheme="minorEastAsia" w:hAnsiTheme="minorEastAsia"/>
          <w:color w:val="000000" w:themeColor="text1"/>
          <w:sz w:val="24"/>
          <w:szCs w:val="24"/>
        </w:rPr>
      </w:pPr>
    </w:p>
    <w:p w:rsidR="00EE2E42" w:rsidRDefault="00DF20DF">
      <w:pPr>
        <w:pStyle w:val="1"/>
        <w:jc w:val="cente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w:t>
      </w:r>
      <w:r>
        <w:rPr>
          <w:rFonts w:asciiTheme="minorEastAsia" w:eastAsiaTheme="minorEastAsia" w:hAnsiTheme="minorEastAsia"/>
          <w:color w:val="000000" w:themeColor="text1"/>
          <w:kern w:val="0"/>
          <w:sz w:val="24"/>
          <w:szCs w:val="24"/>
        </w:rPr>
        <w:t xml:space="preserve">6  </w:t>
      </w:r>
      <w:r>
        <w:rPr>
          <w:rFonts w:asciiTheme="minorEastAsia" w:eastAsiaTheme="minorEastAsia" w:hAnsiTheme="minorEastAsia" w:hint="eastAsia"/>
          <w:color w:val="000000" w:themeColor="text1"/>
          <w:kern w:val="0"/>
          <w:sz w:val="24"/>
          <w:szCs w:val="24"/>
        </w:rPr>
        <w:t>开放式基金份额变动</w:t>
      </w:r>
    </w:p>
    <w:p w:rsidR="00EE2E42" w:rsidRDefault="00DF20DF">
      <w:pPr>
        <w:autoSpaceDE w:val="0"/>
        <w:autoSpaceDN w:val="0"/>
        <w:adjustRightInd w:val="0"/>
        <w:spacing w:line="360" w:lineRule="auto"/>
        <w:jc w:val="left"/>
        <w:rPr>
          <w:rFonts w:cs="Arial"/>
          <w:b/>
          <w:color w:val="000000"/>
          <w:kern w:val="0"/>
          <w:sz w:val="24"/>
          <w:szCs w:val="24"/>
        </w:rPr>
      </w:pPr>
      <w:r>
        <w:rPr>
          <w:rFonts w:cs="Arial" w:hint="eastAsia"/>
          <w:b/>
          <w:color w:val="000000"/>
          <w:kern w:val="0"/>
          <w:sz w:val="24"/>
          <w:szCs w:val="24"/>
        </w:rPr>
        <w:t xml:space="preserve">6.1 </w:t>
      </w:r>
      <w:r>
        <w:rPr>
          <w:rFonts w:cs="Arial"/>
          <w:b/>
          <w:color w:val="000000"/>
          <w:kern w:val="0"/>
          <w:sz w:val="24"/>
          <w:szCs w:val="24"/>
        </w:rPr>
        <w:t>海富通双福债券型证券投资基金</w:t>
      </w:r>
    </w:p>
    <w:p w:rsidR="00EE2E42" w:rsidRDefault="00DF20DF">
      <w:pPr>
        <w:autoSpaceDE w:val="0"/>
        <w:autoSpaceDN w:val="0"/>
        <w:adjustRightInd w:val="0"/>
        <w:spacing w:before="29" w:line="360" w:lineRule="auto"/>
        <w:ind w:left="15"/>
        <w:jc w:val="right"/>
        <w:rPr>
          <w:rFonts w:ascii="宋体" w:hAnsi="宋体" w:cs="STSong-Light"/>
          <w:color w:val="000000"/>
          <w:sz w:val="24"/>
          <w:szCs w:val="24"/>
        </w:rPr>
      </w:pPr>
      <w:r>
        <w:rPr>
          <w:rFonts w:ascii="宋体" w:hAnsi="宋体" w:cs="STSong-Light" w:hint="eastAsia"/>
          <w:color w:val="000000"/>
          <w:sz w:val="24"/>
          <w:szCs w:val="24"/>
        </w:rPr>
        <w:t>单位：份</w:t>
      </w:r>
    </w:p>
    <w:tbl>
      <w:tblPr>
        <w:tblW w:w="8634" w:type="dxa"/>
        <w:tblInd w:w="-106" w:type="dxa"/>
        <w:tblLayout w:type="fixed"/>
        <w:tblLook w:val="04A0"/>
      </w:tblPr>
      <w:tblGrid>
        <w:gridCol w:w="4609"/>
        <w:gridCol w:w="4025"/>
      </w:tblGrid>
      <w:tr w:rsidR="00EE2E42">
        <w:tc>
          <w:tcPr>
            <w:tcW w:w="4609"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cs="宋体" w:hint="eastAsia"/>
                <w:color w:val="000000" w:themeColor="text1"/>
                <w:kern w:val="0"/>
              </w:rPr>
              <w:t>本报告期期初基金份额总额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right"/>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7,858,067.22</w:t>
            </w:r>
          </w:p>
        </w:tc>
      </w:tr>
      <w:tr w:rsidR="00EE2E42">
        <w:tc>
          <w:tcPr>
            <w:tcW w:w="4609"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cs="宋体"/>
                <w:color w:val="000000" w:themeColor="text1"/>
                <w:kern w:val="0"/>
              </w:rPr>
              <w:t>基金合同生效日起至报告期期末</w:t>
            </w:r>
            <w:r>
              <w:rPr>
                <w:rFonts w:asciiTheme="minorEastAsia" w:eastAsiaTheme="minorEastAsia" w:hAnsiTheme="minorEastAsia" w:cs="宋体" w:hint="eastAsia"/>
                <w:color w:val="000000" w:themeColor="text1"/>
                <w:kern w:val="0"/>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right"/>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w:t>
            </w:r>
          </w:p>
        </w:tc>
      </w:tr>
      <w:tr w:rsidR="00EE2E42">
        <w:tc>
          <w:tcPr>
            <w:tcW w:w="4609"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cs="宋体" w:hint="eastAsia"/>
                <w:color w:val="000000" w:themeColor="text1"/>
                <w:kern w:val="0"/>
              </w:rPr>
              <w:t>减：</w:t>
            </w:r>
            <w:r>
              <w:rPr>
                <w:rFonts w:asciiTheme="minorEastAsia" w:eastAsiaTheme="minorEastAsia" w:hAnsiTheme="minorEastAsia" w:cs="宋体"/>
                <w:color w:val="000000" w:themeColor="text1"/>
                <w:kern w:val="0"/>
              </w:rPr>
              <w:t>基金合同生效日起至报告期期末</w:t>
            </w:r>
            <w:r>
              <w:rPr>
                <w:rFonts w:asciiTheme="minorEastAsia" w:eastAsiaTheme="minorEastAsia" w:hAnsiTheme="minorEastAsia" w:cs="宋体" w:hint="eastAsia"/>
                <w:color w:val="000000" w:themeColor="text1"/>
                <w:kern w:val="0"/>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right"/>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w:t>
            </w:r>
          </w:p>
        </w:tc>
      </w:tr>
      <w:tr w:rsidR="00EE2E42">
        <w:tc>
          <w:tcPr>
            <w:tcW w:w="4609"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cs="宋体"/>
                <w:color w:val="000000" w:themeColor="text1"/>
                <w:kern w:val="0"/>
              </w:rPr>
              <w:t>基金合同生效日起至报告期期末</w:t>
            </w:r>
            <w:r>
              <w:rPr>
                <w:rFonts w:asciiTheme="minorEastAsia" w:eastAsiaTheme="minorEastAsia" w:hAnsiTheme="minorEastAsia" w:cs="宋体" w:hint="eastAsia"/>
                <w:color w:val="000000" w:themeColor="text1"/>
                <w:kern w:val="0"/>
              </w:rPr>
              <w:t>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right"/>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w:t>
            </w:r>
          </w:p>
        </w:tc>
      </w:tr>
      <w:tr w:rsidR="00EE2E42">
        <w:tc>
          <w:tcPr>
            <w:tcW w:w="4609"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cs="宋体" w:hint="eastAsia"/>
                <w:color w:val="000000" w:themeColor="text1"/>
                <w:kern w:val="0"/>
              </w:rPr>
              <w:t>本报告期期末基金份额总额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right"/>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7,858,067.22</w:t>
            </w:r>
          </w:p>
        </w:tc>
      </w:tr>
    </w:tbl>
    <w:p w:rsidR="00EE2E42" w:rsidRDefault="00DF20DF">
      <w:pPr>
        <w:autoSpaceDE w:val="0"/>
        <w:autoSpaceDN w:val="0"/>
        <w:adjustRightInd w:val="0"/>
        <w:spacing w:line="360" w:lineRule="auto"/>
        <w:jc w:val="left"/>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注：海富通双福债券型证券投资基金报告期期间:2018年6月5日至2018年6月30日。</w:t>
      </w:r>
    </w:p>
    <w:p w:rsidR="00EE2E42" w:rsidRDefault="00DF20DF">
      <w:pPr>
        <w:autoSpaceDE w:val="0"/>
        <w:autoSpaceDN w:val="0"/>
        <w:adjustRightInd w:val="0"/>
        <w:spacing w:line="360" w:lineRule="auto"/>
        <w:jc w:val="left"/>
        <w:rPr>
          <w:rFonts w:cs="Arial"/>
          <w:b/>
          <w:color w:val="000000"/>
          <w:kern w:val="0"/>
          <w:sz w:val="24"/>
          <w:szCs w:val="24"/>
        </w:rPr>
      </w:pPr>
      <w:r>
        <w:rPr>
          <w:rFonts w:cs="Arial" w:hint="eastAsia"/>
          <w:b/>
          <w:color w:val="000000"/>
          <w:kern w:val="0"/>
          <w:sz w:val="24"/>
          <w:szCs w:val="24"/>
        </w:rPr>
        <w:t xml:space="preserve">6.2 </w:t>
      </w:r>
      <w:r>
        <w:rPr>
          <w:rFonts w:cs="Arial"/>
          <w:b/>
          <w:color w:val="000000"/>
          <w:kern w:val="0"/>
          <w:sz w:val="24"/>
          <w:szCs w:val="24"/>
        </w:rPr>
        <w:t>海富通双福分级债券型证券投资基金</w:t>
      </w:r>
    </w:p>
    <w:p w:rsidR="00EE2E42" w:rsidRDefault="00DF20DF">
      <w:pPr>
        <w:autoSpaceDE w:val="0"/>
        <w:autoSpaceDN w:val="0"/>
        <w:adjustRightInd w:val="0"/>
        <w:spacing w:before="29" w:line="360" w:lineRule="auto"/>
        <w:ind w:left="15"/>
        <w:jc w:val="right"/>
        <w:rPr>
          <w:rFonts w:ascii="宋体" w:hAnsi="宋体" w:cs="STSong-Light"/>
          <w:color w:val="000000"/>
          <w:sz w:val="24"/>
          <w:szCs w:val="24"/>
        </w:rPr>
      </w:pPr>
      <w:r>
        <w:rPr>
          <w:rFonts w:ascii="宋体" w:hAnsi="宋体" w:cs="STSong-Light" w:hint="eastAsia"/>
          <w:color w:val="000000"/>
          <w:sz w:val="24"/>
          <w:szCs w:val="24"/>
        </w:rPr>
        <w:t>单位：份</w:t>
      </w:r>
    </w:p>
    <w:tbl>
      <w:tblPr>
        <w:tblW w:w="8634" w:type="dxa"/>
        <w:tblInd w:w="-106" w:type="dxa"/>
        <w:tblLayout w:type="fixed"/>
        <w:tblLook w:val="04A0"/>
      </w:tblPr>
      <w:tblGrid>
        <w:gridCol w:w="3900"/>
        <w:gridCol w:w="2367"/>
        <w:gridCol w:w="2367"/>
      </w:tblGrid>
      <w:tr w:rsidR="00EE2E42">
        <w:tc>
          <w:tcPr>
            <w:tcW w:w="3900"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center"/>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海富通双福分级债券A</w:t>
            </w:r>
          </w:p>
        </w:tc>
        <w:tc>
          <w:tcPr>
            <w:tcW w:w="2367"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center"/>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海富通双福分级债券B</w:t>
            </w:r>
          </w:p>
        </w:tc>
      </w:tr>
      <w:tr w:rsidR="00EE2E42">
        <w:tc>
          <w:tcPr>
            <w:tcW w:w="3900"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cs="宋体" w:hint="eastAsia"/>
                <w:color w:val="000000" w:themeColor="text1"/>
                <w:kern w:val="0"/>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right"/>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11,092,791.47</w:t>
            </w:r>
          </w:p>
        </w:tc>
        <w:tc>
          <w:tcPr>
            <w:tcW w:w="2367"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right"/>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97,062,287.25</w:t>
            </w:r>
          </w:p>
        </w:tc>
      </w:tr>
      <w:tr w:rsidR="00EE2E42">
        <w:tc>
          <w:tcPr>
            <w:tcW w:w="3900"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cs="宋体"/>
                <w:color w:val="000000" w:themeColor="text1"/>
                <w:kern w:val="0"/>
              </w:rPr>
              <w:t>基金合同生效日起至报告期期末</w:t>
            </w:r>
            <w:r>
              <w:rPr>
                <w:rFonts w:asciiTheme="minorEastAsia" w:eastAsiaTheme="minorEastAsia" w:hAnsiTheme="minorEastAsia" w:cs="宋体" w:hint="eastAsia"/>
                <w:color w:val="000000" w:themeColor="text1"/>
                <w:kern w:val="0"/>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right"/>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right"/>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w:t>
            </w:r>
          </w:p>
        </w:tc>
      </w:tr>
      <w:tr w:rsidR="00EE2E42">
        <w:tc>
          <w:tcPr>
            <w:tcW w:w="3900"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cs="宋体" w:hint="eastAsia"/>
                <w:color w:val="000000" w:themeColor="text1"/>
                <w:kern w:val="0"/>
              </w:rPr>
              <w:t>减：</w:t>
            </w:r>
            <w:r>
              <w:rPr>
                <w:rFonts w:asciiTheme="minorEastAsia" w:eastAsiaTheme="minorEastAsia" w:hAnsiTheme="minorEastAsia" w:cs="宋体"/>
                <w:color w:val="000000" w:themeColor="text1"/>
                <w:kern w:val="0"/>
              </w:rPr>
              <w:t>基金合同生效日起至报告期期末</w:t>
            </w:r>
            <w:r>
              <w:rPr>
                <w:rFonts w:asciiTheme="minorEastAsia" w:eastAsiaTheme="minorEastAsia" w:hAnsiTheme="minorEastAsia" w:cs="宋体" w:hint="eastAsia"/>
                <w:color w:val="000000" w:themeColor="text1"/>
                <w:kern w:val="0"/>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right"/>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right"/>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w:t>
            </w:r>
          </w:p>
        </w:tc>
      </w:tr>
      <w:tr w:rsidR="00EE2E42">
        <w:tc>
          <w:tcPr>
            <w:tcW w:w="3900"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cs="宋体"/>
                <w:color w:val="000000" w:themeColor="text1"/>
                <w:kern w:val="0"/>
              </w:rPr>
              <w:t>基金合同生效日起至报告期期末</w:t>
            </w:r>
            <w:r>
              <w:rPr>
                <w:rFonts w:asciiTheme="minorEastAsia" w:eastAsiaTheme="minorEastAsia" w:hAnsiTheme="minorEastAsia" w:cs="宋体" w:hint="eastAsia"/>
                <w:color w:val="000000" w:themeColor="text1"/>
                <w:kern w:val="0"/>
              </w:rPr>
              <w:t>基金拆分变动份额（份额减少以“-”填列）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right"/>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right"/>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w:t>
            </w:r>
          </w:p>
        </w:tc>
      </w:tr>
      <w:tr w:rsidR="00EE2E42">
        <w:tc>
          <w:tcPr>
            <w:tcW w:w="3900"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rPr>
                <w:rFonts w:asciiTheme="minorEastAsia" w:eastAsiaTheme="minorEastAsia" w:hAnsiTheme="minorEastAsia"/>
                <w:color w:val="000000" w:themeColor="text1"/>
                <w:kern w:val="0"/>
              </w:rPr>
            </w:pPr>
            <w:r>
              <w:rPr>
                <w:rFonts w:asciiTheme="minorEastAsia" w:eastAsiaTheme="minorEastAsia" w:hAnsiTheme="minorEastAsia" w:cs="宋体" w:hint="eastAsia"/>
                <w:color w:val="000000" w:themeColor="text1"/>
                <w:kern w:val="0"/>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right"/>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11,092,791.47</w:t>
            </w:r>
          </w:p>
        </w:tc>
        <w:tc>
          <w:tcPr>
            <w:tcW w:w="2367" w:type="dxa"/>
            <w:tcBorders>
              <w:top w:val="single" w:sz="8" w:space="0" w:color="000000"/>
              <w:left w:val="single" w:sz="8" w:space="0" w:color="000000"/>
              <w:bottom w:val="single" w:sz="8" w:space="0" w:color="000000"/>
              <w:right w:val="single" w:sz="8" w:space="0" w:color="000000"/>
            </w:tcBorders>
            <w:vAlign w:val="center"/>
          </w:tcPr>
          <w:p w:rsidR="00EE2E42" w:rsidRDefault="00DF20DF">
            <w:pPr>
              <w:autoSpaceDE w:val="0"/>
              <w:autoSpaceDN w:val="0"/>
              <w:adjustRightInd w:val="0"/>
              <w:spacing w:before="29" w:line="360" w:lineRule="auto"/>
              <w:ind w:left="17"/>
              <w:jc w:val="right"/>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rPr>
              <w:t>97,062,287.25</w:t>
            </w:r>
          </w:p>
        </w:tc>
      </w:tr>
    </w:tbl>
    <w:p w:rsidR="0030403A" w:rsidRDefault="003F3530">
      <w:pPr>
        <w:autoSpaceDE w:val="0"/>
        <w:autoSpaceDN w:val="0"/>
        <w:adjustRightInd w:val="0"/>
        <w:spacing w:before="29" w:line="288" w:lineRule="auto"/>
        <w:jc w:val="left"/>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注：(1)海富通双福分级债券型证券投资基金报告期期间:2018年4月1日至2018年6月4日。</w:t>
      </w:r>
    </w:p>
    <w:p w:rsidR="0030403A" w:rsidRDefault="003F3530">
      <w:pPr>
        <w:autoSpaceDE w:val="0"/>
        <w:autoSpaceDN w:val="0"/>
        <w:adjustRightInd w:val="0"/>
        <w:spacing w:before="29" w:line="288" w:lineRule="auto"/>
        <w:jc w:val="left"/>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(2)海富通双福债券型证券投资基金报告期期间:2018年6月5日至2018年6月30日。</w:t>
      </w:r>
    </w:p>
    <w:p w:rsidR="00EE2E42" w:rsidRDefault="00DF20DF">
      <w:pPr>
        <w:autoSpaceDE w:val="0"/>
        <w:autoSpaceDN w:val="0"/>
        <w:adjustRightInd w:val="0"/>
        <w:spacing w:before="29" w:line="288" w:lineRule="auto"/>
        <w:jc w:val="left"/>
        <w:rPr>
          <w:rFonts w:asciiTheme="minorEastAsia" w:eastAsiaTheme="minorEastAsia" w:hAnsiTheme="minorEastAsia" w:cs="宋体"/>
          <w:color w:val="000000" w:themeColor="text1"/>
          <w:kern w:val="0"/>
        </w:rPr>
      </w:pPr>
      <w:r>
        <w:rPr>
          <w:rFonts w:asciiTheme="minorEastAsia" w:eastAsiaTheme="minorEastAsia" w:hAnsiTheme="minorEastAsia" w:cs="宋体"/>
          <w:color w:val="000000" w:themeColor="text1"/>
          <w:kern w:val="0"/>
        </w:rPr>
        <w:t>(3)2018年6月5日确认2018年6月4日投资者申请赎回双福A 5,068,267.56份额，双福B 96,632,745.25份额；海富通双福债券型证券投资基金报告期期初基金份额总额=（双福A报告期末份额-2018年6月5日双福A确认赎回份额）*转换比例+（双福B报告期末份额-2018年6月5日双福B确认赎回份额）*转换比例。</w:t>
      </w:r>
    </w:p>
    <w:p w:rsidR="00EE2E42" w:rsidRDefault="00DF20DF" w:rsidP="00D9067D">
      <w:pPr>
        <w:pStyle w:val="1"/>
        <w:tabs>
          <w:tab w:val="center" w:pos="4156"/>
          <w:tab w:val="right" w:pos="8312"/>
        </w:tabs>
        <w:spacing w:beforeLines="100" w:afterLines="100" w:line="360" w:lineRule="auto"/>
        <w:jc w:val="center"/>
        <w:rPr>
          <w:rFonts w:ascii="方正仿宋简体"/>
          <w:color w:val="000000" w:themeColor="text1"/>
          <w:sz w:val="24"/>
          <w:szCs w:val="24"/>
        </w:rPr>
      </w:pPr>
      <w:r>
        <w:rPr>
          <w:rFonts w:asciiTheme="minorEastAsia" w:eastAsiaTheme="minorEastAsia" w:hAnsiTheme="minorEastAsia" w:cs="Arial" w:hint="eastAsia"/>
          <w:color w:val="000000" w:themeColor="text1"/>
          <w:kern w:val="0"/>
          <w:sz w:val="24"/>
          <w:szCs w:val="24"/>
        </w:rPr>
        <w:t xml:space="preserve">§7  </w:t>
      </w:r>
      <w:r>
        <w:rPr>
          <w:rFonts w:ascii="方正仿宋简体" w:hint="eastAsia"/>
          <w:color w:val="000000" w:themeColor="text1"/>
          <w:sz w:val="24"/>
          <w:szCs w:val="24"/>
        </w:rPr>
        <w:t>基金管理人运用固有资金投资本基金情况</w:t>
      </w:r>
    </w:p>
    <w:p w:rsidR="00EE2E42" w:rsidRDefault="00DF20DF">
      <w:pPr>
        <w:pStyle w:val="a0"/>
        <w:ind w:firstLineChars="0" w:firstLine="0"/>
        <w:outlineLvl w:val="1"/>
        <w:rPr>
          <w:b/>
          <w:sz w:val="24"/>
          <w:szCs w:val="24"/>
        </w:rPr>
      </w:pPr>
      <w:r>
        <w:rPr>
          <w:rFonts w:hint="eastAsia"/>
          <w:b/>
          <w:sz w:val="24"/>
          <w:szCs w:val="24"/>
        </w:rPr>
        <w:t xml:space="preserve">7.1 </w:t>
      </w:r>
      <w:r>
        <w:rPr>
          <w:b/>
          <w:sz w:val="24"/>
          <w:szCs w:val="24"/>
        </w:rPr>
        <w:t>海富通双福债券型证券投资基金</w:t>
      </w:r>
    </w:p>
    <w:p w:rsidR="00EE2E42" w:rsidRDefault="00DF20DF">
      <w:pPr>
        <w:pStyle w:val="a0"/>
        <w:ind w:firstLineChars="0" w:firstLine="0"/>
        <w:rPr>
          <w:b/>
          <w:sz w:val="24"/>
          <w:szCs w:val="24"/>
        </w:rPr>
      </w:pPr>
      <w:r>
        <w:rPr>
          <w:rFonts w:cs="Arial"/>
          <w:b/>
          <w:color w:val="000000"/>
          <w:kern w:val="0"/>
          <w:sz w:val="24"/>
          <w:szCs w:val="24"/>
        </w:rPr>
        <w:t>7.1</w:t>
      </w:r>
      <w:r>
        <w:rPr>
          <w:rFonts w:cs="Arial" w:hint="eastAsia"/>
          <w:b/>
          <w:color w:val="000000"/>
          <w:kern w:val="0"/>
          <w:sz w:val="24"/>
          <w:szCs w:val="24"/>
        </w:rPr>
        <w:t xml:space="preserve">.1 </w:t>
      </w:r>
      <w:r>
        <w:rPr>
          <w:rFonts w:cs="Arial" w:hint="eastAsia"/>
          <w:b/>
          <w:color w:val="000000"/>
          <w:kern w:val="0"/>
          <w:sz w:val="24"/>
          <w:szCs w:val="24"/>
        </w:rPr>
        <w:t>基金管理人持有本基金份额变动情况</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hint="eastAsia"/>
          <w:color w:val="000000"/>
          <w:sz w:val="24"/>
          <w:szCs w:val="24"/>
        </w:rPr>
        <w:t>本基金本报告期基金管理人未持有本基金。</w:t>
      </w:r>
    </w:p>
    <w:p w:rsidR="00EE2E42" w:rsidRDefault="00DF20DF">
      <w:pPr>
        <w:rPr>
          <w:rFonts w:cs="Arial"/>
          <w:b/>
          <w:color w:val="000000"/>
          <w:kern w:val="0"/>
          <w:sz w:val="24"/>
          <w:szCs w:val="24"/>
        </w:rPr>
      </w:pPr>
      <w:r>
        <w:rPr>
          <w:rFonts w:cs="Arial"/>
          <w:b/>
          <w:color w:val="000000"/>
          <w:kern w:val="0"/>
          <w:sz w:val="24"/>
          <w:szCs w:val="24"/>
        </w:rPr>
        <w:t>7.1</w:t>
      </w:r>
      <w:r>
        <w:rPr>
          <w:rFonts w:cs="Arial" w:hint="eastAsia"/>
          <w:b/>
          <w:color w:val="000000"/>
          <w:kern w:val="0"/>
          <w:sz w:val="24"/>
          <w:szCs w:val="24"/>
        </w:rPr>
        <w:t>.2</w:t>
      </w:r>
      <w:r>
        <w:rPr>
          <w:rFonts w:cs="Arial" w:hint="eastAsia"/>
          <w:b/>
          <w:color w:val="000000"/>
          <w:kern w:val="0"/>
          <w:sz w:val="24"/>
          <w:szCs w:val="24"/>
        </w:rPr>
        <w:t>基金管理人运用固有资金投资本基金交易明细</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hint="eastAsia"/>
          <w:color w:val="000000"/>
          <w:sz w:val="24"/>
          <w:szCs w:val="24"/>
        </w:rPr>
        <w:t>本基金本报告期基金管理人未运用固有投资本基金。</w:t>
      </w:r>
    </w:p>
    <w:p w:rsidR="00EE2E42" w:rsidRDefault="00DF20DF">
      <w:pPr>
        <w:pStyle w:val="a0"/>
        <w:ind w:firstLineChars="0" w:firstLine="0"/>
        <w:outlineLvl w:val="1"/>
        <w:rPr>
          <w:rFonts w:cs="Arial"/>
          <w:b/>
          <w:color w:val="000000"/>
          <w:kern w:val="0"/>
          <w:sz w:val="24"/>
        </w:rPr>
      </w:pPr>
      <w:r>
        <w:rPr>
          <w:rFonts w:hint="eastAsia"/>
          <w:b/>
          <w:sz w:val="24"/>
        </w:rPr>
        <w:t xml:space="preserve">7.2 </w:t>
      </w:r>
      <w:r>
        <w:rPr>
          <w:rFonts w:cs="Arial"/>
          <w:b/>
          <w:color w:val="000000"/>
          <w:kern w:val="0"/>
          <w:sz w:val="24"/>
        </w:rPr>
        <w:t>海富通双福分级债券型证券投资基金</w:t>
      </w:r>
    </w:p>
    <w:p w:rsidR="00EE2E42" w:rsidRDefault="00DF20DF">
      <w:pPr>
        <w:pStyle w:val="a0"/>
        <w:ind w:firstLineChars="0" w:firstLine="0"/>
        <w:rPr>
          <w:b/>
          <w:sz w:val="24"/>
          <w:szCs w:val="24"/>
        </w:rPr>
      </w:pPr>
      <w:r>
        <w:rPr>
          <w:rFonts w:cs="Arial"/>
          <w:b/>
          <w:color w:val="000000"/>
          <w:kern w:val="0"/>
          <w:sz w:val="24"/>
          <w:szCs w:val="24"/>
        </w:rPr>
        <w:t>7.2</w:t>
      </w:r>
      <w:r>
        <w:rPr>
          <w:rFonts w:cs="Arial" w:hint="eastAsia"/>
          <w:b/>
          <w:color w:val="000000"/>
          <w:kern w:val="0"/>
          <w:sz w:val="24"/>
          <w:szCs w:val="24"/>
        </w:rPr>
        <w:t>.1</w:t>
      </w:r>
      <w:r>
        <w:rPr>
          <w:rFonts w:cs="Arial" w:hint="eastAsia"/>
          <w:b/>
          <w:color w:val="000000"/>
          <w:kern w:val="0"/>
          <w:sz w:val="24"/>
          <w:szCs w:val="24"/>
        </w:rPr>
        <w:t>基金管理人持有本基金份额变动情况</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hint="eastAsia"/>
          <w:color w:val="000000"/>
          <w:sz w:val="24"/>
          <w:szCs w:val="24"/>
        </w:rPr>
        <w:t>本基金本报告期基金管理人未持有本基金。</w:t>
      </w:r>
    </w:p>
    <w:p w:rsidR="00EE2E42" w:rsidRDefault="00DF20DF">
      <w:pPr>
        <w:rPr>
          <w:rFonts w:cs="Arial"/>
          <w:b/>
          <w:color w:val="000000"/>
          <w:kern w:val="0"/>
          <w:sz w:val="24"/>
          <w:szCs w:val="24"/>
        </w:rPr>
      </w:pPr>
      <w:r>
        <w:rPr>
          <w:rFonts w:cs="Arial"/>
          <w:b/>
          <w:color w:val="000000"/>
          <w:kern w:val="0"/>
          <w:sz w:val="24"/>
          <w:szCs w:val="24"/>
        </w:rPr>
        <w:t>7.2</w:t>
      </w:r>
      <w:r>
        <w:rPr>
          <w:rFonts w:cs="Arial" w:hint="eastAsia"/>
          <w:b/>
          <w:color w:val="000000"/>
          <w:kern w:val="0"/>
          <w:sz w:val="24"/>
          <w:szCs w:val="24"/>
        </w:rPr>
        <w:t xml:space="preserve">.2 </w:t>
      </w:r>
      <w:r>
        <w:rPr>
          <w:rFonts w:cs="Arial" w:hint="eastAsia"/>
          <w:b/>
          <w:color w:val="000000"/>
          <w:kern w:val="0"/>
          <w:sz w:val="24"/>
          <w:szCs w:val="24"/>
        </w:rPr>
        <w:t>基金管理人运用固有资金投资本基金交易明细</w:t>
      </w:r>
    </w:p>
    <w:p w:rsidR="00EE2E42" w:rsidRDefault="00DF20DF">
      <w:pPr>
        <w:autoSpaceDE w:val="0"/>
        <w:autoSpaceDN w:val="0"/>
        <w:adjustRightInd w:val="0"/>
        <w:spacing w:before="29" w:line="288" w:lineRule="auto"/>
        <w:ind w:left="15"/>
        <w:jc w:val="left"/>
        <w:rPr>
          <w:rFonts w:ascii="宋体" w:hAnsi="宋体" w:cs="STSong-Light"/>
          <w:color w:val="000000"/>
          <w:sz w:val="24"/>
          <w:szCs w:val="24"/>
        </w:rPr>
      </w:pPr>
      <w:r>
        <w:rPr>
          <w:rFonts w:ascii="宋体" w:hAnsi="宋体" w:cs="STSong-Light" w:hint="eastAsia"/>
          <w:color w:val="000000"/>
          <w:sz w:val="24"/>
          <w:szCs w:val="24"/>
        </w:rPr>
        <w:t>本基金本报告期基金管理人未运用固有投资本基金。</w:t>
      </w:r>
    </w:p>
    <w:p w:rsidR="00ED6CBC" w:rsidRPr="004C4C9E" w:rsidRDefault="00ED6CBC" w:rsidP="00D9067D">
      <w:pPr>
        <w:pStyle w:val="1"/>
        <w:spacing w:beforeLines="50" w:afterLines="50" w:line="360" w:lineRule="auto"/>
        <w:jc w:val="center"/>
        <w:rPr>
          <w:color w:val="000000"/>
          <w:kern w:val="0"/>
          <w:sz w:val="21"/>
          <w:szCs w:val="21"/>
        </w:rPr>
      </w:pPr>
      <w:r w:rsidRPr="004C4C9E">
        <w:rPr>
          <w:color w:val="000000"/>
          <w:kern w:val="0"/>
          <w:sz w:val="21"/>
          <w:szCs w:val="21"/>
        </w:rPr>
        <w:t xml:space="preserve">§8 </w:t>
      </w:r>
      <w:r w:rsidRPr="004C4C9E">
        <w:rPr>
          <w:color w:val="000000"/>
          <w:kern w:val="0"/>
          <w:sz w:val="21"/>
          <w:szCs w:val="21"/>
        </w:rPr>
        <w:t>影响投资者决策的其他重要信息</w:t>
      </w:r>
    </w:p>
    <w:p w:rsidR="00ED6CBC" w:rsidRPr="004C4C9E" w:rsidRDefault="00ED6CBC" w:rsidP="00ED6CBC">
      <w:pPr>
        <w:autoSpaceDE w:val="0"/>
        <w:autoSpaceDN w:val="0"/>
        <w:adjustRightInd w:val="0"/>
        <w:spacing w:line="360" w:lineRule="auto"/>
        <w:jc w:val="left"/>
        <w:rPr>
          <w:rFonts w:eastAsiaTheme="minorEastAsia"/>
          <w:b/>
          <w:bCs/>
          <w:color w:val="000000" w:themeColor="text1"/>
          <w:kern w:val="0"/>
        </w:rPr>
      </w:pPr>
      <w:r w:rsidRPr="004C4C9E">
        <w:rPr>
          <w:b/>
          <w:color w:val="000000"/>
          <w:kern w:val="0"/>
        </w:rPr>
        <w:t>8.1</w:t>
      </w:r>
      <w:r w:rsidRPr="004C4C9E">
        <w:rPr>
          <w:b/>
          <w:color w:val="000000"/>
          <w:kern w:val="0"/>
        </w:rPr>
        <w:t>海富通双福债券型证券投资基金</w:t>
      </w:r>
    </w:p>
    <w:p w:rsidR="00ED6CBC" w:rsidRPr="004C4C9E" w:rsidRDefault="00ED6CBC" w:rsidP="00ED6CBC">
      <w:pPr>
        <w:autoSpaceDE w:val="0"/>
        <w:autoSpaceDN w:val="0"/>
        <w:adjustRightInd w:val="0"/>
        <w:spacing w:line="360" w:lineRule="auto"/>
        <w:jc w:val="left"/>
        <w:rPr>
          <w:b/>
          <w:bCs/>
          <w:color w:val="000000" w:themeColor="text1"/>
          <w:kern w:val="0"/>
        </w:rPr>
      </w:pPr>
      <w:r w:rsidRPr="004C4C9E">
        <w:rPr>
          <w:b/>
          <w:color w:val="000000"/>
          <w:kern w:val="0"/>
        </w:rPr>
        <w:t>8.1.1</w:t>
      </w:r>
      <w:r w:rsidRPr="004C4C9E">
        <w:rPr>
          <w:rFonts w:eastAsiaTheme="minorEastAsia"/>
          <w:b/>
          <w:bCs/>
          <w:color w:val="000000" w:themeColor="text1"/>
          <w:kern w:val="0"/>
        </w:rPr>
        <w:t>报告期内单一投资者持有基金份额比例达到或超过</w:t>
      </w:r>
      <w:r w:rsidRPr="004C4C9E">
        <w:rPr>
          <w:rFonts w:eastAsiaTheme="minorEastAsia"/>
          <w:b/>
          <w:bCs/>
          <w:color w:val="000000" w:themeColor="text1"/>
          <w:kern w:val="0"/>
        </w:rPr>
        <w:t>20%</w:t>
      </w:r>
      <w:r w:rsidRPr="004C4C9E">
        <w:rPr>
          <w:rFonts w:eastAsiaTheme="minorEastAsia"/>
          <w:b/>
          <w:bCs/>
          <w:color w:val="000000" w:themeColor="text1"/>
          <w:kern w:val="0"/>
        </w:rPr>
        <w:t>的情况</w:t>
      </w:r>
    </w:p>
    <w:p w:rsidR="00ED6CBC" w:rsidRPr="004C4C9E" w:rsidRDefault="00ED6CBC" w:rsidP="00ED6CBC">
      <w:pPr>
        <w:adjustRightInd w:val="0"/>
        <w:spacing w:line="360" w:lineRule="auto"/>
        <w:ind w:firstLineChars="200" w:firstLine="420"/>
        <w:rPr>
          <w:color w:val="000000"/>
        </w:rPr>
      </w:pPr>
      <w:r w:rsidRPr="004C4C9E">
        <w:rPr>
          <w:color w:val="000000"/>
        </w:rPr>
        <w:t>本基金本报告期内无单一投资者持有基金份额比例达到或超过</w:t>
      </w:r>
      <w:r w:rsidRPr="004C4C9E">
        <w:rPr>
          <w:color w:val="000000"/>
        </w:rPr>
        <w:t>20%</w:t>
      </w:r>
      <w:r w:rsidRPr="004C4C9E">
        <w:rPr>
          <w:color w:val="000000"/>
        </w:rPr>
        <w:t>的情况。</w:t>
      </w:r>
    </w:p>
    <w:p w:rsidR="00ED6CBC" w:rsidRPr="00B318FA" w:rsidRDefault="00ED6CBC" w:rsidP="00D9067D">
      <w:pPr>
        <w:autoSpaceDE w:val="0"/>
        <w:autoSpaceDN w:val="0"/>
        <w:adjustRightInd w:val="0"/>
        <w:spacing w:beforeLines="50" w:line="360" w:lineRule="auto"/>
        <w:ind w:left="17"/>
        <w:jc w:val="left"/>
        <w:rPr>
          <w:b/>
          <w:color w:val="000000"/>
          <w:kern w:val="0"/>
        </w:rPr>
      </w:pPr>
      <w:r w:rsidRPr="004C4C9E">
        <w:rPr>
          <w:b/>
          <w:color w:val="000000"/>
          <w:kern w:val="0"/>
        </w:rPr>
        <w:t>8.2</w:t>
      </w:r>
      <w:r w:rsidRPr="004C4C9E">
        <w:rPr>
          <w:b/>
          <w:color w:val="000000"/>
          <w:kern w:val="0"/>
        </w:rPr>
        <w:t>海富通双福分级债券型证券投资基金</w:t>
      </w:r>
    </w:p>
    <w:p w:rsidR="00ED6CBC" w:rsidRPr="004C4C9E" w:rsidRDefault="00ED6CBC" w:rsidP="00ED6CBC">
      <w:pPr>
        <w:autoSpaceDE w:val="0"/>
        <w:autoSpaceDN w:val="0"/>
        <w:adjustRightInd w:val="0"/>
        <w:spacing w:line="360" w:lineRule="auto"/>
        <w:jc w:val="left"/>
        <w:rPr>
          <w:b/>
          <w:bCs/>
          <w:color w:val="000000" w:themeColor="text1"/>
          <w:kern w:val="0"/>
        </w:rPr>
      </w:pPr>
      <w:r w:rsidRPr="004C4C9E">
        <w:rPr>
          <w:b/>
          <w:color w:val="000000"/>
          <w:kern w:val="0"/>
        </w:rPr>
        <w:t>8.2.1</w:t>
      </w:r>
      <w:r w:rsidRPr="004C4C9E">
        <w:rPr>
          <w:rFonts w:eastAsiaTheme="minorEastAsia"/>
          <w:b/>
          <w:bCs/>
          <w:color w:val="000000" w:themeColor="text1"/>
          <w:kern w:val="0"/>
        </w:rPr>
        <w:t>报告期内单一投资者持有基金份额比例达到或超过</w:t>
      </w:r>
      <w:r w:rsidRPr="004C4C9E">
        <w:rPr>
          <w:rFonts w:eastAsiaTheme="minorEastAsia"/>
          <w:b/>
          <w:bCs/>
          <w:color w:val="000000" w:themeColor="text1"/>
          <w:kern w:val="0"/>
        </w:rPr>
        <w:t>20%</w:t>
      </w:r>
      <w:r w:rsidRPr="004C4C9E">
        <w:rPr>
          <w:rFonts w:eastAsiaTheme="minorEastAsia"/>
          <w:b/>
          <w:bCs/>
          <w:color w:val="000000" w:themeColor="text1"/>
          <w:kern w:val="0"/>
        </w:rPr>
        <w:t>的情况</w:t>
      </w:r>
    </w:p>
    <w:tbl>
      <w:tblPr>
        <w:tblStyle w:val="af8"/>
        <w:tblW w:w="9210" w:type="dxa"/>
        <w:tblInd w:w="-176" w:type="dxa"/>
        <w:tblLayout w:type="fixed"/>
        <w:tblLook w:val="04A0"/>
      </w:tblPr>
      <w:tblGrid>
        <w:gridCol w:w="992"/>
        <w:gridCol w:w="991"/>
        <w:gridCol w:w="1843"/>
        <w:gridCol w:w="851"/>
        <w:gridCol w:w="850"/>
        <w:gridCol w:w="1134"/>
        <w:gridCol w:w="1419"/>
        <w:gridCol w:w="1130"/>
      </w:tblGrid>
      <w:tr w:rsidR="00ED6CBC" w:rsidRPr="004C4C9E" w:rsidTr="00256A3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ED6CBC" w:rsidRPr="004C4C9E" w:rsidRDefault="00ED6CBC" w:rsidP="00256A3C">
            <w:pPr>
              <w:autoSpaceDE w:val="0"/>
              <w:autoSpaceDN w:val="0"/>
              <w:adjustRightInd w:val="0"/>
              <w:spacing w:line="276" w:lineRule="auto"/>
              <w:jc w:val="center"/>
              <w:rPr>
                <w:b/>
                <w:bCs/>
                <w:color w:val="000000" w:themeColor="text1"/>
              </w:rPr>
            </w:pPr>
            <w:r w:rsidRPr="004C4C9E">
              <w:rPr>
                <w:color w:val="000000"/>
              </w:rPr>
              <w:t>投资者类别</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ED6CBC" w:rsidRPr="004C4C9E" w:rsidRDefault="00ED6CBC" w:rsidP="00256A3C">
            <w:pPr>
              <w:autoSpaceDE w:val="0"/>
              <w:autoSpaceDN w:val="0"/>
              <w:adjustRightInd w:val="0"/>
              <w:spacing w:line="276" w:lineRule="auto"/>
              <w:jc w:val="center"/>
              <w:rPr>
                <w:b/>
                <w:bCs/>
                <w:color w:val="000000" w:themeColor="text1"/>
              </w:rPr>
            </w:pPr>
            <w:r w:rsidRPr="004C4C9E">
              <w:rPr>
                <w:color w:val="000000"/>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ED6CBC" w:rsidRPr="004C4C9E" w:rsidRDefault="00ED6CBC" w:rsidP="00256A3C">
            <w:pPr>
              <w:autoSpaceDE w:val="0"/>
              <w:autoSpaceDN w:val="0"/>
              <w:adjustRightInd w:val="0"/>
              <w:spacing w:line="276" w:lineRule="auto"/>
              <w:jc w:val="center"/>
              <w:rPr>
                <w:b/>
                <w:bCs/>
                <w:color w:val="000000" w:themeColor="text1"/>
              </w:rPr>
            </w:pPr>
            <w:r w:rsidRPr="004C4C9E">
              <w:rPr>
                <w:color w:val="000000"/>
              </w:rPr>
              <w:t>报告期末持有基金情况</w:t>
            </w:r>
          </w:p>
        </w:tc>
      </w:tr>
      <w:tr w:rsidR="00ED6CBC" w:rsidRPr="004C4C9E" w:rsidTr="00256A3C">
        <w:tc>
          <w:tcPr>
            <w:tcW w:w="993" w:type="dxa"/>
            <w:vMerge/>
            <w:tcBorders>
              <w:top w:val="single" w:sz="4" w:space="0" w:color="auto"/>
              <w:left w:val="single" w:sz="4" w:space="0" w:color="auto"/>
              <w:bottom w:val="single" w:sz="4" w:space="0" w:color="auto"/>
              <w:right w:val="single" w:sz="4" w:space="0" w:color="auto"/>
            </w:tcBorders>
            <w:vAlign w:val="center"/>
            <w:hideMark/>
          </w:tcPr>
          <w:p w:rsidR="00ED6CBC" w:rsidRPr="004C4C9E" w:rsidRDefault="00ED6CBC" w:rsidP="00256A3C">
            <w:pPr>
              <w:widowControl/>
              <w:spacing w:line="276" w:lineRule="auto"/>
              <w:jc w:val="left"/>
              <w:rPr>
                <w:b/>
                <w:bCs/>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D6CBC" w:rsidRPr="004C4C9E" w:rsidRDefault="00ED6CBC" w:rsidP="00256A3C">
            <w:pPr>
              <w:autoSpaceDE w:val="0"/>
              <w:autoSpaceDN w:val="0"/>
              <w:adjustRightInd w:val="0"/>
              <w:spacing w:line="276" w:lineRule="auto"/>
              <w:jc w:val="center"/>
              <w:rPr>
                <w:b/>
                <w:bCs/>
                <w:color w:val="000000" w:themeColor="text1"/>
              </w:rPr>
            </w:pPr>
            <w:r w:rsidRPr="004C4C9E">
              <w:rPr>
                <w:color w:val="000000"/>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6CBC" w:rsidRPr="004C4C9E" w:rsidRDefault="00ED6CBC" w:rsidP="00256A3C">
            <w:pPr>
              <w:autoSpaceDE w:val="0"/>
              <w:autoSpaceDN w:val="0"/>
              <w:adjustRightInd w:val="0"/>
              <w:spacing w:line="276" w:lineRule="auto"/>
              <w:jc w:val="center"/>
              <w:rPr>
                <w:b/>
                <w:bCs/>
                <w:color w:val="000000" w:themeColor="text1"/>
              </w:rPr>
            </w:pPr>
            <w:r w:rsidRPr="004C4C9E">
              <w:rPr>
                <w:color w:val="000000"/>
              </w:rPr>
              <w:t>持有基金份额比例达到或者超过</w:t>
            </w:r>
            <w:r w:rsidRPr="004C4C9E">
              <w:rPr>
                <w:color w:val="000000"/>
              </w:rPr>
              <w:t>20%</w:t>
            </w:r>
            <w:r w:rsidRPr="004C4C9E">
              <w:rPr>
                <w:color w:val="000000"/>
              </w:rPr>
              <w:t>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ED6CBC" w:rsidRPr="004C4C9E" w:rsidRDefault="00ED6CBC" w:rsidP="00256A3C">
            <w:pPr>
              <w:widowControl/>
              <w:spacing w:line="276" w:lineRule="auto"/>
              <w:jc w:val="center"/>
              <w:rPr>
                <w:b/>
                <w:bCs/>
                <w:color w:val="000000" w:themeColor="text1"/>
              </w:rPr>
            </w:pPr>
            <w:r w:rsidRPr="004C4C9E">
              <w:rPr>
                <w:color w:val="000000"/>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ED6CBC" w:rsidRPr="004C4C9E" w:rsidRDefault="00ED6CBC" w:rsidP="00256A3C">
            <w:pPr>
              <w:widowControl/>
              <w:spacing w:line="276" w:lineRule="auto"/>
              <w:jc w:val="center"/>
              <w:rPr>
                <w:b/>
                <w:bCs/>
                <w:color w:val="000000" w:themeColor="text1"/>
              </w:rPr>
            </w:pPr>
            <w:r w:rsidRPr="004C4C9E">
              <w:rPr>
                <w:color w:val="000000"/>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6CBC" w:rsidRPr="004C4C9E" w:rsidRDefault="00ED6CBC" w:rsidP="00256A3C">
            <w:pPr>
              <w:widowControl/>
              <w:spacing w:line="276" w:lineRule="auto"/>
              <w:jc w:val="center"/>
              <w:rPr>
                <w:b/>
                <w:bCs/>
                <w:color w:val="000000" w:themeColor="text1"/>
              </w:rPr>
            </w:pPr>
            <w:r w:rsidRPr="004C4C9E">
              <w:rPr>
                <w:color w:val="000000"/>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ED6CBC" w:rsidRPr="004C4C9E" w:rsidRDefault="00ED6CBC" w:rsidP="00256A3C">
            <w:pPr>
              <w:autoSpaceDE w:val="0"/>
              <w:autoSpaceDN w:val="0"/>
              <w:adjustRightInd w:val="0"/>
              <w:spacing w:line="276" w:lineRule="auto"/>
              <w:jc w:val="center"/>
              <w:rPr>
                <w:b/>
                <w:bCs/>
                <w:color w:val="000000" w:themeColor="text1"/>
              </w:rPr>
            </w:pPr>
            <w:r w:rsidRPr="004C4C9E">
              <w:rPr>
                <w:color w:val="000000"/>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ED6CBC" w:rsidRPr="004C4C9E" w:rsidRDefault="00ED6CBC" w:rsidP="00256A3C">
            <w:pPr>
              <w:autoSpaceDE w:val="0"/>
              <w:autoSpaceDN w:val="0"/>
              <w:adjustRightInd w:val="0"/>
              <w:spacing w:line="276" w:lineRule="auto"/>
              <w:jc w:val="center"/>
              <w:rPr>
                <w:b/>
                <w:bCs/>
                <w:color w:val="000000" w:themeColor="text1"/>
              </w:rPr>
            </w:pPr>
            <w:r w:rsidRPr="004C4C9E">
              <w:rPr>
                <w:color w:val="000000"/>
              </w:rPr>
              <w:t>份额占比</w:t>
            </w:r>
          </w:p>
        </w:tc>
      </w:tr>
      <w:tr w:rsidR="0030403A">
        <w:tc>
          <w:tcPr>
            <w:tcW w:w="992" w:type="dxa"/>
            <w:vMerge w:val="restart"/>
          </w:tcPr>
          <w:p w:rsidR="0030403A" w:rsidRDefault="0030403A"/>
          <w:p w:rsidR="0030403A" w:rsidRDefault="003F3530">
            <w:r>
              <w:rPr>
                <w:bCs/>
                <w:color w:val="000000" w:themeColor="text1"/>
              </w:rPr>
              <w:t>机构</w:t>
            </w:r>
          </w:p>
        </w:tc>
        <w:tc>
          <w:tcPr>
            <w:tcW w:w="991" w:type="dxa"/>
            <w:vAlign w:val="center"/>
          </w:tcPr>
          <w:p w:rsidR="0030403A" w:rsidRDefault="003F3530">
            <w:pPr>
              <w:jc w:val="center"/>
            </w:pPr>
            <w:r>
              <w:rPr>
                <w:color w:val="000000"/>
              </w:rPr>
              <w:t>1</w:t>
            </w:r>
          </w:p>
        </w:tc>
        <w:tc>
          <w:tcPr>
            <w:tcW w:w="1843" w:type="dxa"/>
            <w:vAlign w:val="center"/>
          </w:tcPr>
          <w:p w:rsidR="0030403A" w:rsidRDefault="003F3530">
            <w:pPr>
              <w:jc w:val="center"/>
            </w:pPr>
            <w:r>
              <w:rPr>
                <w:color w:val="000000"/>
              </w:rPr>
              <w:t>2018/4/1-2018/6/4</w:t>
            </w:r>
          </w:p>
        </w:tc>
        <w:tc>
          <w:tcPr>
            <w:tcW w:w="851" w:type="dxa"/>
            <w:vAlign w:val="center"/>
          </w:tcPr>
          <w:p w:rsidR="0030403A" w:rsidRDefault="003F3530">
            <w:pPr>
              <w:jc w:val="center"/>
            </w:pPr>
            <w:r>
              <w:rPr>
                <w:color w:val="000000"/>
              </w:rPr>
              <w:t>51,575,054.08</w:t>
            </w:r>
          </w:p>
        </w:tc>
        <w:tc>
          <w:tcPr>
            <w:tcW w:w="850" w:type="dxa"/>
            <w:vAlign w:val="center"/>
          </w:tcPr>
          <w:p w:rsidR="0030403A" w:rsidRDefault="003F3530">
            <w:pPr>
              <w:jc w:val="center"/>
            </w:pPr>
            <w:r>
              <w:rPr>
                <w:color w:val="000000"/>
              </w:rPr>
              <w:t>-</w:t>
            </w:r>
          </w:p>
        </w:tc>
        <w:tc>
          <w:tcPr>
            <w:tcW w:w="1134" w:type="dxa"/>
            <w:vAlign w:val="center"/>
          </w:tcPr>
          <w:p w:rsidR="0030403A" w:rsidRDefault="003F3530">
            <w:pPr>
              <w:jc w:val="center"/>
            </w:pPr>
            <w:r>
              <w:rPr>
                <w:color w:val="000000"/>
              </w:rPr>
              <w:t>51,575,054.08</w:t>
            </w:r>
          </w:p>
        </w:tc>
        <w:tc>
          <w:tcPr>
            <w:tcW w:w="1419" w:type="dxa"/>
            <w:vAlign w:val="center"/>
          </w:tcPr>
          <w:p w:rsidR="0030403A" w:rsidRDefault="003F3530">
            <w:pPr>
              <w:jc w:val="center"/>
            </w:pPr>
            <w:r>
              <w:rPr>
                <w:color w:val="000000"/>
              </w:rPr>
              <w:t>0.00</w:t>
            </w:r>
          </w:p>
        </w:tc>
        <w:tc>
          <w:tcPr>
            <w:tcW w:w="1130" w:type="dxa"/>
            <w:vAlign w:val="center"/>
          </w:tcPr>
          <w:p w:rsidR="0030403A" w:rsidRDefault="003F3530">
            <w:pPr>
              <w:jc w:val="center"/>
            </w:pPr>
            <w:r>
              <w:rPr>
                <w:color w:val="000000"/>
              </w:rPr>
              <w:t>0.00%</w:t>
            </w:r>
          </w:p>
        </w:tc>
      </w:tr>
      <w:tr w:rsidR="00ED6CBC" w:rsidRPr="004C4C9E" w:rsidTr="00256A3C">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6CBC" w:rsidRPr="004C4C9E" w:rsidRDefault="00ED6CBC" w:rsidP="00256A3C">
            <w:pPr>
              <w:autoSpaceDE w:val="0"/>
              <w:autoSpaceDN w:val="0"/>
              <w:adjustRightInd w:val="0"/>
              <w:spacing w:line="276" w:lineRule="auto"/>
              <w:jc w:val="center"/>
            </w:pPr>
            <w:r w:rsidRPr="004C4C9E">
              <w:rPr>
                <w:color w:val="000000"/>
              </w:rPr>
              <w:t>产品特有风险</w:t>
            </w:r>
          </w:p>
        </w:tc>
      </w:tr>
      <w:tr w:rsidR="00ED6CBC" w:rsidRPr="004C4C9E" w:rsidTr="00256A3C">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30403A" w:rsidRDefault="003F3530">
            <w:pPr>
              <w:autoSpaceDE w:val="0"/>
              <w:autoSpaceDN w:val="0"/>
              <w:adjustRightInd w:val="0"/>
              <w:spacing w:line="276" w:lineRule="auto"/>
              <w:jc w:val="left"/>
            </w:pPr>
            <w:r>
              <w:t>报告期内，本基金存在单一投资者持有份额比例达到或超过</w:t>
            </w:r>
            <w:r>
              <w:t>20%</w:t>
            </w:r>
            <w:r>
              <w:t>的情况，由此可能导致的特有风险主要包括：</w:t>
            </w:r>
          </w:p>
          <w:p w:rsidR="0030403A" w:rsidRDefault="003F3530">
            <w:pPr>
              <w:autoSpaceDE w:val="0"/>
              <w:autoSpaceDN w:val="0"/>
              <w:adjustRightInd w:val="0"/>
              <w:spacing w:line="276" w:lineRule="auto"/>
              <w:jc w:val="left"/>
            </w:pPr>
            <w:r>
              <w:t>1</w:t>
            </w:r>
            <w:r>
              <w:t>、当基金份额持有人占比过于集中时，可能会因某单一基金份额持有人大额赎回而引发基金净值剧烈波动的风险；</w:t>
            </w:r>
          </w:p>
          <w:p w:rsidR="0030403A" w:rsidRDefault="003F3530">
            <w:pPr>
              <w:autoSpaceDE w:val="0"/>
              <w:autoSpaceDN w:val="0"/>
              <w:adjustRightInd w:val="0"/>
              <w:spacing w:line="276" w:lineRule="auto"/>
              <w:jc w:val="left"/>
            </w:pPr>
            <w:r>
              <w:t>2</w:t>
            </w:r>
            <w:r>
              <w:t>、若某单一基金份额持有人巨额赎回有可能引发基金的流动性风险，基金管理人可能无法及时变现基金资产以应对基金份额持有人的赎回申请，基金份额持有人可能无法及时赎回持有的全部基金份额。</w:t>
            </w:r>
          </w:p>
          <w:p w:rsidR="0030403A" w:rsidRDefault="003F3530">
            <w:pPr>
              <w:autoSpaceDE w:val="0"/>
              <w:autoSpaceDN w:val="0"/>
              <w:adjustRightInd w:val="0"/>
              <w:spacing w:line="276" w:lineRule="auto"/>
              <w:jc w:val="left"/>
            </w:pPr>
            <w:r>
              <w:t>3</w:t>
            </w:r>
            <w:r>
              <w:t>、若个别投资者大额赎回后，可能会导致基金资产净值连续出现六十个工作日低于</w:t>
            </w:r>
            <w:r>
              <w:t>5000</w:t>
            </w:r>
            <w:r>
              <w:t>万元的风险，基金可能会面临转换运作方式、与其他基金合并或者终止基金合同等情形。</w:t>
            </w:r>
          </w:p>
          <w:p w:rsidR="0030403A" w:rsidRDefault="003F3530">
            <w:pPr>
              <w:autoSpaceDE w:val="0"/>
              <w:autoSpaceDN w:val="0"/>
              <w:adjustRightInd w:val="0"/>
              <w:spacing w:line="276" w:lineRule="auto"/>
              <w:jc w:val="left"/>
            </w:pPr>
            <w:r>
              <w:t>4</w:t>
            </w:r>
            <w:r>
              <w:t>、其他可能的风险。</w:t>
            </w:r>
          </w:p>
          <w:p w:rsidR="0030403A" w:rsidRDefault="003F3530">
            <w:pPr>
              <w:autoSpaceDE w:val="0"/>
              <w:autoSpaceDN w:val="0"/>
              <w:adjustRightInd w:val="0"/>
              <w:spacing w:line="276" w:lineRule="auto"/>
              <w:jc w:val="left"/>
            </w:pPr>
            <w:r>
              <w:t>另外，当某单一基金份额持有人所持有的基金份额已经达到或超过本基金规模的</w:t>
            </w:r>
            <w:r>
              <w:t>50%</w:t>
            </w:r>
            <w:r>
              <w:t>或者接受某笔或者某些申购或转换转入申请有可能导致单一投资者持有基金份额的比例达到或者超过</w:t>
            </w:r>
            <w:r>
              <w:t>50%</w:t>
            </w:r>
            <w:r>
              <w:t>时，本基金管理人可拒绝该持有人对本基金基金份额提出的申购及转换转入申请。</w:t>
            </w:r>
          </w:p>
          <w:p w:rsidR="00ED6CBC" w:rsidRPr="004C4C9E" w:rsidRDefault="00ED6CBC" w:rsidP="00256A3C">
            <w:pPr>
              <w:autoSpaceDE w:val="0"/>
              <w:autoSpaceDN w:val="0"/>
              <w:adjustRightInd w:val="0"/>
              <w:spacing w:line="276" w:lineRule="auto"/>
              <w:jc w:val="left"/>
            </w:pPr>
          </w:p>
        </w:tc>
      </w:tr>
    </w:tbl>
    <w:p w:rsidR="00ED6CBC" w:rsidRPr="004C4C9E" w:rsidRDefault="00ED6CBC" w:rsidP="00D9067D">
      <w:pPr>
        <w:autoSpaceDE w:val="0"/>
        <w:autoSpaceDN w:val="0"/>
        <w:adjustRightInd w:val="0"/>
        <w:spacing w:beforeLines="50" w:line="360" w:lineRule="auto"/>
        <w:ind w:left="17"/>
        <w:jc w:val="left"/>
        <w:rPr>
          <w:b/>
          <w:color w:val="000000"/>
          <w:kern w:val="0"/>
        </w:rPr>
      </w:pPr>
      <w:r w:rsidRPr="004C4C9E">
        <w:rPr>
          <w:b/>
          <w:color w:val="000000"/>
          <w:kern w:val="0"/>
        </w:rPr>
        <w:t>8.3</w:t>
      </w:r>
      <w:r w:rsidRPr="004C4C9E">
        <w:rPr>
          <w:b/>
          <w:color w:val="000000"/>
          <w:kern w:val="0"/>
        </w:rPr>
        <w:t>影响投资者决策的其他重要信息</w:t>
      </w:r>
    </w:p>
    <w:p w:rsidR="0030403A" w:rsidRDefault="003F3530">
      <w:pPr>
        <w:adjustRightInd w:val="0"/>
        <w:spacing w:line="360" w:lineRule="auto"/>
        <w:ind w:firstLineChars="200" w:firstLine="420"/>
        <w:rPr>
          <w:color w:val="000000"/>
        </w:rPr>
      </w:pPr>
      <w:r>
        <w:rPr>
          <w:color w:val="000000"/>
        </w:rPr>
        <w:t>海富通基金管理有限公司成立于</w:t>
      </w:r>
      <w:r>
        <w:rPr>
          <w:color w:val="000000"/>
        </w:rPr>
        <w:t>2003</w:t>
      </w:r>
      <w:r>
        <w:rPr>
          <w:color w:val="000000"/>
        </w:rPr>
        <w:t>年</w:t>
      </w:r>
      <w:r>
        <w:rPr>
          <w:color w:val="000000"/>
        </w:rPr>
        <w:t>4</w:t>
      </w:r>
      <w:r>
        <w:rPr>
          <w:color w:val="000000"/>
        </w:rPr>
        <w:t>月，是中国首批获准成立的中外合资基金管理公司。</w:t>
      </w:r>
    </w:p>
    <w:p w:rsidR="0030403A" w:rsidRDefault="003F3530">
      <w:pPr>
        <w:adjustRightInd w:val="0"/>
        <w:spacing w:line="360" w:lineRule="auto"/>
        <w:ind w:firstLineChars="200" w:firstLine="420"/>
        <w:rPr>
          <w:color w:val="000000"/>
        </w:rPr>
      </w:pPr>
      <w:r>
        <w:rPr>
          <w:color w:val="000000"/>
        </w:rPr>
        <w:t>从</w:t>
      </w:r>
      <w:r>
        <w:rPr>
          <w:color w:val="000000"/>
        </w:rPr>
        <w:t>2003</w:t>
      </w:r>
      <w:r>
        <w:rPr>
          <w:color w:val="000000"/>
        </w:rPr>
        <w:t>年</w:t>
      </w:r>
      <w:r>
        <w:rPr>
          <w:color w:val="000000"/>
        </w:rPr>
        <w:t>8</w:t>
      </w:r>
      <w:r>
        <w:rPr>
          <w:color w:val="000000"/>
        </w:rPr>
        <w:t>月开始，海富通先后募集成立了</w:t>
      </w:r>
      <w:r>
        <w:rPr>
          <w:color w:val="000000"/>
        </w:rPr>
        <w:t>61</w:t>
      </w:r>
      <w:r>
        <w:rPr>
          <w:color w:val="000000"/>
        </w:rPr>
        <w:t>只公募基金。截至</w:t>
      </w:r>
      <w:r>
        <w:rPr>
          <w:color w:val="000000"/>
        </w:rPr>
        <w:t>2018</w:t>
      </w:r>
      <w:r>
        <w:rPr>
          <w:color w:val="000000"/>
        </w:rPr>
        <w:t>年</w:t>
      </w:r>
      <w:r>
        <w:rPr>
          <w:color w:val="000000"/>
        </w:rPr>
        <w:t>6</w:t>
      </w:r>
      <w:r>
        <w:rPr>
          <w:color w:val="000000"/>
        </w:rPr>
        <w:t>月</w:t>
      </w:r>
      <w:r>
        <w:rPr>
          <w:color w:val="000000"/>
        </w:rPr>
        <w:t>30</w:t>
      </w:r>
      <w:r>
        <w:rPr>
          <w:color w:val="000000"/>
        </w:rPr>
        <w:t>日，海富通管理的公募基金资产规模超过</w:t>
      </w:r>
      <w:r>
        <w:rPr>
          <w:color w:val="000000"/>
        </w:rPr>
        <w:t>574.03</w:t>
      </w:r>
      <w:r>
        <w:rPr>
          <w:color w:val="000000"/>
        </w:rPr>
        <w:t>亿元人民币。</w:t>
      </w:r>
    </w:p>
    <w:p w:rsidR="0030403A" w:rsidRDefault="003F3530">
      <w:pPr>
        <w:adjustRightInd w:val="0"/>
        <w:spacing w:line="360" w:lineRule="auto"/>
        <w:ind w:firstLineChars="200" w:firstLine="420"/>
        <w:rPr>
          <w:color w:val="000000"/>
        </w:rPr>
      </w:pPr>
      <w:r>
        <w:rPr>
          <w:color w:val="000000"/>
        </w:rPr>
        <w:t>2004</w:t>
      </w:r>
      <w:r>
        <w:rPr>
          <w:color w:val="000000"/>
        </w:rPr>
        <w:t>年末开始，海富通及子公司为</w:t>
      </w:r>
      <w:r>
        <w:rPr>
          <w:color w:val="000000"/>
        </w:rPr>
        <w:t>QFII</w:t>
      </w:r>
      <w:r>
        <w:rPr>
          <w:color w:val="000000"/>
        </w:rPr>
        <w:t>（合格境外机构投资者）及其他多个海内外投资组合担任投资咨询顾问，截至</w:t>
      </w:r>
      <w:r>
        <w:rPr>
          <w:color w:val="000000"/>
        </w:rPr>
        <w:t>2018</w:t>
      </w:r>
      <w:r>
        <w:rPr>
          <w:color w:val="000000"/>
        </w:rPr>
        <w:t>年</w:t>
      </w:r>
      <w:r>
        <w:rPr>
          <w:color w:val="000000"/>
        </w:rPr>
        <w:t>6</w:t>
      </w:r>
      <w:r>
        <w:rPr>
          <w:color w:val="000000"/>
        </w:rPr>
        <w:t>月</w:t>
      </w:r>
      <w:r>
        <w:rPr>
          <w:color w:val="000000"/>
        </w:rPr>
        <w:t>30</w:t>
      </w:r>
      <w:r>
        <w:rPr>
          <w:color w:val="000000"/>
        </w:rPr>
        <w:t>日，投资咨询及海外业务规模超过</w:t>
      </w:r>
      <w:r>
        <w:rPr>
          <w:color w:val="000000"/>
        </w:rPr>
        <w:t>32</w:t>
      </w:r>
      <w:r>
        <w:rPr>
          <w:color w:val="000000"/>
        </w:rPr>
        <w:t>亿元人民币。</w:t>
      </w:r>
    </w:p>
    <w:p w:rsidR="0030403A" w:rsidRDefault="003F3530">
      <w:pPr>
        <w:adjustRightInd w:val="0"/>
        <w:spacing w:line="360" w:lineRule="auto"/>
        <w:ind w:firstLineChars="200" w:firstLine="420"/>
        <w:rPr>
          <w:color w:val="000000"/>
        </w:rPr>
      </w:pPr>
      <w:r>
        <w:rPr>
          <w:color w:val="000000"/>
        </w:rPr>
        <w:t>作为国家人力资源和社会保障部首批企业年金基金投资管理人，截至</w:t>
      </w:r>
      <w:r>
        <w:rPr>
          <w:color w:val="000000"/>
        </w:rPr>
        <w:t>2018</w:t>
      </w:r>
      <w:r>
        <w:rPr>
          <w:color w:val="000000"/>
        </w:rPr>
        <w:t>年</w:t>
      </w:r>
      <w:r>
        <w:rPr>
          <w:color w:val="000000"/>
        </w:rPr>
        <w:t>6</w:t>
      </w:r>
      <w:r>
        <w:rPr>
          <w:color w:val="000000"/>
        </w:rPr>
        <w:t>月</w:t>
      </w:r>
      <w:r>
        <w:rPr>
          <w:color w:val="000000"/>
        </w:rPr>
        <w:t>30</w:t>
      </w:r>
      <w:r>
        <w:rPr>
          <w:color w:val="000000"/>
        </w:rPr>
        <w:t>日，海富通为近</w:t>
      </w:r>
      <w:r>
        <w:rPr>
          <w:color w:val="000000"/>
        </w:rPr>
        <w:t>80</w:t>
      </w:r>
      <w:r>
        <w:rPr>
          <w:color w:val="000000"/>
        </w:rPr>
        <w:t>家企业超过</w:t>
      </w:r>
      <w:r>
        <w:rPr>
          <w:color w:val="000000"/>
        </w:rPr>
        <w:t>401</w:t>
      </w:r>
      <w:r>
        <w:rPr>
          <w:color w:val="000000"/>
        </w:rPr>
        <w:t>亿元的企业年金基金担任了投资管理人。作为首批特定客户资产管理业务资格的基金管理公司，截至</w:t>
      </w:r>
      <w:r>
        <w:rPr>
          <w:color w:val="000000"/>
        </w:rPr>
        <w:t>2018</w:t>
      </w:r>
      <w:r>
        <w:rPr>
          <w:color w:val="000000"/>
        </w:rPr>
        <w:t>年</w:t>
      </w:r>
      <w:r>
        <w:rPr>
          <w:color w:val="000000"/>
        </w:rPr>
        <w:t>6</w:t>
      </w:r>
      <w:r>
        <w:rPr>
          <w:color w:val="000000"/>
        </w:rPr>
        <w:t>月</w:t>
      </w:r>
      <w:r>
        <w:rPr>
          <w:color w:val="000000"/>
        </w:rPr>
        <w:t>30</w:t>
      </w:r>
      <w:r>
        <w:rPr>
          <w:color w:val="000000"/>
        </w:rPr>
        <w:t>日，海富通管理的特定客户资产管理业务规模超过</w:t>
      </w:r>
      <w:r>
        <w:rPr>
          <w:color w:val="000000"/>
        </w:rPr>
        <w:t>443</w:t>
      </w:r>
      <w:r>
        <w:rPr>
          <w:color w:val="000000"/>
        </w:rPr>
        <w:t>亿元。</w:t>
      </w:r>
      <w:r>
        <w:rPr>
          <w:color w:val="000000"/>
        </w:rPr>
        <w:t>2010</w:t>
      </w:r>
      <w:r>
        <w:rPr>
          <w:color w:val="000000"/>
        </w:rPr>
        <w:t>年</w:t>
      </w:r>
      <w:r>
        <w:rPr>
          <w:color w:val="000000"/>
        </w:rPr>
        <w:t>12</w:t>
      </w:r>
      <w:r>
        <w:rPr>
          <w:color w:val="000000"/>
        </w:rPr>
        <w:t>月，海富通基金管理有限公司被全国社会保障基金理事会选聘为境内委托投资管理人。</w:t>
      </w:r>
      <w:r>
        <w:rPr>
          <w:color w:val="000000"/>
        </w:rPr>
        <w:t>2011</w:t>
      </w:r>
      <w:r>
        <w:rPr>
          <w:color w:val="000000"/>
        </w:rPr>
        <w:t>年</w:t>
      </w:r>
      <w:r>
        <w:rPr>
          <w:color w:val="000000"/>
        </w:rPr>
        <w:t>12</w:t>
      </w:r>
      <w:r>
        <w:rPr>
          <w:color w:val="000000"/>
        </w:rPr>
        <w:t>月，海富通全资子公司</w:t>
      </w:r>
      <w:r>
        <w:rPr>
          <w:color w:val="000000"/>
        </w:rPr>
        <w:t>——</w:t>
      </w:r>
      <w:r>
        <w:rPr>
          <w:color w:val="000000"/>
        </w:rPr>
        <w:t>海富通资产管理（香港）有限公司获得证监会核准批复</w:t>
      </w:r>
      <w:r>
        <w:rPr>
          <w:color w:val="000000"/>
        </w:rPr>
        <w:t>RQFII</w:t>
      </w:r>
      <w:r>
        <w:rPr>
          <w:color w:val="000000"/>
        </w:rPr>
        <w:t>（人民币合格境外机构投资者）业务资格，能够在香港筹集人民币资金投资境内证券市场。</w:t>
      </w:r>
      <w:r>
        <w:rPr>
          <w:color w:val="000000"/>
        </w:rPr>
        <w:t>2012</w:t>
      </w:r>
      <w:r>
        <w:rPr>
          <w:color w:val="000000"/>
        </w:rPr>
        <w:t>年</w:t>
      </w:r>
      <w:r>
        <w:rPr>
          <w:color w:val="000000"/>
        </w:rPr>
        <w:t>2</w:t>
      </w:r>
      <w:r>
        <w:rPr>
          <w:color w:val="000000"/>
        </w:rPr>
        <w:t>月，海富通资产管理（香港）有限公司已募集发行了首只</w:t>
      </w:r>
      <w:r>
        <w:rPr>
          <w:color w:val="000000"/>
        </w:rPr>
        <w:t>RQFII</w:t>
      </w:r>
      <w:r>
        <w:rPr>
          <w:color w:val="000000"/>
        </w:rPr>
        <w:t>产品。</w:t>
      </w:r>
      <w:r>
        <w:rPr>
          <w:color w:val="000000"/>
        </w:rPr>
        <w:t>2012</w:t>
      </w:r>
      <w:r>
        <w:rPr>
          <w:color w:val="000000"/>
        </w:rPr>
        <w:t>年</w:t>
      </w:r>
      <w:r>
        <w:rPr>
          <w:color w:val="000000"/>
        </w:rPr>
        <w:t>9</w:t>
      </w:r>
      <w:r>
        <w:rPr>
          <w:color w:val="000000"/>
        </w:rPr>
        <w:t>月，中国保监会公告确认海富通基金为首批保险资金投资管理人之一。</w:t>
      </w:r>
      <w:r>
        <w:rPr>
          <w:color w:val="000000"/>
        </w:rPr>
        <w:t>2014</w:t>
      </w:r>
      <w:r>
        <w:rPr>
          <w:color w:val="000000"/>
        </w:rPr>
        <w:t>年</w:t>
      </w:r>
      <w:r>
        <w:rPr>
          <w:color w:val="000000"/>
        </w:rPr>
        <w:t>8</w:t>
      </w:r>
      <w:r>
        <w:rPr>
          <w:color w:val="000000"/>
        </w:rPr>
        <w:t>月，海富通全资子公司上海富诚海富通资产管理公司正式开业，获准开展特定客户资产管理服务。</w:t>
      </w:r>
      <w:r>
        <w:rPr>
          <w:color w:val="000000"/>
        </w:rPr>
        <w:t>2016</w:t>
      </w:r>
      <w:r>
        <w:rPr>
          <w:color w:val="000000"/>
        </w:rPr>
        <w:t>年</w:t>
      </w:r>
      <w:r>
        <w:rPr>
          <w:color w:val="000000"/>
        </w:rPr>
        <w:t>12</w:t>
      </w:r>
      <w:r>
        <w:rPr>
          <w:color w:val="000000"/>
        </w:rPr>
        <w:t>月，海富通基金管理有限公司被全国社会保障基金理事会选聘为首批基本养老保险基金投资管理人。</w:t>
      </w:r>
    </w:p>
    <w:p w:rsidR="00ED6CBC" w:rsidRPr="004C4C9E" w:rsidRDefault="00ED6CBC" w:rsidP="00ED6CBC">
      <w:pPr>
        <w:adjustRightInd w:val="0"/>
        <w:spacing w:line="360" w:lineRule="auto"/>
        <w:ind w:firstLineChars="200" w:firstLine="420"/>
        <w:rPr>
          <w:color w:val="000000"/>
        </w:rPr>
      </w:pPr>
      <w:r w:rsidRPr="004C4C9E">
        <w:rPr>
          <w:color w:val="000000"/>
        </w:rPr>
        <w:t>2016</w:t>
      </w:r>
      <w:r w:rsidRPr="004C4C9E">
        <w:rPr>
          <w:color w:val="000000"/>
        </w:rPr>
        <w:t>年</w:t>
      </w:r>
      <w:r w:rsidRPr="004C4C9E">
        <w:rPr>
          <w:color w:val="000000"/>
        </w:rPr>
        <w:t>3</w:t>
      </w:r>
      <w:r w:rsidRPr="004C4C9E">
        <w:rPr>
          <w:color w:val="000000"/>
        </w:rPr>
        <w:t>月，国内权威财经媒体《中国证券报》授予海富通基金管理有限公司</w:t>
      </w:r>
      <w:r w:rsidRPr="004C4C9E">
        <w:rPr>
          <w:color w:val="000000"/>
        </w:rPr>
        <w:t>“</w:t>
      </w:r>
      <w:r w:rsidRPr="004C4C9E">
        <w:rPr>
          <w:color w:val="000000"/>
        </w:rPr>
        <w:t>固定收益投资金牛基金公司</w:t>
      </w:r>
      <w:r w:rsidRPr="004C4C9E">
        <w:rPr>
          <w:color w:val="000000"/>
        </w:rPr>
        <w:t>”</w:t>
      </w:r>
      <w:r w:rsidRPr="004C4C9E">
        <w:rPr>
          <w:color w:val="000000"/>
        </w:rPr>
        <w:t>。</w:t>
      </w:r>
      <w:r w:rsidRPr="004C4C9E">
        <w:rPr>
          <w:color w:val="000000"/>
        </w:rPr>
        <w:t>2018</w:t>
      </w:r>
      <w:r w:rsidRPr="004C4C9E">
        <w:rPr>
          <w:color w:val="000000"/>
        </w:rPr>
        <w:t>年</w:t>
      </w:r>
      <w:r w:rsidRPr="004C4C9E">
        <w:rPr>
          <w:color w:val="000000"/>
        </w:rPr>
        <w:t>3</w:t>
      </w:r>
      <w:r w:rsidRPr="004C4C9E">
        <w:rPr>
          <w:color w:val="000000"/>
        </w:rPr>
        <w:t>月，国内权威财经媒体《证券时报》授予海富通阿尔法对冲混合型发起式证券投资基金为第十三届中国基金业明星基金奖</w:t>
      </w:r>
      <w:r w:rsidRPr="004C4C9E">
        <w:rPr>
          <w:color w:val="000000"/>
        </w:rPr>
        <w:t>——</w:t>
      </w:r>
      <w:r w:rsidRPr="004C4C9E">
        <w:rPr>
          <w:color w:val="000000"/>
        </w:rPr>
        <w:t>三年持续回报绝对收益明星基金。</w:t>
      </w:r>
    </w:p>
    <w:p w:rsidR="00EE2E42" w:rsidRDefault="00EE2E42">
      <w:pPr>
        <w:spacing w:line="360" w:lineRule="auto"/>
        <w:ind w:firstLineChars="200" w:firstLine="480"/>
        <w:rPr>
          <w:rFonts w:hAnsi="宋体"/>
          <w:color w:val="000000"/>
          <w:sz w:val="24"/>
          <w:szCs w:val="24"/>
        </w:rPr>
      </w:pPr>
    </w:p>
    <w:p w:rsidR="00EE2E42" w:rsidRDefault="00DF20DF">
      <w:pPr>
        <w:pStyle w:val="1"/>
        <w:jc w:val="center"/>
        <w:rPr>
          <w:rFonts w:ascii="方正仿宋简体"/>
          <w:color w:val="000000" w:themeColor="text1"/>
          <w:sz w:val="24"/>
          <w:szCs w:val="24"/>
        </w:rPr>
      </w:pPr>
      <w:r>
        <w:rPr>
          <w:rFonts w:ascii="方正仿宋简体" w:hint="eastAsia"/>
          <w:color w:val="000000" w:themeColor="text1"/>
          <w:sz w:val="24"/>
          <w:szCs w:val="24"/>
        </w:rPr>
        <w:t>§</w:t>
      </w:r>
      <w:r>
        <w:rPr>
          <w:rFonts w:ascii="方正仿宋简体" w:hint="eastAsia"/>
          <w:color w:val="000000" w:themeColor="text1"/>
          <w:sz w:val="24"/>
          <w:szCs w:val="24"/>
        </w:rPr>
        <w:t>9</w:t>
      </w:r>
      <w:r>
        <w:rPr>
          <w:rFonts w:ascii="方正仿宋简体" w:hint="eastAsia"/>
          <w:color w:val="000000" w:themeColor="text1"/>
          <w:sz w:val="24"/>
          <w:szCs w:val="24"/>
        </w:rPr>
        <w:t>备查文件目录</w:t>
      </w: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9</w:t>
      </w:r>
      <w:r>
        <w:rPr>
          <w:rFonts w:cs="Arial"/>
          <w:b/>
          <w:color w:val="000000"/>
          <w:kern w:val="0"/>
          <w:sz w:val="24"/>
          <w:szCs w:val="24"/>
        </w:rPr>
        <w:t>.</w:t>
      </w:r>
      <w:r>
        <w:rPr>
          <w:rFonts w:cs="Arial" w:hint="eastAsia"/>
          <w:b/>
          <w:color w:val="000000"/>
          <w:kern w:val="0"/>
          <w:sz w:val="24"/>
          <w:szCs w:val="24"/>
        </w:rPr>
        <w:t>1</w:t>
      </w:r>
      <w:r>
        <w:rPr>
          <w:rFonts w:cs="Arial" w:hint="eastAsia"/>
          <w:b/>
          <w:color w:val="000000"/>
          <w:kern w:val="0"/>
          <w:sz w:val="24"/>
          <w:szCs w:val="24"/>
        </w:rPr>
        <w:t>备查文件目录</w:t>
      </w:r>
    </w:p>
    <w:p w:rsidR="0030403A" w:rsidRDefault="003F3530">
      <w:pPr>
        <w:adjustRightInd w:val="0"/>
        <w:spacing w:before="29" w:line="288" w:lineRule="auto"/>
        <w:ind w:firstLineChars="200" w:firstLine="480"/>
        <w:rPr>
          <w:rFonts w:hAnsi="宋体"/>
          <w:color w:val="000000"/>
          <w:sz w:val="24"/>
          <w:szCs w:val="24"/>
        </w:rPr>
      </w:pPr>
      <w:r>
        <w:rPr>
          <w:rFonts w:hAnsi="宋体" w:hint="eastAsia"/>
          <w:color w:val="000000"/>
          <w:sz w:val="24"/>
          <w:szCs w:val="24"/>
        </w:rPr>
        <w:t>（一）中国证监会批准设立海富通双福分级债券型证券投资基金的文件</w:t>
      </w:r>
    </w:p>
    <w:p w:rsidR="0030403A" w:rsidRDefault="003F3530">
      <w:pPr>
        <w:adjustRightInd w:val="0"/>
        <w:spacing w:before="29" w:line="288" w:lineRule="auto"/>
        <w:ind w:firstLineChars="200" w:firstLine="480"/>
        <w:rPr>
          <w:rFonts w:hAnsi="宋体"/>
          <w:color w:val="000000"/>
          <w:sz w:val="24"/>
          <w:szCs w:val="24"/>
        </w:rPr>
      </w:pPr>
      <w:r>
        <w:rPr>
          <w:rFonts w:hAnsi="宋体" w:hint="eastAsia"/>
          <w:color w:val="000000"/>
          <w:sz w:val="24"/>
          <w:szCs w:val="24"/>
        </w:rPr>
        <w:t>（二）海富通双福分级债券型证券投资基金基金合同</w:t>
      </w:r>
    </w:p>
    <w:p w:rsidR="0030403A" w:rsidRDefault="003F3530">
      <w:pPr>
        <w:adjustRightInd w:val="0"/>
        <w:spacing w:before="29" w:line="288" w:lineRule="auto"/>
        <w:ind w:firstLineChars="200" w:firstLine="480"/>
        <w:rPr>
          <w:rFonts w:hAnsi="宋体"/>
          <w:color w:val="000000"/>
          <w:sz w:val="24"/>
          <w:szCs w:val="24"/>
        </w:rPr>
      </w:pPr>
      <w:r>
        <w:rPr>
          <w:rFonts w:hAnsi="宋体" w:hint="eastAsia"/>
          <w:color w:val="000000"/>
          <w:sz w:val="24"/>
          <w:szCs w:val="24"/>
        </w:rPr>
        <w:t>（三）海富通双福分级债券型证券投资基金招募说明书</w:t>
      </w:r>
    </w:p>
    <w:p w:rsidR="0030403A" w:rsidRDefault="003F3530">
      <w:pPr>
        <w:adjustRightInd w:val="0"/>
        <w:spacing w:before="29" w:line="288" w:lineRule="auto"/>
        <w:ind w:firstLineChars="200" w:firstLine="480"/>
        <w:rPr>
          <w:rFonts w:hAnsi="宋体"/>
          <w:color w:val="000000"/>
          <w:sz w:val="24"/>
          <w:szCs w:val="24"/>
        </w:rPr>
      </w:pPr>
      <w:r>
        <w:rPr>
          <w:rFonts w:hAnsi="宋体" w:hint="eastAsia"/>
          <w:color w:val="000000"/>
          <w:sz w:val="24"/>
          <w:szCs w:val="24"/>
        </w:rPr>
        <w:t>（四）海富通双福分级债券型证券投资基金托管协议</w:t>
      </w:r>
    </w:p>
    <w:p w:rsidR="0030403A" w:rsidRDefault="003F3530">
      <w:pPr>
        <w:adjustRightInd w:val="0"/>
        <w:spacing w:before="29" w:line="288" w:lineRule="auto"/>
        <w:ind w:firstLineChars="200" w:firstLine="480"/>
        <w:rPr>
          <w:rFonts w:hAnsi="宋体"/>
          <w:color w:val="000000"/>
          <w:sz w:val="24"/>
          <w:szCs w:val="24"/>
        </w:rPr>
      </w:pPr>
      <w:r>
        <w:rPr>
          <w:rFonts w:hAnsi="宋体" w:hint="eastAsia"/>
          <w:color w:val="000000"/>
          <w:sz w:val="24"/>
          <w:szCs w:val="24"/>
        </w:rPr>
        <w:t>（五）中国证监会批准设立海富通基金管理有限公司的文件</w:t>
      </w:r>
    </w:p>
    <w:p w:rsidR="00EE2E42" w:rsidRDefault="00DF20DF">
      <w:pPr>
        <w:adjustRightInd w:val="0"/>
        <w:spacing w:before="29" w:line="288" w:lineRule="auto"/>
        <w:ind w:firstLineChars="200" w:firstLine="480"/>
        <w:rPr>
          <w:rFonts w:hAnsi="宋体"/>
          <w:color w:val="000000"/>
          <w:sz w:val="24"/>
          <w:szCs w:val="24"/>
        </w:rPr>
      </w:pPr>
      <w:r>
        <w:rPr>
          <w:rFonts w:hAnsi="宋体" w:hint="eastAsia"/>
          <w:color w:val="000000"/>
          <w:sz w:val="24"/>
          <w:szCs w:val="24"/>
        </w:rPr>
        <w:t>（六）报告期内海富通双福分级债券型证券投资基金在指定报刊上披露的各项公告</w:t>
      </w:r>
    </w:p>
    <w:p w:rsidR="00EE2E42" w:rsidRDefault="00EE2E42">
      <w:pPr>
        <w:spacing w:line="360" w:lineRule="auto"/>
        <w:ind w:firstLineChars="200" w:firstLine="480"/>
        <w:rPr>
          <w:rFonts w:asciiTheme="minorEastAsia" w:eastAsiaTheme="minorEastAsia" w:hAnsiTheme="minorEastAsia"/>
          <w:color w:val="000000" w:themeColor="text1"/>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9</w:t>
      </w:r>
      <w:r>
        <w:rPr>
          <w:rFonts w:cs="Arial"/>
          <w:b/>
          <w:color w:val="000000"/>
          <w:kern w:val="0"/>
          <w:sz w:val="24"/>
          <w:szCs w:val="24"/>
        </w:rPr>
        <w:t>.</w:t>
      </w:r>
      <w:r>
        <w:rPr>
          <w:rFonts w:cs="Arial" w:hint="eastAsia"/>
          <w:b/>
          <w:color w:val="000000"/>
          <w:kern w:val="0"/>
          <w:sz w:val="24"/>
          <w:szCs w:val="24"/>
        </w:rPr>
        <w:t>2</w:t>
      </w:r>
      <w:r>
        <w:rPr>
          <w:rFonts w:cs="Arial" w:hint="eastAsia"/>
          <w:b/>
          <w:color w:val="000000"/>
          <w:kern w:val="0"/>
          <w:sz w:val="24"/>
          <w:szCs w:val="24"/>
        </w:rPr>
        <w:t>存放地点</w:t>
      </w:r>
    </w:p>
    <w:p w:rsidR="00EE2E42" w:rsidRDefault="00DF20DF">
      <w:pPr>
        <w:adjustRightInd w:val="0"/>
        <w:spacing w:before="29" w:line="288" w:lineRule="auto"/>
        <w:ind w:firstLineChars="200" w:firstLine="480"/>
        <w:rPr>
          <w:rFonts w:hAnsi="宋体"/>
          <w:color w:val="000000"/>
          <w:sz w:val="24"/>
          <w:szCs w:val="24"/>
        </w:rPr>
      </w:pPr>
      <w:r>
        <w:rPr>
          <w:rFonts w:hAnsi="宋体" w:hint="eastAsia"/>
          <w:color w:val="000000"/>
          <w:sz w:val="24"/>
          <w:szCs w:val="24"/>
        </w:rPr>
        <w:t>上海市浦东新区陆家嘴花园石桥路</w:t>
      </w:r>
      <w:r>
        <w:rPr>
          <w:rFonts w:hAnsi="宋体" w:hint="eastAsia"/>
          <w:color w:val="000000"/>
          <w:sz w:val="24"/>
          <w:szCs w:val="24"/>
        </w:rPr>
        <w:t>66</w:t>
      </w:r>
      <w:r>
        <w:rPr>
          <w:rFonts w:hAnsi="宋体" w:hint="eastAsia"/>
          <w:color w:val="000000"/>
          <w:sz w:val="24"/>
          <w:szCs w:val="24"/>
        </w:rPr>
        <w:t>号东亚银行金融大厦</w:t>
      </w:r>
      <w:r>
        <w:rPr>
          <w:rFonts w:hAnsi="宋体" w:hint="eastAsia"/>
          <w:color w:val="000000"/>
          <w:sz w:val="24"/>
          <w:szCs w:val="24"/>
        </w:rPr>
        <w:t>36</w:t>
      </w:r>
      <w:r>
        <w:rPr>
          <w:rFonts w:hAnsi="宋体" w:hint="eastAsia"/>
          <w:color w:val="000000"/>
          <w:sz w:val="24"/>
          <w:szCs w:val="24"/>
        </w:rPr>
        <w:t>－</w:t>
      </w:r>
      <w:r>
        <w:rPr>
          <w:rFonts w:hAnsi="宋体" w:hint="eastAsia"/>
          <w:color w:val="000000"/>
          <w:sz w:val="24"/>
          <w:szCs w:val="24"/>
        </w:rPr>
        <w:t>37</w:t>
      </w:r>
      <w:r>
        <w:rPr>
          <w:rFonts w:hAnsi="宋体" w:hint="eastAsia"/>
          <w:color w:val="000000"/>
          <w:sz w:val="24"/>
          <w:szCs w:val="24"/>
        </w:rPr>
        <w:t>层本基金管理人办公地址。</w:t>
      </w:r>
    </w:p>
    <w:p w:rsidR="00EE2E42" w:rsidRDefault="00EE2E42">
      <w:pPr>
        <w:spacing w:line="360" w:lineRule="auto"/>
        <w:ind w:firstLineChars="200" w:firstLine="480"/>
        <w:rPr>
          <w:rFonts w:asciiTheme="minorEastAsia" w:eastAsiaTheme="minorEastAsia" w:hAnsiTheme="minorEastAsia"/>
          <w:color w:val="000000" w:themeColor="text1"/>
          <w:sz w:val="24"/>
          <w:szCs w:val="24"/>
        </w:rPr>
      </w:pPr>
    </w:p>
    <w:p w:rsidR="00EE2E42" w:rsidRDefault="00DF20DF">
      <w:pPr>
        <w:autoSpaceDE w:val="0"/>
        <w:autoSpaceDN w:val="0"/>
        <w:adjustRightInd w:val="0"/>
        <w:spacing w:before="29" w:line="288" w:lineRule="auto"/>
        <w:ind w:left="15"/>
        <w:jc w:val="left"/>
        <w:rPr>
          <w:rFonts w:cs="Arial"/>
          <w:b/>
          <w:color w:val="000000"/>
          <w:kern w:val="0"/>
          <w:sz w:val="24"/>
          <w:szCs w:val="24"/>
        </w:rPr>
      </w:pPr>
      <w:r>
        <w:rPr>
          <w:rFonts w:cs="Arial" w:hint="eastAsia"/>
          <w:b/>
          <w:color w:val="000000"/>
          <w:kern w:val="0"/>
          <w:sz w:val="24"/>
          <w:szCs w:val="24"/>
        </w:rPr>
        <w:t>9</w:t>
      </w:r>
      <w:r>
        <w:rPr>
          <w:rFonts w:cs="Arial"/>
          <w:b/>
          <w:color w:val="000000"/>
          <w:kern w:val="0"/>
          <w:sz w:val="24"/>
          <w:szCs w:val="24"/>
        </w:rPr>
        <w:t>.</w:t>
      </w:r>
      <w:r>
        <w:rPr>
          <w:rFonts w:cs="Arial" w:hint="eastAsia"/>
          <w:b/>
          <w:color w:val="000000"/>
          <w:kern w:val="0"/>
          <w:sz w:val="24"/>
          <w:szCs w:val="24"/>
        </w:rPr>
        <w:t>3</w:t>
      </w:r>
      <w:r>
        <w:rPr>
          <w:rFonts w:cs="Arial" w:hint="eastAsia"/>
          <w:b/>
          <w:color w:val="000000"/>
          <w:kern w:val="0"/>
          <w:sz w:val="24"/>
          <w:szCs w:val="24"/>
        </w:rPr>
        <w:t>查阅方式</w:t>
      </w:r>
    </w:p>
    <w:p w:rsidR="00EE2E42" w:rsidRDefault="00DF20DF">
      <w:pPr>
        <w:adjustRightInd w:val="0"/>
        <w:spacing w:before="29" w:line="288" w:lineRule="auto"/>
        <w:ind w:firstLineChars="200" w:firstLine="480"/>
        <w:rPr>
          <w:rFonts w:hAnsi="宋体"/>
          <w:color w:val="000000"/>
          <w:sz w:val="24"/>
          <w:szCs w:val="24"/>
        </w:rPr>
      </w:pPr>
      <w:r>
        <w:rPr>
          <w:rFonts w:hAnsi="宋体" w:hint="eastAsia"/>
          <w:color w:val="000000"/>
          <w:sz w:val="24"/>
          <w:szCs w:val="24"/>
        </w:rPr>
        <w:t>投资者可于本基金管理人办公时间预约查阅。</w:t>
      </w:r>
    </w:p>
    <w:p w:rsidR="00EE2E42" w:rsidRDefault="00EE2E42">
      <w:pPr>
        <w:spacing w:line="360" w:lineRule="auto"/>
        <w:ind w:left="840"/>
        <w:jc w:val="right"/>
        <w:rPr>
          <w:rFonts w:asciiTheme="minorEastAsia" w:eastAsiaTheme="minorEastAsia" w:hAnsiTheme="minorEastAsia"/>
          <w:color w:val="000000" w:themeColor="text1"/>
          <w:sz w:val="24"/>
          <w:szCs w:val="24"/>
        </w:rPr>
      </w:pPr>
    </w:p>
    <w:p w:rsidR="00EE2E42" w:rsidRDefault="00EE2E42">
      <w:pPr>
        <w:spacing w:line="360" w:lineRule="auto"/>
        <w:ind w:left="840"/>
        <w:jc w:val="right"/>
        <w:rPr>
          <w:rFonts w:asciiTheme="minorEastAsia" w:eastAsiaTheme="minorEastAsia" w:hAnsiTheme="minorEastAsia"/>
          <w:color w:val="000000" w:themeColor="text1"/>
          <w:sz w:val="24"/>
          <w:szCs w:val="24"/>
        </w:rPr>
      </w:pPr>
    </w:p>
    <w:p w:rsidR="00EE2E42" w:rsidRDefault="00EE2E42">
      <w:pPr>
        <w:spacing w:line="360" w:lineRule="auto"/>
        <w:ind w:left="840"/>
        <w:jc w:val="right"/>
        <w:rPr>
          <w:rFonts w:asciiTheme="minorEastAsia" w:eastAsiaTheme="minorEastAsia" w:hAnsiTheme="minorEastAsia"/>
          <w:color w:val="000000" w:themeColor="text1"/>
          <w:sz w:val="24"/>
          <w:szCs w:val="24"/>
        </w:rPr>
      </w:pPr>
    </w:p>
    <w:p w:rsidR="00EE2E42" w:rsidRDefault="00EE2E42">
      <w:pPr>
        <w:spacing w:line="360" w:lineRule="auto"/>
        <w:ind w:left="840"/>
        <w:jc w:val="right"/>
        <w:rPr>
          <w:rFonts w:asciiTheme="minorEastAsia" w:eastAsiaTheme="minorEastAsia" w:hAnsiTheme="minorEastAsia"/>
          <w:color w:val="000000" w:themeColor="text1"/>
          <w:sz w:val="24"/>
          <w:szCs w:val="24"/>
        </w:rPr>
      </w:pPr>
    </w:p>
    <w:p w:rsidR="00EE2E42" w:rsidRDefault="00EE2E42">
      <w:pPr>
        <w:spacing w:line="360" w:lineRule="auto"/>
        <w:ind w:left="840"/>
        <w:jc w:val="right"/>
        <w:rPr>
          <w:rFonts w:asciiTheme="minorEastAsia" w:eastAsiaTheme="minorEastAsia" w:hAnsiTheme="minorEastAsia"/>
          <w:color w:val="000000" w:themeColor="text1"/>
          <w:sz w:val="24"/>
          <w:szCs w:val="24"/>
        </w:rPr>
      </w:pPr>
    </w:p>
    <w:p w:rsidR="00EE2E42" w:rsidRDefault="00EE2E42">
      <w:pPr>
        <w:spacing w:line="360" w:lineRule="auto"/>
        <w:ind w:left="840"/>
        <w:jc w:val="right"/>
        <w:rPr>
          <w:rFonts w:asciiTheme="minorEastAsia" w:eastAsiaTheme="minorEastAsia" w:hAnsiTheme="minorEastAsia"/>
          <w:color w:val="000000" w:themeColor="text1"/>
          <w:sz w:val="24"/>
          <w:szCs w:val="24"/>
        </w:rPr>
      </w:pPr>
    </w:p>
    <w:p w:rsidR="00EE2E42" w:rsidRDefault="00EE2E42">
      <w:pPr>
        <w:spacing w:line="360" w:lineRule="auto"/>
        <w:ind w:left="840"/>
        <w:jc w:val="right"/>
        <w:rPr>
          <w:rFonts w:asciiTheme="minorEastAsia" w:eastAsiaTheme="minorEastAsia" w:hAnsiTheme="minorEastAsia"/>
          <w:color w:val="000000" w:themeColor="text1"/>
          <w:sz w:val="24"/>
          <w:szCs w:val="24"/>
        </w:rPr>
      </w:pPr>
    </w:p>
    <w:p w:rsidR="00EE2E42" w:rsidRDefault="00EE2E42">
      <w:pPr>
        <w:spacing w:line="360" w:lineRule="auto"/>
        <w:ind w:left="840"/>
        <w:jc w:val="right"/>
        <w:rPr>
          <w:rFonts w:asciiTheme="minorEastAsia" w:eastAsiaTheme="minorEastAsia" w:hAnsiTheme="minorEastAsia"/>
          <w:color w:val="000000" w:themeColor="text1"/>
          <w:sz w:val="24"/>
          <w:szCs w:val="24"/>
        </w:rPr>
      </w:pPr>
    </w:p>
    <w:p w:rsidR="00EE2E42" w:rsidRDefault="00DF20DF">
      <w:pPr>
        <w:spacing w:line="360" w:lineRule="auto"/>
        <w:jc w:val="right"/>
        <w:rPr>
          <w:rFonts w:asciiTheme="minorEastAsia" w:eastAsiaTheme="minorEastAsia" w:hAnsiTheme="minorEastAsia"/>
          <w:b/>
          <w:bCs/>
          <w:color w:val="000000" w:themeColor="text1"/>
          <w:sz w:val="24"/>
          <w:szCs w:val="24"/>
        </w:rPr>
      </w:pPr>
      <w:r>
        <w:rPr>
          <w:rFonts w:asciiTheme="minorEastAsia" w:eastAsiaTheme="minorEastAsia" w:hAnsiTheme="minorEastAsia"/>
          <w:b/>
          <w:bCs/>
          <w:color w:val="000000" w:themeColor="text1"/>
          <w:sz w:val="24"/>
          <w:szCs w:val="24"/>
        </w:rPr>
        <w:t>二〇一八年七月十八日</w:t>
      </w:r>
    </w:p>
    <w:p w:rsidR="00EE2E42" w:rsidRDefault="00EE2E42">
      <w:pPr>
        <w:spacing w:line="360" w:lineRule="auto"/>
        <w:ind w:left="840"/>
        <w:jc w:val="right"/>
        <w:rPr>
          <w:rFonts w:asciiTheme="minorEastAsia" w:eastAsiaTheme="minorEastAsia" w:hAnsiTheme="minorEastAsia"/>
          <w:b/>
          <w:bCs/>
          <w:color w:val="000000" w:themeColor="text1"/>
          <w:sz w:val="24"/>
          <w:szCs w:val="24"/>
        </w:rPr>
      </w:pPr>
    </w:p>
    <w:p w:rsidR="00EE2E42" w:rsidRDefault="00EE2E42">
      <w:pPr>
        <w:rPr>
          <w:rFonts w:asciiTheme="minorEastAsia" w:eastAsiaTheme="minorEastAsia" w:hAnsiTheme="minorEastAsia"/>
          <w:color w:val="000000" w:themeColor="text1"/>
          <w:sz w:val="24"/>
          <w:szCs w:val="24"/>
        </w:rPr>
      </w:pPr>
    </w:p>
    <w:sectPr w:rsidR="00EE2E42" w:rsidSect="00CA702C">
      <w:footerReference w:type="default" r:id="rId12"/>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530" w:rsidRDefault="003F3530">
      <w:r>
        <w:separator/>
      </w:r>
    </w:p>
  </w:endnote>
  <w:endnote w:type="continuationSeparator" w:id="1">
    <w:p w:rsidR="003F3530" w:rsidRDefault="003F35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仿宋">
    <w:charset w:val="86"/>
    <w:family w:val="modern"/>
    <w:pitch w:val="fixed"/>
    <w:sig w:usb0="800002BF" w:usb1="38CF7CFA" w:usb2="00000016" w:usb3="00000000" w:csb0="00040001" w:csb1="00000000"/>
  </w:font>
  <w:font w:name="STSong-Light">
    <w:altName w:val="Times New Roman"/>
    <w:panose1 w:val="00000000000000000000"/>
    <w:charset w:val="00"/>
    <w:family w:val="roman"/>
    <w:notTrueType/>
    <w:pitch w:val="default"/>
    <w:sig w:usb0="00000003" w:usb1="00000000" w:usb2="00000000" w:usb3="00000000" w:csb0="00000001" w:csb1="00000000"/>
  </w:font>
  <w:font w:name="方正仿宋简体">
    <w:altName w:val="宋体"/>
    <w:charset w:val="86"/>
    <w:family w:val="auto"/>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E42" w:rsidRDefault="00CA702C">
    <w:pPr>
      <w:pStyle w:val="ac"/>
      <w:tabs>
        <w:tab w:val="left" w:pos="4215"/>
        <w:tab w:val="center" w:pos="4545"/>
      </w:tabs>
    </w:pPr>
    <w:r w:rsidRPr="00CA702C">
      <w:fldChar w:fldCharType="begin"/>
    </w:r>
    <w:r w:rsidR="00DF20DF">
      <w:instrText xml:space="preserve"> PAGE   \* MERGEFORMAT </w:instrText>
    </w:r>
    <w:r w:rsidRPr="00CA702C">
      <w:fldChar w:fldCharType="separate"/>
    </w:r>
    <w:r w:rsidR="00D9067D" w:rsidRPr="00D9067D">
      <w:rPr>
        <w:noProof/>
        <w:lang w:val="zh-CN"/>
      </w:rPr>
      <w:t>1</w:t>
    </w:r>
    <w:r>
      <w:rPr>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E42" w:rsidRDefault="00CA702C">
    <w:pPr>
      <w:pStyle w:val="ac"/>
      <w:framePr w:wrap="around" w:vAnchor="text" w:hAnchor="margin" w:xAlign="center" w:y="1"/>
      <w:rPr>
        <w:rStyle w:val="af3"/>
      </w:rPr>
    </w:pPr>
    <w:r>
      <w:rPr>
        <w:rStyle w:val="af3"/>
      </w:rPr>
      <w:fldChar w:fldCharType="begin"/>
    </w:r>
    <w:r w:rsidR="00DF20DF">
      <w:rPr>
        <w:rStyle w:val="af3"/>
      </w:rPr>
      <w:instrText xml:space="preserve">PAGE  </w:instrText>
    </w:r>
    <w:r>
      <w:rPr>
        <w:rStyle w:val="af3"/>
      </w:rPr>
      <w:fldChar w:fldCharType="separate"/>
    </w:r>
    <w:r w:rsidR="00D9067D">
      <w:rPr>
        <w:rStyle w:val="af3"/>
        <w:noProof/>
      </w:rPr>
      <w:t>2</w:t>
    </w:r>
    <w:r>
      <w:rPr>
        <w:rStyle w:val="af3"/>
      </w:rPr>
      <w:fldChar w:fldCharType="end"/>
    </w:r>
  </w:p>
  <w:p w:rsidR="00EE2E42" w:rsidRDefault="00EE2E4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530" w:rsidRDefault="003F3530">
      <w:r>
        <w:separator/>
      </w:r>
    </w:p>
  </w:footnote>
  <w:footnote w:type="continuationSeparator" w:id="1">
    <w:p w:rsidR="003F3530" w:rsidRDefault="003F35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E42" w:rsidRDefault="00EE2E42">
    <w:pPr>
      <w:pStyle w:val="ad"/>
      <w:pBdr>
        <w:bottom w:val="single" w:sz="6" w:space="0" w:color="auto"/>
      </w:pBdr>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61AC"/>
    <w:rsid w:val="00014099"/>
    <w:rsid w:val="000160C5"/>
    <w:rsid w:val="000210E7"/>
    <w:rsid w:val="00031EBB"/>
    <w:rsid w:val="00033B8D"/>
    <w:rsid w:val="0004028B"/>
    <w:rsid w:val="00043852"/>
    <w:rsid w:val="000450DD"/>
    <w:rsid w:val="000463DE"/>
    <w:rsid w:val="000554C5"/>
    <w:rsid w:val="00080F17"/>
    <w:rsid w:val="0008313A"/>
    <w:rsid w:val="00083FBA"/>
    <w:rsid w:val="000907D2"/>
    <w:rsid w:val="00090A26"/>
    <w:rsid w:val="00097E74"/>
    <w:rsid w:val="000A1203"/>
    <w:rsid w:val="000A2B53"/>
    <w:rsid w:val="000A4287"/>
    <w:rsid w:val="000B09C6"/>
    <w:rsid w:val="000B624F"/>
    <w:rsid w:val="000B62F6"/>
    <w:rsid w:val="000B73C6"/>
    <w:rsid w:val="000C190B"/>
    <w:rsid w:val="000C1E17"/>
    <w:rsid w:val="000C3A61"/>
    <w:rsid w:val="000C5216"/>
    <w:rsid w:val="000D0E6C"/>
    <w:rsid w:val="000D2282"/>
    <w:rsid w:val="000D3ED4"/>
    <w:rsid w:val="000D4AE7"/>
    <w:rsid w:val="000F1065"/>
    <w:rsid w:val="000F6CC8"/>
    <w:rsid w:val="0010032F"/>
    <w:rsid w:val="001053C9"/>
    <w:rsid w:val="00107825"/>
    <w:rsid w:val="0011093E"/>
    <w:rsid w:val="00111261"/>
    <w:rsid w:val="00115391"/>
    <w:rsid w:val="00137452"/>
    <w:rsid w:val="001439E9"/>
    <w:rsid w:val="00144F93"/>
    <w:rsid w:val="00147376"/>
    <w:rsid w:val="00150752"/>
    <w:rsid w:val="00150E7E"/>
    <w:rsid w:val="00151955"/>
    <w:rsid w:val="001539D3"/>
    <w:rsid w:val="00154BE1"/>
    <w:rsid w:val="001562C7"/>
    <w:rsid w:val="00160EDC"/>
    <w:rsid w:val="001631C7"/>
    <w:rsid w:val="001675CD"/>
    <w:rsid w:val="00171EF0"/>
    <w:rsid w:val="00175D4F"/>
    <w:rsid w:val="001761D2"/>
    <w:rsid w:val="001830D7"/>
    <w:rsid w:val="00185A34"/>
    <w:rsid w:val="00196E6C"/>
    <w:rsid w:val="001A73E8"/>
    <w:rsid w:val="001B0A62"/>
    <w:rsid w:val="001B2F35"/>
    <w:rsid w:val="001B3451"/>
    <w:rsid w:val="001C0993"/>
    <w:rsid w:val="001C71E4"/>
    <w:rsid w:val="001C78B2"/>
    <w:rsid w:val="001C79F2"/>
    <w:rsid w:val="001D025B"/>
    <w:rsid w:val="001D63BB"/>
    <w:rsid w:val="001D6A4B"/>
    <w:rsid w:val="001E4630"/>
    <w:rsid w:val="001F0964"/>
    <w:rsid w:val="001F11E5"/>
    <w:rsid w:val="001F30DA"/>
    <w:rsid w:val="001F5DC5"/>
    <w:rsid w:val="001F605E"/>
    <w:rsid w:val="00200FAB"/>
    <w:rsid w:val="00211117"/>
    <w:rsid w:val="00213821"/>
    <w:rsid w:val="00217B92"/>
    <w:rsid w:val="002205D6"/>
    <w:rsid w:val="00220C32"/>
    <w:rsid w:val="00223278"/>
    <w:rsid w:val="002279D3"/>
    <w:rsid w:val="00237F09"/>
    <w:rsid w:val="00240248"/>
    <w:rsid w:val="0024363B"/>
    <w:rsid w:val="002444FA"/>
    <w:rsid w:val="00261111"/>
    <w:rsid w:val="00264122"/>
    <w:rsid w:val="00264E55"/>
    <w:rsid w:val="00275745"/>
    <w:rsid w:val="0027688F"/>
    <w:rsid w:val="00276E44"/>
    <w:rsid w:val="00277F48"/>
    <w:rsid w:val="002835C9"/>
    <w:rsid w:val="00286BEF"/>
    <w:rsid w:val="00286FA2"/>
    <w:rsid w:val="002918E3"/>
    <w:rsid w:val="00296604"/>
    <w:rsid w:val="002973A9"/>
    <w:rsid w:val="002A31CF"/>
    <w:rsid w:val="002B0951"/>
    <w:rsid w:val="002B1D1A"/>
    <w:rsid w:val="002B7BAF"/>
    <w:rsid w:val="002C4B83"/>
    <w:rsid w:val="002D6FB6"/>
    <w:rsid w:val="002E1B9F"/>
    <w:rsid w:val="002E3B09"/>
    <w:rsid w:val="002E52B3"/>
    <w:rsid w:val="002E594D"/>
    <w:rsid w:val="0030403A"/>
    <w:rsid w:val="00304A12"/>
    <w:rsid w:val="00305636"/>
    <w:rsid w:val="00307023"/>
    <w:rsid w:val="00311662"/>
    <w:rsid w:val="00312A9F"/>
    <w:rsid w:val="00315D5D"/>
    <w:rsid w:val="00316484"/>
    <w:rsid w:val="00316E01"/>
    <w:rsid w:val="00320300"/>
    <w:rsid w:val="00324508"/>
    <w:rsid w:val="003259C8"/>
    <w:rsid w:val="003307FE"/>
    <w:rsid w:val="0033320C"/>
    <w:rsid w:val="003470E2"/>
    <w:rsid w:val="0035040C"/>
    <w:rsid w:val="00352719"/>
    <w:rsid w:val="00355364"/>
    <w:rsid w:val="0035611C"/>
    <w:rsid w:val="003649E6"/>
    <w:rsid w:val="00364CCB"/>
    <w:rsid w:val="00375DB3"/>
    <w:rsid w:val="0039085F"/>
    <w:rsid w:val="00394007"/>
    <w:rsid w:val="00394069"/>
    <w:rsid w:val="003A5C4A"/>
    <w:rsid w:val="003A6061"/>
    <w:rsid w:val="003B09AB"/>
    <w:rsid w:val="003B6FBC"/>
    <w:rsid w:val="003C41E2"/>
    <w:rsid w:val="003D1FED"/>
    <w:rsid w:val="003E2240"/>
    <w:rsid w:val="003E62FB"/>
    <w:rsid w:val="003F0AA2"/>
    <w:rsid w:val="003F12DB"/>
    <w:rsid w:val="003F3530"/>
    <w:rsid w:val="003F39DF"/>
    <w:rsid w:val="003F63BE"/>
    <w:rsid w:val="004061AC"/>
    <w:rsid w:val="004066D4"/>
    <w:rsid w:val="00406C52"/>
    <w:rsid w:val="00412748"/>
    <w:rsid w:val="004149AC"/>
    <w:rsid w:val="00414F93"/>
    <w:rsid w:val="0042009D"/>
    <w:rsid w:val="00426106"/>
    <w:rsid w:val="00427F58"/>
    <w:rsid w:val="00431B7D"/>
    <w:rsid w:val="004324AA"/>
    <w:rsid w:val="00433805"/>
    <w:rsid w:val="00440D4D"/>
    <w:rsid w:val="0046385A"/>
    <w:rsid w:val="00471408"/>
    <w:rsid w:val="0048082E"/>
    <w:rsid w:val="00484E03"/>
    <w:rsid w:val="004858E0"/>
    <w:rsid w:val="004934E9"/>
    <w:rsid w:val="004943C2"/>
    <w:rsid w:val="00496743"/>
    <w:rsid w:val="004A11A7"/>
    <w:rsid w:val="004B0989"/>
    <w:rsid w:val="004B1932"/>
    <w:rsid w:val="004B5C9E"/>
    <w:rsid w:val="004C702F"/>
    <w:rsid w:val="004D493E"/>
    <w:rsid w:val="004D495A"/>
    <w:rsid w:val="004D6F55"/>
    <w:rsid w:val="004D770C"/>
    <w:rsid w:val="004E5975"/>
    <w:rsid w:val="004E790A"/>
    <w:rsid w:val="004F50FD"/>
    <w:rsid w:val="004F5911"/>
    <w:rsid w:val="00500059"/>
    <w:rsid w:val="00500A03"/>
    <w:rsid w:val="00512200"/>
    <w:rsid w:val="005143CD"/>
    <w:rsid w:val="005144F2"/>
    <w:rsid w:val="005242A5"/>
    <w:rsid w:val="005249DD"/>
    <w:rsid w:val="005273EA"/>
    <w:rsid w:val="00531BA5"/>
    <w:rsid w:val="00531F10"/>
    <w:rsid w:val="00532E86"/>
    <w:rsid w:val="00542434"/>
    <w:rsid w:val="00542470"/>
    <w:rsid w:val="00542546"/>
    <w:rsid w:val="005454FB"/>
    <w:rsid w:val="00556084"/>
    <w:rsid w:val="005659E4"/>
    <w:rsid w:val="005761EE"/>
    <w:rsid w:val="00582D99"/>
    <w:rsid w:val="0058551C"/>
    <w:rsid w:val="0059076B"/>
    <w:rsid w:val="0059367B"/>
    <w:rsid w:val="005A0F1F"/>
    <w:rsid w:val="005A6675"/>
    <w:rsid w:val="005B2E9C"/>
    <w:rsid w:val="005B4F93"/>
    <w:rsid w:val="005B73D2"/>
    <w:rsid w:val="005C5E5B"/>
    <w:rsid w:val="005D2B36"/>
    <w:rsid w:val="005E1093"/>
    <w:rsid w:val="005E1117"/>
    <w:rsid w:val="005E475E"/>
    <w:rsid w:val="005F3996"/>
    <w:rsid w:val="005F6AF6"/>
    <w:rsid w:val="005F751E"/>
    <w:rsid w:val="0060084E"/>
    <w:rsid w:val="00603C90"/>
    <w:rsid w:val="00604683"/>
    <w:rsid w:val="006066D2"/>
    <w:rsid w:val="0061286A"/>
    <w:rsid w:val="00614CC4"/>
    <w:rsid w:val="0062025E"/>
    <w:rsid w:val="00624CAE"/>
    <w:rsid w:val="00626998"/>
    <w:rsid w:val="006269FB"/>
    <w:rsid w:val="00627A9C"/>
    <w:rsid w:val="00631ED8"/>
    <w:rsid w:val="006360DC"/>
    <w:rsid w:val="00636DB7"/>
    <w:rsid w:val="0063783A"/>
    <w:rsid w:val="006423B9"/>
    <w:rsid w:val="00654B0D"/>
    <w:rsid w:val="00655CD8"/>
    <w:rsid w:val="006571DC"/>
    <w:rsid w:val="00660D4B"/>
    <w:rsid w:val="00664ECC"/>
    <w:rsid w:val="00670989"/>
    <w:rsid w:val="006757DC"/>
    <w:rsid w:val="00676095"/>
    <w:rsid w:val="00692E3C"/>
    <w:rsid w:val="00693843"/>
    <w:rsid w:val="0069426C"/>
    <w:rsid w:val="00694DFB"/>
    <w:rsid w:val="006A1C62"/>
    <w:rsid w:val="006A48FD"/>
    <w:rsid w:val="006A67F8"/>
    <w:rsid w:val="006A7AF1"/>
    <w:rsid w:val="006B11BB"/>
    <w:rsid w:val="006C12B8"/>
    <w:rsid w:val="006C27C9"/>
    <w:rsid w:val="006C2B9B"/>
    <w:rsid w:val="006C37FC"/>
    <w:rsid w:val="006C7EA3"/>
    <w:rsid w:val="006D2CD0"/>
    <w:rsid w:val="006D39E9"/>
    <w:rsid w:val="006D3BE3"/>
    <w:rsid w:val="006D4252"/>
    <w:rsid w:val="006D7004"/>
    <w:rsid w:val="006D789D"/>
    <w:rsid w:val="006D7FF8"/>
    <w:rsid w:val="006E042A"/>
    <w:rsid w:val="006E070C"/>
    <w:rsid w:val="006E764F"/>
    <w:rsid w:val="006F2F95"/>
    <w:rsid w:val="006F4C41"/>
    <w:rsid w:val="006F5E68"/>
    <w:rsid w:val="00706D60"/>
    <w:rsid w:val="007075E3"/>
    <w:rsid w:val="00707F66"/>
    <w:rsid w:val="007120CC"/>
    <w:rsid w:val="00720D28"/>
    <w:rsid w:val="00722509"/>
    <w:rsid w:val="00727FCD"/>
    <w:rsid w:val="00733DDD"/>
    <w:rsid w:val="00736FD2"/>
    <w:rsid w:val="00742F47"/>
    <w:rsid w:val="00750CDF"/>
    <w:rsid w:val="00752BA5"/>
    <w:rsid w:val="00752F3B"/>
    <w:rsid w:val="00753A7D"/>
    <w:rsid w:val="00755D86"/>
    <w:rsid w:val="007621D3"/>
    <w:rsid w:val="00767C98"/>
    <w:rsid w:val="00770971"/>
    <w:rsid w:val="007778A4"/>
    <w:rsid w:val="00796CA8"/>
    <w:rsid w:val="00797305"/>
    <w:rsid w:val="007A01B8"/>
    <w:rsid w:val="007A5438"/>
    <w:rsid w:val="007B035B"/>
    <w:rsid w:val="007B25C6"/>
    <w:rsid w:val="007B4C04"/>
    <w:rsid w:val="007B4D7A"/>
    <w:rsid w:val="007B5AFB"/>
    <w:rsid w:val="007C5862"/>
    <w:rsid w:val="007D7425"/>
    <w:rsid w:val="007E1F08"/>
    <w:rsid w:val="007E33BC"/>
    <w:rsid w:val="007F230E"/>
    <w:rsid w:val="007F33C6"/>
    <w:rsid w:val="008014F9"/>
    <w:rsid w:val="0080358B"/>
    <w:rsid w:val="0080404B"/>
    <w:rsid w:val="008059BD"/>
    <w:rsid w:val="0081091B"/>
    <w:rsid w:val="00812D46"/>
    <w:rsid w:val="00815A38"/>
    <w:rsid w:val="0082103F"/>
    <w:rsid w:val="008279FE"/>
    <w:rsid w:val="00831259"/>
    <w:rsid w:val="0083208A"/>
    <w:rsid w:val="0083218A"/>
    <w:rsid w:val="00832964"/>
    <w:rsid w:val="00832A00"/>
    <w:rsid w:val="008330ED"/>
    <w:rsid w:val="00837845"/>
    <w:rsid w:val="008420B8"/>
    <w:rsid w:val="00842CDF"/>
    <w:rsid w:val="008442C4"/>
    <w:rsid w:val="00846739"/>
    <w:rsid w:val="00853140"/>
    <w:rsid w:val="00854537"/>
    <w:rsid w:val="00855786"/>
    <w:rsid w:val="008606B6"/>
    <w:rsid w:val="00860761"/>
    <w:rsid w:val="008658FD"/>
    <w:rsid w:val="00866CF2"/>
    <w:rsid w:val="008700EC"/>
    <w:rsid w:val="00876D65"/>
    <w:rsid w:val="00891261"/>
    <w:rsid w:val="00896492"/>
    <w:rsid w:val="008A08C3"/>
    <w:rsid w:val="008A21B2"/>
    <w:rsid w:val="008A3D46"/>
    <w:rsid w:val="008B2FDD"/>
    <w:rsid w:val="008C75E7"/>
    <w:rsid w:val="008C7CA8"/>
    <w:rsid w:val="008D09EC"/>
    <w:rsid w:val="008D3C75"/>
    <w:rsid w:val="008E07EB"/>
    <w:rsid w:val="008E2DCB"/>
    <w:rsid w:val="008E326D"/>
    <w:rsid w:val="008F5F67"/>
    <w:rsid w:val="008F60F2"/>
    <w:rsid w:val="0090198C"/>
    <w:rsid w:val="0090217D"/>
    <w:rsid w:val="00905C5E"/>
    <w:rsid w:val="009078DC"/>
    <w:rsid w:val="00921AC7"/>
    <w:rsid w:val="00923B0C"/>
    <w:rsid w:val="00924582"/>
    <w:rsid w:val="00931291"/>
    <w:rsid w:val="0093367D"/>
    <w:rsid w:val="00937387"/>
    <w:rsid w:val="0094026A"/>
    <w:rsid w:val="00942E09"/>
    <w:rsid w:val="009431FA"/>
    <w:rsid w:val="00944B4D"/>
    <w:rsid w:val="00945AF6"/>
    <w:rsid w:val="009550BE"/>
    <w:rsid w:val="00955531"/>
    <w:rsid w:val="00955BE8"/>
    <w:rsid w:val="00957594"/>
    <w:rsid w:val="00961BF5"/>
    <w:rsid w:val="00963F40"/>
    <w:rsid w:val="0096478A"/>
    <w:rsid w:val="0098122D"/>
    <w:rsid w:val="00986596"/>
    <w:rsid w:val="00990685"/>
    <w:rsid w:val="0099405D"/>
    <w:rsid w:val="00995A8D"/>
    <w:rsid w:val="009A0ABE"/>
    <w:rsid w:val="009B2D4B"/>
    <w:rsid w:val="009C0430"/>
    <w:rsid w:val="009C4E99"/>
    <w:rsid w:val="009C5186"/>
    <w:rsid w:val="009C6096"/>
    <w:rsid w:val="009C60F7"/>
    <w:rsid w:val="009D0952"/>
    <w:rsid w:val="009D72B1"/>
    <w:rsid w:val="009E31DA"/>
    <w:rsid w:val="009E402C"/>
    <w:rsid w:val="009E5DAB"/>
    <w:rsid w:val="009E7C6A"/>
    <w:rsid w:val="009F7ED4"/>
    <w:rsid w:val="00A02D5E"/>
    <w:rsid w:val="00A03AAC"/>
    <w:rsid w:val="00A047D1"/>
    <w:rsid w:val="00A04F76"/>
    <w:rsid w:val="00A22AD0"/>
    <w:rsid w:val="00A22DA8"/>
    <w:rsid w:val="00A31671"/>
    <w:rsid w:val="00A45320"/>
    <w:rsid w:val="00A52F8F"/>
    <w:rsid w:val="00A5612C"/>
    <w:rsid w:val="00A5689C"/>
    <w:rsid w:val="00A57AE4"/>
    <w:rsid w:val="00A63F19"/>
    <w:rsid w:val="00A66F42"/>
    <w:rsid w:val="00A76625"/>
    <w:rsid w:val="00A83500"/>
    <w:rsid w:val="00A84FE6"/>
    <w:rsid w:val="00A90049"/>
    <w:rsid w:val="00A917BF"/>
    <w:rsid w:val="00A96A94"/>
    <w:rsid w:val="00A973C2"/>
    <w:rsid w:val="00AA3A38"/>
    <w:rsid w:val="00AA4F94"/>
    <w:rsid w:val="00AB047E"/>
    <w:rsid w:val="00AB223D"/>
    <w:rsid w:val="00AB3C3F"/>
    <w:rsid w:val="00AC592E"/>
    <w:rsid w:val="00AC6C10"/>
    <w:rsid w:val="00AC7BC6"/>
    <w:rsid w:val="00AD0D27"/>
    <w:rsid w:val="00AD24AA"/>
    <w:rsid w:val="00AE7962"/>
    <w:rsid w:val="00B12B7D"/>
    <w:rsid w:val="00B16985"/>
    <w:rsid w:val="00B221B8"/>
    <w:rsid w:val="00B26663"/>
    <w:rsid w:val="00B270A4"/>
    <w:rsid w:val="00B27206"/>
    <w:rsid w:val="00B3052E"/>
    <w:rsid w:val="00B32AA7"/>
    <w:rsid w:val="00B4012D"/>
    <w:rsid w:val="00B40F64"/>
    <w:rsid w:val="00B42A76"/>
    <w:rsid w:val="00B46334"/>
    <w:rsid w:val="00B52FDE"/>
    <w:rsid w:val="00B57D67"/>
    <w:rsid w:val="00B65F92"/>
    <w:rsid w:val="00B66A69"/>
    <w:rsid w:val="00B7378D"/>
    <w:rsid w:val="00B775EF"/>
    <w:rsid w:val="00B82413"/>
    <w:rsid w:val="00B82D09"/>
    <w:rsid w:val="00B85352"/>
    <w:rsid w:val="00B87214"/>
    <w:rsid w:val="00B92FF5"/>
    <w:rsid w:val="00B946BD"/>
    <w:rsid w:val="00B959E6"/>
    <w:rsid w:val="00B9649E"/>
    <w:rsid w:val="00BA604D"/>
    <w:rsid w:val="00BC4585"/>
    <w:rsid w:val="00BC50F1"/>
    <w:rsid w:val="00BC73E5"/>
    <w:rsid w:val="00BD217A"/>
    <w:rsid w:val="00BD7473"/>
    <w:rsid w:val="00BD7703"/>
    <w:rsid w:val="00BE420D"/>
    <w:rsid w:val="00BE475D"/>
    <w:rsid w:val="00BF6314"/>
    <w:rsid w:val="00C21520"/>
    <w:rsid w:val="00C222B2"/>
    <w:rsid w:val="00C225FB"/>
    <w:rsid w:val="00C36A9B"/>
    <w:rsid w:val="00C37530"/>
    <w:rsid w:val="00C37947"/>
    <w:rsid w:val="00C46B88"/>
    <w:rsid w:val="00C51456"/>
    <w:rsid w:val="00C5218C"/>
    <w:rsid w:val="00C52191"/>
    <w:rsid w:val="00C5642F"/>
    <w:rsid w:val="00C570AE"/>
    <w:rsid w:val="00C63554"/>
    <w:rsid w:val="00C66C44"/>
    <w:rsid w:val="00C71497"/>
    <w:rsid w:val="00C718EF"/>
    <w:rsid w:val="00C72F5B"/>
    <w:rsid w:val="00C73BCD"/>
    <w:rsid w:val="00C7411D"/>
    <w:rsid w:val="00C74802"/>
    <w:rsid w:val="00C77AEF"/>
    <w:rsid w:val="00C83D2B"/>
    <w:rsid w:val="00C87129"/>
    <w:rsid w:val="00C91E1B"/>
    <w:rsid w:val="00C97D5D"/>
    <w:rsid w:val="00CA5FD5"/>
    <w:rsid w:val="00CA702C"/>
    <w:rsid w:val="00CA7703"/>
    <w:rsid w:val="00CB0F92"/>
    <w:rsid w:val="00CC0A18"/>
    <w:rsid w:val="00CC2676"/>
    <w:rsid w:val="00CD1283"/>
    <w:rsid w:val="00CD41AB"/>
    <w:rsid w:val="00CD4E6D"/>
    <w:rsid w:val="00CD5707"/>
    <w:rsid w:val="00CD7702"/>
    <w:rsid w:val="00CD7A8F"/>
    <w:rsid w:val="00CE29EA"/>
    <w:rsid w:val="00CF4FA0"/>
    <w:rsid w:val="00CF6572"/>
    <w:rsid w:val="00D00F30"/>
    <w:rsid w:val="00D02347"/>
    <w:rsid w:val="00D04755"/>
    <w:rsid w:val="00D13737"/>
    <w:rsid w:val="00D1638E"/>
    <w:rsid w:val="00D21FFF"/>
    <w:rsid w:val="00D272A5"/>
    <w:rsid w:val="00D36C1E"/>
    <w:rsid w:val="00D43AFB"/>
    <w:rsid w:val="00D570F5"/>
    <w:rsid w:val="00D57B7C"/>
    <w:rsid w:val="00D65B44"/>
    <w:rsid w:val="00D66F23"/>
    <w:rsid w:val="00D67413"/>
    <w:rsid w:val="00D8099B"/>
    <w:rsid w:val="00D866A8"/>
    <w:rsid w:val="00D9067D"/>
    <w:rsid w:val="00D92F47"/>
    <w:rsid w:val="00D94B8D"/>
    <w:rsid w:val="00D95640"/>
    <w:rsid w:val="00D96C8D"/>
    <w:rsid w:val="00D96DAE"/>
    <w:rsid w:val="00DA1F8E"/>
    <w:rsid w:val="00DA2876"/>
    <w:rsid w:val="00DB7CA8"/>
    <w:rsid w:val="00DC0B51"/>
    <w:rsid w:val="00DD01F1"/>
    <w:rsid w:val="00DD2ACC"/>
    <w:rsid w:val="00DE27F7"/>
    <w:rsid w:val="00DE3914"/>
    <w:rsid w:val="00DF20DF"/>
    <w:rsid w:val="00E35EC4"/>
    <w:rsid w:val="00E44E18"/>
    <w:rsid w:val="00E54301"/>
    <w:rsid w:val="00E548D0"/>
    <w:rsid w:val="00E55ABD"/>
    <w:rsid w:val="00E60817"/>
    <w:rsid w:val="00E614F0"/>
    <w:rsid w:val="00E704E3"/>
    <w:rsid w:val="00E90C35"/>
    <w:rsid w:val="00EA70F1"/>
    <w:rsid w:val="00EB2516"/>
    <w:rsid w:val="00EB2C07"/>
    <w:rsid w:val="00EB374A"/>
    <w:rsid w:val="00EC668A"/>
    <w:rsid w:val="00EC6E88"/>
    <w:rsid w:val="00ED033D"/>
    <w:rsid w:val="00ED461C"/>
    <w:rsid w:val="00ED62BE"/>
    <w:rsid w:val="00ED6CBC"/>
    <w:rsid w:val="00EE2E42"/>
    <w:rsid w:val="00EF17AB"/>
    <w:rsid w:val="00EF6FA5"/>
    <w:rsid w:val="00F11104"/>
    <w:rsid w:val="00F13122"/>
    <w:rsid w:val="00F16E3F"/>
    <w:rsid w:val="00F22499"/>
    <w:rsid w:val="00F22B0F"/>
    <w:rsid w:val="00F246CB"/>
    <w:rsid w:val="00F24B42"/>
    <w:rsid w:val="00F24F73"/>
    <w:rsid w:val="00F27299"/>
    <w:rsid w:val="00F31F6E"/>
    <w:rsid w:val="00F3389C"/>
    <w:rsid w:val="00F33E81"/>
    <w:rsid w:val="00F375F2"/>
    <w:rsid w:val="00F54EAE"/>
    <w:rsid w:val="00F66A51"/>
    <w:rsid w:val="00F71057"/>
    <w:rsid w:val="00F71A4B"/>
    <w:rsid w:val="00F728CF"/>
    <w:rsid w:val="00F743D4"/>
    <w:rsid w:val="00F83B17"/>
    <w:rsid w:val="00F87EBB"/>
    <w:rsid w:val="00F87EDA"/>
    <w:rsid w:val="00F90BCB"/>
    <w:rsid w:val="00F970EE"/>
    <w:rsid w:val="00F97256"/>
    <w:rsid w:val="00FA0930"/>
    <w:rsid w:val="00FB09D6"/>
    <w:rsid w:val="00FB0BC9"/>
    <w:rsid w:val="00FB41D3"/>
    <w:rsid w:val="00FB4F70"/>
    <w:rsid w:val="00FB5EFC"/>
    <w:rsid w:val="00FB71A8"/>
    <w:rsid w:val="00FB77BB"/>
    <w:rsid w:val="00FC15AA"/>
    <w:rsid w:val="00FD1375"/>
    <w:rsid w:val="00FD359E"/>
    <w:rsid w:val="00FD5F37"/>
    <w:rsid w:val="00FE0A17"/>
    <w:rsid w:val="00FE179F"/>
    <w:rsid w:val="00FF213A"/>
    <w:rsid w:val="00FF6E8F"/>
    <w:rsid w:val="192A2FFE"/>
    <w:rsid w:val="25ED74EF"/>
    <w:rsid w:val="4B0E698D"/>
    <w:rsid w:val="5EF6673E"/>
    <w:rsid w:val="6DD45D5E"/>
    <w:rsid w:val="7448660B"/>
    <w:rsid w:val="7FA535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uiPriority="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semiHidden="0" w:uiPriority="0" w:qFormat="1"/>
    <w:lsdException w:name="annotation text"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uiPriority="0" w:qFormat="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semiHidden="0" w:uiPriority="0"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semiHidden="0" w:uiPriority="22" w:qFormat="1"/>
    <w:lsdException w:name="Emphasis" w:semiHidden="0" w:uiPriority="20" w:qFormat="1"/>
    <w:lsdException w:name="Document Map" w:qFormat="1"/>
    <w:lsdException w:name="Plain Text" w:semiHidden="0" w:uiPriority="0" w:qFormat="1"/>
    <w:lsdException w:name="E-mail Signature" w:unhideWhenUsed="1"/>
    <w:lsdException w:name="HTML Top of Form" w:unhideWhenUsed="1"/>
    <w:lsdException w:name="HTML Bottom of Form" w:unhideWhenUsed="1"/>
    <w:lsdException w:name="Normal (Web)" w:semiHidden="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uiPriority="0"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CA702C"/>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9"/>
    <w:qFormat/>
    <w:rsid w:val="00CA702C"/>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CA702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CA702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A702C"/>
    <w:pPr>
      <w:ind w:firstLineChars="200" w:firstLine="420"/>
    </w:pPr>
  </w:style>
  <w:style w:type="paragraph" w:styleId="a4">
    <w:name w:val="annotation subject"/>
    <w:basedOn w:val="a5"/>
    <w:next w:val="a5"/>
    <w:link w:val="Char"/>
    <w:uiPriority w:val="99"/>
    <w:semiHidden/>
    <w:qFormat/>
    <w:rsid w:val="00CA702C"/>
    <w:rPr>
      <w:b/>
      <w:bCs/>
    </w:rPr>
  </w:style>
  <w:style w:type="paragraph" w:styleId="a5">
    <w:name w:val="annotation text"/>
    <w:basedOn w:val="a"/>
    <w:link w:val="Char0"/>
    <w:uiPriority w:val="99"/>
    <w:semiHidden/>
    <w:qFormat/>
    <w:rsid w:val="00CA702C"/>
    <w:pPr>
      <w:jc w:val="left"/>
    </w:pPr>
  </w:style>
  <w:style w:type="paragraph" w:styleId="a6">
    <w:name w:val="Document Map"/>
    <w:basedOn w:val="a"/>
    <w:link w:val="Char1"/>
    <w:uiPriority w:val="99"/>
    <w:semiHidden/>
    <w:qFormat/>
    <w:rsid w:val="00CA702C"/>
    <w:pPr>
      <w:shd w:val="clear" w:color="auto" w:fill="000080"/>
    </w:pPr>
  </w:style>
  <w:style w:type="paragraph" w:styleId="a7">
    <w:name w:val="Body Text"/>
    <w:basedOn w:val="a"/>
    <w:link w:val="Char2"/>
    <w:uiPriority w:val="99"/>
    <w:qFormat/>
    <w:rsid w:val="00CA702C"/>
    <w:pPr>
      <w:spacing w:after="120"/>
    </w:pPr>
  </w:style>
  <w:style w:type="paragraph" w:styleId="a8">
    <w:name w:val="Body Text Indent"/>
    <w:basedOn w:val="a"/>
    <w:link w:val="Char3"/>
    <w:uiPriority w:val="99"/>
    <w:qFormat/>
    <w:rsid w:val="00CA702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9">
    <w:name w:val="Plain Text"/>
    <w:basedOn w:val="a"/>
    <w:link w:val="Char4"/>
    <w:qFormat/>
    <w:rsid w:val="00CA702C"/>
    <w:rPr>
      <w:rFonts w:ascii="宋体" w:hAnsi="Courier New" w:cs="宋体"/>
    </w:rPr>
  </w:style>
  <w:style w:type="paragraph" w:styleId="aa">
    <w:name w:val="Date"/>
    <w:basedOn w:val="a"/>
    <w:next w:val="a"/>
    <w:link w:val="Char5"/>
    <w:qFormat/>
    <w:rsid w:val="00CA702C"/>
    <w:rPr>
      <w:sz w:val="24"/>
      <w:szCs w:val="24"/>
    </w:rPr>
  </w:style>
  <w:style w:type="paragraph" w:styleId="20">
    <w:name w:val="Body Text Indent 2"/>
    <w:basedOn w:val="a"/>
    <w:link w:val="2Char0"/>
    <w:uiPriority w:val="99"/>
    <w:qFormat/>
    <w:rsid w:val="00CA702C"/>
    <w:pPr>
      <w:spacing w:line="560" w:lineRule="exact"/>
      <w:ind w:firstLineChars="200" w:firstLine="480"/>
    </w:pPr>
    <w:rPr>
      <w:rFonts w:ascii="宋体" w:hAnsi="宋体" w:cs="宋体"/>
      <w:color w:val="FF0000"/>
      <w:sz w:val="24"/>
      <w:szCs w:val="24"/>
    </w:rPr>
  </w:style>
  <w:style w:type="paragraph" w:styleId="ab">
    <w:name w:val="Balloon Text"/>
    <w:basedOn w:val="a"/>
    <w:link w:val="Char6"/>
    <w:uiPriority w:val="99"/>
    <w:semiHidden/>
    <w:qFormat/>
    <w:rsid w:val="00CA702C"/>
    <w:rPr>
      <w:sz w:val="18"/>
      <w:szCs w:val="18"/>
    </w:rPr>
  </w:style>
  <w:style w:type="paragraph" w:styleId="ac">
    <w:name w:val="footer"/>
    <w:basedOn w:val="a"/>
    <w:link w:val="Char7"/>
    <w:uiPriority w:val="99"/>
    <w:qFormat/>
    <w:rsid w:val="00CA702C"/>
    <w:pPr>
      <w:tabs>
        <w:tab w:val="center" w:pos="4153"/>
        <w:tab w:val="right" w:pos="8306"/>
      </w:tabs>
      <w:snapToGrid w:val="0"/>
      <w:jc w:val="left"/>
    </w:pPr>
    <w:rPr>
      <w:sz w:val="18"/>
      <w:szCs w:val="18"/>
    </w:rPr>
  </w:style>
  <w:style w:type="paragraph" w:styleId="ad">
    <w:name w:val="header"/>
    <w:basedOn w:val="a"/>
    <w:link w:val="Char8"/>
    <w:uiPriority w:val="99"/>
    <w:qFormat/>
    <w:rsid w:val="00CA702C"/>
    <w:pPr>
      <w:pBdr>
        <w:bottom w:val="single" w:sz="6" w:space="1" w:color="auto"/>
      </w:pBdr>
      <w:tabs>
        <w:tab w:val="center" w:pos="4153"/>
        <w:tab w:val="right" w:pos="8306"/>
      </w:tabs>
      <w:snapToGrid w:val="0"/>
      <w:jc w:val="center"/>
    </w:pPr>
    <w:rPr>
      <w:sz w:val="18"/>
      <w:szCs w:val="18"/>
    </w:rPr>
  </w:style>
  <w:style w:type="paragraph" w:styleId="ae">
    <w:name w:val="List"/>
    <w:basedOn w:val="a7"/>
    <w:uiPriority w:val="99"/>
    <w:qFormat/>
    <w:rsid w:val="00CA702C"/>
    <w:pPr>
      <w:spacing w:after="220" w:line="220" w:lineRule="atLeast"/>
      <w:ind w:left="1440" w:hanging="360"/>
    </w:pPr>
  </w:style>
  <w:style w:type="paragraph" w:styleId="af">
    <w:name w:val="footnote text"/>
    <w:basedOn w:val="a"/>
    <w:link w:val="Char9"/>
    <w:qFormat/>
    <w:rsid w:val="00CA702C"/>
    <w:pPr>
      <w:snapToGrid w:val="0"/>
      <w:jc w:val="left"/>
    </w:pPr>
    <w:rPr>
      <w:sz w:val="18"/>
      <w:szCs w:val="18"/>
    </w:rPr>
  </w:style>
  <w:style w:type="paragraph" w:styleId="30">
    <w:name w:val="Body Text Indent 3"/>
    <w:basedOn w:val="a"/>
    <w:link w:val="3Char0"/>
    <w:uiPriority w:val="99"/>
    <w:qFormat/>
    <w:rsid w:val="00CA702C"/>
    <w:pPr>
      <w:spacing w:line="560" w:lineRule="exact"/>
      <w:ind w:firstLineChars="200" w:firstLine="420"/>
    </w:pPr>
    <w:rPr>
      <w:rFonts w:ascii="Arial" w:hAnsi="Arial" w:cs="Arial"/>
      <w:color w:val="FF0000"/>
    </w:rPr>
  </w:style>
  <w:style w:type="paragraph" w:styleId="af0">
    <w:name w:val="Normal (Web)"/>
    <w:basedOn w:val="a"/>
    <w:uiPriority w:val="99"/>
    <w:qFormat/>
    <w:rsid w:val="00CA702C"/>
    <w:pPr>
      <w:widowControl/>
      <w:spacing w:before="100" w:beforeAutospacing="1" w:after="100" w:afterAutospacing="1"/>
      <w:jc w:val="left"/>
    </w:pPr>
    <w:rPr>
      <w:rFonts w:ascii="宋体" w:hAnsi="宋体" w:cs="宋体"/>
      <w:kern w:val="0"/>
      <w:sz w:val="24"/>
      <w:szCs w:val="24"/>
    </w:rPr>
  </w:style>
  <w:style w:type="paragraph" w:styleId="10">
    <w:name w:val="index 1"/>
    <w:basedOn w:val="a"/>
    <w:next w:val="a"/>
    <w:uiPriority w:val="99"/>
    <w:semiHidden/>
    <w:qFormat/>
    <w:rsid w:val="00CA702C"/>
    <w:pPr>
      <w:jc w:val="right"/>
    </w:pPr>
    <w:rPr>
      <w:color w:val="008000"/>
    </w:rPr>
  </w:style>
  <w:style w:type="paragraph" w:styleId="af1">
    <w:name w:val="Title"/>
    <w:basedOn w:val="a"/>
    <w:next w:val="a"/>
    <w:link w:val="Chara"/>
    <w:uiPriority w:val="99"/>
    <w:qFormat/>
    <w:rsid w:val="00CA702C"/>
    <w:pPr>
      <w:spacing w:before="240" w:after="60"/>
      <w:jc w:val="center"/>
      <w:outlineLvl w:val="0"/>
    </w:pPr>
    <w:rPr>
      <w:rFonts w:ascii="Cambria" w:hAnsi="Cambria" w:cs="Cambria"/>
      <w:b/>
      <w:bCs/>
      <w:sz w:val="32"/>
      <w:szCs w:val="32"/>
    </w:rPr>
  </w:style>
  <w:style w:type="character" w:styleId="af2">
    <w:name w:val="Strong"/>
    <w:basedOn w:val="a1"/>
    <w:uiPriority w:val="22"/>
    <w:qFormat/>
    <w:rsid w:val="00CA702C"/>
    <w:rPr>
      <w:b/>
      <w:bCs/>
    </w:rPr>
  </w:style>
  <w:style w:type="character" w:styleId="af3">
    <w:name w:val="page number"/>
    <w:basedOn w:val="a1"/>
    <w:uiPriority w:val="99"/>
    <w:qFormat/>
    <w:rsid w:val="00CA702C"/>
  </w:style>
  <w:style w:type="character" w:styleId="af4">
    <w:name w:val="FollowedHyperlink"/>
    <w:basedOn w:val="a1"/>
    <w:uiPriority w:val="99"/>
    <w:qFormat/>
    <w:rsid w:val="00CA702C"/>
    <w:rPr>
      <w:color w:val="800080"/>
      <w:u w:val="single"/>
    </w:rPr>
  </w:style>
  <w:style w:type="character" w:styleId="af5">
    <w:name w:val="Hyperlink"/>
    <w:basedOn w:val="a1"/>
    <w:uiPriority w:val="99"/>
    <w:qFormat/>
    <w:rsid w:val="00CA702C"/>
    <w:rPr>
      <w:color w:val="0000FF"/>
      <w:u w:val="single"/>
    </w:rPr>
  </w:style>
  <w:style w:type="character" w:styleId="af6">
    <w:name w:val="annotation reference"/>
    <w:basedOn w:val="a1"/>
    <w:uiPriority w:val="99"/>
    <w:semiHidden/>
    <w:qFormat/>
    <w:rsid w:val="00CA702C"/>
    <w:rPr>
      <w:sz w:val="21"/>
      <w:szCs w:val="21"/>
    </w:rPr>
  </w:style>
  <w:style w:type="character" w:styleId="af7">
    <w:name w:val="footnote reference"/>
    <w:basedOn w:val="a1"/>
    <w:qFormat/>
    <w:rsid w:val="00CA702C"/>
    <w:rPr>
      <w:vertAlign w:val="superscript"/>
    </w:rPr>
  </w:style>
  <w:style w:type="table" w:styleId="af8">
    <w:name w:val="Table Grid"/>
    <w:basedOn w:val="a2"/>
    <w:qFormat/>
    <w:rsid w:val="00CA702C"/>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9"/>
    <w:qFormat/>
    <w:rsid w:val="00CA702C"/>
    <w:rPr>
      <w:rFonts w:ascii="Times New Roman" w:eastAsia="宋体" w:hAnsi="Times New Roman" w:cs="Times New Roman"/>
      <w:b/>
      <w:bCs/>
      <w:kern w:val="44"/>
      <w:sz w:val="44"/>
      <w:szCs w:val="44"/>
    </w:rPr>
  </w:style>
  <w:style w:type="character" w:customStyle="1" w:styleId="2Char">
    <w:name w:val="标题 2 Char"/>
    <w:basedOn w:val="a1"/>
    <w:link w:val="2"/>
    <w:uiPriority w:val="99"/>
    <w:qFormat/>
    <w:rsid w:val="00CA702C"/>
    <w:rPr>
      <w:rFonts w:ascii="Arial" w:eastAsia="宋体" w:hAnsi="Arial" w:cs="Arial"/>
      <w:b/>
      <w:bCs/>
      <w:sz w:val="24"/>
      <w:szCs w:val="24"/>
    </w:rPr>
  </w:style>
  <w:style w:type="character" w:customStyle="1" w:styleId="3Char">
    <w:name w:val="标题 3 Char"/>
    <w:basedOn w:val="a1"/>
    <w:link w:val="3"/>
    <w:uiPriority w:val="99"/>
    <w:qFormat/>
    <w:rsid w:val="00CA702C"/>
    <w:rPr>
      <w:rFonts w:ascii="Times New Roman" w:eastAsia="宋体" w:hAnsi="Times New Roman" w:cs="Times New Roman"/>
      <w:b/>
      <w:bCs/>
      <w:sz w:val="32"/>
      <w:szCs w:val="32"/>
    </w:rPr>
  </w:style>
  <w:style w:type="character" w:customStyle="1" w:styleId="Char3">
    <w:name w:val="正文文本缩进 Char"/>
    <w:basedOn w:val="a1"/>
    <w:link w:val="a8"/>
    <w:uiPriority w:val="99"/>
    <w:qFormat/>
    <w:rsid w:val="00CA702C"/>
    <w:rPr>
      <w:rFonts w:ascii="Arial Unicode MS" w:eastAsia="Arial Unicode MS" w:hAnsi="Arial Unicode MS" w:cs="Arial Unicode MS"/>
      <w:kern w:val="0"/>
      <w:sz w:val="24"/>
      <w:szCs w:val="24"/>
    </w:rPr>
  </w:style>
  <w:style w:type="character" w:customStyle="1" w:styleId="Char4">
    <w:name w:val="纯文本 Char"/>
    <w:basedOn w:val="a1"/>
    <w:link w:val="a9"/>
    <w:uiPriority w:val="99"/>
    <w:qFormat/>
    <w:rsid w:val="00CA702C"/>
    <w:rPr>
      <w:rFonts w:ascii="宋体" w:eastAsia="宋体" w:hAnsi="Courier New" w:cs="宋体"/>
      <w:szCs w:val="21"/>
    </w:rPr>
  </w:style>
  <w:style w:type="character" w:customStyle="1" w:styleId="2Char0">
    <w:name w:val="正文文本缩进 2 Char"/>
    <w:basedOn w:val="a1"/>
    <w:link w:val="20"/>
    <w:uiPriority w:val="99"/>
    <w:qFormat/>
    <w:rsid w:val="00CA702C"/>
    <w:rPr>
      <w:rFonts w:ascii="宋体" w:eastAsia="宋体" w:hAnsi="宋体" w:cs="宋体"/>
      <w:color w:val="FF0000"/>
      <w:sz w:val="24"/>
      <w:szCs w:val="24"/>
    </w:rPr>
  </w:style>
  <w:style w:type="character" w:customStyle="1" w:styleId="Char7">
    <w:name w:val="页脚 Char"/>
    <w:basedOn w:val="a1"/>
    <w:link w:val="ac"/>
    <w:uiPriority w:val="99"/>
    <w:qFormat/>
    <w:rsid w:val="00CA702C"/>
    <w:rPr>
      <w:rFonts w:ascii="Times New Roman" w:eastAsia="宋体" w:hAnsi="Times New Roman" w:cs="Times New Roman"/>
      <w:sz w:val="18"/>
      <w:szCs w:val="18"/>
    </w:rPr>
  </w:style>
  <w:style w:type="character" w:customStyle="1" w:styleId="3Char0">
    <w:name w:val="正文文本缩进 3 Char"/>
    <w:basedOn w:val="a1"/>
    <w:link w:val="30"/>
    <w:uiPriority w:val="99"/>
    <w:qFormat/>
    <w:rsid w:val="00CA702C"/>
    <w:rPr>
      <w:rFonts w:ascii="Arial" w:eastAsia="宋体" w:hAnsi="Arial" w:cs="Arial"/>
      <w:color w:val="FF0000"/>
      <w:szCs w:val="21"/>
    </w:rPr>
  </w:style>
  <w:style w:type="character" w:customStyle="1" w:styleId="Char8">
    <w:name w:val="页眉 Char"/>
    <w:basedOn w:val="a1"/>
    <w:link w:val="ad"/>
    <w:uiPriority w:val="99"/>
    <w:qFormat/>
    <w:rsid w:val="00CA702C"/>
    <w:rPr>
      <w:rFonts w:ascii="Times New Roman" w:eastAsia="宋体" w:hAnsi="Times New Roman" w:cs="Times New Roman"/>
      <w:sz w:val="18"/>
      <w:szCs w:val="18"/>
    </w:rPr>
  </w:style>
  <w:style w:type="character" w:customStyle="1" w:styleId="Char2">
    <w:name w:val="正文文本 Char"/>
    <w:basedOn w:val="a1"/>
    <w:link w:val="a7"/>
    <w:uiPriority w:val="99"/>
    <w:qFormat/>
    <w:rsid w:val="00CA702C"/>
    <w:rPr>
      <w:rFonts w:ascii="Times New Roman" w:eastAsia="宋体" w:hAnsi="Times New Roman" w:cs="Times New Roman"/>
      <w:szCs w:val="21"/>
    </w:rPr>
  </w:style>
  <w:style w:type="character" w:customStyle="1" w:styleId="Char5">
    <w:name w:val="日期 Char"/>
    <w:basedOn w:val="a1"/>
    <w:link w:val="aa"/>
    <w:qFormat/>
    <w:rsid w:val="00CA702C"/>
    <w:rPr>
      <w:rFonts w:ascii="Times New Roman" w:eastAsia="宋体" w:hAnsi="Times New Roman" w:cs="Times New Roman"/>
      <w:sz w:val="24"/>
      <w:szCs w:val="24"/>
    </w:rPr>
  </w:style>
  <w:style w:type="character" w:customStyle="1" w:styleId="c1">
    <w:name w:val="c1"/>
    <w:basedOn w:val="a1"/>
    <w:uiPriority w:val="99"/>
    <w:qFormat/>
    <w:rsid w:val="00CA702C"/>
    <w:rPr>
      <w:color w:val="000000"/>
      <w:sz w:val="18"/>
      <w:szCs w:val="18"/>
    </w:rPr>
  </w:style>
  <w:style w:type="paragraph" w:customStyle="1" w:styleId="font5">
    <w:name w:val="font5"/>
    <w:basedOn w:val="a"/>
    <w:uiPriority w:val="99"/>
    <w:qFormat/>
    <w:rsid w:val="00CA702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qFormat/>
    <w:rsid w:val="00CA702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qFormat/>
    <w:rsid w:val="00CA702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qFormat/>
    <w:rsid w:val="00CA702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qFormat/>
    <w:rsid w:val="00CA702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qFormat/>
    <w:rsid w:val="00CA702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qFormat/>
    <w:rsid w:val="00CA702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qFormat/>
    <w:rsid w:val="00CA702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qFormat/>
    <w:rsid w:val="00CA702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qFormat/>
    <w:rsid w:val="00CA702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qFormat/>
    <w:rsid w:val="00CA702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qFormat/>
    <w:rsid w:val="00CA702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qFormat/>
    <w:rsid w:val="00CA702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qFormat/>
    <w:rsid w:val="00CA702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qFormat/>
    <w:rsid w:val="00CA702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qFormat/>
    <w:rsid w:val="00CA702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character" w:customStyle="1" w:styleId="Char6">
    <w:name w:val="批注框文本 Char"/>
    <w:basedOn w:val="a1"/>
    <w:link w:val="ab"/>
    <w:uiPriority w:val="99"/>
    <w:semiHidden/>
    <w:qFormat/>
    <w:rsid w:val="00CA702C"/>
    <w:rPr>
      <w:rFonts w:ascii="Times New Roman" w:eastAsia="宋体" w:hAnsi="Times New Roman" w:cs="Times New Roman"/>
      <w:sz w:val="18"/>
      <w:szCs w:val="18"/>
    </w:rPr>
  </w:style>
  <w:style w:type="character" w:customStyle="1" w:styleId="Char0">
    <w:name w:val="批注文字 Char"/>
    <w:basedOn w:val="a1"/>
    <w:link w:val="a5"/>
    <w:uiPriority w:val="99"/>
    <w:semiHidden/>
    <w:qFormat/>
    <w:rsid w:val="00CA702C"/>
    <w:rPr>
      <w:rFonts w:ascii="Times New Roman" w:eastAsia="宋体" w:hAnsi="Times New Roman" w:cs="Times New Roman"/>
      <w:szCs w:val="21"/>
    </w:rPr>
  </w:style>
  <w:style w:type="character" w:customStyle="1" w:styleId="Char">
    <w:name w:val="批注主题 Char"/>
    <w:basedOn w:val="Char0"/>
    <w:link w:val="a4"/>
    <w:uiPriority w:val="99"/>
    <w:semiHidden/>
    <w:qFormat/>
    <w:rsid w:val="00CA702C"/>
    <w:rPr>
      <w:rFonts w:ascii="Times New Roman" w:eastAsia="宋体" w:hAnsi="Times New Roman" w:cs="Times New Roman"/>
      <w:b/>
      <w:bCs/>
      <w:szCs w:val="21"/>
    </w:rPr>
  </w:style>
  <w:style w:type="paragraph" w:customStyle="1" w:styleId="Charb">
    <w:name w:val="Char"/>
    <w:basedOn w:val="a"/>
    <w:uiPriority w:val="99"/>
    <w:qFormat/>
    <w:rsid w:val="00CA702C"/>
  </w:style>
  <w:style w:type="character" w:customStyle="1" w:styleId="Char1">
    <w:name w:val="文档结构图 Char"/>
    <w:basedOn w:val="a1"/>
    <w:link w:val="a6"/>
    <w:uiPriority w:val="99"/>
    <w:semiHidden/>
    <w:qFormat/>
    <w:rsid w:val="00CA702C"/>
    <w:rPr>
      <w:rFonts w:ascii="Times New Roman" w:eastAsia="宋体" w:hAnsi="Times New Roman" w:cs="Times New Roman"/>
      <w:szCs w:val="21"/>
      <w:shd w:val="clear" w:color="auto" w:fill="000080"/>
    </w:rPr>
  </w:style>
  <w:style w:type="paragraph" w:customStyle="1" w:styleId="af9">
    <w:name w:val="正文 + (符号) 宋体"/>
    <w:basedOn w:val="a"/>
    <w:uiPriority w:val="99"/>
    <w:qFormat/>
    <w:rsid w:val="00CA702C"/>
    <w:pPr>
      <w:autoSpaceDE w:val="0"/>
      <w:autoSpaceDN w:val="0"/>
      <w:adjustRightInd w:val="0"/>
      <w:ind w:rightChars="671" w:right="1409" w:firstLineChars="512" w:firstLine="1229"/>
      <w:jc w:val="distribute"/>
    </w:pPr>
    <w:rPr>
      <w:sz w:val="24"/>
      <w:szCs w:val="24"/>
    </w:rPr>
  </w:style>
  <w:style w:type="character" w:customStyle="1" w:styleId="Char9">
    <w:name w:val="脚注文本 Char"/>
    <w:basedOn w:val="a1"/>
    <w:link w:val="af"/>
    <w:qFormat/>
    <w:rsid w:val="00CA702C"/>
    <w:rPr>
      <w:rFonts w:ascii="Times New Roman" w:eastAsia="宋体" w:hAnsi="Times New Roman" w:cs="Times New Roman"/>
      <w:sz w:val="18"/>
      <w:szCs w:val="18"/>
    </w:rPr>
  </w:style>
  <w:style w:type="paragraph" w:customStyle="1" w:styleId="Char10">
    <w:name w:val="Char1"/>
    <w:basedOn w:val="a"/>
    <w:uiPriority w:val="99"/>
    <w:qFormat/>
    <w:rsid w:val="00CA702C"/>
  </w:style>
  <w:style w:type="paragraph" w:customStyle="1" w:styleId="CharCharCharCharCharChar1CharCharChar">
    <w:name w:val="Char Char Char Char Char Char1 Char Char Char"/>
    <w:basedOn w:val="a"/>
    <w:uiPriority w:val="99"/>
    <w:qFormat/>
    <w:rsid w:val="00CA702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qFormat/>
    <w:rsid w:val="00CA702C"/>
    <w:pPr>
      <w:autoSpaceDE w:val="0"/>
      <w:autoSpaceDN w:val="0"/>
      <w:adjustRightInd w:val="0"/>
      <w:jc w:val="left"/>
      <w:textAlignment w:val="baseline"/>
    </w:pPr>
    <w:rPr>
      <w:rFonts w:ascii="宋体" w:cs="宋体"/>
      <w:kern w:val="0"/>
      <w:sz w:val="34"/>
      <w:szCs w:val="34"/>
    </w:rPr>
  </w:style>
  <w:style w:type="character" w:customStyle="1" w:styleId="Chara">
    <w:name w:val="标题 Char"/>
    <w:basedOn w:val="a1"/>
    <w:link w:val="af1"/>
    <w:uiPriority w:val="99"/>
    <w:qFormat/>
    <w:rsid w:val="00CA702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qFormat/>
    <w:rsid w:val="00CA702C"/>
    <w:pPr>
      <w:autoSpaceDE w:val="0"/>
      <w:autoSpaceDN w:val="0"/>
      <w:adjustRightInd w:val="0"/>
      <w:jc w:val="left"/>
      <w:textAlignment w:val="baseline"/>
    </w:pPr>
    <w:rPr>
      <w:rFonts w:ascii="宋体" w:cs="宋体"/>
      <w:kern w:val="0"/>
      <w:sz w:val="34"/>
      <w:szCs w:val="34"/>
    </w:rPr>
  </w:style>
  <w:style w:type="paragraph" w:customStyle="1" w:styleId="11">
    <w:name w:val="无间隔1"/>
    <w:link w:val="Charc"/>
    <w:uiPriority w:val="1"/>
    <w:qFormat/>
    <w:rsid w:val="00CA702C"/>
    <w:rPr>
      <w:rFonts w:ascii="Calibri" w:eastAsia="宋体" w:hAnsi="Calibri" w:cs="Calibri"/>
      <w:sz w:val="22"/>
      <w:szCs w:val="22"/>
    </w:rPr>
  </w:style>
  <w:style w:type="character" w:customStyle="1" w:styleId="Charc">
    <w:name w:val="无间隔 Char"/>
    <w:basedOn w:val="a1"/>
    <w:link w:val="11"/>
    <w:uiPriority w:val="1"/>
    <w:qFormat/>
    <w:locked/>
    <w:rsid w:val="00CA702C"/>
    <w:rPr>
      <w:rFonts w:ascii="Calibri" w:eastAsia="宋体" w:hAnsi="Calibri" w:cs="Calibri"/>
      <w:kern w:val="0"/>
      <w:sz w:val="22"/>
    </w:rPr>
  </w:style>
  <w:style w:type="character" w:customStyle="1" w:styleId="t1">
    <w:name w:val="t1"/>
    <w:basedOn w:val="a1"/>
    <w:qFormat/>
    <w:rsid w:val="00CA702C"/>
    <w:rPr>
      <w:color w:val="auto"/>
    </w:rPr>
  </w:style>
  <w:style w:type="paragraph" w:customStyle="1" w:styleId="12">
    <w:name w:val="列出段落1"/>
    <w:basedOn w:val="a"/>
    <w:uiPriority w:val="34"/>
    <w:qFormat/>
    <w:rsid w:val="00CA702C"/>
    <w:pPr>
      <w:ind w:firstLineChars="200" w:firstLine="420"/>
    </w:pPr>
  </w:style>
  <w:style w:type="paragraph" w:customStyle="1" w:styleId="Default">
    <w:name w:val="Default"/>
    <w:qFormat/>
    <w:rsid w:val="00CA702C"/>
    <w:pPr>
      <w:widowControl w:val="0"/>
      <w:autoSpaceDE w:val="0"/>
      <w:autoSpaceDN w:val="0"/>
      <w:adjustRightInd w:val="0"/>
    </w:pPr>
    <w:rPr>
      <w:rFonts w:ascii="仿宋" w:eastAsia="宋体" w:hAnsi="仿宋" w:cs="仿宋"/>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28A26A05-0AB8-4BD9-8DC9-6A972F204A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1750</Words>
  <Characters>9978</Characters>
  <Application>Microsoft Office Word</Application>
  <DocSecurity>4</DocSecurity>
  <Lines>83</Lines>
  <Paragraphs>23</Paragraphs>
  <ScaleCrop>false</ScaleCrop>
  <Company>Microsoft</Company>
  <LinksUpToDate>false</LinksUpToDate>
  <CharactersWithSpaces>11705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ZHONGM</cp:lastModifiedBy>
  <cp:revision>2</cp:revision>
  <dcterms:created xsi:type="dcterms:W3CDTF">2018-07-17T18:07:00Z</dcterms:created>
  <dcterms:modified xsi:type="dcterms:W3CDTF">2018-07-17T18:07:00Z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