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2A" w:rsidRDefault="0064262A" w:rsidP="0064262A">
      <w:pPr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关于</w:t>
      </w:r>
      <w:r w:rsidR="00AD70D0">
        <w:rPr>
          <w:rFonts w:ascii="Times New Roman" w:hAnsi="Times New Roman" w:hint="eastAsia"/>
          <w:b/>
          <w:sz w:val="28"/>
          <w:szCs w:val="28"/>
        </w:rPr>
        <w:t>信诚永鑫一年定期开放混合型证券投资基金</w:t>
      </w: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清算期间停止办理申购、赎回、</w:t>
      </w:r>
      <w:r w:rsidR="0086048C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定投</w:t>
      </w:r>
      <w:r w:rsidR="0043760D" w:rsidRPr="004376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、</w:t>
      </w: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转换</w:t>
      </w:r>
      <w:r w:rsidR="00AD7257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、转托管</w:t>
      </w:r>
      <w:r w:rsidRPr="0064262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业务的公告</w:t>
      </w:r>
    </w:p>
    <w:p w:rsidR="00F20E7D" w:rsidRPr="008829CB" w:rsidRDefault="00AD70D0" w:rsidP="00816E4D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信诚永鑫一年定期开放混合型证券投资基金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（以下简称“本基金”）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以通讯方式召开了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基金份额持有人大会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（会议投票表决起止时间：</w:t>
      </w:r>
      <w:r w:rsidRPr="00AD70D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自</w:t>
      </w:r>
      <w:r w:rsidRPr="00AD70D0">
        <w:rPr>
          <w:rFonts w:asciiTheme="minorEastAsia" w:hAnsiTheme="minorEastAsia" w:cs="宋体"/>
          <w:color w:val="000000"/>
          <w:kern w:val="0"/>
          <w:sz w:val="24"/>
          <w:szCs w:val="24"/>
        </w:rPr>
        <w:t>201</w:t>
      </w:r>
      <w:r w:rsidRPr="00AD70D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8年5月30日起，至</w:t>
      </w:r>
      <w:r w:rsidRPr="00AD70D0">
        <w:rPr>
          <w:rFonts w:asciiTheme="minorEastAsia" w:hAnsiTheme="minorEastAsia" w:cs="宋体"/>
          <w:color w:val="000000"/>
          <w:kern w:val="0"/>
          <w:sz w:val="24"/>
          <w:szCs w:val="24"/>
        </w:rPr>
        <w:t>201</w:t>
      </w:r>
      <w:r w:rsidRPr="00AD70D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8年6月24日</w:t>
      </w:r>
      <w:r w:rsidR="005B3A7E" w:rsidRPr="005B3A7E">
        <w:rPr>
          <w:rFonts w:asciiTheme="minorEastAsia" w:hAnsiTheme="minorEastAsia" w:cs="宋体"/>
          <w:color w:val="000000"/>
          <w:kern w:val="0"/>
          <w:sz w:val="24"/>
          <w:szCs w:val="24"/>
        </w:rPr>
        <w:t>17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5B3A7E" w:rsidRPr="005B3A7E">
        <w:rPr>
          <w:rFonts w:asciiTheme="minorEastAsia" w:hAnsiTheme="minorEastAsia" w:cs="宋体"/>
          <w:color w:val="000000"/>
          <w:kern w:val="0"/>
          <w:sz w:val="24"/>
          <w:szCs w:val="24"/>
        </w:rPr>
        <w:t>00</w:t>
      </w:r>
      <w:r w:rsidR="005B3A7E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止）</w:t>
      </w:r>
      <w:r w:rsid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427258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本次基金份额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持有人大会</w:t>
      </w:r>
      <w:r w:rsidR="005B3A7E">
        <w:rPr>
          <w:rFonts w:ascii="宋体" w:eastAsia="宋体" w:hAnsi="宋体" w:cs="Times New Roman" w:hint="eastAsia"/>
          <w:kern w:val="0"/>
          <w:sz w:val="24"/>
          <w:szCs w:val="24"/>
        </w:rPr>
        <w:t>审议并</w:t>
      </w:r>
      <w:r w:rsidR="0064262A" w:rsidRPr="005B3A7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表决通过了《</w:t>
      </w:r>
      <w:r w:rsidR="008829CB" w:rsidRPr="008829C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关于终止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信诚永鑫一年定期开放混合型证券投资基金</w:t>
      </w:r>
      <w:r w:rsidR="008829CB" w:rsidRPr="008829C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基金合同有关事项的议案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》。</w:t>
      </w:r>
      <w:r w:rsidR="005C0502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基金份额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持有人大会表决结果暨决议生效公告详见刊登在201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8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="00A65BD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="00F20E7D" w:rsidRPr="008829CB">
        <w:rPr>
          <w:rFonts w:ascii="宋体" w:eastAsia="宋体" w:hAnsi="宋体" w:cs="Times New Roman" w:hint="eastAsia"/>
          <w:kern w:val="0"/>
          <w:sz w:val="24"/>
          <w:szCs w:val="24"/>
        </w:rPr>
        <w:t>日《中国证券报》、《上海证券报》、《证券时报》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和基金管理人网站 （</w:t>
      </w:r>
      <w:r w:rsidR="008829CB" w:rsidRPr="008829CB">
        <w:rPr>
          <w:rFonts w:asciiTheme="minorEastAsia" w:hAnsiTheme="minorEastAsia"/>
          <w:sz w:val="24"/>
          <w:szCs w:val="24"/>
        </w:rPr>
        <w:t>www.citicprufunds.com.cn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）上的《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中信保诚基金管理有限公司关于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信诚永鑫一年定期开放混合型证券投资基金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基金份额持有人大会表决结果暨决议生效的公告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》。</w:t>
      </w:r>
      <w:r w:rsidR="00104820" w:rsidRPr="008829CB">
        <w:rPr>
          <w:rFonts w:ascii="宋体" w:eastAsia="宋体" w:hAnsi="宋体" w:cs="Times New Roman" w:hint="eastAsia"/>
          <w:kern w:val="0"/>
          <w:sz w:val="24"/>
          <w:szCs w:val="24"/>
        </w:rPr>
        <w:t>根据</w:t>
      </w:r>
      <w:r w:rsidR="00427258" w:rsidRPr="008829CB">
        <w:rPr>
          <w:rFonts w:ascii="宋体" w:eastAsia="宋体" w:hAnsi="宋体" w:cs="Times New Roman" w:hint="eastAsia"/>
          <w:kern w:val="0"/>
          <w:sz w:val="24"/>
          <w:szCs w:val="24"/>
        </w:rPr>
        <w:t>本次</w:t>
      </w:r>
      <w:r w:rsidR="00104820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基金份额持有人大会通过的议案及方案说明，自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201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8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8829CB" w:rsidRPr="008829C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A65BDB">
        <w:rPr>
          <w:rFonts w:ascii="宋体" w:eastAsia="宋体" w:hAnsi="宋体" w:cs="Times New Roman" w:hint="eastAsia"/>
          <w:kern w:val="0"/>
          <w:sz w:val="24"/>
          <w:szCs w:val="24"/>
        </w:rPr>
        <w:t>26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日起，本基金进入</w:t>
      </w:r>
      <w:r w:rsidR="00427258" w:rsidRPr="008829CB">
        <w:rPr>
          <w:rFonts w:ascii="宋体" w:eastAsia="宋体" w:hAnsi="宋体" w:cs="Times New Roman" w:hint="eastAsia"/>
          <w:kern w:val="0"/>
          <w:sz w:val="24"/>
          <w:szCs w:val="24"/>
        </w:rPr>
        <w:t>财产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清算</w:t>
      </w:r>
      <w:r w:rsidR="00335EDE" w:rsidRPr="008829CB">
        <w:rPr>
          <w:rFonts w:ascii="宋体" w:eastAsia="宋体" w:hAnsi="宋体" w:cs="Times New Roman" w:hint="eastAsia"/>
          <w:kern w:val="0"/>
          <w:sz w:val="24"/>
          <w:szCs w:val="24"/>
        </w:rPr>
        <w:t>期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427258" w:rsidRPr="008829CB">
        <w:rPr>
          <w:rFonts w:ascii="宋体" w:eastAsia="宋体" w:hAnsi="宋体" w:cs="Times New Roman" w:hint="eastAsia"/>
          <w:kern w:val="0"/>
          <w:sz w:val="24"/>
          <w:szCs w:val="24"/>
        </w:rPr>
        <w:t>停止办理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申购、赎回、</w:t>
      </w:r>
      <w:r w:rsidR="0043760D" w:rsidRPr="0043760D">
        <w:rPr>
          <w:rFonts w:ascii="宋体" w:eastAsia="宋体" w:hAnsi="宋体" w:cs="Times New Roman" w:hint="eastAsia"/>
          <w:kern w:val="0"/>
          <w:sz w:val="24"/>
          <w:szCs w:val="24"/>
        </w:rPr>
        <w:t>定期定额投资、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转换</w:t>
      </w:r>
      <w:r w:rsidR="004E4583" w:rsidRPr="008829CB">
        <w:rPr>
          <w:rFonts w:ascii="宋体" w:eastAsia="宋体" w:hAnsi="宋体" w:cs="Times New Roman" w:hint="eastAsia"/>
          <w:kern w:val="0"/>
          <w:sz w:val="24"/>
          <w:szCs w:val="24"/>
        </w:rPr>
        <w:t>（转入和转出）</w:t>
      </w:r>
      <w:r w:rsidR="00F20E7D" w:rsidRPr="008829CB">
        <w:rPr>
          <w:rFonts w:ascii="宋体" w:eastAsia="宋体" w:hAnsi="宋体" w:cs="Times New Roman" w:hint="eastAsia"/>
          <w:kern w:val="0"/>
          <w:sz w:val="24"/>
          <w:szCs w:val="24"/>
        </w:rPr>
        <w:t>、转托管</w:t>
      </w:r>
      <w:r w:rsidR="0064262A" w:rsidRPr="008829CB">
        <w:rPr>
          <w:rFonts w:ascii="宋体" w:eastAsia="宋体" w:hAnsi="宋体" w:cs="Times New Roman" w:hint="eastAsia"/>
          <w:kern w:val="0"/>
          <w:sz w:val="24"/>
          <w:szCs w:val="24"/>
        </w:rPr>
        <w:t>等业务</w:t>
      </w:r>
      <w:bookmarkStart w:id="0" w:name="_GoBack"/>
      <w:bookmarkEnd w:id="0"/>
      <w:r w:rsidR="00CD352C" w:rsidRPr="008829CB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64262A" w:rsidRPr="008829CB" w:rsidRDefault="0064262A" w:rsidP="00F20E7D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如有疑问，请拨打客户服务热线：</w:t>
      </w:r>
      <w:r w:rsidR="00F20E7D" w:rsidRPr="008829CB">
        <w:rPr>
          <w:rFonts w:ascii="宋体" w:eastAsia="宋体" w:hAnsi="宋体" w:cs="Times New Roman" w:hint="eastAsia"/>
          <w:kern w:val="0"/>
          <w:sz w:val="24"/>
          <w:szCs w:val="24"/>
        </w:rPr>
        <w:t>400-666-0066</w:t>
      </w: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（免长话费），或登陆</w:t>
      </w:r>
      <w:r w:rsidR="002C30F8" w:rsidRPr="008829CB">
        <w:rPr>
          <w:rFonts w:ascii="宋体" w:eastAsia="宋体" w:hAnsi="宋体" w:cs="Times New Roman" w:hint="eastAsia"/>
          <w:kern w:val="0"/>
          <w:sz w:val="24"/>
          <w:szCs w:val="24"/>
        </w:rPr>
        <w:t>基金管理人</w:t>
      </w: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网站</w:t>
      </w:r>
      <w:r w:rsidR="008829CB" w:rsidRPr="008829CB">
        <w:rPr>
          <w:rFonts w:asciiTheme="minorEastAsia" w:hAnsiTheme="minorEastAsia"/>
          <w:sz w:val="24"/>
          <w:szCs w:val="24"/>
        </w:rPr>
        <w:t>www.citicprufunds.com.cn</w:t>
      </w:r>
      <w:r w:rsidRPr="008829CB">
        <w:rPr>
          <w:rFonts w:ascii="宋体" w:eastAsia="宋体" w:hAnsi="宋体" w:cs="Times New Roman" w:hint="eastAsia"/>
          <w:kern w:val="0"/>
          <w:sz w:val="24"/>
          <w:szCs w:val="24"/>
        </w:rPr>
        <w:t>获取相关信息。</w:t>
      </w:r>
    </w:p>
    <w:p w:rsidR="0064262A" w:rsidRPr="0064262A" w:rsidRDefault="0064262A" w:rsidP="00F20E7D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 xml:space="preserve"> 特此公告。 </w:t>
      </w:r>
    </w:p>
    <w:p w:rsidR="0064262A" w:rsidRPr="0064262A" w:rsidRDefault="001C7F99" w:rsidP="0064262A">
      <w:pPr>
        <w:widowControl/>
        <w:spacing w:before="100" w:beforeAutospacing="1" w:after="100" w:afterAutospacing="1" w:line="360" w:lineRule="auto"/>
        <w:ind w:firstLineChars="200" w:firstLine="48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中信保诚</w:t>
      </w:r>
      <w:r w:rsidR="0064262A" w:rsidRPr="0064262A">
        <w:rPr>
          <w:rFonts w:ascii="宋体" w:eastAsia="宋体" w:hAnsi="宋体" w:cs="Times New Roman" w:hint="eastAsia"/>
          <w:kern w:val="0"/>
          <w:sz w:val="24"/>
          <w:szCs w:val="24"/>
        </w:rPr>
        <w:t>基金管理有限公司</w:t>
      </w:r>
    </w:p>
    <w:p w:rsidR="00D5451E" w:rsidRPr="0064262A" w:rsidRDefault="0064262A" w:rsidP="0064262A">
      <w:pPr>
        <w:widowControl/>
        <w:spacing w:before="100" w:beforeAutospacing="1" w:after="100" w:afterAutospacing="1" w:line="360" w:lineRule="auto"/>
        <w:ind w:firstLineChars="200" w:firstLine="48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201</w:t>
      </w:r>
      <w:r w:rsidR="008829CB">
        <w:rPr>
          <w:rFonts w:ascii="宋体" w:eastAsia="宋体" w:hAnsi="宋体" w:cs="Times New Roman" w:hint="eastAsia"/>
          <w:kern w:val="0"/>
          <w:sz w:val="24"/>
          <w:szCs w:val="24"/>
        </w:rPr>
        <w:t>8</w:t>
      </w: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="008829CB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A65BDB">
        <w:rPr>
          <w:rFonts w:ascii="宋体" w:eastAsia="宋体" w:hAnsi="宋体" w:cs="Times New Roman" w:hint="eastAsia"/>
          <w:kern w:val="0"/>
          <w:sz w:val="24"/>
          <w:szCs w:val="24"/>
        </w:rPr>
        <w:t>26</w:t>
      </w:r>
      <w:r w:rsidRPr="0064262A"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</w:p>
    <w:sectPr w:rsidR="00D5451E" w:rsidRPr="0064262A" w:rsidSect="00A15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CB" w:rsidRDefault="008829CB" w:rsidP="008829CB">
      <w:r>
        <w:separator/>
      </w:r>
    </w:p>
  </w:endnote>
  <w:endnote w:type="continuationSeparator" w:id="1">
    <w:p w:rsidR="008829CB" w:rsidRDefault="008829CB" w:rsidP="0088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CB" w:rsidRDefault="008829CB" w:rsidP="008829CB">
      <w:r>
        <w:separator/>
      </w:r>
    </w:p>
  </w:footnote>
  <w:footnote w:type="continuationSeparator" w:id="1">
    <w:p w:rsidR="008829CB" w:rsidRDefault="008829CB" w:rsidP="00882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62A"/>
    <w:rsid w:val="00104820"/>
    <w:rsid w:val="001651B6"/>
    <w:rsid w:val="00194F08"/>
    <w:rsid w:val="001C7F99"/>
    <w:rsid w:val="002C30F8"/>
    <w:rsid w:val="00335EDE"/>
    <w:rsid w:val="00346123"/>
    <w:rsid w:val="00427258"/>
    <w:rsid w:val="0043760D"/>
    <w:rsid w:val="004870F2"/>
    <w:rsid w:val="004E4583"/>
    <w:rsid w:val="005B3A7E"/>
    <w:rsid w:val="005C0502"/>
    <w:rsid w:val="006158F5"/>
    <w:rsid w:val="0064262A"/>
    <w:rsid w:val="00711B1B"/>
    <w:rsid w:val="00816E4D"/>
    <w:rsid w:val="00851199"/>
    <w:rsid w:val="0086048C"/>
    <w:rsid w:val="008829CB"/>
    <w:rsid w:val="008A015A"/>
    <w:rsid w:val="009F3815"/>
    <w:rsid w:val="00A1591A"/>
    <w:rsid w:val="00A65BDB"/>
    <w:rsid w:val="00AD70D0"/>
    <w:rsid w:val="00AD7257"/>
    <w:rsid w:val="00CC47B0"/>
    <w:rsid w:val="00CD352C"/>
    <w:rsid w:val="00D5451E"/>
    <w:rsid w:val="00D64FDF"/>
    <w:rsid w:val="00ED479E"/>
    <w:rsid w:val="00F20E7D"/>
    <w:rsid w:val="00F3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20E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E7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29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2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29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20E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0E7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29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2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29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Company>Lenovo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龚岚</dc:creator>
  <cp:lastModifiedBy>ZHONGM</cp:lastModifiedBy>
  <cp:revision>2</cp:revision>
  <dcterms:created xsi:type="dcterms:W3CDTF">2018-06-25T16:35:00Z</dcterms:created>
  <dcterms:modified xsi:type="dcterms:W3CDTF">2018-06-25T16:35:00Z</dcterms:modified>
</cp:coreProperties>
</file>