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8C" w:rsidRPr="00DD205B" w:rsidRDefault="00007006">
      <w:pPr>
        <w:widowControl/>
        <w:shd w:val="clear" w:color="auto" w:fill="FFFFFF"/>
        <w:spacing w:after="150"/>
        <w:jc w:val="center"/>
        <w:textAlignment w:val="baseline"/>
        <w:outlineLvl w:val="1"/>
        <w:rPr>
          <w:rFonts w:asciiTheme="minorEastAsia" w:hAnsiTheme="minorEastAsia" w:cs="宋体"/>
          <w:b/>
          <w:kern w:val="0"/>
          <w:sz w:val="32"/>
          <w:szCs w:val="32"/>
        </w:rPr>
      </w:pPr>
      <w:r w:rsidRPr="00DD205B">
        <w:rPr>
          <w:rFonts w:asciiTheme="minorEastAsia" w:hAnsiTheme="minorEastAsia" w:cs="宋体" w:hint="eastAsia"/>
          <w:b/>
          <w:kern w:val="0"/>
          <w:sz w:val="32"/>
          <w:szCs w:val="32"/>
        </w:rPr>
        <w:t>关于</w:t>
      </w:r>
      <w:r w:rsidR="00093F8C" w:rsidRPr="00DD205B">
        <w:rPr>
          <w:rFonts w:asciiTheme="minorEastAsia" w:hAnsiTheme="minorEastAsia" w:cs="宋体" w:hint="eastAsia"/>
          <w:b/>
          <w:kern w:val="0"/>
          <w:sz w:val="32"/>
          <w:szCs w:val="32"/>
        </w:rPr>
        <w:t>泰达宏利</w:t>
      </w:r>
      <w:r w:rsidR="004F7915">
        <w:rPr>
          <w:rFonts w:asciiTheme="minorEastAsia" w:hAnsiTheme="minorEastAsia" w:cs="宋体" w:hint="eastAsia"/>
          <w:b/>
          <w:kern w:val="0"/>
          <w:sz w:val="32"/>
          <w:szCs w:val="32"/>
        </w:rPr>
        <w:t>启泽</w:t>
      </w:r>
      <w:r w:rsidR="002F5D19">
        <w:rPr>
          <w:rFonts w:asciiTheme="minorEastAsia" w:hAnsiTheme="minorEastAsia" w:cs="宋体" w:hint="eastAsia"/>
          <w:b/>
          <w:kern w:val="0"/>
          <w:sz w:val="32"/>
          <w:szCs w:val="32"/>
        </w:rPr>
        <w:t>灵活配置混合型</w:t>
      </w:r>
      <w:r w:rsidRPr="00DD205B">
        <w:rPr>
          <w:rFonts w:asciiTheme="minorEastAsia" w:hAnsiTheme="minorEastAsia" w:cs="宋体" w:hint="eastAsia"/>
          <w:b/>
          <w:kern w:val="0"/>
          <w:sz w:val="32"/>
          <w:szCs w:val="32"/>
        </w:rPr>
        <w:t>证券投资基金</w:t>
      </w:r>
    </w:p>
    <w:p w:rsidR="00553082" w:rsidRPr="00DD205B" w:rsidRDefault="00007006" w:rsidP="000405B9">
      <w:pPr>
        <w:widowControl/>
        <w:shd w:val="clear" w:color="auto" w:fill="FFFFFF"/>
        <w:spacing w:after="360"/>
        <w:jc w:val="center"/>
        <w:textAlignment w:val="baseline"/>
        <w:outlineLvl w:val="1"/>
        <w:rPr>
          <w:rFonts w:asciiTheme="minorEastAsia" w:hAnsiTheme="minorEastAsia" w:cs="宋体"/>
          <w:b/>
          <w:kern w:val="0"/>
          <w:sz w:val="32"/>
          <w:szCs w:val="32"/>
        </w:rPr>
      </w:pPr>
      <w:r w:rsidRPr="00DD205B">
        <w:rPr>
          <w:rFonts w:asciiTheme="minorEastAsia" w:hAnsiTheme="minorEastAsia" w:cs="宋体" w:hint="eastAsia"/>
          <w:b/>
          <w:kern w:val="0"/>
          <w:sz w:val="32"/>
          <w:szCs w:val="32"/>
        </w:rPr>
        <w:t>基金合同终止及财产清算的公告</w:t>
      </w:r>
    </w:p>
    <w:p w:rsidR="00EF717A" w:rsidRDefault="00007006">
      <w:pPr>
        <w:pStyle w:val="Default"/>
        <w:spacing w:line="360" w:lineRule="auto"/>
        <w:ind w:firstLineChars="200" w:firstLine="480"/>
        <w:rPr>
          <w:rFonts w:asciiTheme="minorEastAsia" w:hAnsiTheme="minorEastAsia" w:cs="Times New Roman"/>
        </w:rPr>
      </w:pPr>
      <w:r w:rsidRPr="00DD205B">
        <w:rPr>
          <w:rFonts w:asciiTheme="minorEastAsia" w:hAnsiTheme="minorEastAsia" w:cs="Times New Roman" w:hint="eastAsia"/>
        </w:rPr>
        <w:t>根据《中华人民共和国证券投资基</w:t>
      </w:r>
      <w:bookmarkStart w:id="0" w:name="_GoBack"/>
      <w:bookmarkEnd w:id="0"/>
      <w:r w:rsidRPr="00DD205B">
        <w:rPr>
          <w:rFonts w:asciiTheme="minorEastAsia" w:hAnsiTheme="minorEastAsia" w:cs="Times New Roman" w:hint="eastAsia"/>
        </w:rPr>
        <w:t>金法》、《公开募集证券投资基金运作管理办法》、</w:t>
      </w:r>
      <w:r w:rsidR="00093F8C" w:rsidRPr="00DD205B">
        <w:rPr>
          <w:rFonts w:asciiTheme="minorEastAsia" w:hAnsiTheme="minorEastAsia" w:cs="Times New Roman" w:hint="eastAsia"/>
        </w:rPr>
        <w:t>《泰达宏利</w:t>
      </w:r>
      <w:r w:rsidR="004F7915">
        <w:rPr>
          <w:rFonts w:asciiTheme="minorEastAsia" w:hAnsiTheme="minorEastAsia" w:cs="Times New Roman" w:hint="eastAsia"/>
        </w:rPr>
        <w:t>启泽</w:t>
      </w:r>
      <w:r w:rsidR="002F5D19">
        <w:rPr>
          <w:rFonts w:asciiTheme="minorEastAsia" w:hAnsiTheme="minorEastAsia" w:cs="Times New Roman" w:hint="eastAsia"/>
        </w:rPr>
        <w:t>灵活配置混合型</w:t>
      </w:r>
      <w:r w:rsidR="00093F8C" w:rsidRPr="00DD205B">
        <w:rPr>
          <w:rFonts w:asciiTheme="minorEastAsia" w:hAnsiTheme="minorEastAsia" w:cs="Times New Roman" w:hint="eastAsia"/>
        </w:rPr>
        <w:t>证券投资基金基金合同》</w:t>
      </w:r>
      <w:r w:rsidRPr="00DD205B">
        <w:rPr>
          <w:rFonts w:asciiTheme="minorEastAsia" w:hAnsiTheme="minorEastAsia" w:cs="Times New Roman" w:hint="eastAsia"/>
        </w:rPr>
        <w:t>（以下简称“《基金合同》”）的有关规定，</w:t>
      </w:r>
      <w:r w:rsidR="00093F8C" w:rsidRPr="00DD205B">
        <w:rPr>
          <w:rFonts w:asciiTheme="minorEastAsia" w:hAnsiTheme="minorEastAsia" w:cs="Times New Roman" w:hint="eastAsia"/>
        </w:rPr>
        <w:t>泰达宏利</w:t>
      </w:r>
      <w:r w:rsidR="004F7915">
        <w:rPr>
          <w:rFonts w:asciiTheme="minorEastAsia" w:hAnsiTheme="minorEastAsia" w:cs="Times New Roman" w:hint="eastAsia"/>
        </w:rPr>
        <w:t>启泽</w:t>
      </w:r>
      <w:r w:rsidR="002F5D19">
        <w:rPr>
          <w:rFonts w:asciiTheme="minorEastAsia" w:hAnsiTheme="minorEastAsia" w:cs="Times New Roman" w:hint="eastAsia"/>
        </w:rPr>
        <w:t>灵活配置混合型</w:t>
      </w:r>
      <w:r w:rsidRPr="00DD205B">
        <w:rPr>
          <w:rFonts w:asciiTheme="minorEastAsia" w:hAnsiTheme="minorEastAsia" w:cs="Times New Roman" w:hint="eastAsia"/>
        </w:rPr>
        <w:t>证券投资基金（以下简称“本基金”）</w:t>
      </w:r>
      <w:r w:rsidR="008B45AC" w:rsidRPr="00DD205B">
        <w:rPr>
          <w:rFonts w:asciiTheme="minorEastAsia" w:hAnsiTheme="minorEastAsia" w:cs="Times New Roman" w:hint="eastAsia"/>
        </w:rPr>
        <w:t>出现</w:t>
      </w:r>
      <w:r w:rsidR="008C545B">
        <w:rPr>
          <w:rFonts w:asciiTheme="minorEastAsia" w:hAnsiTheme="minorEastAsia" w:cs="Times New Roman" w:hint="eastAsia"/>
        </w:rPr>
        <w:t>了</w:t>
      </w:r>
      <w:r w:rsidR="008C545B">
        <w:rPr>
          <w:rFonts w:hAnsi="宋体" w:cs="Times New Roman" w:hint="eastAsia"/>
          <w:szCs w:val="21"/>
        </w:rPr>
        <w:t>基金合同终止事由，</w:t>
      </w:r>
      <w:r w:rsidR="00093F8C" w:rsidRPr="006C3BF1">
        <w:rPr>
          <w:rFonts w:asciiTheme="minorEastAsia" w:hAnsiTheme="minorEastAsia" w:cs="Times New Roman" w:hint="eastAsia"/>
        </w:rPr>
        <w:t>泰达宏利</w:t>
      </w:r>
      <w:r w:rsidRPr="006C3BF1">
        <w:rPr>
          <w:rFonts w:asciiTheme="minorEastAsia" w:hAnsiTheme="minorEastAsia" w:cs="Times New Roman" w:hint="eastAsia"/>
        </w:rPr>
        <w:t>基金管理有限公司（以下简称“本基金管理人”）应当在上述事由出现后终止基金合同并依法履行基金财产清算程序，</w:t>
      </w:r>
      <w:r w:rsidRPr="00DD205B">
        <w:rPr>
          <w:rFonts w:asciiTheme="minorEastAsia" w:hAnsiTheme="minorEastAsia" w:cs="Times New Roman" w:hint="eastAsia"/>
        </w:rPr>
        <w:t>此事项不需召开基金份额持有人大会。本基金的最后运作日定为</w:t>
      </w:r>
      <w:r w:rsidR="00093F8C" w:rsidRPr="00DD205B">
        <w:rPr>
          <w:rFonts w:asciiTheme="minorEastAsia" w:hAnsiTheme="minorEastAsia" w:cs="Times New Roman" w:hint="eastAsia"/>
        </w:rPr>
        <w:t>201</w:t>
      </w:r>
      <w:r w:rsidR="002F5D19">
        <w:rPr>
          <w:rFonts w:asciiTheme="minorEastAsia" w:hAnsiTheme="minorEastAsia" w:cs="Times New Roman"/>
        </w:rPr>
        <w:t>8</w:t>
      </w:r>
      <w:r w:rsidRPr="00DD205B">
        <w:rPr>
          <w:rFonts w:asciiTheme="minorEastAsia" w:hAnsiTheme="minorEastAsia" w:cs="Times New Roman" w:hint="eastAsia"/>
        </w:rPr>
        <w:t>年</w:t>
      </w:r>
      <w:r w:rsidR="002F5D19">
        <w:rPr>
          <w:rFonts w:asciiTheme="minorEastAsia" w:hAnsiTheme="minorEastAsia" w:cs="Times New Roman"/>
        </w:rPr>
        <w:t>6</w:t>
      </w:r>
      <w:r w:rsidR="00885926" w:rsidRPr="00DD205B">
        <w:rPr>
          <w:rFonts w:asciiTheme="minorEastAsia" w:hAnsiTheme="minorEastAsia" w:cs="Times New Roman" w:hint="eastAsia"/>
        </w:rPr>
        <w:t>月</w:t>
      </w:r>
      <w:r w:rsidR="004F7915">
        <w:rPr>
          <w:rFonts w:asciiTheme="minorEastAsia" w:hAnsiTheme="minorEastAsia" w:cs="Times New Roman"/>
        </w:rPr>
        <w:t>25</w:t>
      </w:r>
      <w:r w:rsidR="00885926" w:rsidRPr="00DD205B">
        <w:rPr>
          <w:rFonts w:asciiTheme="minorEastAsia" w:hAnsiTheme="minorEastAsia" w:cs="Times New Roman" w:hint="eastAsia"/>
        </w:rPr>
        <w:t>日</w:t>
      </w:r>
      <w:r w:rsidRPr="00DD205B">
        <w:rPr>
          <w:rFonts w:asciiTheme="minorEastAsia" w:hAnsiTheme="minorEastAsia" w:cs="Times New Roman" w:hint="eastAsia"/>
        </w:rPr>
        <w:t>，并于</w:t>
      </w:r>
      <w:r w:rsidR="00093F8C" w:rsidRPr="00DD205B">
        <w:rPr>
          <w:rFonts w:asciiTheme="minorEastAsia" w:hAnsiTheme="minorEastAsia" w:cs="Times New Roman" w:hint="eastAsia"/>
        </w:rPr>
        <w:t>201</w:t>
      </w:r>
      <w:r w:rsidR="002F5D19">
        <w:rPr>
          <w:rFonts w:asciiTheme="minorEastAsia" w:hAnsiTheme="minorEastAsia" w:cs="Times New Roman"/>
        </w:rPr>
        <w:t>8</w:t>
      </w:r>
      <w:r w:rsidRPr="00DD205B">
        <w:rPr>
          <w:rFonts w:asciiTheme="minorEastAsia" w:hAnsiTheme="minorEastAsia" w:cs="Times New Roman" w:hint="eastAsia"/>
        </w:rPr>
        <w:t>年</w:t>
      </w:r>
      <w:r w:rsidR="002F5D19">
        <w:rPr>
          <w:rFonts w:asciiTheme="minorEastAsia" w:hAnsiTheme="minorEastAsia" w:cs="Times New Roman"/>
        </w:rPr>
        <w:t>6</w:t>
      </w:r>
      <w:r w:rsidR="00885926" w:rsidRPr="00DD205B">
        <w:rPr>
          <w:rFonts w:asciiTheme="minorEastAsia" w:hAnsiTheme="minorEastAsia" w:cs="Times New Roman" w:hint="eastAsia"/>
        </w:rPr>
        <w:t>月</w:t>
      </w:r>
      <w:r w:rsidR="004F7915">
        <w:rPr>
          <w:rFonts w:asciiTheme="minorEastAsia" w:hAnsiTheme="minorEastAsia" w:cs="Times New Roman"/>
        </w:rPr>
        <w:t>26</w:t>
      </w:r>
      <w:r w:rsidR="00885926" w:rsidRPr="00DD205B">
        <w:rPr>
          <w:rFonts w:asciiTheme="minorEastAsia" w:hAnsiTheme="minorEastAsia" w:cs="Times New Roman" w:hint="eastAsia"/>
        </w:rPr>
        <w:t>日</w:t>
      </w:r>
      <w:r w:rsidRPr="00DD205B">
        <w:rPr>
          <w:rFonts w:asciiTheme="minorEastAsia" w:hAnsiTheme="minorEastAsia" w:cs="Times New Roman" w:hint="eastAsia"/>
        </w:rPr>
        <w:t>进入</w:t>
      </w:r>
      <w:r w:rsidR="00CA3939" w:rsidRPr="00DD205B">
        <w:rPr>
          <w:rFonts w:asciiTheme="minorEastAsia" w:hAnsiTheme="minorEastAsia" w:cs="Times New Roman" w:hint="eastAsia"/>
        </w:rPr>
        <w:t>清算</w:t>
      </w:r>
      <w:r w:rsidRPr="00DD205B">
        <w:rPr>
          <w:rFonts w:asciiTheme="minorEastAsia" w:hAnsiTheme="minorEastAsia" w:cs="Times New Roman" w:hint="eastAsia"/>
        </w:rPr>
        <w:t>程序。</w:t>
      </w:r>
    </w:p>
    <w:p w:rsidR="00553082" w:rsidRPr="00DD205B" w:rsidRDefault="00007006" w:rsidP="006A105E">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现将相关事宜公告如下：</w:t>
      </w:r>
    </w:p>
    <w:p w:rsidR="00553082" w:rsidRPr="00DD205B" w:rsidRDefault="00007006" w:rsidP="00C93AD2">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一、本基金基本信息</w:t>
      </w:r>
    </w:p>
    <w:p w:rsidR="002F5D19"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基金名称：</w:t>
      </w:r>
      <w:r w:rsidR="00093F8C" w:rsidRPr="00DD205B">
        <w:rPr>
          <w:rFonts w:asciiTheme="minorEastAsia" w:hAnsiTheme="minorEastAsia" w:cs="Times New Roman" w:hint="eastAsia"/>
          <w:sz w:val="24"/>
          <w:szCs w:val="24"/>
        </w:rPr>
        <w:t>泰达宏利</w:t>
      </w:r>
      <w:r w:rsidR="004F7915">
        <w:rPr>
          <w:rFonts w:asciiTheme="minorEastAsia" w:hAnsiTheme="minorEastAsia" w:cs="Times New Roman" w:hint="eastAsia"/>
          <w:sz w:val="24"/>
          <w:szCs w:val="24"/>
        </w:rPr>
        <w:t>启泽</w:t>
      </w:r>
      <w:r w:rsidR="002F5D19">
        <w:rPr>
          <w:rFonts w:asciiTheme="minorEastAsia" w:hAnsiTheme="minorEastAsia" w:cs="Times New Roman" w:hint="eastAsia"/>
          <w:sz w:val="24"/>
          <w:szCs w:val="24"/>
        </w:rPr>
        <w:t>灵活配置混合型</w:t>
      </w:r>
      <w:r w:rsidRPr="00DD205B">
        <w:rPr>
          <w:rFonts w:asciiTheme="minorEastAsia" w:hAnsiTheme="minorEastAsia" w:cs="Times New Roman" w:hint="eastAsia"/>
          <w:sz w:val="24"/>
          <w:szCs w:val="24"/>
        </w:rPr>
        <w:t>证券投资基金</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基金代码：</w:t>
      </w:r>
      <w:r w:rsidR="008B45AC" w:rsidRPr="00DD205B">
        <w:rPr>
          <w:rFonts w:asciiTheme="minorEastAsia" w:hAnsiTheme="minorEastAsia" w:cs="Times New Roman" w:hint="eastAsia"/>
          <w:sz w:val="24"/>
          <w:szCs w:val="24"/>
        </w:rPr>
        <w:t>A类</w:t>
      </w:r>
      <w:r w:rsidR="00093F8C" w:rsidRPr="00DD205B">
        <w:rPr>
          <w:rFonts w:asciiTheme="minorEastAsia" w:hAnsiTheme="minorEastAsia" w:cs="Times New Roman"/>
          <w:sz w:val="24"/>
          <w:szCs w:val="24"/>
        </w:rPr>
        <w:t>00</w:t>
      </w:r>
      <w:r w:rsidR="00684B01">
        <w:rPr>
          <w:rFonts w:asciiTheme="minorEastAsia" w:hAnsiTheme="minorEastAsia" w:cs="Times New Roman"/>
          <w:sz w:val="24"/>
          <w:szCs w:val="24"/>
        </w:rPr>
        <w:t>3</w:t>
      </w:r>
      <w:r w:rsidR="004F7915">
        <w:rPr>
          <w:rFonts w:asciiTheme="minorEastAsia" w:hAnsiTheme="minorEastAsia" w:cs="Times New Roman"/>
          <w:sz w:val="24"/>
          <w:szCs w:val="24"/>
        </w:rPr>
        <w:t>916</w:t>
      </w:r>
      <w:r w:rsidR="00093F8C" w:rsidRPr="00DD205B">
        <w:rPr>
          <w:rFonts w:asciiTheme="minorEastAsia" w:hAnsiTheme="minorEastAsia" w:hint="eastAsia"/>
          <w:sz w:val="24"/>
          <w:szCs w:val="24"/>
        </w:rPr>
        <w:t>/</w:t>
      </w:r>
      <w:r w:rsidR="002F5D19">
        <w:rPr>
          <w:rFonts w:asciiTheme="minorEastAsia" w:hAnsiTheme="minorEastAsia"/>
          <w:sz w:val="24"/>
          <w:szCs w:val="24"/>
        </w:rPr>
        <w:t>C</w:t>
      </w:r>
      <w:r w:rsidR="008B45AC" w:rsidRPr="00DD205B">
        <w:rPr>
          <w:rFonts w:asciiTheme="minorEastAsia" w:hAnsiTheme="minorEastAsia" w:hint="eastAsia"/>
          <w:sz w:val="24"/>
          <w:szCs w:val="24"/>
        </w:rPr>
        <w:t>类</w:t>
      </w:r>
      <w:r w:rsidR="00093F8C" w:rsidRPr="00DD205B">
        <w:rPr>
          <w:rFonts w:asciiTheme="minorEastAsia" w:hAnsiTheme="minorEastAsia" w:cs="Times New Roman"/>
          <w:sz w:val="24"/>
          <w:szCs w:val="24"/>
        </w:rPr>
        <w:t>00</w:t>
      </w:r>
      <w:r w:rsidR="004F7915">
        <w:rPr>
          <w:rFonts w:asciiTheme="minorEastAsia" w:hAnsiTheme="minorEastAsia" w:cs="Times New Roman"/>
          <w:sz w:val="24"/>
          <w:szCs w:val="24"/>
        </w:rPr>
        <w:t>3917</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基金运作方式：契约型</w:t>
      </w:r>
      <w:r w:rsidR="00093F8C" w:rsidRPr="00DD205B">
        <w:rPr>
          <w:rFonts w:asciiTheme="minorEastAsia" w:hAnsiTheme="minorEastAsia" w:cs="Times New Roman" w:hint="eastAsia"/>
          <w:sz w:val="24"/>
          <w:szCs w:val="24"/>
        </w:rPr>
        <w:t>、</w:t>
      </w:r>
      <w:r w:rsidRPr="00DD205B">
        <w:rPr>
          <w:rFonts w:asciiTheme="minorEastAsia" w:hAnsiTheme="minorEastAsia" w:cs="Times New Roman" w:hint="eastAsia"/>
          <w:sz w:val="24"/>
          <w:szCs w:val="24"/>
        </w:rPr>
        <w:t>开放式</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基金合同生效日：</w:t>
      </w:r>
      <w:r w:rsidR="00093F8C" w:rsidRPr="00DD205B">
        <w:rPr>
          <w:rFonts w:asciiTheme="minorEastAsia" w:hAnsiTheme="minorEastAsia" w:cs="Times New Roman"/>
          <w:sz w:val="24"/>
          <w:szCs w:val="24"/>
        </w:rPr>
        <w:t>201</w:t>
      </w:r>
      <w:r w:rsidR="002F5D19">
        <w:rPr>
          <w:rFonts w:asciiTheme="minorEastAsia" w:hAnsiTheme="minorEastAsia" w:cs="Times New Roman"/>
          <w:sz w:val="24"/>
          <w:szCs w:val="24"/>
        </w:rPr>
        <w:t>7</w:t>
      </w:r>
      <w:r w:rsidRPr="00DD205B">
        <w:rPr>
          <w:rFonts w:asciiTheme="minorEastAsia" w:hAnsiTheme="minorEastAsia" w:cs="Times New Roman" w:hint="eastAsia"/>
          <w:sz w:val="24"/>
          <w:szCs w:val="24"/>
        </w:rPr>
        <w:t>年</w:t>
      </w:r>
      <w:r w:rsidR="002F5D19">
        <w:rPr>
          <w:rFonts w:asciiTheme="minorEastAsia" w:hAnsiTheme="minorEastAsia" w:cs="Times New Roman"/>
          <w:sz w:val="24"/>
          <w:szCs w:val="24"/>
        </w:rPr>
        <w:t>3</w:t>
      </w:r>
      <w:r w:rsidRPr="00DD205B">
        <w:rPr>
          <w:rFonts w:asciiTheme="minorEastAsia" w:hAnsiTheme="minorEastAsia" w:cs="Times New Roman" w:hint="eastAsia"/>
          <w:sz w:val="24"/>
          <w:szCs w:val="24"/>
        </w:rPr>
        <w:t>月</w:t>
      </w:r>
      <w:r w:rsidR="002F5D19">
        <w:rPr>
          <w:rFonts w:asciiTheme="minorEastAsia" w:hAnsiTheme="minorEastAsia" w:cs="Times New Roman"/>
          <w:sz w:val="24"/>
          <w:szCs w:val="24"/>
        </w:rPr>
        <w:t>1</w:t>
      </w:r>
      <w:r w:rsidRPr="00DD205B">
        <w:rPr>
          <w:rFonts w:asciiTheme="minorEastAsia" w:hAnsiTheme="minorEastAsia" w:cs="Times New Roman" w:hint="eastAsia"/>
          <w:sz w:val="24"/>
          <w:szCs w:val="24"/>
        </w:rPr>
        <w:t>日</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基金管理人名称：</w:t>
      </w:r>
      <w:r w:rsidR="00093F8C" w:rsidRPr="00DD205B">
        <w:rPr>
          <w:rFonts w:asciiTheme="minorEastAsia" w:hAnsiTheme="minorEastAsia" w:cs="Times New Roman" w:hint="eastAsia"/>
          <w:sz w:val="24"/>
          <w:szCs w:val="24"/>
        </w:rPr>
        <w:t>泰达宏利</w:t>
      </w:r>
      <w:r w:rsidRPr="00DD205B">
        <w:rPr>
          <w:rFonts w:asciiTheme="minorEastAsia" w:hAnsiTheme="minorEastAsia" w:cs="Times New Roman" w:hint="eastAsia"/>
          <w:sz w:val="24"/>
          <w:szCs w:val="24"/>
        </w:rPr>
        <w:t>基金管理有限公司</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基金托管人名称：</w:t>
      </w:r>
      <w:r w:rsidR="002F5D19">
        <w:rPr>
          <w:rFonts w:asciiTheme="minorEastAsia" w:hAnsiTheme="minorEastAsia" w:cs="Times New Roman" w:hint="eastAsia"/>
          <w:sz w:val="24"/>
          <w:szCs w:val="24"/>
        </w:rPr>
        <w:t>北京</w:t>
      </w:r>
      <w:r w:rsidRPr="00DD205B">
        <w:rPr>
          <w:rFonts w:asciiTheme="minorEastAsia" w:hAnsiTheme="minorEastAsia" w:cs="Times New Roman" w:hint="eastAsia"/>
          <w:sz w:val="24"/>
          <w:szCs w:val="24"/>
        </w:rPr>
        <w:t>银行股份有限公司</w:t>
      </w:r>
    </w:p>
    <w:p w:rsidR="002F5D19" w:rsidRDefault="00007006" w:rsidP="00DD205B">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公告依据：《中华人民共和国证券投资基金法》、《公开募集证券投资基金运作管理办法》、《证券投资基金信息披露管理办法》、</w:t>
      </w:r>
      <w:r w:rsidR="00093F8C" w:rsidRPr="00DD205B">
        <w:rPr>
          <w:rFonts w:asciiTheme="minorEastAsia" w:hAnsiTheme="minorEastAsia" w:cs="Times New Roman" w:hint="eastAsia"/>
          <w:sz w:val="24"/>
          <w:szCs w:val="24"/>
        </w:rPr>
        <w:t>《泰达宏利</w:t>
      </w:r>
      <w:r w:rsidR="004F7915">
        <w:rPr>
          <w:rFonts w:asciiTheme="minorEastAsia" w:hAnsiTheme="minorEastAsia" w:cs="Times New Roman" w:hint="eastAsia"/>
          <w:sz w:val="24"/>
          <w:szCs w:val="24"/>
        </w:rPr>
        <w:t>启泽</w:t>
      </w:r>
      <w:r w:rsidR="002F5D19">
        <w:rPr>
          <w:rFonts w:asciiTheme="minorEastAsia" w:hAnsiTheme="minorEastAsia" w:cs="Times New Roman" w:hint="eastAsia"/>
          <w:sz w:val="24"/>
          <w:szCs w:val="24"/>
        </w:rPr>
        <w:t>灵活配置混合型</w:t>
      </w:r>
      <w:r w:rsidR="00093F8C" w:rsidRPr="00DD205B">
        <w:rPr>
          <w:rFonts w:asciiTheme="minorEastAsia" w:hAnsiTheme="minorEastAsia" w:cs="Times New Roman" w:hint="eastAsia"/>
          <w:sz w:val="24"/>
          <w:szCs w:val="24"/>
        </w:rPr>
        <w:t>证券投资基金基金合同》</w:t>
      </w:r>
      <w:r w:rsidRPr="00DD205B">
        <w:rPr>
          <w:rFonts w:asciiTheme="minorEastAsia" w:hAnsiTheme="minorEastAsia" w:cs="Times New Roman" w:hint="eastAsia"/>
          <w:sz w:val="24"/>
          <w:szCs w:val="24"/>
        </w:rPr>
        <w:t>、</w:t>
      </w:r>
      <w:r w:rsidR="00093F8C" w:rsidRPr="00DD205B">
        <w:rPr>
          <w:rFonts w:asciiTheme="minorEastAsia" w:hAnsiTheme="minorEastAsia" w:cs="Times New Roman" w:hint="eastAsia"/>
          <w:sz w:val="24"/>
          <w:szCs w:val="24"/>
        </w:rPr>
        <w:t>《泰达宏利</w:t>
      </w:r>
      <w:r w:rsidR="004F7915">
        <w:rPr>
          <w:rFonts w:asciiTheme="minorEastAsia" w:hAnsiTheme="minorEastAsia" w:cs="Times New Roman" w:hint="eastAsia"/>
          <w:sz w:val="24"/>
          <w:szCs w:val="24"/>
        </w:rPr>
        <w:t>启泽</w:t>
      </w:r>
      <w:r w:rsidR="002F5D19">
        <w:rPr>
          <w:rFonts w:asciiTheme="minorEastAsia" w:hAnsiTheme="minorEastAsia" w:cs="Times New Roman" w:hint="eastAsia"/>
          <w:sz w:val="24"/>
          <w:szCs w:val="24"/>
        </w:rPr>
        <w:t>灵活配置混合型</w:t>
      </w:r>
      <w:r w:rsidR="00093F8C" w:rsidRPr="00DD205B">
        <w:rPr>
          <w:rFonts w:asciiTheme="minorEastAsia" w:hAnsiTheme="minorEastAsia" w:cs="Times New Roman" w:hint="eastAsia"/>
          <w:sz w:val="24"/>
          <w:szCs w:val="24"/>
        </w:rPr>
        <w:t>证券投资基金招募说明书》</w:t>
      </w:r>
      <w:r w:rsidRPr="00DD205B">
        <w:rPr>
          <w:rFonts w:asciiTheme="minorEastAsia" w:hAnsiTheme="minorEastAsia" w:cs="Times New Roman" w:hint="eastAsia"/>
          <w:sz w:val="24"/>
          <w:szCs w:val="24"/>
        </w:rPr>
        <w:t>。</w:t>
      </w:r>
    </w:p>
    <w:p w:rsidR="00553082" w:rsidRPr="00DD205B" w:rsidRDefault="00007006" w:rsidP="00DD205B">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二、基金合同终止事由</w:t>
      </w:r>
    </w:p>
    <w:p w:rsidR="00553082" w:rsidRPr="00DD205B" w:rsidRDefault="00007006" w:rsidP="008B45A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本基金《基金合同》</w:t>
      </w:r>
      <w:r w:rsidR="00093F8C" w:rsidRPr="00DD205B">
        <w:rPr>
          <w:rFonts w:asciiTheme="minorEastAsia" w:hAnsiTheme="minorEastAsia" w:cs="Times New Roman" w:hint="eastAsia"/>
          <w:sz w:val="24"/>
          <w:szCs w:val="24"/>
        </w:rPr>
        <w:t>第</w:t>
      </w:r>
      <w:r w:rsidR="00AA77A5" w:rsidRPr="00DD205B">
        <w:rPr>
          <w:rFonts w:asciiTheme="minorEastAsia" w:hAnsiTheme="minorEastAsia" w:cs="Times New Roman" w:hint="eastAsia"/>
          <w:sz w:val="24"/>
          <w:szCs w:val="24"/>
        </w:rPr>
        <w:t>五</w:t>
      </w:r>
      <w:r w:rsidRPr="00DD205B">
        <w:rPr>
          <w:rFonts w:asciiTheme="minorEastAsia" w:hAnsiTheme="minorEastAsia" w:cs="Times New Roman" w:hint="eastAsia"/>
          <w:sz w:val="24"/>
          <w:szCs w:val="24"/>
        </w:rPr>
        <w:t>部分</w:t>
      </w:r>
      <w:r w:rsidR="00CF49D5" w:rsidRPr="00DD205B">
        <w:rPr>
          <w:rFonts w:asciiTheme="minorEastAsia" w:hAnsiTheme="minorEastAsia" w:cs="Times New Roman" w:hint="eastAsia"/>
          <w:sz w:val="24"/>
          <w:szCs w:val="24"/>
        </w:rPr>
        <w:t>“</w:t>
      </w:r>
      <w:r w:rsidRPr="00DD205B">
        <w:rPr>
          <w:rFonts w:asciiTheme="minorEastAsia" w:hAnsiTheme="minorEastAsia" w:cs="Times New Roman" w:hint="eastAsia"/>
          <w:sz w:val="24"/>
          <w:szCs w:val="24"/>
        </w:rPr>
        <w:t>基金</w:t>
      </w:r>
      <w:r w:rsidR="002F5D19">
        <w:rPr>
          <w:rFonts w:asciiTheme="minorEastAsia" w:hAnsiTheme="minorEastAsia" w:cs="Times New Roman" w:hint="eastAsia"/>
          <w:sz w:val="24"/>
          <w:szCs w:val="24"/>
        </w:rPr>
        <w:t>备案</w:t>
      </w:r>
      <w:r w:rsidRPr="00DD205B">
        <w:rPr>
          <w:rFonts w:asciiTheme="minorEastAsia" w:hAnsiTheme="minorEastAsia" w:cs="Times New Roman" w:hint="eastAsia"/>
          <w:sz w:val="24"/>
          <w:szCs w:val="24"/>
        </w:rPr>
        <w:t>”</w:t>
      </w:r>
      <w:r w:rsidR="00CF49D5" w:rsidRPr="00DD205B">
        <w:rPr>
          <w:rFonts w:asciiTheme="minorEastAsia" w:hAnsiTheme="minorEastAsia" w:cs="Times New Roman" w:hint="eastAsia"/>
          <w:sz w:val="24"/>
          <w:szCs w:val="24"/>
        </w:rPr>
        <w:t>、第十九部分“基金合同的变更、终止与基金财产的清算”</w:t>
      </w:r>
      <w:r w:rsidR="009E7725" w:rsidRPr="00DD205B">
        <w:rPr>
          <w:rFonts w:asciiTheme="minorEastAsia" w:hAnsiTheme="minorEastAsia" w:cs="Times New Roman" w:hint="eastAsia"/>
          <w:sz w:val="24"/>
          <w:szCs w:val="24"/>
        </w:rPr>
        <w:t>中约</w:t>
      </w:r>
      <w:r w:rsidRPr="00DD205B">
        <w:rPr>
          <w:rFonts w:asciiTheme="minorEastAsia" w:hAnsiTheme="minorEastAsia" w:cs="Times New Roman" w:hint="eastAsia"/>
          <w:sz w:val="24"/>
          <w:szCs w:val="24"/>
        </w:rPr>
        <w:t>定</w:t>
      </w:r>
      <w:r w:rsidR="008B45AC" w:rsidRPr="00DD205B">
        <w:rPr>
          <w:rFonts w:asciiTheme="minorEastAsia" w:hAnsiTheme="minorEastAsia" w:cs="Times New Roman" w:hint="eastAsia"/>
          <w:sz w:val="24"/>
          <w:szCs w:val="24"/>
        </w:rPr>
        <w:t>：</w:t>
      </w:r>
      <w:r w:rsidR="008B45AC" w:rsidRPr="00DD205B">
        <w:rPr>
          <w:rFonts w:asciiTheme="minorEastAsia" w:hAnsiTheme="minorEastAsia" w:hint="eastAsia"/>
          <w:sz w:val="24"/>
        </w:rPr>
        <w:t>本基金连续</w:t>
      </w:r>
      <w:r w:rsidR="008B45AC" w:rsidRPr="00DD205B">
        <w:rPr>
          <w:rFonts w:asciiTheme="minorEastAsia" w:hAnsiTheme="minorEastAsia"/>
          <w:sz w:val="24"/>
        </w:rPr>
        <w:t>60</w:t>
      </w:r>
      <w:r w:rsidR="008B45AC" w:rsidRPr="00DD205B">
        <w:rPr>
          <w:rFonts w:asciiTheme="minorEastAsia" w:hAnsiTheme="minorEastAsia" w:hint="eastAsia"/>
          <w:sz w:val="24"/>
        </w:rPr>
        <w:t>个工作日，基金资产净值低于</w:t>
      </w:r>
      <w:r w:rsidR="008B45AC" w:rsidRPr="00DD205B">
        <w:rPr>
          <w:rFonts w:asciiTheme="minorEastAsia" w:hAnsiTheme="minorEastAsia"/>
          <w:sz w:val="24"/>
        </w:rPr>
        <w:t>5000</w:t>
      </w:r>
      <w:r w:rsidR="008B45AC" w:rsidRPr="00DD205B">
        <w:rPr>
          <w:rFonts w:asciiTheme="minorEastAsia" w:hAnsiTheme="minorEastAsia" w:hint="eastAsia"/>
          <w:sz w:val="24"/>
        </w:rPr>
        <w:t>万元，《基金合同》应当终止并根据《基金合同》的约定进行基金财产清算，而无需召开基金份额持有人大会</w:t>
      </w:r>
      <w:r w:rsidR="00093F8C" w:rsidRPr="00DD205B">
        <w:rPr>
          <w:rFonts w:asciiTheme="minorEastAsia" w:hAnsiTheme="minorEastAsia" w:cs="Times New Roman" w:hint="eastAsia"/>
          <w:sz w:val="24"/>
          <w:szCs w:val="24"/>
        </w:rPr>
        <w:t>。</w:t>
      </w:r>
    </w:p>
    <w:p w:rsidR="00553082" w:rsidRPr="00DD205B" w:rsidRDefault="008B45AC"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hint="eastAsia"/>
          <w:sz w:val="24"/>
        </w:rPr>
        <w:t>至201</w:t>
      </w:r>
      <w:r w:rsidR="002F5D19">
        <w:rPr>
          <w:rFonts w:asciiTheme="minorEastAsia" w:hAnsiTheme="minorEastAsia"/>
          <w:sz w:val="24"/>
        </w:rPr>
        <w:t>8</w:t>
      </w:r>
      <w:r w:rsidRPr="00DD205B">
        <w:rPr>
          <w:rFonts w:asciiTheme="minorEastAsia" w:hAnsiTheme="minorEastAsia" w:hint="eastAsia"/>
          <w:sz w:val="24"/>
        </w:rPr>
        <w:t>年</w:t>
      </w:r>
      <w:r w:rsidR="002F5D19">
        <w:rPr>
          <w:rFonts w:asciiTheme="minorEastAsia" w:hAnsiTheme="minorEastAsia"/>
          <w:sz w:val="24"/>
        </w:rPr>
        <w:t>6</w:t>
      </w:r>
      <w:r w:rsidRPr="00DD205B">
        <w:rPr>
          <w:rFonts w:asciiTheme="minorEastAsia" w:hAnsiTheme="minorEastAsia" w:hint="eastAsia"/>
          <w:sz w:val="24"/>
        </w:rPr>
        <w:t>月</w:t>
      </w:r>
      <w:r w:rsidR="004F7915" w:rsidRPr="00DD205B">
        <w:rPr>
          <w:rFonts w:asciiTheme="minorEastAsia" w:hAnsiTheme="minorEastAsia" w:hint="eastAsia"/>
          <w:sz w:val="24"/>
        </w:rPr>
        <w:t>2</w:t>
      </w:r>
      <w:r w:rsidR="004F7915">
        <w:rPr>
          <w:rFonts w:asciiTheme="minorEastAsia" w:hAnsiTheme="minorEastAsia"/>
          <w:sz w:val="24"/>
        </w:rPr>
        <w:t>5</w:t>
      </w:r>
      <w:r w:rsidRPr="00DD205B">
        <w:rPr>
          <w:rFonts w:asciiTheme="minorEastAsia" w:hAnsiTheme="minorEastAsia" w:hint="eastAsia"/>
          <w:sz w:val="24"/>
        </w:rPr>
        <w:t>日，</w:t>
      </w:r>
      <w:r w:rsidR="00236F3D">
        <w:rPr>
          <w:rFonts w:asciiTheme="minorEastAsia" w:hAnsiTheme="minorEastAsia" w:hint="eastAsia"/>
          <w:sz w:val="24"/>
        </w:rPr>
        <w:t>本基金</w:t>
      </w:r>
      <w:r w:rsidR="00007006" w:rsidRPr="00DD205B">
        <w:rPr>
          <w:rFonts w:asciiTheme="minorEastAsia" w:hAnsiTheme="minorEastAsia" w:cs="Times New Roman" w:hint="eastAsia"/>
          <w:sz w:val="24"/>
          <w:szCs w:val="24"/>
        </w:rPr>
        <w:t>已</w:t>
      </w:r>
      <w:r w:rsidR="00CF49D5" w:rsidRPr="00DD205B">
        <w:rPr>
          <w:rFonts w:asciiTheme="minorEastAsia" w:hAnsiTheme="minorEastAsia" w:cs="Times New Roman" w:hint="eastAsia"/>
          <w:sz w:val="24"/>
          <w:szCs w:val="24"/>
        </w:rPr>
        <w:t>出现</w:t>
      </w:r>
      <w:r w:rsidR="00007006" w:rsidRPr="00DD205B">
        <w:rPr>
          <w:rFonts w:asciiTheme="minorEastAsia" w:hAnsiTheme="minorEastAsia" w:cs="Times New Roman" w:hint="eastAsia"/>
          <w:sz w:val="24"/>
          <w:szCs w:val="24"/>
        </w:rPr>
        <w:t>连续</w:t>
      </w:r>
      <w:r w:rsidR="00007006" w:rsidRPr="00DD205B">
        <w:rPr>
          <w:rFonts w:asciiTheme="minorEastAsia" w:hAnsiTheme="minorEastAsia" w:cs="Times New Roman"/>
          <w:sz w:val="24"/>
          <w:szCs w:val="24"/>
        </w:rPr>
        <w:t>60</w:t>
      </w:r>
      <w:r w:rsidR="00007006" w:rsidRPr="00DD205B">
        <w:rPr>
          <w:rFonts w:asciiTheme="minorEastAsia" w:hAnsiTheme="minorEastAsia" w:cs="Times New Roman" w:hint="eastAsia"/>
          <w:sz w:val="24"/>
          <w:szCs w:val="24"/>
        </w:rPr>
        <w:t>个工作日基金资产净值低于</w:t>
      </w:r>
      <w:r w:rsidR="00007006" w:rsidRPr="00DD205B">
        <w:rPr>
          <w:rFonts w:asciiTheme="minorEastAsia" w:hAnsiTheme="minorEastAsia" w:cs="Times New Roman"/>
          <w:sz w:val="24"/>
          <w:szCs w:val="24"/>
        </w:rPr>
        <w:t>5000</w:t>
      </w:r>
      <w:r w:rsidR="00007006" w:rsidRPr="00DD205B">
        <w:rPr>
          <w:rFonts w:asciiTheme="minorEastAsia" w:hAnsiTheme="minorEastAsia" w:cs="Times New Roman" w:hint="eastAsia"/>
          <w:sz w:val="24"/>
          <w:szCs w:val="24"/>
        </w:rPr>
        <w:t>万元</w:t>
      </w:r>
      <w:r w:rsidR="00CF49D5" w:rsidRPr="00DD205B">
        <w:rPr>
          <w:rFonts w:asciiTheme="minorEastAsia" w:hAnsiTheme="minorEastAsia" w:cs="Times New Roman" w:hint="eastAsia"/>
          <w:sz w:val="24"/>
          <w:szCs w:val="24"/>
        </w:rPr>
        <w:t>的情形</w:t>
      </w:r>
      <w:r w:rsidR="00007006" w:rsidRPr="00DD205B">
        <w:rPr>
          <w:rFonts w:asciiTheme="minorEastAsia" w:hAnsiTheme="minorEastAsia" w:cs="Times New Roman" w:hint="eastAsia"/>
          <w:sz w:val="24"/>
          <w:szCs w:val="24"/>
        </w:rPr>
        <w:t>。为维护基金份额持有人利益，根据</w:t>
      </w:r>
      <w:r w:rsidRPr="00DD205B">
        <w:rPr>
          <w:rFonts w:asciiTheme="minorEastAsia" w:hAnsiTheme="minorEastAsia" w:cs="Times New Roman" w:hint="eastAsia"/>
          <w:sz w:val="24"/>
          <w:szCs w:val="24"/>
        </w:rPr>
        <w:t>《</w:t>
      </w:r>
      <w:r w:rsidR="00007006" w:rsidRPr="00DD205B">
        <w:rPr>
          <w:rFonts w:asciiTheme="minorEastAsia" w:hAnsiTheme="minorEastAsia" w:cs="Times New Roman" w:hint="eastAsia"/>
          <w:sz w:val="24"/>
          <w:szCs w:val="24"/>
        </w:rPr>
        <w:t>基金合同</w:t>
      </w:r>
      <w:r w:rsidRPr="00DD205B">
        <w:rPr>
          <w:rFonts w:asciiTheme="minorEastAsia" w:hAnsiTheme="minorEastAsia" w:cs="Times New Roman" w:hint="eastAsia"/>
          <w:sz w:val="24"/>
          <w:szCs w:val="24"/>
        </w:rPr>
        <w:t>》</w:t>
      </w:r>
      <w:r w:rsidR="00007006" w:rsidRPr="00DD205B">
        <w:rPr>
          <w:rFonts w:asciiTheme="minorEastAsia" w:hAnsiTheme="minorEastAsia" w:cs="Times New Roman" w:hint="eastAsia"/>
          <w:sz w:val="24"/>
          <w:szCs w:val="24"/>
        </w:rPr>
        <w:t>约定，本基金管理</w:t>
      </w:r>
      <w:r w:rsidR="00007006" w:rsidRPr="00DD205B">
        <w:rPr>
          <w:rFonts w:asciiTheme="minorEastAsia" w:hAnsiTheme="minorEastAsia" w:cs="Times New Roman" w:hint="eastAsia"/>
          <w:sz w:val="24"/>
          <w:szCs w:val="24"/>
        </w:rPr>
        <w:lastRenderedPageBreak/>
        <w:t>人应终止本基金合同并依法履行基金财产清算程序</w:t>
      </w:r>
      <w:r w:rsidRPr="00DD205B">
        <w:rPr>
          <w:rFonts w:asciiTheme="minorEastAsia" w:hAnsiTheme="minorEastAsia" w:hint="eastAsia"/>
          <w:sz w:val="24"/>
        </w:rPr>
        <w:t>，不需召开基金份额持有人大会</w:t>
      </w:r>
      <w:r w:rsidR="00007006" w:rsidRPr="00DD205B">
        <w:rPr>
          <w:rFonts w:asciiTheme="minorEastAsia" w:hAnsiTheme="minorEastAsia" w:cs="Times New Roman" w:hint="eastAsia"/>
          <w:sz w:val="24"/>
          <w:szCs w:val="24"/>
        </w:rPr>
        <w:t>。</w:t>
      </w:r>
    </w:p>
    <w:p w:rsidR="00C93AD2" w:rsidRPr="00DD205B" w:rsidRDefault="00C93AD2" w:rsidP="00F874EC">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b/>
          <w:sz w:val="24"/>
          <w:szCs w:val="24"/>
        </w:rPr>
        <w:t xml:space="preserve">三、基金财产的清算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（一）基金财产清算安排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1、</w:t>
      </w:r>
      <w:r w:rsidR="00CA3939" w:rsidRPr="00DD205B">
        <w:rPr>
          <w:rFonts w:asciiTheme="minorEastAsia" w:hAnsiTheme="minorEastAsia" w:cs="Times New Roman" w:hint="eastAsia"/>
          <w:sz w:val="24"/>
          <w:szCs w:val="24"/>
        </w:rPr>
        <w:t>本基金最后一个运作日为</w:t>
      </w:r>
      <w:r w:rsidR="00276B6B">
        <w:rPr>
          <w:rFonts w:asciiTheme="minorEastAsia" w:hAnsiTheme="minorEastAsia" w:cs="Times New Roman" w:hint="eastAsia"/>
          <w:sz w:val="24"/>
          <w:szCs w:val="24"/>
        </w:rPr>
        <w:t>201</w:t>
      </w:r>
      <w:r w:rsidR="002F5D19">
        <w:rPr>
          <w:rFonts w:asciiTheme="minorEastAsia" w:hAnsiTheme="minorEastAsia" w:cs="Times New Roman"/>
          <w:sz w:val="24"/>
          <w:szCs w:val="24"/>
        </w:rPr>
        <w:t>8</w:t>
      </w:r>
      <w:r w:rsidR="00276B6B">
        <w:rPr>
          <w:rFonts w:asciiTheme="minorEastAsia" w:hAnsiTheme="minorEastAsia" w:cs="Times New Roman" w:hint="eastAsia"/>
          <w:sz w:val="24"/>
          <w:szCs w:val="24"/>
        </w:rPr>
        <w:t>年</w:t>
      </w:r>
      <w:r w:rsidR="002F5D19">
        <w:rPr>
          <w:rFonts w:asciiTheme="minorEastAsia" w:hAnsiTheme="minorEastAsia" w:cs="Times New Roman"/>
          <w:sz w:val="24"/>
          <w:szCs w:val="24"/>
        </w:rPr>
        <w:t>6</w:t>
      </w:r>
      <w:r w:rsidR="00CA3939" w:rsidRPr="00DD205B">
        <w:rPr>
          <w:rFonts w:asciiTheme="minorEastAsia" w:hAnsiTheme="minorEastAsia" w:cs="Times New Roman" w:hint="eastAsia"/>
          <w:sz w:val="24"/>
          <w:szCs w:val="24"/>
        </w:rPr>
        <w:t>月</w:t>
      </w:r>
      <w:r w:rsidR="004F7915">
        <w:rPr>
          <w:rFonts w:asciiTheme="minorEastAsia" w:hAnsiTheme="minorEastAsia" w:cs="Times New Roman"/>
          <w:sz w:val="24"/>
          <w:szCs w:val="24"/>
        </w:rPr>
        <w:t>25</w:t>
      </w:r>
      <w:r w:rsidR="00CA3939" w:rsidRPr="00DD205B">
        <w:rPr>
          <w:rFonts w:asciiTheme="minorEastAsia" w:hAnsiTheme="minorEastAsia" w:cs="Times New Roman" w:hint="eastAsia"/>
          <w:sz w:val="24"/>
          <w:szCs w:val="24"/>
        </w:rPr>
        <w:t>日，</w:t>
      </w:r>
      <w:r w:rsidRPr="00DD205B">
        <w:rPr>
          <w:rFonts w:asciiTheme="minorEastAsia" w:hAnsiTheme="minorEastAsia" w:cs="Times New Roman"/>
          <w:sz w:val="24"/>
          <w:szCs w:val="24"/>
        </w:rPr>
        <w:t>自</w:t>
      </w:r>
      <w:r w:rsidR="00F874EC" w:rsidRPr="00DD205B">
        <w:rPr>
          <w:rFonts w:asciiTheme="minorEastAsia" w:hAnsiTheme="minorEastAsia" w:cs="Times New Roman"/>
          <w:sz w:val="24"/>
          <w:szCs w:val="24"/>
        </w:rPr>
        <w:t>201</w:t>
      </w:r>
      <w:r w:rsidR="002F5D19">
        <w:rPr>
          <w:rFonts w:asciiTheme="minorEastAsia" w:hAnsiTheme="minorEastAsia" w:cs="Times New Roman"/>
          <w:sz w:val="24"/>
          <w:szCs w:val="24"/>
        </w:rPr>
        <w:t>8</w:t>
      </w:r>
      <w:r w:rsidR="00F874EC" w:rsidRPr="00DD205B">
        <w:rPr>
          <w:rFonts w:asciiTheme="minorEastAsia" w:hAnsiTheme="minorEastAsia" w:cs="Times New Roman"/>
          <w:sz w:val="24"/>
          <w:szCs w:val="24"/>
        </w:rPr>
        <w:t>年</w:t>
      </w:r>
      <w:r w:rsidR="002F5D19">
        <w:rPr>
          <w:rFonts w:asciiTheme="minorEastAsia" w:hAnsiTheme="minorEastAsia" w:cs="Times New Roman"/>
          <w:sz w:val="24"/>
          <w:szCs w:val="24"/>
        </w:rPr>
        <w:t>6</w:t>
      </w:r>
      <w:r w:rsidRPr="00DD205B">
        <w:rPr>
          <w:rFonts w:asciiTheme="minorEastAsia" w:hAnsiTheme="minorEastAsia" w:cs="Times New Roman"/>
          <w:sz w:val="24"/>
          <w:szCs w:val="24"/>
        </w:rPr>
        <w:t>月</w:t>
      </w:r>
      <w:r w:rsidR="004F7915">
        <w:rPr>
          <w:rFonts w:asciiTheme="minorEastAsia" w:hAnsiTheme="minorEastAsia" w:cs="Times New Roman"/>
          <w:sz w:val="24"/>
          <w:szCs w:val="24"/>
        </w:rPr>
        <w:t>26</w:t>
      </w:r>
      <w:r w:rsidRPr="00DD205B">
        <w:rPr>
          <w:rFonts w:asciiTheme="minorEastAsia" w:hAnsiTheme="minorEastAsia" w:cs="Times New Roman"/>
          <w:sz w:val="24"/>
          <w:szCs w:val="24"/>
        </w:rPr>
        <w:t>日</w:t>
      </w:r>
      <w:r w:rsidR="0085623D" w:rsidRPr="00DD205B">
        <w:rPr>
          <w:rFonts w:asciiTheme="minorEastAsia" w:hAnsiTheme="minorEastAsia" w:cs="Times New Roman" w:hint="eastAsia"/>
          <w:sz w:val="24"/>
          <w:szCs w:val="24"/>
        </w:rPr>
        <w:t>（最后运作日的下一日）</w:t>
      </w:r>
      <w:r w:rsidRPr="00DD205B">
        <w:rPr>
          <w:rFonts w:asciiTheme="minorEastAsia" w:hAnsiTheme="minorEastAsia" w:cs="Times New Roman"/>
          <w:sz w:val="24"/>
          <w:szCs w:val="24"/>
        </w:rPr>
        <w:t>起进入清算程序，</w:t>
      </w:r>
      <w:r w:rsidR="0085623D" w:rsidRPr="00DD205B">
        <w:rPr>
          <w:rFonts w:asciiTheme="minorEastAsia" w:hAnsiTheme="minorEastAsia" w:cs="Times New Roman" w:hint="eastAsia"/>
          <w:sz w:val="24"/>
          <w:szCs w:val="24"/>
        </w:rPr>
        <w:t>停止</w:t>
      </w:r>
      <w:r w:rsidRPr="00DD205B">
        <w:rPr>
          <w:rFonts w:asciiTheme="minorEastAsia" w:hAnsiTheme="minorEastAsia" w:cs="Times New Roman"/>
          <w:sz w:val="24"/>
          <w:szCs w:val="24"/>
        </w:rPr>
        <w:t>办理申购</w:t>
      </w:r>
      <w:r w:rsidR="00DC5194">
        <w:rPr>
          <w:rFonts w:asciiTheme="minorEastAsia" w:hAnsiTheme="minorEastAsia" w:cs="Times New Roman" w:hint="eastAsia"/>
          <w:sz w:val="24"/>
          <w:szCs w:val="24"/>
        </w:rPr>
        <w:t>、</w:t>
      </w:r>
      <w:r w:rsidRPr="00DD205B">
        <w:rPr>
          <w:rFonts w:asciiTheme="minorEastAsia" w:hAnsiTheme="minorEastAsia" w:cs="Times New Roman"/>
          <w:sz w:val="24"/>
          <w:szCs w:val="24"/>
        </w:rPr>
        <w:t>赎回</w:t>
      </w:r>
      <w:r w:rsidR="00CA3939" w:rsidRPr="00DD205B">
        <w:rPr>
          <w:rFonts w:asciiTheme="minorEastAsia" w:hAnsiTheme="minorEastAsia" w:cs="Times New Roman" w:hint="eastAsia"/>
          <w:sz w:val="24"/>
          <w:szCs w:val="24"/>
        </w:rPr>
        <w:t>、</w:t>
      </w:r>
      <w:r w:rsidR="00DC7F9F" w:rsidRPr="00DC7F9F">
        <w:rPr>
          <w:rFonts w:asciiTheme="minorEastAsia" w:hAnsiTheme="minorEastAsia" w:cs="Times New Roman" w:hint="eastAsia"/>
          <w:sz w:val="24"/>
          <w:szCs w:val="24"/>
        </w:rPr>
        <w:t>转托管</w:t>
      </w:r>
      <w:r w:rsidR="00AE1ECF" w:rsidRPr="00DD205B">
        <w:rPr>
          <w:rFonts w:asciiTheme="minorEastAsia" w:hAnsiTheme="minorEastAsia" w:cs="Times New Roman" w:hint="eastAsia"/>
          <w:sz w:val="24"/>
          <w:szCs w:val="24"/>
        </w:rPr>
        <w:t>等</w:t>
      </w:r>
      <w:r w:rsidRPr="00DD205B">
        <w:rPr>
          <w:rFonts w:asciiTheme="minorEastAsia" w:hAnsiTheme="minorEastAsia" w:cs="Times New Roman"/>
          <w:sz w:val="24"/>
          <w:szCs w:val="24"/>
        </w:rPr>
        <w:t>业务</w:t>
      </w:r>
      <w:r w:rsidR="00031D8A">
        <w:rPr>
          <w:rFonts w:asciiTheme="minorEastAsia" w:hAnsiTheme="minorEastAsia" w:cs="Times New Roman" w:hint="eastAsia"/>
          <w:sz w:val="24"/>
          <w:szCs w:val="24"/>
        </w:rPr>
        <w:t>，</w:t>
      </w:r>
      <w:r w:rsidR="0085623D" w:rsidRPr="00DD205B">
        <w:rPr>
          <w:rFonts w:asciiTheme="minorEastAsia" w:hAnsiTheme="minorEastAsia" w:cs="Times New Roman" w:hint="eastAsia"/>
          <w:sz w:val="24"/>
          <w:szCs w:val="24"/>
        </w:rPr>
        <w:t>并且之后不再恢复。本基金进入清算程序后，</w:t>
      </w:r>
      <w:r w:rsidRPr="00DD205B">
        <w:rPr>
          <w:rFonts w:asciiTheme="minorEastAsia" w:hAnsiTheme="minorEastAsia" w:cs="Times New Roman"/>
          <w:sz w:val="24"/>
          <w:szCs w:val="24"/>
        </w:rPr>
        <w:t xml:space="preserve">停止收取基金管理费、基金托管费。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2、基金管理人组织基金财产清算小组并在中国证监会的监督下进行基金清算。基金财产清算小组成员由基金管理人、基金托管人、具有从事证券相关业务资格的注册会计师、律师以及</w:t>
      </w:r>
      <w:r w:rsidR="00DC5194">
        <w:rPr>
          <w:rFonts w:asciiTheme="minorEastAsia" w:hAnsiTheme="minorEastAsia" w:cs="Times New Roman" w:hint="eastAsia"/>
          <w:sz w:val="24"/>
          <w:szCs w:val="24"/>
        </w:rPr>
        <w:t>法律法规</w:t>
      </w:r>
      <w:r w:rsidR="00DC5194">
        <w:rPr>
          <w:rFonts w:asciiTheme="minorEastAsia" w:hAnsiTheme="minorEastAsia" w:cs="Times New Roman"/>
          <w:sz w:val="24"/>
          <w:szCs w:val="24"/>
        </w:rPr>
        <w:t>规定的其他</w:t>
      </w:r>
      <w:r w:rsidRPr="00DD205B">
        <w:rPr>
          <w:rFonts w:asciiTheme="minorEastAsia" w:hAnsiTheme="minorEastAsia" w:cs="Times New Roman"/>
          <w:sz w:val="24"/>
          <w:szCs w:val="24"/>
        </w:rPr>
        <w:t xml:space="preserve">人员组成。基金财产清算小组可以聘用必要的工作人员。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3、基金财产清算小组负责基金财产的保管、清理、估价、变现和分配。基金财产清算小组可以依法进行必要的民事活动。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4、基金财产清算程序：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（1）</w:t>
      </w:r>
      <w:r w:rsidR="008B45AC" w:rsidRPr="00DD205B">
        <w:rPr>
          <w:rFonts w:asciiTheme="minorEastAsia" w:hAnsiTheme="minorEastAsia" w:cs="Times New Roman" w:hint="eastAsia"/>
          <w:sz w:val="24"/>
          <w:szCs w:val="24"/>
        </w:rPr>
        <w:t>《</w:t>
      </w:r>
      <w:r w:rsidRPr="00DD205B">
        <w:rPr>
          <w:rFonts w:asciiTheme="minorEastAsia" w:hAnsiTheme="minorEastAsia" w:cs="Times New Roman"/>
          <w:sz w:val="24"/>
          <w:szCs w:val="24"/>
        </w:rPr>
        <w:t>基金合同</w:t>
      </w:r>
      <w:r w:rsidR="008B45AC" w:rsidRPr="00DD205B">
        <w:rPr>
          <w:rFonts w:asciiTheme="minorEastAsia" w:hAnsiTheme="minorEastAsia" w:cs="Times New Roman" w:hint="eastAsia"/>
          <w:sz w:val="24"/>
          <w:szCs w:val="24"/>
        </w:rPr>
        <w:t>》</w:t>
      </w:r>
      <w:r w:rsidRPr="00DD205B">
        <w:rPr>
          <w:rFonts w:asciiTheme="minorEastAsia" w:hAnsiTheme="minorEastAsia" w:cs="Times New Roman"/>
          <w:sz w:val="24"/>
          <w:szCs w:val="24"/>
        </w:rPr>
        <w:t xml:space="preserve">终止情形出现时，由基金财产清算小组统一接管基金；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（2）对基金财产和债权债务进行清理和确认；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（3）对基金财产进行估值和变现；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（4）制作清算报告；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（5）聘请会计师事务所对清算报告进行外部审计，聘请律师事务所对清算报告出具法律意见书；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（6）将清算报告报中国证监会备案并公告；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（7）对基金剩余财产进行分配。</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5、基金财产清算的期限为6个月。 </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（二）清算费用 </w:t>
      </w:r>
    </w:p>
    <w:p w:rsidR="001558B2" w:rsidRPr="00DD205B" w:rsidRDefault="001558B2" w:rsidP="001558B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按照《基金合同》“第十九部分 基金合同的变更、终止与基金财产的清算”的约定，清算费用是指基金财产清算小组在进行基金清算过程中发生的所有合理费用，清算费用由基金财产清算小组优先从基金财产中支付。</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（三）基金财产清算剩余资产的分配 </w:t>
      </w:r>
    </w:p>
    <w:p w:rsidR="00C93AD2" w:rsidRPr="00DD205B" w:rsidRDefault="00C93AD2" w:rsidP="001558B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依据基金财产清算的分配方案，将基金财产清算后的全部剩余资产扣除</w:t>
      </w:r>
      <w:r w:rsidR="002F5D19" w:rsidRPr="002F5D19">
        <w:rPr>
          <w:rFonts w:asciiTheme="minorEastAsia" w:hAnsiTheme="minorEastAsia" w:cs="Times New Roman" w:hint="eastAsia"/>
          <w:sz w:val="24"/>
          <w:szCs w:val="24"/>
        </w:rPr>
        <w:t>基金</w:t>
      </w:r>
      <w:r w:rsidR="002F5D19" w:rsidRPr="002F5D19">
        <w:rPr>
          <w:rFonts w:asciiTheme="minorEastAsia" w:hAnsiTheme="minorEastAsia" w:cs="Times New Roman" w:hint="eastAsia"/>
          <w:sz w:val="24"/>
          <w:szCs w:val="24"/>
        </w:rPr>
        <w:lastRenderedPageBreak/>
        <w:t>财产清算费用、</w:t>
      </w:r>
      <w:r w:rsidRPr="00DD205B">
        <w:rPr>
          <w:rFonts w:asciiTheme="minorEastAsia" w:hAnsiTheme="minorEastAsia" w:cs="Times New Roman"/>
          <w:sz w:val="24"/>
          <w:szCs w:val="24"/>
        </w:rPr>
        <w:t>交纳所欠税款并清偿基金债务后，按基金份额持有人持有的基金份额比例进行分配。</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（四）基金财产清算的公告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清算过程中的有关重大事项须及时公告；基金财产清算报告经会计师事务所审计并由律师事务所出具法律意见书后报中国证监会备案并公告。基金财产清算公告</w:t>
      </w:r>
      <w:r w:rsidR="006A105E">
        <w:rPr>
          <w:rFonts w:asciiTheme="minorEastAsia" w:hAnsiTheme="minorEastAsia" w:cs="Times New Roman" w:hint="eastAsia"/>
          <w:sz w:val="24"/>
          <w:szCs w:val="24"/>
        </w:rPr>
        <w:t>将按照相关法律法规及《基金合同》的约定进行公告。</w:t>
      </w:r>
    </w:p>
    <w:p w:rsidR="00C7340B"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（五）基金财产清算账册及文件的保存</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基金财产清算账册及有关文件由基金托管人保存15年以上。</w:t>
      </w:r>
    </w:p>
    <w:p w:rsidR="00492652" w:rsidRPr="00DD205B" w:rsidRDefault="00492652" w:rsidP="00492652">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四</w:t>
      </w:r>
      <w:r w:rsidRPr="00DD205B">
        <w:rPr>
          <w:rFonts w:asciiTheme="minorEastAsia" w:hAnsiTheme="minorEastAsia" w:cs="Times New Roman"/>
          <w:b/>
          <w:sz w:val="24"/>
          <w:szCs w:val="24"/>
        </w:rPr>
        <w:t>、基金财产清算中的事项说明</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（一）停牌证券</w:t>
      </w:r>
    </w:p>
    <w:p w:rsidR="00492652" w:rsidRPr="00DD205B" w:rsidRDefault="00625B05" w:rsidP="00625B05">
      <w:pPr>
        <w:spacing w:line="360" w:lineRule="auto"/>
        <w:ind w:firstLineChars="200" w:firstLine="480"/>
        <w:rPr>
          <w:rFonts w:asciiTheme="minorEastAsia" w:hAnsiTheme="minorEastAsia" w:cs="Times New Roman"/>
          <w:sz w:val="24"/>
          <w:szCs w:val="24"/>
        </w:rPr>
      </w:pPr>
      <w:r w:rsidRPr="00625B05">
        <w:rPr>
          <w:rFonts w:asciiTheme="minorEastAsia" w:hAnsiTheme="minorEastAsia" w:cs="Times New Roman" w:hint="eastAsia"/>
          <w:sz w:val="24"/>
          <w:szCs w:val="24"/>
        </w:rPr>
        <w:t>若因本基金所持证券的流动性受到限制而不能及时变现，则本基金可能需要进行多次清算。</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（二）结算备付金、保证金及应收利息</w:t>
      </w:r>
    </w:p>
    <w:p w:rsidR="00492652" w:rsidRPr="00DD205B" w:rsidRDefault="0049265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基金管理人将以自有资金先行垫付最低结算备付金和交易席位保证金，以及清算期间产生的应收利息等，该垫付资金及垫付资金到账日起孳生的利息将于收回款项、结息后返还给基金管理人。</w:t>
      </w:r>
    </w:p>
    <w:p w:rsidR="00553082" w:rsidRPr="00DD205B" w:rsidRDefault="00492652" w:rsidP="00C93AD2">
      <w:pPr>
        <w:spacing w:line="360" w:lineRule="auto"/>
        <w:ind w:firstLineChars="200" w:firstLine="482"/>
        <w:rPr>
          <w:rFonts w:asciiTheme="minorEastAsia" w:hAnsiTheme="minorEastAsia" w:cs="Times New Roman"/>
          <w:sz w:val="24"/>
          <w:szCs w:val="24"/>
        </w:rPr>
      </w:pPr>
      <w:r w:rsidRPr="00DD205B">
        <w:rPr>
          <w:rFonts w:asciiTheme="minorEastAsia" w:hAnsiTheme="minorEastAsia" w:cs="Times New Roman" w:hint="eastAsia"/>
          <w:b/>
          <w:sz w:val="24"/>
          <w:szCs w:val="24"/>
        </w:rPr>
        <w:t>五</w:t>
      </w:r>
      <w:r w:rsidR="00007006" w:rsidRPr="00DD205B">
        <w:rPr>
          <w:rFonts w:asciiTheme="minorEastAsia" w:hAnsiTheme="minorEastAsia" w:cs="Times New Roman" w:hint="eastAsia"/>
          <w:b/>
          <w:sz w:val="24"/>
          <w:szCs w:val="24"/>
        </w:rPr>
        <w:t>、</w:t>
      </w:r>
      <w:r w:rsidR="00C93AD2" w:rsidRPr="00DD205B">
        <w:rPr>
          <w:rFonts w:asciiTheme="minorEastAsia" w:hAnsiTheme="minorEastAsia" w:cs="Times New Roman" w:hint="eastAsia"/>
          <w:b/>
          <w:sz w:val="24"/>
          <w:szCs w:val="24"/>
        </w:rPr>
        <w:t>特别</w:t>
      </w:r>
      <w:r w:rsidR="00007006" w:rsidRPr="00DD205B">
        <w:rPr>
          <w:rFonts w:asciiTheme="minorEastAsia" w:hAnsiTheme="minorEastAsia" w:cs="Times New Roman" w:hint="eastAsia"/>
          <w:b/>
          <w:sz w:val="24"/>
          <w:szCs w:val="24"/>
        </w:rPr>
        <w:t>提示</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1、敬请投资者关注基金清算的相关后续公告。 </w:t>
      </w:r>
    </w:p>
    <w:p w:rsidR="0055308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2、</w:t>
      </w:r>
      <w:r w:rsidR="00007006" w:rsidRPr="00DD205B">
        <w:rPr>
          <w:rFonts w:asciiTheme="minorEastAsia" w:hAnsiTheme="minorEastAsia" w:cs="Times New Roman" w:hint="eastAsia"/>
          <w:sz w:val="24"/>
          <w:szCs w:val="24"/>
        </w:rPr>
        <w:t>投资者可以登陆</w:t>
      </w:r>
      <w:r w:rsidR="00C2640E" w:rsidRPr="00DD205B">
        <w:rPr>
          <w:rFonts w:asciiTheme="minorEastAsia" w:hAnsiTheme="minorEastAsia" w:cs="Times New Roman" w:hint="eastAsia"/>
          <w:sz w:val="24"/>
          <w:szCs w:val="24"/>
        </w:rPr>
        <w:t>泰达宏利</w:t>
      </w:r>
      <w:r w:rsidR="00007006" w:rsidRPr="00DD205B">
        <w:rPr>
          <w:rFonts w:asciiTheme="minorEastAsia" w:hAnsiTheme="minorEastAsia" w:cs="Times New Roman" w:hint="eastAsia"/>
          <w:sz w:val="24"/>
          <w:szCs w:val="24"/>
        </w:rPr>
        <w:t>基金管理有限公司网站（</w:t>
      </w:r>
      <w:r w:rsidR="00C2640E" w:rsidRPr="00DD205B">
        <w:rPr>
          <w:rFonts w:asciiTheme="minorEastAsia" w:hAnsiTheme="minorEastAsia" w:cs="Times New Roman" w:hint="eastAsia"/>
          <w:sz w:val="24"/>
          <w:szCs w:val="24"/>
        </w:rPr>
        <w:t>www.mfcteda.com</w:t>
      </w:r>
      <w:r w:rsidR="00007006" w:rsidRPr="00DD205B">
        <w:rPr>
          <w:rFonts w:asciiTheme="minorEastAsia" w:hAnsiTheme="minorEastAsia" w:cs="Times New Roman" w:hint="eastAsia"/>
          <w:sz w:val="24"/>
          <w:szCs w:val="24"/>
        </w:rPr>
        <w:t>）或拨打</w:t>
      </w:r>
      <w:r w:rsidR="00C2640E" w:rsidRPr="00DD205B">
        <w:rPr>
          <w:rFonts w:asciiTheme="minorEastAsia" w:hAnsiTheme="minorEastAsia" w:cs="Times New Roman" w:hint="eastAsia"/>
          <w:sz w:val="24"/>
          <w:szCs w:val="24"/>
        </w:rPr>
        <w:t>泰达宏利</w:t>
      </w:r>
      <w:r w:rsidR="00007006" w:rsidRPr="00DD205B">
        <w:rPr>
          <w:rFonts w:asciiTheme="minorEastAsia" w:hAnsiTheme="minorEastAsia" w:cs="Times New Roman" w:hint="eastAsia"/>
          <w:sz w:val="24"/>
          <w:szCs w:val="24"/>
        </w:rPr>
        <w:t>基金管理有限公司全国统一客户服务号码</w:t>
      </w:r>
      <w:r w:rsidR="00C2640E" w:rsidRPr="00DD205B">
        <w:rPr>
          <w:rFonts w:asciiTheme="minorEastAsia" w:hAnsiTheme="minorEastAsia" w:cs="Times New Roman" w:hint="eastAsia"/>
          <w:sz w:val="24"/>
          <w:szCs w:val="24"/>
        </w:rPr>
        <w:t>400-698-8888</w:t>
      </w:r>
      <w:r w:rsidRPr="00DD205B">
        <w:rPr>
          <w:rFonts w:asciiTheme="minorEastAsia" w:hAnsiTheme="minorEastAsia" w:cs="Times New Roman"/>
          <w:sz w:val="24"/>
          <w:szCs w:val="24"/>
        </w:rPr>
        <w:t>(免长途话费)</w:t>
      </w:r>
      <w:r w:rsidR="00007006" w:rsidRPr="00DD205B">
        <w:rPr>
          <w:rFonts w:asciiTheme="minorEastAsia" w:hAnsiTheme="minorEastAsia" w:cs="Times New Roman" w:hint="eastAsia"/>
          <w:sz w:val="24"/>
          <w:szCs w:val="24"/>
        </w:rPr>
        <w:t>咨询相关情况。</w:t>
      </w:r>
    </w:p>
    <w:p w:rsidR="00C93AD2" w:rsidRPr="00DD205B" w:rsidRDefault="00C93AD2" w:rsidP="00C93AD2">
      <w:pPr>
        <w:spacing w:line="360" w:lineRule="auto"/>
        <w:ind w:firstLineChars="200" w:firstLine="480"/>
        <w:rPr>
          <w:rFonts w:ascii="宋体" w:eastAsia="宋体" w:hAnsi="宋体" w:cs="Times New Roman"/>
          <w:sz w:val="24"/>
          <w:szCs w:val="24"/>
        </w:rPr>
      </w:pPr>
    </w:p>
    <w:p w:rsidR="00553082" w:rsidRPr="00DD205B" w:rsidRDefault="00007006" w:rsidP="000405B9">
      <w:pPr>
        <w:spacing w:line="360" w:lineRule="auto"/>
        <w:ind w:firstLineChars="200" w:firstLine="480"/>
        <w:rPr>
          <w:rFonts w:ascii="宋体" w:eastAsia="宋体" w:hAnsi="宋体" w:cs="Times New Roman"/>
          <w:sz w:val="24"/>
          <w:szCs w:val="24"/>
        </w:rPr>
      </w:pPr>
      <w:r w:rsidRPr="00DD205B">
        <w:rPr>
          <w:rFonts w:ascii="宋体" w:eastAsia="宋体" w:hAnsi="宋体" w:cs="Times New Roman" w:hint="eastAsia"/>
          <w:sz w:val="24"/>
          <w:szCs w:val="24"/>
        </w:rPr>
        <w:t>特此公告。</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宋体" w:eastAsia="宋体" w:hAnsi="宋体" w:cs="Times New Roman"/>
          <w:sz w:val="24"/>
          <w:szCs w:val="24"/>
        </w:rPr>
      </w:pPr>
      <w:r w:rsidRPr="00DD205B">
        <w:rPr>
          <w:rFonts w:ascii="inherit" w:eastAsia="宋体" w:hAnsi="inherit" w:cs="宋体"/>
          <w:color w:val="41566D"/>
          <w:kern w:val="0"/>
          <w:sz w:val="24"/>
          <w:szCs w:val="24"/>
        </w:rPr>
        <w:t> </w:t>
      </w:r>
    </w:p>
    <w:p w:rsidR="00553082" w:rsidRPr="00DD205B" w:rsidRDefault="00C2640E" w:rsidP="00F874EC">
      <w:pPr>
        <w:widowControl/>
        <w:shd w:val="clear" w:color="auto" w:fill="FFFFFF"/>
        <w:spacing w:line="360" w:lineRule="auto"/>
        <w:ind w:firstLine="360"/>
        <w:jc w:val="right"/>
        <w:textAlignment w:val="baseline"/>
        <w:rPr>
          <w:rFonts w:ascii="宋体" w:eastAsia="宋体" w:hAnsi="宋体" w:cs="Times New Roman"/>
          <w:sz w:val="24"/>
          <w:szCs w:val="24"/>
        </w:rPr>
      </w:pPr>
      <w:r w:rsidRPr="00DD205B">
        <w:rPr>
          <w:rFonts w:ascii="宋体" w:eastAsia="宋体" w:hAnsi="宋体" w:cs="Times New Roman" w:hint="eastAsia"/>
          <w:sz w:val="24"/>
          <w:szCs w:val="24"/>
        </w:rPr>
        <w:t>泰达宏利</w:t>
      </w:r>
      <w:r w:rsidR="00007006" w:rsidRPr="00DD205B">
        <w:rPr>
          <w:rFonts w:ascii="宋体" w:eastAsia="宋体" w:hAnsi="宋体" w:cs="Times New Roman" w:hint="eastAsia"/>
          <w:sz w:val="24"/>
          <w:szCs w:val="24"/>
        </w:rPr>
        <w:t>基金管理有限公司</w:t>
      </w:r>
    </w:p>
    <w:p w:rsidR="00553082" w:rsidRPr="000405B9" w:rsidRDefault="00C2640E" w:rsidP="00F874EC">
      <w:pPr>
        <w:widowControl/>
        <w:shd w:val="clear" w:color="auto" w:fill="FFFFFF"/>
        <w:wordWrap w:val="0"/>
        <w:spacing w:line="360" w:lineRule="auto"/>
        <w:ind w:firstLine="360"/>
        <w:jc w:val="right"/>
        <w:textAlignment w:val="baseline"/>
        <w:rPr>
          <w:rFonts w:ascii="宋体" w:eastAsia="宋体" w:hAnsi="宋体" w:cs="Times New Roman"/>
          <w:sz w:val="24"/>
          <w:szCs w:val="24"/>
        </w:rPr>
      </w:pPr>
      <w:r w:rsidRPr="00DD205B">
        <w:rPr>
          <w:rFonts w:ascii="宋体" w:eastAsia="宋体" w:hAnsi="宋体" w:cs="Times New Roman" w:hint="eastAsia"/>
          <w:sz w:val="24"/>
          <w:szCs w:val="24"/>
        </w:rPr>
        <w:t>201</w:t>
      </w:r>
      <w:r w:rsidR="002F5D19">
        <w:rPr>
          <w:rFonts w:ascii="宋体" w:eastAsia="宋体" w:hAnsi="宋体" w:cs="Times New Roman"/>
          <w:sz w:val="24"/>
          <w:szCs w:val="24"/>
        </w:rPr>
        <w:t>8</w:t>
      </w:r>
      <w:r w:rsidR="00007006" w:rsidRPr="00DD205B">
        <w:rPr>
          <w:rFonts w:ascii="宋体" w:eastAsia="宋体" w:hAnsi="宋体" w:cs="Times New Roman" w:hint="eastAsia"/>
          <w:sz w:val="24"/>
          <w:szCs w:val="24"/>
        </w:rPr>
        <w:t>年</w:t>
      </w:r>
      <w:r w:rsidR="002F5D19">
        <w:rPr>
          <w:rFonts w:ascii="宋体" w:eastAsia="宋体" w:hAnsi="宋体" w:cs="Times New Roman"/>
          <w:sz w:val="24"/>
          <w:szCs w:val="24"/>
        </w:rPr>
        <w:t>6</w:t>
      </w:r>
      <w:r w:rsidR="007B134A" w:rsidRPr="00DD205B">
        <w:rPr>
          <w:rFonts w:ascii="宋体" w:eastAsia="宋体" w:hAnsi="宋体" w:cs="Times New Roman" w:hint="eastAsia"/>
          <w:sz w:val="24"/>
          <w:szCs w:val="24"/>
        </w:rPr>
        <w:t>月</w:t>
      </w:r>
      <w:r w:rsidR="004F7915">
        <w:rPr>
          <w:rFonts w:ascii="宋体" w:eastAsia="宋体" w:hAnsi="宋体" w:cs="Times New Roman"/>
          <w:sz w:val="24"/>
          <w:szCs w:val="24"/>
        </w:rPr>
        <w:t>26</w:t>
      </w:r>
      <w:r w:rsidR="007B134A" w:rsidRPr="00DD205B">
        <w:rPr>
          <w:rFonts w:ascii="宋体" w:eastAsia="宋体" w:hAnsi="宋体" w:cs="Times New Roman" w:hint="eastAsia"/>
          <w:sz w:val="24"/>
          <w:szCs w:val="24"/>
        </w:rPr>
        <w:t>日</w:t>
      </w:r>
    </w:p>
    <w:sectPr w:rsidR="00553082" w:rsidRPr="000405B9"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9FF" w:rsidRDefault="00B939FF" w:rsidP="004A00AA">
      <w:r>
        <w:separator/>
      </w:r>
    </w:p>
  </w:endnote>
  <w:endnote w:type="continuationSeparator" w:id="1">
    <w:p w:rsidR="00B939FF" w:rsidRDefault="00B939FF" w:rsidP="004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9FF" w:rsidRDefault="00B939FF" w:rsidP="004A00AA">
      <w:r>
        <w:separator/>
      </w:r>
    </w:p>
  </w:footnote>
  <w:footnote w:type="continuationSeparator" w:id="1">
    <w:p w:rsidR="00B939FF" w:rsidRDefault="00B939FF" w:rsidP="004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4CB"/>
    <w:rsid w:val="00007006"/>
    <w:rsid w:val="0002276A"/>
    <w:rsid w:val="0002302E"/>
    <w:rsid w:val="000264C6"/>
    <w:rsid w:val="00031D8A"/>
    <w:rsid w:val="000351AA"/>
    <w:rsid w:val="000405B9"/>
    <w:rsid w:val="00052D4B"/>
    <w:rsid w:val="00093F8C"/>
    <w:rsid w:val="000A610B"/>
    <w:rsid w:val="000B11CF"/>
    <w:rsid w:val="000C603B"/>
    <w:rsid w:val="000D1002"/>
    <w:rsid w:val="000E72CD"/>
    <w:rsid w:val="000F6AA5"/>
    <w:rsid w:val="0013027E"/>
    <w:rsid w:val="00146396"/>
    <w:rsid w:val="001529D8"/>
    <w:rsid w:val="001558B2"/>
    <w:rsid w:val="001931C8"/>
    <w:rsid w:val="001933CA"/>
    <w:rsid w:val="001E6E79"/>
    <w:rsid w:val="00232088"/>
    <w:rsid w:val="00236F3D"/>
    <w:rsid w:val="002536FF"/>
    <w:rsid w:val="00276B6B"/>
    <w:rsid w:val="002809F9"/>
    <w:rsid w:val="0028393F"/>
    <w:rsid w:val="002908E7"/>
    <w:rsid w:val="002D3105"/>
    <w:rsid w:val="002D7E5A"/>
    <w:rsid w:val="002F5D19"/>
    <w:rsid w:val="00320E23"/>
    <w:rsid w:val="00376F37"/>
    <w:rsid w:val="00377BF4"/>
    <w:rsid w:val="0039367A"/>
    <w:rsid w:val="003A6821"/>
    <w:rsid w:val="003E52DA"/>
    <w:rsid w:val="00417AB8"/>
    <w:rsid w:val="00456BFD"/>
    <w:rsid w:val="00463450"/>
    <w:rsid w:val="00492652"/>
    <w:rsid w:val="00495416"/>
    <w:rsid w:val="004A00AA"/>
    <w:rsid w:val="004A6BD0"/>
    <w:rsid w:val="004B2286"/>
    <w:rsid w:val="004C5C75"/>
    <w:rsid w:val="004D7EB2"/>
    <w:rsid w:val="004F7915"/>
    <w:rsid w:val="00517D1F"/>
    <w:rsid w:val="0053757C"/>
    <w:rsid w:val="00546D1D"/>
    <w:rsid w:val="00547046"/>
    <w:rsid w:val="00553082"/>
    <w:rsid w:val="00557A44"/>
    <w:rsid w:val="00585696"/>
    <w:rsid w:val="005B6B2B"/>
    <w:rsid w:val="005E59A8"/>
    <w:rsid w:val="00625B05"/>
    <w:rsid w:val="00643C31"/>
    <w:rsid w:val="00660340"/>
    <w:rsid w:val="00662680"/>
    <w:rsid w:val="00663F39"/>
    <w:rsid w:val="006647D2"/>
    <w:rsid w:val="00671853"/>
    <w:rsid w:val="00677925"/>
    <w:rsid w:val="00684B01"/>
    <w:rsid w:val="00693718"/>
    <w:rsid w:val="00693763"/>
    <w:rsid w:val="00693CC1"/>
    <w:rsid w:val="006A0DD1"/>
    <w:rsid w:val="006A105E"/>
    <w:rsid w:val="006C01C3"/>
    <w:rsid w:val="006C3BF1"/>
    <w:rsid w:val="006D72C3"/>
    <w:rsid w:val="006E0790"/>
    <w:rsid w:val="006E45AF"/>
    <w:rsid w:val="00712E18"/>
    <w:rsid w:val="0074529B"/>
    <w:rsid w:val="007518C7"/>
    <w:rsid w:val="0079078F"/>
    <w:rsid w:val="007A2BF5"/>
    <w:rsid w:val="007B134A"/>
    <w:rsid w:val="007B7E67"/>
    <w:rsid w:val="007C5583"/>
    <w:rsid w:val="007D2B50"/>
    <w:rsid w:val="008004F6"/>
    <w:rsid w:val="00804B30"/>
    <w:rsid w:val="00810AA6"/>
    <w:rsid w:val="00836F39"/>
    <w:rsid w:val="008471CA"/>
    <w:rsid w:val="0085623D"/>
    <w:rsid w:val="00885926"/>
    <w:rsid w:val="008B45AC"/>
    <w:rsid w:val="008C265E"/>
    <w:rsid w:val="008C545B"/>
    <w:rsid w:val="008D643F"/>
    <w:rsid w:val="008D76E0"/>
    <w:rsid w:val="00942954"/>
    <w:rsid w:val="009471D8"/>
    <w:rsid w:val="00970D61"/>
    <w:rsid w:val="00981A0F"/>
    <w:rsid w:val="00990CBC"/>
    <w:rsid w:val="00997943"/>
    <w:rsid w:val="009C1B41"/>
    <w:rsid w:val="009C7A9F"/>
    <w:rsid w:val="009D2774"/>
    <w:rsid w:val="009E7725"/>
    <w:rsid w:val="009F74CB"/>
    <w:rsid w:val="00A22B94"/>
    <w:rsid w:val="00A47340"/>
    <w:rsid w:val="00A63A93"/>
    <w:rsid w:val="00A729CF"/>
    <w:rsid w:val="00A91DF4"/>
    <w:rsid w:val="00A94E3E"/>
    <w:rsid w:val="00AA77A5"/>
    <w:rsid w:val="00AD1A3E"/>
    <w:rsid w:val="00AE1ECF"/>
    <w:rsid w:val="00B2367D"/>
    <w:rsid w:val="00B72C5E"/>
    <w:rsid w:val="00B7537C"/>
    <w:rsid w:val="00B755F2"/>
    <w:rsid w:val="00B939FF"/>
    <w:rsid w:val="00B95478"/>
    <w:rsid w:val="00BC69D7"/>
    <w:rsid w:val="00C10857"/>
    <w:rsid w:val="00C1245D"/>
    <w:rsid w:val="00C1661E"/>
    <w:rsid w:val="00C20474"/>
    <w:rsid w:val="00C2640E"/>
    <w:rsid w:val="00C27EA5"/>
    <w:rsid w:val="00C7340B"/>
    <w:rsid w:val="00C86924"/>
    <w:rsid w:val="00C93AD2"/>
    <w:rsid w:val="00CA140C"/>
    <w:rsid w:val="00CA3939"/>
    <w:rsid w:val="00CD5F3F"/>
    <w:rsid w:val="00CF49D5"/>
    <w:rsid w:val="00D0682C"/>
    <w:rsid w:val="00D10158"/>
    <w:rsid w:val="00D32AD7"/>
    <w:rsid w:val="00DB1B49"/>
    <w:rsid w:val="00DC0B88"/>
    <w:rsid w:val="00DC230B"/>
    <w:rsid w:val="00DC5194"/>
    <w:rsid w:val="00DC70F8"/>
    <w:rsid w:val="00DC7F9F"/>
    <w:rsid w:val="00DD205B"/>
    <w:rsid w:val="00DE15BC"/>
    <w:rsid w:val="00E02324"/>
    <w:rsid w:val="00E316EA"/>
    <w:rsid w:val="00E439B0"/>
    <w:rsid w:val="00E64A46"/>
    <w:rsid w:val="00E879CB"/>
    <w:rsid w:val="00EA1505"/>
    <w:rsid w:val="00EF717A"/>
    <w:rsid w:val="00F05EC9"/>
    <w:rsid w:val="00F07DC0"/>
    <w:rsid w:val="00F13A45"/>
    <w:rsid w:val="00F30B85"/>
    <w:rsid w:val="00F35312"/>
    <w:rsid w:val="00F45EBF"/>
    <w:rsid w:val="00F874EC"/>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sz w:val="18"/>
      <w:szCs w:val="18"/>
    </w:rPr>
  </w:style>
  <w:style w:type="paragraph" w:styleId="a6">
    <w:name w:val="footer"/>
    <w:basedOn w:val="a"/>
    <w:link w:val="Char2"/>
    <w:uiPriority w:val="99"/>
    <w:unhideWhenUsed/>
    <w:qFormat/>
    <w:rsid w:val="0055308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53082"/>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unhideWhenUsed/>
    <w:qFormat/>
    <w:rsid w:val="00553082"/>
    <w:rPr>
      <w:sz w:val="21"/>
      <w:szCs w:val="21"/>
    </w:rPr>
  </w:style>
  <w:style w:type="character" w:customStyle="1" w:styleId="2Char">
    <w:name w:val="标题 2 Char"/>
    <w:basedOn w:val="a0"/>
    <w:link w:val="2"/>
    <w:uiPriority w:val="9"/>
    <w:rsid w:val="00553082"/>
    <w:rPr>
      <w:rFonts w:ascii="宋体" w:eastAsia="宋体" w:hAnsi="宋体" w:cs="宋体"/>
      <w:b/>
      <w:bCs/>
      <w:kern w:val="0"/>
      <w:sz w:val="36"/>
      <w:szCs w:val="36"/>
    </w:rPr>
  </w:style>
  <w:style w:type="character" w:customStyle="1" w:styleId="3Char">
    <w:name w:val="标题 3 Char"/>
    <w:basedOn w:val="a0"/>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basedOn w:val="a0"/>
    <w:link w:val="a7"/>
    <w:uiPriority w:val="99"/>
    <w:semiHidden/>
    <w:qFormat/>
    <w:rsid w:val="00553082"/>
    <w:rPr>
      <w:sz w:val="18"/>
      <w:szCs w:val="18"/>
    </w:rPr>
  </w:style>
  <w:style w:type="character" w:customStyle="1" w:styleId="Char2">
    <w:name w:val="页脚 Char"/>
    <w:basedOn w:val="a0"/>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basedOn w:val="Char0"/>
    <w:link w:val="a3"/>
    <w:uiPriority w:val="99"/>
    <w:semiHidden/>
    <w:qFormat/>
    <w:rsid w:val="00553082"/>
    <w:rPr>
      <w:b/>
      <w:bCs/>
    </w:rPr>
  </w:style>
  <w:style w:type="character" w:customStyle="1" w:styleId="Char1">
    <w:name w:val="批注框文本 Char"/>
    <w:basedOn w:val="a0"/>
    <w:link w:val="a5"/>
    <w:uiPriority w:val="99"/>
    <w:semiHidden/>
    <w:qFormat/>
    <w:rsid w:val="00553082"/>
    <w:rPr>
      <w:sz w:val="18"/>
      <w:szCs w:val="18"/>
    </w:rPr>
  </w:style>
  <w:style w:type="paragraph" w:customStyle="1" w:styleId="Default">
    <w:name w:val="Default"/>
    <w:rsid w:val="00093F8C"/>
    <w:pPr>
      <w:widowControl w:val="0"/>
      <w:autoSpaceDE w:val="0"/>
      <w:autoSpaceDN w:val="0"/>
      <w:adjustRightInd w:val="0"/>
    </w:pPr>
    <w:rPr>
      <w:rFonts w:ascii="宋体" w:eastAsia="宋体" w:cs="宋体"/>
      <w:color w:val="000000"/>
      <w:sz w:val="24"/>
      <w:szCs w:val="24"/>
    </w:rPr>
  </w:style>
  <w:style w:type="paragraph" w:styleId="aa">
    <w:name w:val="Revision"/>
    <w:hidden/>
    <w:uiPriority w:val="99"/>
    <w:unhideWhenUsed/>
    <w:rsid w:val="008B45AC"/>
    <w:rPr>
      <w:kern w:val="2"/>
      <w:sz w:val="21"/>
      <w:szCs w:val="22"/>
    </w:rPr>
  </w:style>
</w:styles>
</file>

<file path=word/webSettings.xml><?xml version="1.0" encoding="utf-8"?>
<w:webSettings xmlns:r="http://schemas.openxmlformats.org/officeDocument/2006/relationships" xmlns:w="http://schemas.openxmlformats.org/wordprocessingml/2006/main">
  <w:divs>
    <w:div w:id="537356363">
      <w:bodyDiv w:val="1"/>
      <w:marLeft w:val="0"/>
      <w:marRight w:val="0"/>
      <w:marTop w:val="0"/>
      <w:marBottom w:val="0"/>
      <w:divBdr>
        <w:top w:val="none" w:sz="0" w:space="0" w:color="auto"/>
        <w:left w:val="none" w:sz="0" w:space="0" w:color="auto"/>
        <w:bottom w:val="none" w:sz="0" w:space="0" w:color="auto"/>
        <w:right w:val="none" w:sz="0" w:space="0" w:color="auto"/>
      </w:divBdr>
      <w:divsChild>
        <w:div w:id="2030375059">
          <w:marLeft w:val="0"/>
          <w:marRight w:val="0"/>
          <w:marTop w:val="0"/>
          <w:marBottom w:val="0"/>
          <w:divBdr>
            <w:top w:val="none" w:sz="0" w:space="0" w:color="auto"/>
            <w:left w:val="none" w:sz="0" w:space="0" w:color="auto"/>
            <w:bottom w:val="none" w:sz="0" w:space="0" w:color="auto"/>
            <w:right w:val="none" w:sz="0" w:space="0" w:color="auto"/>
          </w:divBdr>
        </w:div>
        <w:div w:id="1494566476">
          <w:marLeft w:val="0"/>
          <w:marRight w:val="0"/>
          <w:marTop w:val="0"/>
          <w:marBottom w:val="0"/>
          <w:divBdr>
            <w:top w:val="none" w:sz="0" w:space="0" w:color="auto"/>
            <w:left w:val="none" w:sz="0" w:space="0" w:color="auto"/>
            <w:bottom w:val="none" w:sz="0" w:space="0" w:color="auto"/>
            <w:right w:val="none" w:sz="0" w:space="0" w:color="auto"/>
          </w:divBdr>
        </w:div>
        <w:div w:id="1993560802">
          <w:marLeft w:val="0"/>
          <w:marRight w:val="0"/>
          <w:marTop w:val="0"/>
          <w:marBottom w:val="0"/>
          <w:divBdr>
            <w:top w:val="none" w:sz="0" w:space="0" w:color="auto"/>
            <w:left w:val="none" w:sz="0" w:space="0" w:color="auto"/>
            <w:bottom w:val="none" w:sz="0" w:space="0" w:color="auto"/>
            <w:right w:val="none" w:sz="0" w:space="0" w:color="auto"/>
          </w:divBdr>
        </w:div>
        <w:div w:id="1229849958">
          <w:marLeft w:val="0"/>
          <w:marRight w:val="0"/>
          <w:marTop w:val="0"/>
          <w:marBottom w:val="0"/>
          <w:divBdr>
            <w:top w:val="none" w:sz="0" w:space="0" w:color="auto"/>
            <w:left w:val="none" w:sz="0" w:space="0" w:color="auto"/>
            <w:bottom w:val="none" w:sz="0" w:space="0" w:color="auto"/>
            <w:right w:val="none" w:sz="0" w:space="0" w:color="auto"/>
          </w:divBdr>
        </w:div>
        <w:div w:id="752705673">
          <w:marLeft w:val="0"/>
          <w:marRight w:val="0"/>
          <w:marTop w:val="0"/>
          <w:marBottom w:val="0"/>
          <w:divBdr>
            <w:top w:val="none" w:sz="0" w:space="0" w:color="auto"/>
            <w:left w:val="none" w:sz="0" w:space="0" w:color="auto"/>
            <w:bottom w:val="none" w:sz="0" w:space="0" w:color="auto"/>
            <w:right w:val="none" w:sz="0" w:space="0" w:color="auto"/>
          </w:divBdr>
        </w:div>
        <w:div w:id="220678307">
          <w:marLeft w:val="0"/>
          <w:marRight w:val="0"/>
          <w:marTop w:val="0"/>
          <w:marBottom w:val="0"/>
          <w:divBdr>
            <w:top w:val="none" w:sz="0" w:space="0" w:color="auto"/>
            <w:left w:val="none" w:sz="0" w:space="0" w:color="auto"/>
            <w:bottom w:val="none" w:sz="0" w:space="0" w:color="auto"/>
            <w:right w:val="none" w:sz="0" w:space="0" w:color="auto"/>
          </w:divBdr>
        </w:div>
      </w:divsChild>
    </w:div>
    <w:div w:id="1086076188">
      <w:bodyDiv w:val="1"/>
      <w:marLeft w:val="0"/>
      <w:marRight w:val="0"/>
      <w:marTop w:val="0"/>
      <w:marBottom w:val="0"/>
      <w:divBdr>
        <w:top w:val="none" w:sz="0" w:space="0" w:color="auto"/>
        <w:left w:val="none" w:sz="0" w:space="0" w:color="auto"/>
        <w:bottom w:val="none" w:sz="0" w:space="0" w:color="auto"/>
        <w:right w:val="none" w:sz="0" w:space="0" w:color="auto"/>
      </w:divBdr>
      <w:divsChild>
        <w:div w:id="1773819629">
          <w:marLeft w:val="0"/>
          <w:marRight w:val="0"/>
          <w:marTop w:val="0"/>
          <w:marBottom w:val="0"/>
          <w:divBdr>
            <w:top w:val="none" w:sz="0" w:space="0" w:color="auto"/>
            <w:left w:val="none" w:sz="0" w:space="0" w:color="auto"/>
            <w:bottom w:val="none" w:sz="0" w:space="0" w:color="auto"/>
            <w:right w:val="none" w:sz="0" w:space="0" w:color="auto"/>
          </w:divBdr>
        </w:div>
        <w:div w:id="1365254068">
          <w:marLeft w:val="0"/>
          <w:marRight w:val="0"/>
          <w:marTop w:val="0"/>
          <w:marBottom w:val="0"/>
          <w:divBdr>
            <w:top w:val="none" w:sz="0" w:space="0" w:color="auto"/>
            <w:left w:val="none" w:sz="0" w:space="0" w:color="auto"/>
            <w:bottom w:val="none" w:sz="0" w:space="0" w:color="auto"/>
            <w:right w:val="none" w:sz="0" w:space="0" w:color="auto"/>
          </w:divBdr>
        </w:div>
        <w:div w:id="1073283865">
          <w:marLeft w:val="0"/>
          <w:marRight w:val="0"/>
          <w:marTop w:val="0"/>
          <w:marBottom w:val="0"/>
          <w:divBdr>
            <w:top w:val="none" w:sz="0" w:space="0" w:color="auto"/>
            <w:left w:val="none" w:sz="0" w:space="0" w:color="auto"/>
            <w:bottom w:val="none" w:sz="0" w:space="0" w:color="auto"/>
            <w:right w:val="none" w:sz="0" w:space="0" w:color="auto"/>
          </w:divBdr>
        </w:div>
        <w:div w:id="1754278188">
          <w:marLeft w:val="0"/>
          <w:marRight w:val="0"/>
          <w:marTop w:val="0"/>
          <w:marBottom w:val="0"/>
          <w:divBdr>
            <w:top w:val="none" w:sz="0" w:space="0" w:color="auto"/>
            <w:left w:val="none" w:sz="0" w:space="0" w:color="auto"/>
            <w:bottom w:val="none" w:sz="0" w:space="0" w:color="auto"/>
            <w:right w:val="none" w:sz="0" w:space="0" w:color="auto"/>
          </w:divBdr>
        </w:div>
        <w:div w:id="213851376">
          <w:marLeft w:val="0"/>
          <w:marRight w:val="0"/>
          <w:marTop w:val="0"/>
          <w:marBottom w:val="0"/>
          <w:divBdr>
            <w:top w:val="none" w:sz="0" w:space="0" w:color="auto"/>
            <w:left w:val="none" w:sz="0" w:space="0" w:color="auto"/>
            <w:bottom w:val="none" w:sz="0" w:space="0" w:color="auto"/>
            <w:right w:val="none" w:sz="0" w:space="0" w:color="auto"/>
          </w:divBdr>
        </w:div>
        <w:div w:id="607812609">
          <w:marLeft w:val="0"/>
          <w:marRight w:val="0"/>
          <w:marTop w:val="0"/>
          <w:marBottom w:val="0"/>
          <w:divBdr>
            <w:top w:val="none" w:sz="0" w:space="0" w:color="auto"/>
            <w:left w:val="none" w:sz="0" w:space="0" w:color="auto"/>
            <w:bottom w:val="none" w:sz="0" w:space="0" w:color="auto"/>
            <w:right w:val="none" w:sz="0" w:space="0" w:color="auto"/>
          </w:divBdr>
        </w:div>
        <w:div w:id="1547259112">
          <w:marLeft w:val="0"/>
          <w:marRight w:val="0"/>
          <w:marTop w:val="0"/>
          <w:marBottom w:val="0"/>
          <w:divBdr>
            <w:top w:val="none" w:sz="0" w:space="0" w:color="auto"/>
            <w:left w:val="none" w:sz="0" w:space="0" w:color="auto"/>
            <w:bottom w:val="none" w:sz="0" w:space="0" w:color="auto"/>
            <w:right w:val="none" w:sz="0" w:space="0" w:color="auto"/>
          </w:divBdr>
        </w:div>
        <w:div w:id="2119569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1676</Characters>
  <Application>Microsoft Office Word</Application>
  <DocSecurity>4</DocSecurity>
  <Lines>13</Lines>
  <Paragraphs>3</Paragraphs>
  <ScaleCrop>false</ScaleCrop>
  <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dc:creator>
  <cp:lastModifiedBy>ZHONGM</cp:lastModifiedBy>
  <cp:revision>2</cp:revision>
  <dcterms:created xsi:type="dcterms:W3CDTF">2018-06-25T16:31:00Z</dcterms:created>
  <dcterms:modified xsi:type="dcterms:W3CDTF">2018-06-25T16:31:00Z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