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27" w:rsidRDefault="00F95E27" w:rsidP="00F95E2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pPr>
      <w:r>
        <w:rPr>
          <w:rFonts w:hint="eastAsia"/>
          <w:sz w:val="32"/>
        </w:rPr>
        <w:t>泰达宏利多元回报</w:t>
      </w:r>
      <w:r>
        <w:rPr>
          <w:sz w:val="32"/>
        </w:rPr>
        <w:t>债券型证券投资基金</w:t>
      </w:r>
      <w:r w:rsidR="003E726D">
        <w:rPr>
          <w:rFonts w:hint="eastAsia"/>
        </w:rPr>
        <w:t>清算</w:t>
      </w:r>
      <w:r w:rsidR="003E655A">
        <w:rPr>
          <w:rFonts w:hint="eastAsia"/>
        </w:rPr>
        <w:t>剩余</w:t>
      </w:r>
      <w:r w:rsidR="003E655A">
        <w:t>财产分配公告</w:t>
      </w:r>
    </w:p>
    <w:p w:rsidR="00F95E27" w:rsidRDefault="00F95E27" w:rsidP="00F95E27">
      <w:pPr>
        <w:pStyle w:val="HTML"/>
        <w:ind w:firstLineChars="200" w:firstLine="480"/>
      </w:pPr>
      <w:r w:rsidRPr="00AD6848">
        <w:t>根据《中华人民共和国证券投资基金法》、《公开募集证券投资基金运作管理办法》和《</w:t>
      </w:r>
      <w:r w:rsidRPr="00AD6848">
        <w:rPr>
          <w:rFonts w:hint="eastAsia"/>
        </w:rPr>
        <w:t>泰达宏利多元回报债券</w:t>
      </w:r>
      <w:r w:rsidRPr="00AD6848">
        <w:t>型证券投资基金基金合同》（以下简称“基金合同”）等有关规定，</w:t>
      </w:r>
      <w:r w:rsidRPr="00AD6848">
        <w:rPr>
          <w:rFonts w:hint="eastAsia"/>
        </w:rPr>
        <w:t>泰达宏利多元回报债券</w:t>
      </w:r>
      <w:r w:rsidRPr="00AD6848">
        <w:t>型证券投资基金(以下简称“本基金”)</w:t>
      </w:r>
      <w:r w:rsidR="00C21C8A">
        <w:rPr>
          <w:rFonts w:hint="eastAsia"/>
        </w:rPr>
        <w:t>于2</w:t>
      </w:r>
      <w:r w:rsidR="00C21C8A">
        <w:t>018</w:t>
      </w:r>
      <w:r w:rsidR="00C21C8A">
        <w:rPr>
          <w:rFonts w:hint="eastAsia"/>
        </w:rPr>
        <w:t>年1月1</w:t>
      </w:r>
      <w:r w:rsidR="00C21C8A">
        <w:t>8</w:t>
      </w:r>
      <w:r w:rsidR="00C21C8A">
        <w:rPr>
          <w:rFonts w:hint="eastAsia"/>
        </w:rPr>
        <w:t>日触发基金合同终止条款</w:t>
      </w:r>
      <w:r>
        <w:rPr>
          <w:rFonts w:hint="eastAsia"/>
        </w:rPr>
        <w:t>，且泰达</w:t>
      </w:r>
      <w:r>
        <w:t>宏利</w:t>
      </w:r>
      <w:r>
        <w:rPr>
          <w:rFonts w:hint="eastAsia"/>
        </w:rPr>
        <w:t>基金管理有限公司（以下简称本基金管理人）应当在上述事由出现后终止基金合同并依法履行基金财产清算程序，此事项无需召开基金份额持有人大会。</w:t>
      </w:r>
      <w:r>
        <w:rPr>
          <w:rFonts w:hint="eastAsia"/>
        </w:rPr>
        <w:br/>
        <w:t xml:space="preserve">    本基金的最后运作日定为2018年1月31日，并于2018年2月1日</w:t>
      </w:r>
      <w:r w:rsidR="00E40F04">
        <w:rPr>
          <w:rFonts w:hint="eastAsia"/>
        </w:rPr>
        <w:t>进入清算</w:t>
      </w:r>
      <w:r w:rsidR="00E40F04">
        <w:t>期</w:t>
      </w:r>
      <w:r>
        <w:rPr>
          <w:rFonts w:hint="eastAsia"/>
        </w:rPr>
        <w:t>，</w:t>
      </w:r>
      <w:r w:rsidRPr="00F95E27">
        <w:rPr>
          <w:rFonts w:hint="eastAsia"/>
        </w:rPr>
        <w:t>由基金管理人泰达宏利基金管理有限公司、基金托管人中国银行股份有限公司、普华永道中天会计师事务所（特殊普通合伙）和上海市通力律师事务所组成基金财产清算小组履行基金财产清算程序，并由普华永道中天会计师事务所（特殊普通合伙）对清算报告进行审计，上海市通力律师事务所对清算报告出具法律意见。</w:t>
      </w:r>
    </w:p>
    <w:p w:rsidR="00F45F65" w:rsidRDefault="005E6D73" w:rsidP="00F45F65">
      <w:pPr>
        <w:pStyle w:val="HTML"/>
        <w:ind w:firstLineChars="200" w:firstLine="480"/>
      </w:pPr>
      <w:r>
        <w:rPr>
          <w:rFonts w:hint="eastAsia"/>
        </w:rPr>
        <w:t>本基金管理人于2018年5月25日收到中国证监会证券基金机构监管部《关于</w:t>
      </w:r>
      <w:r w:rsidRPr="00AD6848">
        <w:rPr>
          <w:rFonts w:hint="eastAsia"/>
        </w:rPr>
        <w:t>泰达宏利多元回报债券</w:t>
      </w:r>
      <w:r w:rsidRPr="00AD6848">
        <w:t>型证券投资基金</w:t>
      </w:r>
      <w:r>
        <w:rPr>
          <w:rFonts w:hint="eastAsia"/>
        </w:rPr>
        <w:t>清算备案的回函》，并分别于2018年6月1日刊登了《泰达宏利多元回报债券型证券投资基金清算报告》</w:t>
      </w:r>
      <w:r w:rsidR="00902A30">
        <w:rPr>
          <w:rFonts w:hint="eastAsia"/>
        </w:rPr>
        <w:t>（以下简称清算报告）</w:t>
      </w:r>
      <w:r>
        <w:rPr>
          <w:rFonts w:hint="eastAsia"/>
        </w:rPr>
        <w:t>。</w:t>
      </w:r>
    </w:p>
    <w:p w:rsidR="000F7C63" w:rsidRDefault="005E6D73" w:rsidP="00F45F65">
      <w:pPr>
        <w:pStyle w:val="HTML"/>
        <w:ind w:firstLineChars="200" w:firstLine="480"/>
      </w:pPr>
      <w:r>
        <w:rPr>
          <w:rFonts w:hint="eastAsia"/>
        </w:rPr>
        <w:t>根据</w:t>
      </w:r>
      <w:r w:rsidR="00902A30">
        <w:rPr>
          <w:rFonts w:hint="eastAsia"/>
        </w:rPr>
        <w:t>清算报告</w:t>
      </w:r>
      <w:r>
        <w:rPr>
          <w:rFonts w:hint="eastAsia"/>
        </w:rPr>
        <w:t>，</w:t>
      </w:r>
      <w:r w:rsidR="00F45F65">
        <w:rPr>
          <w:rFonts w:hint="eastAsia"/>
        </w:rPr>
        <w:t>截至首</w:t>
      </w:r>
      <w:r w:rsidR="000F7C63" w:rsidRPr="000F7C63">
        <w:rPr>
          <w:rFonts w:hint="eastAsia"/>
        </w:rPr>
        <w:t>次清算期结束日（2018年3月21日），本基金所持停牌股票600309 万华化学</w:t>
      </w:r>
      <w:r w:rsidR="005E2366">
        <w:rPr>
          <w:rFonts w:hint="eastAsia"/>
        </w:rPr>
        <w:t>尚未复牌，</w:t>
      </w:r>
      <w:r w:rsidR="000F7C63">
        <w:rPr>
          <w:rFonts w:hint="eastAsia"/>
        </w:rPr>
        <w:t>估值金额为</w:t>
      </w:r>
      <w:r w:rsidR="00F45F65">
        <w:rPr>
          <w:rFonts w:hint="eastAsia"/>
        </w:rPr>
        <w:t>人民币元</w:t>
      </w:r>
      <w:r w:rsidR="000F7C63" w:rsidRPr="000F7C63">
        <w:rPr>
          <w:rFonts w:hint="eastAsia"/>
        </w:rPr>
        <w:t>174,912.00元</w:t>
      </w:r>
      <w:r w:rsidR="00F45F65">
        <w:rPr>
          <w:rFonts w:hint="eastAsia"/>
        </w:rPr>
        <w:t>，</w:t>
      </w:r>
      <w:r w:rsidR="005E2366">
        <w:rPr>
          <w:rFonts w:hint="eastAsia"/>
        </w:rPr>
        <w:t>此部分资产尚未收回</w:t>
      </w:r>
      <w:r w:rsidR="00F45F65">
        <w:rPr>
          <w:rFonts w:hint="eastAsia"/>
        </w:rPr>
        <w:t>。为加快清算速度，基金管理人泰达宏利基金管理有限公司</w:t>
      </w:r>
      <w:r w:rsidR="000F7C63" w:rsidRPr="000F7C63">
        <w:rPr>
          <w:rFonts w:hint="eastAsia"/>
        </w:rPr>
        <w:t>以自有资金垫付至托管账户。待停牌股票变现后，若本基金所持停牌股票整体变现金额高于基金管理人为本基金停牌股票垫付的金额，则将差额按基金份额持有人持有的基金份额比例分配给基金份额持有人。</w:t>
      </w:r>
    </w:p>
    <w:p w:rsidR="00557560" w:rsidRDefault="005E6D73" w:rsidP="000F7C63">
      <w:pPr>
        <w:pStyle w:val="HTML"/>
        <w:spacing w:after="240"/>
        <w:ind w:firstLineChars="200" w:firstLine="480"/>
      </w:pPr>
      <w:r>
        <w:rPr>
          <w:rFonts w:hint="eastAsia"/>
        </w:rPr>
        <w:t>截至</w:t>
      </w:r>
      <w:r w:rsidR="000F7C63">
        <w:rPr>
          <w:rFonts w:hint="eastAsia"/>
        </w:rPr>
        <w:t>2018</w:t>
      </w:r>
      <w:r>
        <w:rPr>
          <w:rFonts w:hint="eastAsia"/>
        </w:rPr>
        <w:t>年</w:t>
      </w:r>
      <w:r w:rsidR="000F7C63">
        <w:rPr>
          <w:rFonts w:hint="eastAsia"/>
        </w:rPr>
        <w:t>6</w:t>
      </w:r>
      <w:r>
        <w:rPr>
          <w:rFonts w:hint="eastAsia"/>
        </w:rPr>
        <w:t>月</w:t>
      </w:r>
      <w:r w:rsidR="00480C03">
        <w:t>7</w:t>
      </w:r>
      <w:r>
        <w:rPr>
          <w:rFonts w:hint="eastAsia"/>
        </w:rPr>
        <w:t>日，本基金所持的</w:t>
      </w:r>
      <w:r w:rsidR="00F45F65">
        <w:rPr>
          <w:rFonts w:hint="eastAsia"/>
        </w:rPr>
        <w:t>全部</w:t>
      </w:r>
      <w:r>
        <w:rPr>
          <w:rFonts w:hint="eastAsia"/>
        </w:rPr>
        <w:t>停牌股票</w:t>
      </w:r>
      <w:r w:rsidR="00691555">
        <w:rPr>
          <w:rFonts w:hint="eastAsia"/>
        </w:rPr>
        <w:t>600</w:t>
      </w:r>
      <w:r w:rsidR="00557560">
        <w:rPr>
          <w:rFonts w:hint="eastAsia"/>
        </w:rPr>
        <w:t>309万华</w:t>
      </w:r>
      <w:r w:rsidR="00557560">
        <w:t>化学</w:t>
      </w:r>
      <w:r w:rsidR="00F45F65">
        <w:rPr>
          <w:rFonts w:hint="eastAsia"/>
        </w:rPr>
        <w:t>已</w:t>
      </w:r>
      <w:r w:rsidR="00557560">
        <w:rPr>
          <w:rFonts w:hint="eastAsia"/>
        </w:rPr>
        <w:t>于2018年6月4日</w:t>
      </w:r>
      <w:r w:rsidR="00557560">
        <w:t>复牌</w:t>
      </w:r>
      <w:r w:rsidR="00557560">
        <w:rPr>
          <w:rFonts w:hint="eastAsia"/>
        </w:rPr>
        <w:t>，</w:t>
      </w:r>
      <w:r w:rsidR="00557560">
        <w:t>并于</w:t>
      </w:r>
      <w:r w:rsidR="00557560">
        <w:rPr>
          <w:rFonts w:hint="eastAsia"/>
        </w:rPr>
        <w:t>2018年6月</w:t>
      </w:r>
      <w:r w:rsidR="00A14349">
        <w:rPr>
          <w:rFonts w:hint="eastAsia"/>
        </w:rPr>
        <w:t>5</w:t>
      </w:r>
      <w:r w:rsidR="00557560">
        <w:rPr>
          <w:rFonts w:hint="eastAsia"/>
        </w:rPr>
        <w:t>日</w:t>
      </w:r>
      <w:r w:rsidR="00557560">
        <w:t>全部变现</w:t>
      </w:r>
      <w:r w:rsidR="00F45F65">
        <w:rPr>
          <w:rFonts w:hint="eastAsia"/>
        </w:rPr>
        <w:t>。停牌股票</w:t>
      </w:r>
      <w:r>
        <w:rPr>
          <w:rFonts w:hint="eastAsia"/>
        </w:rPr>
        <w:t>变现金额为</w:t>
      </w:r>
      <w:bookmarkStart w:id="0" w:name="_GoBack"/>
      <w:bookmarkEnd w:id="0"/>
      <w:r w:rsidRPr="004A2A6A">
        <w:rPr>
          <w:rFonts w:hint="eastAsia"/>
        </w:rPr>
        <w:t>人</w:t>
      </w:r>
      <w:r w:rsidRPr="004A2A6A">
        <w:rPr>
          <w:rFonts w:hint="eastAsia"/>
        </w:rPr>
        <w:lastRenderedPageBreak/>
        <w:t>民币</w:t>
      </w:r>
      <w:r w:rsidR="00E40F04" w:rsidRPr="004A2A6A">
        <w:rPr>
          <w:rFonts w:hint="eastAsia"/>
        </w:rPr>
        <w:t>209</w:t>
      </w:r>
      <w:r w:rsidR="00E40F04" w:rsidRPr="004A2A6A">
        <w:t>,</w:t>
      </w:r>
      <w:r w:rsidR="00E40F04" w:rsidRPr="004A2A6A">
        <w:rPr>
          <w:rFonts w:hint="eastAsia"/>
        </w:rPr>
        <w:t>192.57</w:t>
      </w:r>
      <w:r w:rsidRPr="004A2A6A">
        <w:rPr>
          <w:rFonts w:hint="eastAsia"/>
        </w:rPr>
        <w:t>元，基金管理人为本基金停牌股票垫付的金额为人民币</w:t>
      </w:r>
      <w:r w:rsidR="00557560" w:rsidRPr="004A2A6A">
        <w:t>174</w:t>
      </w:r>
      <w:r w:rsidR="00E40F04" w:rsidRPr="004A2A6A">
        <w:rPr>
          <w:rFonts w:hint="eastAsia"/>
        </w:rPr>
        <w:t>,</w:t>
      </w:r>
      <w:r w:rsidR="00557560" w:rsidRPr="004A2A6A">
        <w:t>912.00</w:t>
      </w:r>
      <w:r w:rsidRPr="004A2A6A">
        <w:rPr>
          <w:rFonts w:hint="eastAsia"/>
        </w:rPr>
        <w:t>元，</w:t>
      </w:r>
      <w:r w:rsidR="002C7F95" w:rsidRPr="004A2A6A">
        <w:rPr>
          <w:rFonts w:hint="eastAsia"/>
        </w:rPr>
        <w:t>扣除相关税费以后</w:t>
      </w:r>
      <w:r w:rsidRPr="004A2A6A">
        <w:rPr>
          <w:rFonts w:hint="eastAsia"/>
        </w:rPr>
        <w:t>两者差额为人民币</w:t>
      </w:r>
      <w:r w:rsidR="00A14349" w:rsidRPr="004A2A6A">
        <w:rPr>
          <w:rFonts w:hint="eastAsia"/>
        </w:rPr>
        <w:t>33</w:t>
      </w:r>
      <w:r w:rsidR="00E40F04" w:rsidRPr="004A2A6A">
        <w:rPr>
          <w:rFonts w:hint="eastAsia"/>
        </w:rPr>
        <w:t>,</w:t>
      </w:r>
      <w:r w:rsidR="00817F9B" w:rsidRPr="004A2A6A">
        <w:rPr>
          <w:rFonts w:hint="eastAsia"/>
        </w:rPr>
        <w:t>5</w:t>
      </w:r>
      <w:r w:rsidR="00EC6BC8" w:rsidRPr="004A2A6A">
        <w:rPr>
          <w:rFonts w:hint="eastAsia"/>
        </w:rPr>
        <w:t>45</w:t>
      </w:r>
      <w:r w:rsidR="00E40F04" w:rsidRPr="004A2A6A">
        <w:rPr>
          <w:rFonts w:hint="eastAsia"/>
        </w:rPr>
        <w:t>.57</w:t>
      </w:r>
      <w:r w:rsidRPr="004A2A6A">
        <w:rPr>
          <w:rFonts w:hint="eastAsia"/>
        </w:rPr>
        <w:t>元，该差额将按基金份额持有人持有的基金份额比例分配给基金份额持有人。</w:t>
      </w:r>
      <w:r w:rsidR="00E30BC2" w:rsidRPr="004A2A6A">
        <w:rPr>
          <w:rFonts w:hint="eastAsia"/>
        </w:rPr>
        <w:t>此款项划</w:t>
      </w:r>
      <w:r w:rsidR="00E30BC2">
        <w:rPr>
          <w:rFonts w:hint="eastAsia"/>
        </w:rPr>
        <w:t>出后，本基金所有剩余财产全部变现并完成分配。</w:t>
      </w:r>
    </w:p>
    <w:p w:rsidR="005E2366" w:rsidRDefault="005E2366" w:rsidP="000F7C63">
      <w:pPr>
        <w:pStyle w:val="HTML"/>
        <w:spacing w:after="240"/>
        <w:ind w:firstLineChars="200" w:firstLine="480"/>
      </w:pPr>
    </w:p>
    <w:p w:rsidR="00F45F65" w:rsidRDefault="00F45F65" w:rsidP="000F7C63">
      <w:pPr>
        <w:pStyle w:val="HTML"/>
        <w:spacing w:after="240"/>
        <w:ind w:firstLineChars="200" w:firstLine="480"/>
      </w:pPr>
      <w:r>
        <w:rPr>
          <w:rFonts w:hint="eastAsia"/>
        </w:rPr>
        <w:t>特此公告</w:t>
      </w:r>
    </w:p>
    <w:p w:rsidR="00557560" w:rsidRDefault="00557560" w:rsidP="00557560">
      <w:pPr>
        <w:pStyle w:val="HTML"/>
        <w:spacing w:after="240"/>
        <w:ind w:firstLineChars="2000" w:firstLine="4800"/>
      </w:pPr>
    </w:p>
    <w:p w:rsidR="005E6D73" w:rsidRDefault="00557560" w:rsidP="00557560">
      <w:pPr>
        <w:pStyle w:val="HTML"/>
        <w:spacing w:after="240"/>
        <w:ind w:leftChars="2000" w:left="4560" w:hangingChars="150" w:hanging="360"/>
      </w:pPr>
      <w:r>
        <w:rPr>
          <w:rFonts w:hint="eastAsia"/>
        </w:rPr>
        <w:t>泰达宏利</w:t>
      </w:r>
      <w:r w:rsidR="005E6D73">
        <w:rPr>
          <w:rFonts w:hint="eastAsia"/>
        </w:rPr>
        <w:t xml:space="preserve">基金管理有限公司 </w:t>
      </w:r>
      <w:r w:rsidR="005E6D73">
        <w:rPr>
          <w:rFonts w:hint="eastAsia"/>
        </w:rPr>
        <w:br/>
      </w:r>
      <w:r>
        <w:rPr>
          <w:rFonts w:hint="eastAsia"/>
        </w:rPr>
        <w:t>2</w:t>
      </w:r>
      <w:r>
        <w:t>018</w:t>
      </w:r>
      <w:r>
        <w:rPr>
          <w:rFonts w:hint="eastAsia"/>
        </w:rPr>
        <w:t>年6月</w:t>
      </w:r>
      <w:r w:rsidR="004747AF">
        <w:rPr>
          <w:rFonts w:hint="eastAsia"/>
        </w:rPr>
        <w:t>8</w:t>
      </w:r>
      <w:r w:rsidR="005E6D73">
        <w:rPr>
          <w:rFonts w:hint="eastAsia"/>
        </w:rPr>
        <w:t>日</w:t>
      </w:r>
    </w:p>
    <w:p w:rsidR="00C85B3D" w:rsidRPr="00557560" w:rsidRDefault="00C85B3D" w:rsidP="005E6D73">
      <w:pPr>
        <w:pStyle w:val="HTML"/>
        <w:ind w:firstLineChars="200" w:firstLine="480"/>
      </w:pPr>
    </w:p>
    <w:sectPr w:rsidR="00C85B3D" w:rsidRPr="00557560" w:rsidSect="00EF36E6">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ECA" w:rsidRDefault="00E77ECA" w:rsidP="00C21C8A">
      <w:r>
        <w:separator/>
      </w:r>
    </w:p>
  </w:endnote>
  <w:endnote w:type="continuationSeparator" w:id="1">
    <w:p w:rsidR="00E77ECA" w:rsidRDefault="00E77ECA" w:rsidP="00C21C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ECA" w:rsidRDefault="00E77ECA" w:rsidP="00C21C8A">
      <w:r>
        <w:separator/>
      </w:r>
    </w:p>
  </w:footnote>
  <w:footnote w:type="continuationSeparator" w:id="1">
    <w:p w:rsidR="00E77ECA" w:rsidRDefault="00E77ECA" w:rsidP="00C21C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E27"/>
    <w:rsid w:val="000F7C63"/>
    <w:rsid w:val="002C7F95"/>
    <w:rsid w:val="003E655A"/>
    <w:rsid w:val="003E726D"/>
    <w:rsid w:val="004747AF"/>
    <w:rsid w:val="00480C03"/>
    <w:rsid w:val="004A2A6A"/>
    <w:rsid w:val="00557560"/>
    <w:rsid w:val="005E2366"/>
    <w:rsid w:val="005E6D73"/>
    <w:rsid w:val="00691555"/>
    <w:rsid w:val="00795747"/>
    <w:rsid w:val="00817F9B"/>
    <w:rsid w:val="00902A30"/>
    <w:rsid w:val="00A14349"/>
    <w:rsid w:val="00B643C9"/>
    <w:rsid w:val="00C21C8A"/>
    <w:rsid w:val="00C85B3D"/>
    <w:rsid w:val="00DF63C1"/>
    <w:rsid w:val="00E30BC2"/>
    <w:rsid w:val="00E40F04"/>
    <w:rsid w:val="00E77ECA"/>
    <w:rsid w:val="00EC6BC8"/>
    <w:rsid w:val="00EF36E6"/>
    <w:rsid w:val="00EF45A1"/>
    <w:rsid w:val="00F03031"/>
    <w:rsid w:val="00F45F65"/>
    <w:rsid w:val="00F95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E6"/>
    <w:pPr>
      <w:widowControl w:val="0"/>
      <w:jc w:val="both"/>
    </w:pPr>
  </w:style>
  <w:style w:type="paragraph" w:styleId="1">
    <w:name w:val="heading 1"/>
    <w:basedOn w:val="a"/>
    <w:link w:val="1Char"/>
    <w:uiPriority w:val="9"/>
    <w:qFormat/>
    <w:rsid w:val="00F95E27"/>
    <w:pPr>
      <w:widowControl/>
      <w:spacing w:before="150" w:after="450"/>
      <w:jc w:val="center"/>
      <w:outlineLvl w:val="0"/>
    </w:pPr>
    <w:rPr>
      <w:rFonts w:ascii="微软雅黑" w:eastAsia="微软雅黑" w:hAnsi="微软雅黑" w:cs="宋体"/>
      <w:b/>
      <w:bCs/>
      <w:color w:val="064A7B"/>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5E27"/>
    <w:rPr>
      <w:rFonts w:ascii="微软雅黑" w:eastAsia="微软雅黑" w:hAnsi="微软雅黑" w:cs="宋体"/>
      <w:b/>
      <w:bCs/>
      <w:color w:val="064A7B"/>
      <w:kern w:val="36"/>
      <w:sz w:val="30"/>
      <w:szCs w:val="30"/>
    </w:rPr>
  </w:style>
  <w:style w:type="paragraph" w:styleId="HTML">
    <w:name w:val="HTML Preformatted"/>
    <w:basedOn w:val="a"/>
    <w:link w:val="HTMLChar"/>
    <w:uiPriority w:val="99"/>
    <w:unhideWhenUsed/>
    <w:rsid w:val="00F95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95E27"/>
    <w:rPr>
      <w:rFonts w:ascii="宋体" w:eastAsia="宋体" w:hAnsi="宋体" w:cs="宋体"/>
      <w:kern w:val="0"/>
      <w:sz w:val="24"/>
      <w:szCs w:val="24"/>
    </w:rPr>
  </w:style>
  <w:style w:type="paragraph" w:styleId="a3">
    <w:name w:val="header"/>
    <w:basedOn w:val="a"/>
    <w:link w:val="Char"/>
    <w:uiPriority w:val="99"/>
    <w:unhideWhenUsed/>
    <w:rsid w:val="00C21C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1C8A"/>
    <w:rPr>
      <w:sz w:val="18"/>
      <w:szCs w:val="18"/>
    </w:rPr>
  </w:style>
  <w:style w:type="paragraph" w:styleId="a4">
    <w:name w:val="footer"/>
    <w:basedOn w:val="a"/>
    <w:link w:val="Char0"/>
    <w:uiPriority w:val="99"/>
    <w:unhideWhenUsed/>
    <w:rsid w:val="00C21C8A"/>
    <w:pPr>
      <w:tabs>
        <w:tab w:val="center" w:pos="4153"/>
        <w:tab w:val="right" w:pos="8306"/>
      </w:tabs>
      <w:snapToGrid w:val="0"/>
      <w:jc w:val="left"/>
    </w:pPr>
    <w:rPr>
      <w:sz w:val="18"/>
      <w:szCs w:val="18"/>
    </w:rPr>
  </w:style>
  <w:style w:type="character" w:customStyle="1" w:styleId="Char0">
    <w:name w:val="页脚 Char"/>
    <w:basedOn w:val="a0"/>
    <w:link w:val="a4"/>
    <w:uiPriority w:val="99"/>
    <w:rsid w:val="00C21C8A"/>
    <w:rPr>
      <w:sz w:val="18"/>
      <w:szCs w:val="18"/>
    </w:rPr>
  </w:style>
  <w:style w:type="paragraph" w:styleId="a5">
    <w:name w:val="Balloon Text"/>
    <w:basedOn w:val="a"/>
    <w:link w:val="Char1"/>
    <w:uiPriority w:val="99"/>
    <w:semiHidden/>
    <w:unhideWhenUsed/>
    <w:rsid w:val="00C21C8A"/>
    <w:rPr>
      <w:sz w:val="18"/>
      <w:szCs w:val="18"/>
    </w:rPr>
  </w:style>
  <w:style w:type="character" w:customStyle="1" w:styleId="Char1">
    <w:name w:val="批注框文本 Char"/>
    <w:basedOn w:val="a0"/>
    <w:link w:val="a5"/>
    <w:uiPriority w:val="99"/>
    <w:semiHidden/>
    <w:rsid w:val="00C21C8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827</Characters>
  <Application>Microsoft Office Word</Application>
  <DocSecurity>4</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孙洋</dc:creator>
  <cp:keywords/>
  <dc:description/>
  <cp:lastModifiedBy>ZHONGM</cp:lastModifiedBy>
  <cp:revision>2</cp:revision>
  <dcterms:created xsi:type="dcterms:W3CDTF">2018-06-07T16:30:00Z</dcterms:created>
  <dcterms:modified xsi:type="dcterms:W3CDTF">2018-06-07T16:30:00Z</dcterms:modified>
</cp:coreProperties>
</file>