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96" w:rsidRPr="00675F11" w:rsidRDefault="00131B39" w:rsidP="00CB269B">
      <w:pPr>
        <w:spacing w:line="360" w:lineRule="auto"/>
        <w:jc w:val="center"/>
        <w:rPr>
          <w:rFonts w:asciiTheme="minorEastAsia" w:hAnsiTheme="minorEastAsia"/>
          <w:sz w:val="24"/>
          <w:szCs w:val="24"/>
        </w:rPr>
      </w:pPr>
      <w:r w:rsidRPr="00131B39">
        <w:rPr>
          <w:rFonts w:asciiTheme="minorEastAsia" w:hAnsiTheme="minorEastAsia" w:hint="eastAsia"/>
          <w:b/>
          <w:sz w:val="28"/>
          <w:szCs w:val="28"/>
        </w:rPr>
        <w:t>鹏华基金关于调整旗下部分基金</w:t>
      </w:r>
      <w:r>
        <w:rPr>
          <w:rFonts w:asciiTheme="minorEastAsia" w:hAnsiTheme="minorEastAsia" w:hint="eastAsia"/>
          <w:b/>
          <w:sz w:val="28"/>
          <w:szCs w:val="28"/>
        </w:rPr>
        <w:t>单笔</w:t>
      </w:r>
      <w:r>
        <w:rPr>
          <w:rFonts w:asciiTheme="minorEastAsia" w:hAnsiTheme="minorEastAsia"/>
          <w:b/>
          <w:sz w:val="28"/>
          <w:szCs w:val="28"/>
        </w:rPr>
        <w:t>最低</w:t>
      </w:r>
      <w:r w:rsidR="00EC51FC">
        <w:rPr>
          <w:rFonts w:asciiTheme="minorEastAsia" w:hAnsiTheme="minorEastAsia" w:hint="eastAsia"/>
          <w:b/>
          <w:sz w:val="28"/>
          <w:szCs w:val="28"/>
        </w:rPr>
        <w:t>定投</w:t>
      </w:r>
      <w:r w:rsidRPr="00131B39">
        <w:rPr>
          <w:rFonts w:asciiTheme="minorEastAsia" w:hAnsiTheme="minorEastAsia" w:hint="eastAsia"/>
          <w:b/>
          <w:sz w:val="28"/>
          <w:szCs w:val="28"/>
        </w:rPr>
        <w:t>金额限制的公告</w:t>
      </w:r>
    </w:p>
    <w:p w:rsidR="008D2331" w:rsidRPr="00EC51FC" w:rsidRDefault="00A754B9" w:rsidP="00EC51FC">
      <w:pPr>
        <w:spacing w:line="360" w:lineRule="auto"/>
        <w:ind w:firstLineChars="200" w:firstLine="480"/>
        <w:rPr>
          <w:rFonts w:asciiTheme="minorEastAsia" w:hAnsiTheme="minorEastAsia"/>
          <w:sz w:val="24"/>
          <w:szCs w:val="24"/>
        </w:rPr>
      </w:pPr>
      <w:r w:rsidRPr="00C121A3">
        <w:rPr>
          <w:rFonts w:asciiTheme="minorEastAsia" w:hAnsiTheme="minorEastAsia" w:hint="eastAsia"/>
          <w:sz w:val="24"/>
          <w:szCs w:val="24"/>
        </w:rPr>
        <w:t>为了</w:t>
      </w:r>
      <w:r w:rsidR="00880382">
        <w:rPr>
          <w:rFonts w:asciiTheme="minorEastAsia" w:hAnsiTheme="minorEastAsia"/>
          <w:sz w:val="24"/>
          <w:szCs w:val="24"/>
        </w:rPr>
        <w:t>向投资者更好地提供服务</w:t>
      </w:r>
      <w:r w:rsidR="00EC51FC">
        <w:rPr>
          <w:rFonts w:asciiTheme="minorEastAsia" w:hAnsiTheme="minorEastAsia" w:hint="eastAsia"/>
          <w:sz w:val="24"/>
          <w:szCs w:val="24"/>
        </w:rPr>
        <w:t>，</w:t>
      </w:r>
      <w:r w:rsidRPr="00C121A3">
        <w:rPr>
          <w:rFonts w:asciiTheme="minorEastAsia" w:hAnsiTheme="minorEastAsia"/>
          <w:sz w:val="24"/>
          <w:szCs w:val="24"/>
        </w:rPr>
        <w:t>鹏华基金管理有限公司（以下简称</w:t>
      </w:r>
      <w:r w:rsidR="00C121A3">
        <w:rPr>
          <w:rFonts w:asciiTheme="minorEastAsia" w:hAnsiTheme="minorEastAsia"/>
          <w:sz w:val="24"/>
          <w:szCs w:val="24"/>
        </w:rPr>
        <w:t>“</w:t>
      </w:r>
      <w:r w:rsidRPr="00C121A3">
        <w:rPr>
          <w:rFonts w:asciiTheme="minorEastAsia" w:hAnsiTheme="minorEastAsia"/>
          <w:sz w:val="24"/>
          <w:szCs w:val="24"/>
        </w:rPr>
        <w:t>本公司</w:t>
      </w:r>
      <w:r w:rsidR="00C121A3">
        <w:rPr>
          <w:rFonts w:asciiTheme="minorEastAsia" w:hAnsiTheme="minorEastAsia"/>
          <w:sz w:val="24"/>
          <w:szCs w:val="24"/>
        </w:rPr>
        <w:t>”</w:t>
      </w:r>
      <w:r w:rsidRPr="00C121A3">
        <w:rPr>
          <w:rFonts w:asciiTheme="minorEastAsia" w:hAnsiTheme="minorEastAsia"/>
          <w:sz w:val="24"/>
          <w:szCs w:val="24"/>
        </w:rPr>
        <w:t>）决定自</w:t>
      </w:r>
      <w:r w:rsidRPr="00C121A3">
        <w:rPr>
          <w:rFonts w:asciiTheme="minorEastAsia" w:hAnsiTheme="minorEastAsia" w:hint="eastAsia"/>
          <w:sz w:val="24"/>
          <w:szCs w:val="24"/>
        </w:rPr>
        <w:t>201</w:t>
      </w:r>
      <w:r w:rsidR="006F03C4">
        <w:rPr>
          <w:rFonts w:asciiTheme="minorEastAsia" w:hAnsiTheme="minorEastAsia"/>
          <w:sz w:val="24"/>
          <w:szCs w:val="24"/>
        </w:rPr>
        <w:t>8</w:t>
      </w:r>
      <w:r w:rsidRPr="00C121A3">
        <w:rPr>
          <w:rFonts w:asciiTheme="minorEastAsia" w:hAnsiTheme="minorEastAsia" w:hint="eastAsia"/>
          <w:sz w:val="24"/>
          <w:szCs w:val="24"/>
        </w:rPr>
        <w:t>年</w:t>
      </w:r>
      <w:r w:rsidR="00DB3C5B">
        <w:rPr>
          <w:rFonts w:asciiTheme="minorEastAsia" w:hAnsiTheme="minorEastAsia"/>
          <w:sz w:val="24"/>
          <w:szCs w:val="24"/>
        </w:rPr>
        <w:t>6</w:t>
      </w:r>
      <w:r w:rsidRPr="00C121A3">
        <w:rPr>
          <w:rFonts w:asciiTheme="minorEastAsia" w:hAnsiTheme="minorEastAsia" w:hint="eastAsia"/>
          <w:sz w:val="24"/>
          <w:szCs w:val="24"/>
        </w:rPr>
        <w:t>月</w:t>
      </w:r>
      <w:r w:rsidR="00F0700D">
        <w:rPr>
          <w:rFonts w:asciiTheme="minorEastAsia" w:hAnsiTheme="minorEastAsia"/>
          <w:sz w:val="24"/>
          <w:szCs w:val="24"/>
        </w:rPr>
        <w:t>8</w:t>
      </w:r>
      <w:r w:rsidRPr="00C121A3">
        <w:rPr>
          <w:rFonts w:asciiTheme="minorEastAsia" w:hAnsiTheme="minorEastAsia" w:hint="eastAsia"/>
          <w:sz w:val="24"/>
          <w:szCs w:val="24"/>
        </w:rPr>
        <w:t>日</w:t>
      </w:r>
      <w:r w:rsidRPr="00C121A3">
        <w:rPr>
          <w:rFonts w:asciiTheme="minorEastAsia" w:hAnsiTheme="minorEastAsia"/>
          <w:sz w:val="24"/>
          <w:szCs w:val="24"/>
        </w:rPr>
        <w:t>起</w:t>
      </w:r>
      <w:r w:rsidR="00C121A3">
        <w:rPr>
          <w:rFonts w:asciiTheme="minorEastAsia" w:hAnsiTheme="minorEastAsia" w:hint="eastAsia"/>
          <w:sz w:val="24"/>
          <w:szCs w:val="24"/>
        </w:rPr>
        <w:t>，</w:t>
      </w:r>
      <w:r w:rsidR="00C121A3">
        <w:rPr>
          <w:rFonts w:asciiTheme="minorEastAsia" w:hAnsiTheme="minorEastAsia"/>
          <w:sz w:val="24"/>
          <w:szCs w:val="24"/>
        </w:rPr>
        <w:t>调整</w:t>
      </w:r>
      <w:r w:rsidR="001359A9" w:rsidRPr="001359A9">
        <w:rPr>
          <w:rFonts w:asciiTheme="minorEastAsia" w:hAnsiTheme="minorEastAsia" w:hint="eastAsia"/>
          <w:sz w:val="24"/>
          <w:szCs w:val="24"/>
        </w:rPr>
        <w:t>旗下部分基金单笔最低</w:t>
      </w:r>
      <w:r w:rsidR="00EC51FC" w:rsidRPr="00EC51FC">
        <w:rPr>
          <w:rFonts w:asciiTheme="minorEastAsia" w:hAnsiTheme="minorEastAsia" w:hint="eastAsia"/>
          <w:sz w:val="24"/>
          <w:szCs w:val="24"/>
        </w:rPr>
        <w:t>定投</w:t>
      </w:r>
      <w:r w:rsidR="001359A9" w:rsidRPr="001359A9">
        <w:rPr>
          <w:rFonts w:asciiTheme="minorEastAsia" w:hAnsiTheme="minorEastAsia" w:hint="eastAsia"/>
          <w:sz w:val="24"/>
          <w:szCs w:val="24"/>
        </w:rPr>
        <w:t>金额</w:t>
      </w:r>
      <w:r w:rsidR="00B87C96" w:rsidRPr="00B87C96">
        <w:rPr>
          <w:rFonts w:asciiTheme="minorEastAsia" w:hAnsiTheme="minorEastAsia" w:hint="eastAsia"/>
          <w:sz w:val="24"/>
          <w:szCs w:val="24"/>
        </w:rPr>
        <w:t>限制</w:t>
      </w:r>
      <w:r w:rsidR="00B87C96">
        <w:rPr>
          <w:rFonts w:asciiTheme="minorEastAsia" w:hAnsiTheme="minorEastAsia" w:hint="eastAsia"/>
          <w:sz w:val="24"/>
          <w:szCs w:val="24"/>
        </w:rPr>
        <w:t>。</w:t>
      </w:r>
      <w:r w:rsidRPr="00C121A3">
        <w:rPr>
          <w:rFonts w:asciiTheme="minorEastAsia" w:hAnsiTheme="minorEastAsia"/>
          <w:sz w:val="24"/>
          <w:szCs w:val="24"/>
        </w:rPr>
        <w:t>现</w:t>
      </w:r>
      <w:r w:rsidRPr="00C121A3">
        <w:rPr>
          <w:rFonts w:asciiTheme="minorEastAsia" w:hAnsiTheme="minorEastAsia" w:hint="eastAsia"/>
          <w:sz w:val="24"/>
          <w:szCs w:val="24"/>
        </w:rPr>
        <w:t>将</w:t>
      </w:r>
      <w:r w:rsidR="00C121A3">
        <w:rPr>
          <w:rFonts w:asciiTheme="minorEastAsia" w:hAnsiTheme="minorEastAsia"/>
          <w:sz w:val="24"/>
          <w:szCs w:val="24"/>
        </w:rPr>
        <w:t>有关事项</w:t>
      </w:r>
      <w:r w:rsidRPr="00C121A3">
        <w:rPr>
          <w:rFonts w:asciiTheme="minorEastAsia" w:hAnsiTheme="minorEastAsia"/>
          <w:sz w:val="24"/>
          <w:szCs w:val="24"/>
        </w:rPr>
        <w:t>公告如下：</w:t>
      </w:r>
    </w:p>
    <w:p w:rsidR="00A754B9" w:rsidRPr="00C121A3" w:rsidRDefault="00A754B9" w:rsidP="00CB269B">
      <w:pPr>
        <w:spacing w:line="360" w:lineRule="auto"/>
        <w:ind w:firstLineChars="200" w:firstLine="482"/>
        <w:rPr>
          <w:rFonts w:asciiTheme="minorEastAsia" w:hAnsiTheme="minorEastAsia"/>
          <w:b/>
          <w:sz w:val="24"/>
          <w:szCs w:val="24"/>
        </w:rPr>
      </w:pPr>
      <w:r w:rsidRPr="00C121A3">
        <w:rPr>
          <w:rFonts w:asciiTheme="minorEastAsia" w:hAnsiTheme="minorEastAsia" w:hint="eastAsia"/>
          <w:b/>
          <w:sz w:val="24"/>
          <w:szCs w:val="24"/>
        </w:rPr>
        <w:t>一</w:t>
      </w:r>
      <w:r w:rsidRPr="00C121A3">
        <w:rPr>
          <w:rFonts w:asciiTheme="minorEastAsia" w:hAnsiTheme="minorEastAsia"/>
          <w:b/>
          <w:sz w:val="24"/>
          <w:szCs w:val="24"/>
        </w:rPr>
        <w:t>、调整方案</w:t>
      </w:r>
    </w:p>
    <w:p w:rsidR="00AB0B2C" w:rsidRDefault="00B87C96" w:rsidP="00CB26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A754B9" w:rsidRPr="00C121A3">
        <w:rPr>
          <w:rFonts w:asciiTheme="minorEastAsia" w:hAnsiTheme="minorEastAsia"/>
          <w:sz w:val="24"/>
          <w:szCs w:val="24"/>
        </w:rPr>
        <w:t>自</w:t>
      </w:r>
      <w:r w:rsidR="00A754B9" w:rsidRPr="00C121A3">
        <w:rPr>
          <w:rFonts w:asciiTheme="minorEastAsia" w:hAnsiTheme="minorEastAsia" w:hint="eastAsia"/>
          <w:sz w:val="24"/>
          <w:szCs w:val="24"/>
        </w:rPr>
        <w:t>201</w:t>
      </w:r>
      <w:r w:rsidR="006F03C4">
        <w:rPr>
          <w:rFonts w:asciiTheme="minorEastAsia" w:hAnsiTheme="minorEastAsia"/>
          <w:sz w:val="24"/>
          <w:szCs w:val="24"/>
        </w:rPr>
        <w:t>8</w:t>
      </w:r>
      <w:r w:rsidR="00A754B9" w:rsidRPr="00C121A3">
        <w:rPr>
          <w:rFonts w:asciiTheme="minorEastAsia" w:hAnsiTheme="minorEastAsia" w:hint="eastAsia"/>
          <w:sz w:val="24"/>
          <w:szCs w:val="24"/>
        </w:rPr>
        <w:t>年</w:t>
      </w:r>
      <w:r w:rsidR="00DB3C5B">
        <w:rPr>
          <w:rFonts w:asciiTheme="minorEastAsia" w:hAnsiTheme="minorEastAsia"/>
          <w:sz w:val="24"/>
          <w:szCs w:val="24"/>
        </w:rPr>
        <w:t>6</w:t>
      </w:r>
      <w:r w:rsidR="00A754B9" w:rsidRPr="00C121A3">
        <w:rPr>
          <w:rFonts w:asciiTheme="minorEastAsia" w:hAnsiTheme="minorEastAsia" w:hint="eastAsia"/>
          <w:sz w:val="24"/>
          <w:szCs w:val="24"/>
        </w:rPr>
        <w:t>月</w:t>
      </w:r>
      <w:r w:rsidR="00F0700D">
        <w:rPr>
          <w:rFonts w:asciiTheme="minorEastAsia" w:hAnsiTheme="minorEastAsia"/>
          <w:sz w:val="24"/>
          <w:szCs w:val="24"/>
        </w:rPr>
        <w:t>8</w:t>
      </w:r>
      <w:r w:rsidR="00A754B9" w:rsidRPr="00C121A3">
        <w:rPr>
          <w:rFonts w:asciiTheme="minorEastAsia" w:hAnsiTheme="minorEastAsia" w:hint="eastAsia"/>
          <w:sz w:val="24"/>
          <w:szCs w:val="24"/>
        </w:rPr>
        <w:t>日</w:t>
      </w:r>
      <w:r w:rsidR="00C121A3">
        <w:rPr>
          <w:rFonts w:asciiTheme="minorEastAsia" w:hAnsiTheme="minorEastAsia"/>
          <w:sz w:val="24"/>
          <w:szCs w:val="24"/>
        </w:rPr>
        <w:t>起，</w:t>
      </w:r>
      <w:r w:rsidR="001359A9">
        <w:rPr>
          <w:rFonts w:asciiTheme="minorEastAsia" w:hAnsiTheme="minorEastAsia" w:hint="eastAsia"/>
          <w:sz w:val="24"/>
          <w:szCs w:val="24"/>
        </w:rPr>
        <w:t>下述</w:t>
      </w:r>
      <w:r>
        <w:rPr>
          <w:rFonts w:asciiTheme="minorEastAsia" w:hAnsiTheme="minorEastAsia" w:hint="eastAsia"/>
          <w:sz w:val="24"/>
          <w:szCs w:val="24"/>
        </w:rPr>
        <w:t>适用</w:t>
      </w:r>
      <w:r w:rsidR="001359A9">
        <w:rPr>
          <w:rFonts w:asciiTheme="minorEastAsia" w:hAnsiTheme="minorEastAsia" w:hint="eastAsia"/>
          <w:sz w:val="24"/>
          <w:szCs w:val="24"/>
        </w:rPr>
        <w:t>基金</w:t>
      </w:r>
      <w:r w:rsidR="00DC5C3A" w:rsidRPr="00DC5C3A">
        <w:rPr>
          <w:rFonts w:asciiTheme="minorEastAsia" w:hAnsiTheme="minorEastAsia" w:hint="eastAsia"/>
          <w:sz w:val="24"/>
          <w:szCs w:val="24"/>
        </w:rPr>
        <w:t>单笔</w:t>
      </w:r>
      <w:r w:rsidR="00EC51FC">
        <w:rPr>
          <w:rFonts w:asciiTheme="minorEastAsia" w:hAnsiTheme="minorEastAsia" w:hint="eastAsia"/>
          <w:sz w:val="24"/>
          <w:szCs w:val="24"/>
        </w:rPr>
        <w:t>最低定投</w:t>
      </w:r>
      <w:r w:rsidR="00DC5C3A" w:rsidRPr="00DC5C3A">
        <w:rPr>
          <w:rFonts w:asciiTheme="minorEastAsia" w:hAnsiTheme="minorEastAsia" w:hint="eastAsia"/>
          <w:sz w:val="24"/>
          <w:szCs w:val="24"/>
        </w:rPr>
        <w:t>金额限制由</w:t>
      </w:r>
      <w:r w:rsidR="00880382">
        <w:rPr>
          <w:rFonts w:asciiTheme="minorEastAsia" w:hAnsiTheme="minorEastAsia"/>
          <w:sz w:val="24"/>
          <w:szCs w:val="24"/>
        </w:rPr>
        <w:t>100</w:t>
      </w:r>
      <w:r w:rsidR="00DC5C3A" w:rsidRPr="00DC5C3A">
        <w:rPr>
          <w:rFonts w:asciiTheme="minorEastAsia" w:hAnsiTheme="minorEastAsia" w:hint="eastAsia"/>
          <w:sz w:val="24"/>
          <w:szCs w:val="24"/>
        </w:rPr>
        <w:t>元调整为</w:t>
      </w:r>
      <w:r w:rsidR="00736527">
        <w:rPr>
          <w:rFonts w:asciiTheme="minorEastAsia" w:hAnsiTheme="minorEastAsia"/>
          <w:sz w:val="24"/>
          <w:szCs w:val="24"/>
        </w:rPr>
        <w:t>2</w:t>
      </w:r>
      <w:r w:rsidR="00EC51FC">
        <w:rPr>
          <w:rFonts w:asciiTheme="minorEastAsia" w:hAnsiTheme="minorEastAsia"/>
          <w:sz w:val="24"/>
          <w:szCs w:val="24"/>
        </w:rPr>
        <w:t>0</w:t>
      </w:r>
      <w:r w:rsidR="00DC5C3A" w:rsidRPr="00DC5C3A">
        <w:rPr>
          <w:rFonts w:asciiTheme="minorEastAsia" w:hAnsiTheme="minorEastAsia" w:hint="eastAsia"/>
          <w:sz w:val="24"/>
          <w:szCs w:val="24"/>
        </w:rPr>
        <w:t>元，</w:t>
      </w:r>
      <w:r w:rsidR="00243959" w:rsidRPr="00243959">
        <w:rPr>
          <w:rFonts w:asciiTheme="minorEastAsia" w:hAnsiTheme="minorEastAsia" w:hint="eastAsia"/>
          <w:sz w:val="24"/>
          <w:szCs w:val="24"/>
        </w:rPr>
        <w:t>各销售机构可根据业务情况设置高于或等于本公司设定的上述单笔</w:t>
      </w:r>
      <w:r w:rsidR="008D2331" w:rsidRPr="00243959">
        <w:rPr>
          <w:rFonts w:asciiTheme="minorEastAsia" w:hAnsiTheme="minorEastAsia" w:hint="eastAsia"/>
          <w:sz w:val="24"/>
          <w:szCs w:val="24"/>
        </w:rPr>
        <w:t>最低</w:t>
      </w:r>
      <w:r w:rsidR="00EC51FC">
        <w:rPr>
          <w:rFonts w:asciiTheme="minorEastAsia" w:hAnsiTheme="minorEastAsia" w:hint="eastAsia"/>
          <w:sz w:val="24"/>
          <w:szCs w:val="24"/>
        </w:rPr>
        <w:t>定投金额，如果销售机构业务规则规定的单笔最低定投</w:t>
      </w:r>
      <w:r w:rsidR="00243959" w:rsidRPr="00243959">
        <w:rPr>
          <w:rFonts w:asciiTheme="minorEastAsia" w:hAnsiTheme="minorEastAsia" w:hint="eastAsia"/>
          <w:sz w:val="24"/>
          <w:szCs w:val="24"/>
        </w:rPr>
        <w:t>金额高于</w:t>
      </w:r>
      <w:r w:rsidR="00736527">
        <w:rPr>
          <w:rFonts w:asciiTheme="minorEastAsia" w:hAnsiTheme="minorEastAsia"/>
          <w:sz w:val="24"/>
          <w:szCs w:val="24"/>
        </w:rPr>
        <w:t>2</w:t>
      </w:r>
      <w:r w:rsidR="00EC51FC">
        <w:rPr>
          <w:rFonts w:asciiTheme="minorEastAsia" w:hAnsiTheme="minorEastAsia"/>
          <w:sz w:val="24"/>
          <w:szCs w:val="24"/>
        </w:rPr>
        <w:t>0</w:t>
      </w:r>
      <w:r w:rsidR="00A8409B">
        <w:rPr>
          <w:rFonts w:asciiTheme="minorEastAsia" w:hAnsiTheme="minorEastAsia" w:hint="eastAsia"/>
          <w:sz w:val="24"/>
          <w:szCs w:val="24"/>
        </w:rPr>
        <w:t>元</w:t>
      </w:r>
      <w:r w:rsidR="00243959" w:rsidRPr="00243959">
        <w:rPr>
          <w:rFonts w:asciiTheme="minorEastAsia" w:hAnsiTheme="minorEastAsia" w:hint="eastAsia"/>
          <w:sz w:val="24"/>
          <w:szCs w:val="24"/>
        </w:rPr>
        <w:t>，以销售机构的规定为准。投资者办理相关业务时，请遵循销售机构的具体业务规定。</w:t>
      </w:r>
    </w:p>
    <w:p w:rsidR="007B25DC" w:rsidRDefault="007B25DC" w:rsidP="00CB26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适用基金</w:t>
      </w:r>
    </w:p>
    <w:tbl>
      <w:tblPr>
        <w:tblW w:w="7420" w:type="dxa"/>
        <w:jc w:val="center"/>
        <w:tblLook w:val="04A0"/>
      </w:tblPr>
      <w:tblGrid>
        <w:gridCol w:w="840"/>
        <w:gridCol w:w="1282"/>
        <w:gridCol w:w="5298"/>
      </w:tblGrid>
      <w:tr w:rsidR="00C37C25" w:rsidRPr="00C37C25" w:rsidTr="00C37C25">
        <w:trPr>
          <w:trHeight w:val="22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序号</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b/>
                <w:bCs/>
                <w:color w:val="000000"/>
                <w:kern w:val="0"/>
                <w:sz w:val="18"/>
                <w:szCs w:val="18"/>
              </w:rPr>
            </w:pPr>
            <w:r w:rsidRPr="00C37C25">
              <w:rPr>
                <w:rFonts w:ascii="宋体" w:eastAsia="宋体" w:hAnsi="宋体" w:cs="宋体" w:hint="eastAsia"/>
                <w:b/>
                <w:bCs/>
                <w:color w:val="000000"/>
                <w:kern w:val="0"/>
                <w:sz w:val="18"/>
                <w:szCs w:val="18"/>
              </w:rPr>
              <w:t>基金代码</w:t>
            </w:r>
          </w:p>
        </w:tc>
        <w:tc>
          <w:tcPr>
            <w:tcW w:w="5298" w:type="dxa"/>
            <w:tcBorders>
              <w:top w:val="single" w:sz="4" w:space="0" w:color="auto"/>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b/>
                <w:bCs/>
                <w:color w:val="000000"/>
                <w:kern w:val="0"/>
                <w:sz w:val="18"/>
                <w:szCs w:val="18"/>
              </w:rPr>
            </w:pPr>
            <w:r w:rsidRPr="00C37C25">
              <w:rPr>
                <w:rFonts w:ascii="宋体" w:eastAsia="宋体" w:hAnsi="宋体" w:cs="宋体" w:hint="eastAsia"/>
                <w:b/>
                <w:bCs/>
                <w:color w:val="000000"/>
                <w:kern w:val="0"/>
                <w:sz w:val="18"/>
                <w:szCs w:val="18"/>
              </w:rPr>
              <w:t>基金名称</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000007</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鹏华国有企业债债券型证券投资基金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000053</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鹏华实业债纯债债券型证券投资基金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000054</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鹏华双债增利债券型证券投资基金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000143</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鹏华双债加利债券型证券投资基金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000289</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鹏华丰泰定期开放债券型证券投资基金A类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000290</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鹏华全球高收益债债券型证券投资基金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000291</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w:t>
            </w:r>
            <w:r w:rsidR="0010628C">
              <w:rPr>
                <w:rFonts w:ascii="宋体" w:eastAsia="宋体" w:hAnsi="宋体" w:cs="宋体" w:hint="eastAsia"/>
                <w:color w:val="000000"/>
                <w:kern w:val="0"/>
                <w:sz w:val="18"/>
                <w:szCs w:val="18"/>
              </w:rPr>
              <w:t>普悦</w:t>
            </w:r>
            <w:r w:rsidRPr="00C37C25">
              <w:rPr>
                <w:rFonts w:ascii="宋体" w:eastAsia="宋体" w:hAnsi="宋体" w:cs="宋体" w:hint="eastAsia"/>
                <w:color w:val="000000"/>
                <w:kern w:val="0"/>
                <w:sz w:val="18"/>
                <w:szCs w:val="18"/>
              </w:rPr>
              <w:t>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000295</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鹏华丰实定期开放债券型证券投资基金A类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000296</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鹏华丰实定期开放债券型证券投资基金B类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000297</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鹏华可转债债券型证券投资基金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000338</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鹏华双债保利债券型证券投资基金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12</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000345</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鹏华丰融定期开放债券型证券投资基金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13</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001190</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鹏华弘润灵活配置混合型证券投资基金A类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14</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001191</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鹏华弘润灵活配置混合型证券投资基金C类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15</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001325</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鹏华弘和灵活配置混合型证券投资基金A类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001326</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鹏华弘和灵活配置混合型证券投资基金C类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17</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001327</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鹏华弘华灵活配置混合型证券投资基金A类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18</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001328</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鹏华弘华灵活配置混合型证券投资基金C类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19</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001329</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鹏华弘实灵活配置混合型证券投资基金A类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20</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001330</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鹏华弘实灵活配置混合型证券投资基金C类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21</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001331</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鹏华弘信灵活配置混合型证券投资基金A类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22</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001332</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鹏华弘信灵活配置混合型证券投资基金C类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23</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001336</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鹏华弘益灵活配置混合型证券投资基金A类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24</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001337</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鹏华弘益灵活配置混合型证券投资基金C类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25</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001381</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鹏华弘泽灵活配置混合型证券投资基金C类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26</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001453</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鹏华弘鑫灵活配置混合型证券投资基金A类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27</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001454</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鹏华弘鑫灵活配置混合型证券投资基金C类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lastRenderedPageBreak/>
              <w:t>28</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001950</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鹏华丰泰定期开放债券型证券投资基金B类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29</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002018</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鹏华弘安灵活配置混合型证券投资基金A类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30</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002019</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鹏华弘安灵活配置混合型证券投资基金C类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31</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002188</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鹏华丰华债券型证券投资基金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32</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002643</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鹏华兴利定期开放灵活配置混合型证券投资基金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33</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002695</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鹏华兴泽定期开放灵活配置混合型证券投资基金A类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34</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002696</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鹏华兴泽定期开放灵活配置混合型证券投资基金C类</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35</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002809</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鹏华兴华定期开放灵活配置混合型证券投资基金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36</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002868</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鹏华丰茂债券型证券投资基金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37</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002911</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鹏华兴实定期开放灵活配置混合型证券投资基金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38</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002913</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鹏华兴益定期开放灵活配置混合型证券投资基金</w:t>
            </w:r>
          </w:p>
        </w:tc>
      </w:tr>
      <w:tr w:rsidR="00C37C25"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39</w:t>
            </w:r>
          </w:p>
        </w:tc>
        <w:tc>
          <w:tcPr>
            <w:tcW w:w="1282"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003122</w:t>
            </w:r>
          </w:p>
        </w:tc>
        <w:tc>
          <w:tcPr>
            <w:tcW w:w="5298" w:type="dxa"/>
            <w:tcBorders>
              <w:top w:val="nil"/>
              <w:left w:val="nil"/>
              <w:bottom w:val="single" w:sz="4" w:space="0" w:color="auto"/>
              <w:right w:val="single" w:sz="4" w:space="0" w:color="auto"/>
            </w:tcBorders>
            <w:shd w:val="clear" w:color="auto" w:fill="auto"/>
            <w:noWrap/>
            <w:vAlign w:val="bottom"/>
            <w:hideMark/>
          </w:tcPr>
          <w:p w:rsidR="00C37C25" w:rsidRPr="00C37C25" w:rsidRDefault="0010628C" w:rsidP="0010628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鹏华兴盛</w:t>
            </w:r>
            <w:r w:rsidR="00C37C25" w:rsidRPr="00C37C25">
              <w:rPr>
                <w:rFonts w:ascii="宋体" w:eastAsia="宋体" w:hAnsi="宋体" w:cs="宋体" w:hint="eastAsia"/>
                <w:color w:val="000000"/>
                <w:kern w:val="0"/>
                <w:sz w:val="18"/>
                <w:szCs w:val="18"/>
              </w:rPr>
              <w:t>灵活配置混合型证券投资基金</w:t>
            </w:r>
            <w:r>
              <w:rPr>
                <w:rFonts w:ascii="宋体" w:eastAsia="宋体" w:hAnsi="宋体" w:cs="宋体" w:hint="eastAsia"/>
                <w:color w:val="000000"/>
                <w:kern w:val="0"/>
                <w:sz w:val="18"/>
                <w:szCs w:val="18"/>
              </w:rPr>
              <w:t>A类</w:t>
            </w:r>
          </w:p>
        </w:tc>
      </w:tr>
      <w:tr w:rsidR="0010628C"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1282" w:type="dxa"/>
            <w:tcBorders>
              <w:top w:val="nil"/>
              <w:left w:val="nil"/>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10628C">
              <w:rPr>
                <w:rFonts w:ascii="宋体" w:eastAsia="宋体" w:hAnsi="宋体" w:cs="宋体"/>
                <w:color w:val="000000"/>
                <w:kern w:val="0"/>
                <w:sz w:val="18"/>
                <w:szCs w:val="18"/>
              </w:rPr>
              <w:t>006041</w:t>
            </w:r>
          </w:p>
        </w:tc>
        <w:tc>
          <w:tcPr>
            <w:tcW w:w="5298" w:type="dxa"/>
            <w:tcBorders>
              <w:top w:val="nil"/>
              <w:left w:val="nil"/>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鹏华兴盛</w:t>
            </w:r>
            <w:r w:rsidRPr="00C37C25">
              <w:rPr>
                <w:rFonts w:ascii="宋体" w:eastAsia="宋体" w:hAnsi="宋体" w:cs="宋体" w:hint="eastAsia"/>
                <w:color w:val="000000"/>
                <w:kern w:val="0"/>
                <w:sz w:val="18"/>
                <w:szCs w:val="18"/>
              </w:rPr>
              <w:t>灵活配置混合型证券投资基金</w:t>
            </w:r>
            <w:r>
              <w:rPr>
                <w:rFonts w:ascii="宋体" w:eastAsia="宋体" w:hAnsi="宋体" w:cs="宋体" w:hint="eastAsia"/>
                <w:color w:val="000000"/>
                <w:kern w:val="0"/>
                <w:sz w:val="18"/>
                <w:szCs w:val="18"/>
              </w:rPr>
              <w:t>C类</w:t>
            </w:r>
          </w:p>
        </w:tc>
      </w:tr>
      <w:tr w:rsidR="0010628C" w:rsidRPr="00C37C25" w:rsidTr="00C37C25">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003140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鹏华弘腾灵活配置混合型证券投资基金A类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003141</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鹏华弘腾灵活配置混合型证券投资基金C类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003142</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鹏华弘达灵活配置混合型证券投资基金A类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003143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鹏华弘达灵活配置混合型证券投资基金C类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003186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鹏华兴安定期开放灵活配置混合型证券投资基金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003209</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鹏华丰达债券型证券投资基金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47</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003224</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鹏华兴润定期开放灵活配置混合型证券投资基金A类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48</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003225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鹏华兴润定期开放灵活配置混合型证券投资基金C类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49</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003280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鹏华丰恒债券型证券投资基金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50</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003343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鹏华弘惠灵活配置混合型证券投资基金A类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003344</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鹏华弘惠灵活配置混合型证券投资基金C类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003367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鹏华兴合定期开放灵活配置混合型证券投资基金A类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003368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鹏华兴合定期开放灵活配置混合型证券投资基金C类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003527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鹏华丰腾债券型证券投资基金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003547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鹏华丰禄债券型证券投资基金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003662</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鹏华永盛一年定期开放债券型证券投资基金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57</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003663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鹏华兴泰定期开放灵活配置混合型证券投资基金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58</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003741</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鹏华丰盈债券型证券投资基金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59</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003780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鹏华兴悦定期开放灵活配置混合型证券投资基金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60</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003828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鹏华兴惠定期开放灵活配置混合型证券投资基金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003835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鹏华沪深港新兴成长灵活配置混合型证券投资基金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003983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鹏华丰惠债券型证券投资基金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004036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鹏华弘樽灵活配置混合型证券投资基金A类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004037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鹏华弘樽灵活配置混合型证券投资基金C类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004096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鹏华兴康定期开放灵活配置混合型证券投资基金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004127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鹏华丰康债券型证券投资基金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67</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004388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鹏华丰享债券型证券投资基金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68</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004438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鹏华永安18个月定期开放债券型证券投资基金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69</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004463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鹏华丰玉债券型证券投资基金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70</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004498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鹏华丰源债券型证券投资基金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lastRenderedPageBreak/>
              <w:t>71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004499</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鹏华丰瑞债券型证券投资基金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005416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鹏华尊惠18个月定期开放混合型证券投资基金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005417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鹏华尊惠18个月定期开放混合型证券投资基金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005632</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鹏华量化先锋混合型证券投资基金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006029</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鹏华尊享6个月定期开放债券型发起式证券投资基金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006041</w:t>
            </w:r>
          </w:p>
        </w:tc>
        <w:tc>
          <w:tcPr>
            <w:tcW w:w="5298" w:type="dxa"/>
            <w:tcBorders>
              <w:top w:val="nil"/>
              <w:left w:val="nil"/>
              <w:bottom w:val="single" w:sz="4" w:space="0" w:color="auto"/>
              <w:right w:val="single" w:sz="4" w:space="0" w:color="auto"/>
            </w:tcBorders>
            <w:shd w:val="clear" w:color="auto" w:fill="auto"/>
            <w:noWrap/>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鹏华兴盛灵活配置混合型证券投资基金c类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77</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206003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鹏华信用增利债券型证券投资基金A类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78</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206004</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鹏华信用增利债券型证券投资基金B类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79</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206005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鹏华上证民营企业50交易型开放式指数证券投资基金联接基金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80</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206008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鹏华丰盛稳固收益债券型证券投资基金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206010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鹏华深证民营交易型开放式指数证券投资基金联接基金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206015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鹏华纯债债券型证券投资基金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005870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鹏华沪深300指数增强型证券投资基金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160602</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鹏华普天系列开放式证券投资基金普天债券A类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160603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鹏华普天系列开放式证券投资基金普天收益</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160605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鹏华中国50开放式证券投资基金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87</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160606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鹏华货币市场证券投资基金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88</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160608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鹏华普天系列开放式证券投资基金普天债券B类</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89</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160612</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鹏华丰收债券型证券投资基金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90</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160615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鹏华沪深300指数证券投资基金(LOF)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160616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鹏华中证500指数证券投资基金(LOF)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160617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鹏华丰润债券型证券投资基金(LOF)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160618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鹏华丰泽债券型证券投资基金(LOF)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鹏华中证A股资源产业指数分级证券投资基金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160621</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鹏华丰和债券型证券投资基金(LOF)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160622</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鹏华丰利债券型证券投资基金(LOF)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97</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鹏华中证800证券保险指数分级证券投资基金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98</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鹏华中证信息技术指数分级证券投资基金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99</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鹏华策略优选灵活配置混合型证券投资基金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100</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鹏华中证800地产指数分级证券投资基金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160629</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鹏华中证传媒指数分级证券投资基金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鹏华中证国防指数分级证券投资基金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160631</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鹏华中证银行指数分级证券投资基金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160632</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鹏华中证酒指数分级证券投资基金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鹏华中证全指证券公司指数分级证券投资基金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160634</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鹏华中证环保产业指数分级证券投资基金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107</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鹏华中证医药卫生指数证券投资基金(LOF)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108</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160636</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鹏华中证移动互联网指数分级证券投资基金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109</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160637</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鹏华创业板指数分级证券投资基金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110</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160638</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鹏华中证一带一路主题指数分级证券投资基金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111</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160639</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鹏华中证高铁产业指数分级证券投资基金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112</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160640</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鹏华中证新能源指数分级证券投资基金</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113</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160643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鹏华中证空天一体军工指数证券投资基金(LOF)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114</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501023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鹏华港股通中证香港中小企业投资主题指数证券投资基金(LOF)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115</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501025</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鹏华港股通中证香港银行投资指数证券投资基金(LOF)</w:t>
            </w:r>
          </w:p>
        </w:tc>
      </w:tr>
      <w:tr w:rsidR="0010628C" w:rsidRPr="00C37C25" w:rsidTr="0010628C">
        <w:trPr>
          <w:trHeight w:val="225"/>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116</w:t>
            </w:r>
          </w:p>
        </w:tc>
        <w:tc>
          <w:tcPr>
            <w:tcW w:w="1282"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502023</w:t>
            </w:r>
          </w:p>
        </w:tc>
        <w:tc>
          <w:tcPr>
            <w:tcW w:w="5298" w:type="dxa"/>
            <w:tcBorders>
              <w:top w:val="nil"/>
              <w:left w:val="nil"/>
              <w:bottom w:val="single" w:sz="4" w:space="0" w:color="auto"/>
              <w:right w:val="single" w:sz="4" w:space="0" w:color="auto"/>
            </w:tcBorders>
            <w:shd w:val="clear" w:color="auto" w:fill="auto"/>
            <w:noWrap/>
            <w:vAlign w:val="bottom"/>
            <w:hideMark/>
          </w:tcPr>
          <w:p w:rsidR="0010628C" w:rsidRPr="00C37C25" w:rsidRDefault="0010628C" w:rsidP="0010628C">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鹏华国证钢铁行业指数分级证券投资基金</w:t>
            </w:r>
          </w:p>
        </w:tc>
      </w:tr>
    </w:tbl>
    <w:p w:rsidR="00C37C25" w:rsidRDefault="00C37C25" w:rsidP="00C37C25">
      <w:pPr>
        <w:spacing w:line="360" w:lineRule="auto"/>
        <w:ind w:firstLineChars="200" w:firstLine="480"/>
        <w:rPr>
          <w:rFonts w:asciiTheme="minorEastAsia" w:hAnsiTheme="minorEastAsia"/>
          <w:sz w:val="24"/>
          <w:szCs w:val="24"/>
        </w:rPr>
      </w:pPr>
      <w:bookmarkStart w:id="0" w:name="_GoBack"/>
      <w:bookmarkEnd w:id="0"/>
    </w:p>
    <w:p w:rsidR="00C37C25" w:rsidRDefault="00C37C25" w:rsidP="00C37C25">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sidRPr="00C121A3">
        <w:rPr>
          <w:rFonts w:asciiTheme="minorEastAsia" w:hAnsiTheme="minorEastAsia"/>
          <w:sz w:val="24"/>
          <w:szCs w:val="24"/>
        </w:rPr>
        <w:t>自</w:t>
      </w:r>
      <w:r w:rsidRPr="00C121A3">
        <w:rPr>
          <w:rFonts w:asciiTheme="minorEastAsia" w:hAnsiTheme="minorEastAsia" w:hint="eastAsia"/>
          <w:sz w:val="24"/>
          <w:szCs w:val="24"/>
        </w:rPr>
        <w:t>201</w:t>
      </w:r>
      <w:r>
        <w:rPr>
          <w:rFonts w:asciiTheme="minorEastAsia" w:hAnsiTheme="minorEastAsia"/>
          <w:sz w:val="24"/>
          <w:szCs w:val="24"/>
        </w:rPr>
        <w:t>8</w:t>
      </w:r>
      <w:r w:rsidRPr="00C121A3">
        <w:rPr>
          <w:rFonts w:asciiTheme="minorEastAsia" w:hAnsiTheme="minorEastAsia" w:hint="eastAsia"/>
          <w:sz w:val="24"/>
          <w:szCs w:val="24"/>
        </w:rPr>
        <w:t>年</w:t>
      </w:r>
      <w:r>
        <w:rPr>
          <w:rFonts w:asciiTheme="minorEastAsia" w:hAnsiTheme="minorEastAsia"/>
          <w:sz w:val="24"/>
          <w:szCs w:val="24"/>
        </w:rPr>
        <w:t>6</w:t>
      </w:r>
      <w:r w:rsidRPr="00C121A3">
        <w:rPr>
          <w:rFonts w:asciiTheme="minorEastAsia" w:hAnsiTheme="minorEastAsia" w:hint="eastAsia"/>
          <w:sz w:val="24"/>
          <w:szCs w:val="24"/>
        </w:rPr>
        <w:t>月</w:t>
      </w:r>
      <w:r w:rsidR="00F0700D">
        <w:rPr>
          <w:rFonts w:asciiTheme="minorEastAsia" w:hAnsiTheme="minorEastAsia"/>
          <w:sz w:val="24"/>
          <w:szCs w:val="24"/>
        </w:rPr>
        <w:t>8</w:t>
      </w:r>
      <w:r w:rsidRPr="00C121A3">
        <w:rPr>
          <w:rFonts w:asciiTheme="minorEastAsia" w:hAnsiTheme="minorEastAsia" w:hint="eastAsia"/>
          <w:sz w:val="24"/>
          <w:szCs w:val="24"/>
        </w:rPr>
        <w:t>日</w:t>
      </w:r>
      <w:r>
        <w:rPr>
          <w:rFonts w:asciiTheme="minorEastAsia" w:hAnsiTheme="minorEastAsia"/>
          <w:sz w:val="24"/>
          <w:szCs w:val="24"/>
        </w:rPr>
        <w:t>起，</w:t>
      </w:r>
      <w:r>
        <w:rPr>
          <w:rFonts w:asciiTheme="minorEastAsia" w:hAnsiTheme="minorEastAsia" w:hint="eastAsia"/>
          <w:sz w:val="24"/>
          <w:szCs w:val="24"/>
        </w:rPr>
        <w:t>下述适用基金</w:t>
      </w:r>
      <w:r w:rsidRPr="00DC5C3A">
        <w:rPr>
          <w:rFonts w:asciiTheme="minorEastAsia" w:hAnsiTheme="minorEastAsia" w:hint="eastAsia"/>
          <w:sz w:val="24"/>
          <w:szCs w:val="24"/>
        </w:rPr>
        <w:t>单笔</w:t>
      </w:r>
      <w:r>
        <w:rPr>
          <w:rFonts w:asciiTheme="minorEastAsia" w:hAnsiTheme="minorEastAsia" w:hint="eastAsia"/>
          <w:sz w:val="24"/>
          <w:szCs w:val="24"/>
        </w:rPr>
        <w:t>最低定投</w:t>
      </w:r>
      <w:r w:rsidRPr="00DC5C3A">
        <w:rPr>
          <w:rFonts w:asciiTheme="minorEastAsia" w:hAnsiTheme="minorEastAsia" w:hint="eastAsia"/>
          <w:sz w:val="24"/>
          <w:szCs w:val="24"/>
        </w:rPr>
        <w:t>金额限制由</w:t>
      </w:r>
      <w:r>
        <w:rPr>
          <w:rFonts w:asciiTheme="minorEastAsia" w:hAnsiTheme="minorEastAsia"/>
          <w:sz w:val="24"/>
          <w:szCs w:val="24"/>
        </w:rPr>
        <w:t>100</w:t>
      </w:r>
      <w:r w:rsidRPr="00DC5C3A">
        <w:rPr>
          <w:rFonts w:asciiTheme="minorEastAsia" w:hAnsiTheme="minorEastAsia" w:hint="eastAsia"/>
          <w:sz w:val="24"/>
          <w:szCs w:val="24"/>
        </w:rPr>
        <w:t>元调整为</w:t>
      </w:r>
      <w:r>
        <w:rPr>
          <w:rFonts w:asciiTheme="minorEastAsia" w:hAnsiTheme="minorEastAsia"/>
          <w:sz w:val="24"/>
          <w:szCs w:val="24"/>
        </w:rPr>
        <w:t>0.01</w:t>
      </w:r>
      <w:r w:rsidRPr="00DC5C3A">
        <w:rPr>
          <w:rFonts w:asciiTheme="minorEastAsia" w:hAnsiTheme="minorEastAsia" w:hint="eastAsia"/>
          <w:sz w:val="24"/>
          <w:szCs w:val="24"/>
        </w:rPr>
        <w:t>元，</w:t>
      </w:r>
      <w:r w:rsidRPr="00243959">
        <w:rPr>
          <w:rFonts w:asciiTheme="minorEastAsia" w:hAnsiTheme="minorEastAsia" w:hint="eastAsia"/>
          <w:sz w:val="24"/>
          <w:szCs w:val="24"/>
        </w:rPr>
        <w:t>各销售机构可根据业务情况设置高于或等于本公司设定的上述单笔最低</w:t>
      </w:r>
      <w:r>
        <w:rPr>
          <w:rFonts w:asciiTheme="minorEastAsia" w:hAnsiTheme="minorEastAsia" w:hint="eastAsia"/>
          <w:sz w:val="24"/>
          <w:szCs w:val="24"/>
        </w:rPr>
        <w:t>定投金额，如果销售机构业务规则规定的单笔最低定投</w:t>
      </w:r>
      <w:r w:rsidRPr="00243959">
        <w:rPr>
          <w:rFonts w:asciiTheme="minorEastAsia" w:hAnsiTheme="minorEastAsia" w:hint="eastAsia"/>
          <w:sz w:val="24"/>
          <w:szCs w:val="24"/>
        </w:rPr>
        <w:t>金额高于</w:t>
      </w:r>
      <w:r>
        <w:rPr>
          <w:rFonts w:asciiTheme="minorEastAsia" w:hAnsiTheme="minorEastAsia"/>
          <w:sz w:val="24"/>
          <w:szCs w:val="24"/>
        </w:rPr>
        <w:t>0.01</w:t>
      </w:r>
      <w:r>
        <w:rPr>
          <w:rFonts w:asciiTheme="minorEastAsia" w:hAnsiTheme="minorEastAsia" w:hint="eastAsia"/>
          <w:sz w:val="24"/>
          <w:szCs w:val="24"/>
        </w:rPr>
        <w:t>元</w:t>
      </w:r>
      <w:r w:rsidRPr="00243959">
        <w:rPr>
          <w:rFonts w:asciiTheme="minorEastAsia" w:hAnsiTheme="minorEastAsia" w:hint="eastAsia"/>
          <w:sz w:val="24"/>
          <w:szCs w:val="24"/>
        </w:rPr>
        <w:t>，以销售机构的规定为准。投资者办理相关业务时，请遵循销售机构的具体业务规定。</w:t>
      </w:r>
    </w:p>
    <w:p w:rsidR="00C37C25" w:rsidRDefault="00C37C25" w:rsidP="00C37C2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适用基金</w:t>
      </w:r>
    </w:p>
    <w:tbl>
      <w:tblPr>
        <w:tblW w:w="7366" w:type="dxa"/>
        <w:jc w:val="center"/>
        <w:tblLook w:val="04A0"/>
      </w:tblPr>
      <w:tblGrid>
        <w:gridCol w:w="988"/>
        <w:gridCol w:w="1134"/>
        <w:gridCol w:w="5244"/>
      </w:tblGrid>
      <w:tr w:rsidR="00C37C25" w:rsidRPr="00C37C25" w:rsidTr="00C37C25">
        <w:trPr>
          <w:trHeight w:val="22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b/>
                <w:bCs/>
                <w:color w:val="000000"/>
                <w:kern w:val="0"/>
                <w:sz w:val="18"/>
                <w:szCs w:val="18"/>
              </w:rPr>
            </w:pPr>
            <w:r w:rsidRPr="00C37C25">
              <w:rPr>
                <w:rFonts w:ascii="宋体" w:eastAsia="宋体" w:hAnsi="宋体" w:cs="宋体" w:hint="eastAsia"/>
                <w:b/>
                <w:bCs/>
                <w:color w:val="000000"/>
                <w:kern w:val="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b/>
                <w:bCs/>
                <w:color w:val="000000"/>
                <w:kern w:val="0"/>
                <w:sz w:val="18"/>
                <w:szCs w:val="18"/>
              </w:rPr>
            </w:pPr>
            <w:r w:rsidRPr="00C37C25">
              <w:rPr>
                <w:rFonts w:ascii="宋体" w:eastAsia="宋体" w:hAnsi="宋体" w:cs="宋体" w:hint="eastAsia"/>
                <w:b/>
                <w:bCs/>
                <w:color w:val="000000"/>
                <w:kern w:val="0"/>
                <w:sz w:val="18"/>
                <w:szCs w:val="18"/>
              </w:rPr>
              <w:t>基金代码</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b/>
                <w:bCs/>
                <w:color w:val="000000"/>
                <w:kern w:val="0"/>
                <w:sz w:val="18"/>
                <w:szCs w:val="18"/>
              </w:rPr>
            </w:pPr>
            <w:r w:rsidRPr="00C37C25">
              <w:rPr>
                <w:rFonts w:ascii="宋体" w:eastAsia="宋体" w:hAnsi="宋体" w:cs="宋体" w:hint="eastAsia"/>
                <w:b/>
                <w:bCs/>
                <w:color w:val="000000"/>
                <w:kern w:val="0"/>
                <w:sz w:val="18"/>
                <w:szCs w:val="18"/>
              </w:rPr>
              <w:t>基金名称</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000548</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鹏华聚财通货币市场基金</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000569</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鹏华增值宝货币市场基金</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000905</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鹏华安盈宝货币市场基金</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001666</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鹏华添利宝货币市场基金</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002318</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鹏华添利交易型货币市场基金</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6</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004684</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鹏华盈余宝货币市场基金</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004776</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鹏华金元宝货币市场基金</w:t>
            </w:r>
          </w:p>
        </w:tc>
      </w:tr>
      <w:tr w:rsidR="00C37C25" w:rsidRPr="00C37C25" w:rsidTr="00C37C25">
        <w:trPr>
          <w:trHeight w:val="22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004896</w:t>
            </w:r>
          </w:p>
        </w:tc>
        <w:tc>
          <w:tcPr>
            <w:tcW w:w="5244" w:type="dxa"/>
            <w:tcBorders>
              <w:top w:val="nil"/>
              <w:left w:val="nil"/>
              <w:bottom w:val="single" w:sz="4" w:space="0" w:color="auto"/>
              <w:right w:val="single" w:sz="4" w:space="0" w:color="auto"/>
            </w:tcBorders>
            <w:shd w:val="clear" w:color="auto" w:fill="auto"/>
            <w:noWrap/>
            <w:vAlign w:val="bottom"/>
            <w:hideMark/>
          </w:tcPr>
          <w:p w:rsidR="00C37C25" w:rsidRPr="00C37C25" w:rsidRDefault="00C37C25" w:rsidP="00C37C25">
            <w:pPr>
              <w:widowControl/>
              <w:jc w:val="center"/>
              <w:rPr>
                <w:rFonts w:ascii="宋体" w:eastAsia="宋体" w:hAnsi="宋体" w:cs="宋体"/>
                <w:color w:val="000000"/>
                <w:kern w:val="0"/>
                <w:sz w:val="18"/>
                <w:szCs w:val="18"/>
              </w:rPr>
            </w:pPr>
            <w:r w:rsidRPr="00C37C25">
              <w:rPr>
                <w:rFonts w:ascii="宋体" w:eastAsia="宋体" w:hAnsi="宋体" w:cs="宋体" w:hint="eastAsia"/>
                <w:color w:val="000000"/>
                <w:kern w:val="0"/>
                <w:sz w:val="18"/>
                <w:szCs w:val="18"/>
              </w:rPr>
              <w:t>鹏华兴鑫宝货币市场基金</w:t>
            </w:r>
          </w:p>
        </w:tc>
      </w:tr>
    </w:tbl>
    <w:p w:rsidR="00DB3C5B" w:rsidRPr="00C37C25" w:rsidRDefault="00DB3C5B" w:rsidP="00CB269B">
      <w:pPr>
        <w:spacing w:line="360" w:lineRule="auto"/>
        <w:ind w:firstLineChars="200" w:firstLine="480"/>
        <w:rPr>
          <w:rFonts w:cs="Times New Roman"/>
          <w:sz w:val="24"/>
          <w:szCs w:val="24"/>
        </w:rPr>
      </w:pPr>
    </w:p>
    <w:p w:rsidR="005733EA" w:rsidRPr="001359A9" w:rsidRDefault="001359A9" w:rsidP="00CB269B">
      <w:pPr>
        <w:spacing w:line="360" w:lineRule="auto"/>
        <w:ind w:firstLineChars="200" w:firstLine="480"/>
        <w:rPr>
          <w:rFonts w:asciiTheme="minorEastAsia" w:hAnsiTheme="minorEastAsia"/>
          <w:b/>
          <w:sz w:val="24"/>
          <w:szCs w:val="24"/>
        </w:rPr>
      </w:pPr>
      <w:r w:rsidRPr="001359A9">
        <w:rPr>
          <w:rFonts w:cs="Times New Roman" w:hint="eastAsia"/>
          <w:sz w:val="24"/>
          <w:szCs w:val="24"/>
        </w:rPr>
        <w:t>本调整方案所涉及的各基金招募说明书的相关内容，本公司将在各基金的招募说明书更新中作相应调整</w:t>
      </w:r>
      <w:r w:rsidRPr="00336ECA">
        <w:rPr>
          <w:rFonts w:cs="Times New Roman" w:hint="eastAsia"/>
          <w:sz w:val="24"/>
          <w:szCs w:val="24"/>
        </w:rPr>
        <w:t>。</w:t>
      </w:r>
    </w:p>
    <w:p w:rsidR="008D2331" w:rsidRDefault="008D2331" w:rsidP="00CB269B">
      <w:pPr>
        <w:spacing w:line="360" w:lineRule="auto"/>
        <w:ind w:firstLineChars="200" w:firstLine="482"/>
        <w:rPr>
          <w:rFonts w:asciiTheme="minorEastAsia" w:hAnsiTheme="minorEastAsia"/>
          <w:b/>
          <w:sz w:val="24"/>
          <w:szCs w:val="24"/>
        </w:rPr>
      </w:pPr>
    </w:p>
    <w:p w:rsidR="00EB5425" w:rsidRPr="005733EA" w:rsidRDefault="001359A9" w:rsidP="00CB26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w:t>
      </w:r>
      <w:r w:rsidR="00EB5425" w:rsidRPr="005733EA">
        <w:rPr>
          <w:rFonts w:asciiTheme="minorEastAsia" w:hAnsiTheme="minorEastAsia"/>
          <w:b/>
          <w:sz w:val="24"/>
          <w:szCs w:val="24"/>
        </w:rPr>
        <w:t>、业务咨询</w:t>
      </w:r>
    </w:p>
    <w:p w:rsidR="00EB5425" w:rsidRPr="00C121A3" w:rsidRDefault="00EB5425" w:rsidP="00CB269B">
      <w:pPr>
        <w:spacing w:line="360" w:lineRule="auto"/>
        <w:ind w:firstLineChars="200" w:firstLine="480"/>
        <w:rPr>
          <w:rFonts w:asciiTheme="minorEastAsia" w:hAnsiTheme="minorEastAsia"/>
          <w:sz w:val="24"/>
          <w:szCs w:val="24"/>
        </w:rPr>
      </w:pPr>
      <w:r w:rsidRPr="00C121A3">
        <w:rPr>
          <w:rFonts w:asciiTheme="minorEastAsia" w:hAnsiTheme="minorEastAsia" w:hint="eastAsia"/>
          <w:sz w:val="24"/>
          <w:szCs w:val="24"/>
        </w:rPr>
        <w:t>投资者</w:t>
      </w:r>
      <w:r w:rsidRPr="00C121A3">
        <w:rPr>
          <w:rFonts w:asciiTheme="minorEastAsia" w:hAnsiTheme="minorEastAsia"/>
          <w:sz w:val="24"/>
          <w:szCs w:val="24"/>
        </w:rPr>
        <w:t>可通过以下途径咨询详情：</w:t>
      </w:r>
    </w:p>
    <w:p w:rsidR="00616423" w:rsidRPr="00A14A0B" w:rsidRDefault="00616423" w:rsidP="00CB269B">
      <w:pPr>
        <w:pStyle w:val="a6"/>
        <w:spacing w:before="51" w:line="360" w:lineRule="auto"/>
        <w:ind w:left="0" w:right="119" w:firstLineChars="200" w:firstLine="480"/>
        <w:rPr>
          <w:rFonts w:asciiTheme="minorEastAsia" w:eastAsiaTheme="minorEastAsia" w:hAnsiTheme="minorEastAsia"/>
          <w:sz w:val="24"/>
          <w:szCs w:val="24"/>
          <w:lang w:eastAsia="zh-CN"/>
        </w:rPr>
      </w:pPr>
      <w:r w:rsidRPr="00A14A0B">
        <w:rPr>
          <w:rFonts w:asciiTheme="minorEastAsia" w:eastAsiaTheme="minorEastAsia" w:hAnsiTheme="minorEastAsia"/>
          <w:sz w:val="24"/>
          <w:szCs w:val="24"/>
          <w:lang w:eastAsia="zh-CN"/>
        </w:rPr>
        <w:t>鹏华基金管理有限公司</w:t>
      </w:r>
    </w:p>
    <w:p w:rsidR="00616423" w:rsidRPr="00A14A0B" w:rsidRDefault="00616423" w:rsidP="00CB269B">
      <w:pPr>
        <w:pStyle w:val="a6"/>
        <w:spacing w:before="51" w:line="360" w:lineRule="auto"/>
        <w:ind w:left="0" w:right="119" w:firstLineChars="200" w:firstLine="480"/>
        <w:rPr>
          <w:rFonts w:asciiTheme="minorEastAsia" w:eastAsiaTheme="minorEastAsia" w:hAnsiTheme="minorEastAsia"/>
          <w:sz w:val="24"/>
          <w:szCs w:val="24"/>
          <w:lang w:eastAsia="zh-CN"/>
        </w:rPr>
      </w:pPr>
      <w:r w:rsidRPr="00A14A0B">
        <w:rPr>
          <w:rFonts w:asciiTheme="minorEastAsia" w:eastAsiaTheme="minorEastAsia" w:hAnsiTheme="minorEastAsia"/>
          <w:sz w:val="24"/>
          <w:szCs w:val="24"/>
          <w:lang w:eastAsia="zh-CN"/>
        </w:rPr>
        <w:t>网站：</w:t>
      </w:r>
      <w:hyperlink r:id="rId6">
        <w:r w:rsidRPr="00A14A0B">
          <w:rPr>
            <w:rFonts w:asciiTheme="minorEastAsia" w:eastAsiaTheme="minorEastAsia" w:hAnsiTheme="minorEastAsia"/>
            <w:sz w:val="24"/>
            <w:szCs w:val="24"/>
            <w:lang w:eastAsia="zh-CN"/>
          </w:rPr>
          <w:t>www.phfund.com</w:t>
        </w:r>
      </w:hyperlink>
    </w:p>
    <w:p w:rsidR="00616423" w:rsidRPr="00A14A0B" w:rsidRDefault="00616423" w:rsidP="00CB269B">
      <w:pPr>
        <w:pStyle w:val="a6"/>
        <w:spacing w:before="51" w:line="360" w:lineRule="auto"/>
        <w:ind w:left="0" w:right="119" w:firstLineChars="200" w:firstLine="480"/>
        <w:rPr>
          <w:rFonts w:asciiTheme="minorEastAsia" w:eastAsiaTheme="minorEastAsia" w:hAnsiTheme="minorEastAsia"/>
          <w:sz w:val="24"/>
          <w:szCs w:val="24"/>
          <w:lang w:eastAsia="zh-CN"/>
        </w:rPr>
      </w:pPr>
      <w:r w:rsidRPr="00A14A0B">
        <w:rPr>
          <w:rFonts w:asciiTheme="minorEastAsia" w:eastAsiaTheme="minorEastAsia" w:hAnsiTheme="minorEastAsia"/>
          <w:sz w:val="24"/>
          <w:szCs w:val="24"/>
          <w:lang w:eastAsia="zh-CN"/>
        </w:rPr>
        <w:t>客户服务电话：400-6788-999</w:t>
      </w:r>
    </w:p>
    <w:p w:rsidR="006F03C4" w:rsidRDefault="006F03C4" w:rsidP="00CB269B">
      <w:pPr>
        <w:spacing w:line="360" w:lineRule="auto"/>
        <w:ind w:firstLineChars="200" w:firstLine="480"/>
        <w:rPr>
          <w:rFonts w:asciiTheme="minorEastAsia" w:hAnsiTheme="minorEastAsia"/>
          <w:sz w:val="24"/>
          <w:szCs w:val="24"/>
        </w:rPr>
      </w:pPr>
    </w:p>
    <w:p w:rsidR="00EB5425" w:rsidRPr="00C121A3" w:rsidRDefault="00EB5425" w:rsidP="00CB269B">
      <w:pPr>
        <w:spacing w:line="360" w:lineRule="auto"/>
        <w:ind w:firstLineChars="200" w:firstLine="480"/>
        <w:rPr>
          <w:rFonts w:asciiTheme="minorEastAsia" w:hAnsiTheme="minorEastAsia"/>
          <w:sz w:val="24"/>
          <w:szCs w:val="24"/>
        </w:rPr>
      </w:pPr>
      <w:r w:rsidRPr="00C121A3">
        <w:rPr>
          <w:rFonts w:asciiTheme="minorEastAsia" w:hAnsiTheme="minorEastAsia" w:hint="eastAsia"/>
          <w:sz w:val="24"/>
          <w:szCs w:val="24"/>
        </w:rPr>
        <w:t>风险</w:t>
      </w:r>
      <w:r w:rsidRPr="00C121A3">
        <w:rPr>
          <w:rFonts w:asciiTheme="minorEastAsia" w:hAnsiTheme="minorEastAsia"/>
          <w:sz w:val="24"/>
          <w:szCs w:val="24"/>
        </w:rPr>
        <w:t>提示：投资者</w:t>
      </w:r>
      <w:r w:rsidRPr="00C121A3">
        <w:rPr>
          <w:rFonts w:asciiTheme="minorEastAsia" w:hAnsiTheme="minorEastAsia" w:hint="eastAsia"/>
          <w:sz w:val="24"/>
          <w:szCs w:val="24"/>
        </w:rPr>
        <w:t>投资于</w:t>
      </w:r>
      <w:r w:rsidRPr="00C121A3">
        <w:rPr>
          <w:rFonts w:asciiTheme="minorEastAsia" w:hAnsiTheme="minorEastAsia"/>
          <w:sz w:val="24"/>
          <w:szCs w:val="24"/>
        </w:rPr>
        <w:t>本公司</w:t>
      </w:r>
      <w:r w:rsidR="005F1CA6" w:rsidRPr="00C121A3">
        <w:rPr>
          <w:rFonts w:asciiTheme="minorEastAsia" w:hAnsiTheme="minorEastAsia" w:hint="eastAsia"/>
          <w:sz w:val="24"/>
          <w:szCs w:val="24"/>
        </w:rPr>
        <w:t>基金</w:t>
      </w:r>
      <w:r w:rsidRPr="00C121A3">
        <w:rPr>
          <w:rFonts w:asciiTheme="minorEastAsia" w:hAnsiTheme="minorEastAsia"/>
          <w:sz w:val="24"/>
          <w:szCs w:val="24"/>
        </w:rPr>
        <w:t>时应认真阅读相关基金合同、招募说明书</w:t>
      </w:r>
      <w:r w:rsidR="005F1CA6" w:rsidRPr="00C121A3">
        <w:rPr>
          <w:rFonts w:asciiTheme="minorEastAsia" w:hAnsiTheme="minorEastAsia" w:hint="eastAsia"/>
          <w:sz w:val="24"/>
          <w:szCs w:val="24"/>
        </w:rPr>
        <w:t>及</w:t>
      </w:r>
      <w:r w:rsidR="005F1CA6" w:rsidRPr="00C121A3">
        <w:rPr>
          <w:rFonts w:asciiTheme="minorEastAsia" w:hAnsiTheme="minorEastAsia"/>
          <w:sz w:val="24"/>
          <w:szCs w:val="24"/>
        </w:rPr>
        <w:t>其更新</w:t>
      </w:r>
      <w:r w:rsidRPr="00C121A3">
        <w:rPr>
          <w:rFonts w:asciiTheme="minorEastAsia" w:hAnsiTheme="minorEastAsia"/>
          <w:sz w:val="24"/>
          <w:szCs w:val="24"/>
        </w:rPr>
        <w:t>等</w:t>
      </w:r>
      <w:r w:rsidR="005F1CA6" w:rsidRPr="00C121A3">
        <w:rPr>
          <w:rFonts w:asciiTheme="minorEastAsia" w:hAnsiTheme="minorEastAsia" w:hint="eastAsia"/>
          <w:sz w:val="24"/>
          <w:szCs w:val="24"/>
        </w:rPr>
        <w:t>法律</w:t>
      </w:r>
      <w:r w:rsidR="005F1CA6" w:rsidRPr="00C121A3">
        <w:rPr>
          <w:rFonts w:asciiTheme="minorEastAsia" w:hAnsiTheme="minorEastAsia"/>
          <w:sz w:val="24"/>
          <w:szCs w:val="24"/>
        </w:rPr>
        <w:t>文件</w:t>
      </w:r>
      <w:r w:rsidR="005F1CA6" w:rsidRPr="00C121A3">
        <w:rPr>
          <w:rFonts w:asciiTheme="minorEastAsia" w:hAnsiTheme="minorEastAsia" w:hint="eastAsia"/>
          <w:sz w:val="24"/>
          <w:szCs w:val="24"/>
        </w:rPr>
        <w:t>，</w:t>
      </w:r>
      <w:r w:rsidR="005F1CA6" w:rsidRPr="00C121A3">
        <w:rPr>
          <w:rFonts w:asciiTheme="minorEastAsia" w:hAnsiTheme="minorEastAsia"/>
          <w:sz w:val="24"/>
          <w:szCs w:val="24"/>
        </w:rPr>
        <w:t>了解基金的风险收益特征，并根据自身的投资目的、投资期限、投资经验、资产状况等判断基金是否和投资人的风险承受能力相适应。</w:t>
      </w:r>
    </w:p>
    <w:p w:rsidR="00EB5425" w:rsidRPr="00C121A3" w:rsidRDefault="00EB5425" w:rsidP="00CB269B">
      <w:pPr>
        <w:spacing w:line="360" w:lineRule="auto"/>
        <w:ind w:firstLineChars="200" w:firstLine="480"/>
        <w:rPr>
          <w:rFonts w:asciiTheme="minorEastAsia" w:hAnsiTheme="minorEastAsia"/>
          <w:sz w:val="24"/>
          <w:szCs w:val="24"/>
        </w:rPr>
      </w:pPr>
      <w:r w:rsidRPr="00C121A3">
        <w:rPr>
          <w:rFonts w:asciiTheme="minorEastAsia" w:hAnsiTheme="minorEastAsia" w:hint="eastAsia"/>
          <w:sz w:val="24"/>
          <w:szCs w:val="24"/>
        </w:rPr>
        <w:t>本</w:t>
      </w:r>
      <w:r w:rsidR="008C6705" w:rsidRPr="00C121A3">
        <w:rPr>
          <w:rFonts w:asciiTheme="minorEastAsia" w:hAnsiTheme="minorEastAsia"/>
          <w:sz w:val="24"/>
          <w:szCs w:val="24"/>
        </w:rPr>
        <w:t>公</w:t>
      </w:r>
      <w:r w:rsidR="008C6705" w:rsidRPr="00C121A3">
        <w:rPr>
          <w:rFonts w:asciiTheme="minorEastAsia" w:hAnsiTheme="minorEastAsia" w:hint="eastAsia"/>
          <w:sz w:val="24"/>
          <w:szCs w:val="24"/>
        </w:rPr>
        <w:t>告</w:t>
      </w:r>
      <w:r w:rsidRPr="00C121A3">
        <w:rPr>
          <w:rFonts w:asciiTheme="minorEastAsia" w:hAnsiTheme="minorEastAsia"/>
          <w:sz w:val="24"/>
          <w:szCs w:val="24"/>
        </w:rPr>
        <w:t>的解释权归鹏华基金管理有限公司所有。</w:t>
      </w:r>
    </w:p>
    <w:p w:rsidR="00EB5425" w:rsidRDefault="00EB5425" w:rsidP="00CB269B">
      <w:pPr>
        <w:spacing w:line="360" w:lineRule="auto"/>
        <w:ind w:firstLineChars="200" w:firstLine="480"/>
        <w:rPr>
          <w:rFonts w:asciiTheme="minorEastAsia" w:hAnsiTheme="minorEastAsia"/>
          <w:sz w:val="24"/>
          <w:szCs w:val="24"/>
        </w:rPr>
      </w:pPr>
      <w:r w:rsidRPr="00C121A3">
        <w:rPr>
          <w:rFonts w:asciiTheme="minorEastAsia" w:hAnsiTheme="minorEastAsia" w:hint="eastAsia"/>
          <w:sz w:val="24"/>
          <w:szCs w:val="24"/>
        </w:rPr>
        <w:t>特此</w:t>
      </w:r>
      <w:r w:rsidRPr="00C121A3">
        <w:rPr>
          <w:rFonts w:asciiTheme="minorEastAsia" w:hAnsiTheme="minorEastAsia"/>
          <w:sz w:val="24"/>
          <w:szCs w:val="24"/>
        </w:rPr>
        <w:t>公告。</w:t>
      </w:r>
    </w:p>
    <w:p w:rsidR="005638EE" w:rsidRPr="00C121A3" w:rsidRDefault="005638EE" w:rsidP="00CB269B">
      <w:pPr>
        <w:spacing w:line="360" w:lineRule="auto"/>
        <w:ind w:firstLineChars="200" w:firstLine="480"/>
        <w:rPr>
          <w:rFonts w:asciiTheme="minorEastAsia" w:hAnsiTheme="minorEastAsia"/>
          <w:sz w:val="24"/>
          <w:szCs w:val="24"/>
        </w:rPr>
      </w:pPr>
    </w:p>
    <w:p w:rsidR="00EB5425" w:rsidRPr="00C121A3" w:rsidRDefault="00EB5425" w:rsidP="00CB269B">
      <w:pPr>
        <w:spacing w:line="360" w:lineRule="auto"/>
        <w:jc w:val="right"/>
        <w:rPr>
          <w:rFonts w:asciiTheme="minorEastAsia" w:hAnsiTheme="minorEastAsia"/>
          <w:sz w:val="24"/>
          <w:szCs w:val="24"/>
        </w:rPr>
      </w:pPr>
      <w:r w:rsidRPr="00C121A3">
        <w:rPr>
          <w:rFonts w:asciiTheme="minorEastAsia" w:hAnsiTheme="minorEastAsia" w:hint="eastAsia"/>
          <w:sz w:val="24"/>
          <w:szCs w:val="24"/>
        </w:rPr>
        <w:t>鹏华</w:t>
      </w:r>
      <w:r w:rsidRPr="00C121A3">
        <w:rPr>
          <w:rFonts w:asciiTheme="minorEastAsia" w:hAnsiTheme="minorEastAsia"/>
          <w:sz w:val="24"/>
          <w:szCs w:val="24"/>
        </w:rPr>
        <w:t>基金管理有限公司</w:t>
      </w:r>
    </w:p>
    <w:p w:rsidR="00EB5425" w:rsidRPr="00C121A3" w:rsidRDefault="006511D1" w:rsidP="00CB269B">
      <w:pPr>
        <w:spacing w:line="360" w:lineRule="auto"/>
        <w:jc w:val="righ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01</w:t>
      </w:r>
      <w:r w:rsidR="006F03C4">
        <w:rPr>
          <w:rFonts w:asciiTheme="minorEastAsia" w:hAnsiTheme="minorEastAsia"/>
          <w:sz w:val="24"/>
          <w:szCs w:val="24"/>
        </w:rPr>
        <w:t>8</w:t>
      </w:r>
      <w:r>
        <w:rPr>
          <w:rFonts w:asciiTheme="minorEastAsia" w:hAnsiTheme="minorEastAsia" w:hint="eastAsia"/>
          <w:sz w:val="24"/>
          <w:szCs w:val="24"/>
        </w:rPr>
        <w:t>年</w:t>
      </w:r>
      <w:r w:rsidR="00C37C25">
        <w:rPr>
          <w:rFonts w:asciiTheme="minorEastAsia" w:hAnsiTheme="minorEastAsia"/>
          <w:sz w:val="24"/>
          <w:szCs w:val="24"/>
        </w:rPr>
        <w:t>6</w:t>
      </w:r>
      <w:r w:rsidR="00EC51FC">
        <w:rPr>
          <w:rFonts w:asciiTheme="minorEastAsia" w:hAnsiTheme="minorEastAsia" w:hint="eastAsia"/>
          <w:sz w:val="24"/>
          <w:szCs w:val="24"/>
        </w:rPr>
        <w:t>月</w:t>
      </w:r>
      <w:r w:rsidR="00F0700D">
        <w:rPr>
          <w:rFonts w:asciiTheme="minorEastAsia" w:hAnsiTheme="minorEastAsia"/>
          <w:sz w:val="24"/>
          <w:szCs w:val="24"/>
        </w:rPr>
        <w:t>8</w:t>
      </w:r>
      <w:r>
        <w:rPr>
          <w:rFonts w:asciiTheme="minorEastAsia" w:hAnsiTheme="minorEastAsia" w:hint="eastAsia"/>
          <w:sz w:val="24"/>
          <w:szCs w:val="24"/>
        </w:rPr>
        <w:t>日</w:t>
      </w:r>
    </w:p>
    <w:sectPr w:rsidR="00EB5425" w:rsidRPr="00C121A3" w:rsidSect="00432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500" w:rsidRDefault="00445500"/>
  </w:endnote>
  <w:endnote w:type="continuationSeparator" w:id="1">
    <w:p w:rsidR="00445500" w:rsidRDefault="00445500"/>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500" w:rsidRDefault="00445500"/>
  </w:footnote>
  <w:footnote w:type="continuationSeparator" w:id="1">
    <w:p w:rsidR="00445500" w:rsidRDefault="0044550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7864"/>
    <w:rsid w:val="0010628C"/>
    <w:rsid w:val="00131B39"/>
    <w:rsid w:val="001359A9"/>
    <w:rsid w:val="0013675B"/>
    <w:rsid w:val="00165B26"/>
    <w:rsid w:val="00171BFF"/>
    <w:rsid w:val="00243959"/>
    <w:rsid w:val="00294B14"/>
    <w:rsid w:val="002B239D"/>
    <w:rsid w:val="00301230"/>
    <w:rsid w:val="00377864"/>
    <w:rsid w:val="004325E9"/>
    <w:rsid w:val="00445500"/>
    <w:rsid w:val="004F7B38"/>
    <w:rsid w:val="00520043"/>
    <w:rsid w:val="005638EE"/>
    <w:rsid w:val="005733EA"/>
    <w:rsid w:val="005B2CAE"/>
    <w:rsid w:val="005F1CA6"/>
    <w:rsid w:val="00616423"/>
    <w:rsid w:val="006511D1"/>
    <w:rsid w:val="00675F11"/>
    <w:rsid w:val="006761E9"/>
    <w:rsid w:val="006F03C4"/>
    <w:rsid w:val="00736527"/>
    <w:rsid w:val="00756A4D"/>
    <w:rsid w:val="007B25DC"/>
    <w:rsid w:val="00854ECB"/>
    <w:rsid w:val="00880382"/>
    <w:rsid w:val="008B0361"/>
    <w:rsid w:val="008C6705"/>
    <w:rsid w:val="008D2331"/>
    <w:rsid w:val="00986320"/>
    <w:rsid w:val="009C648F"/>
    <w:rsid w:val="00A1672A"/>
    <w:rsid w:val="00A45B9F"/>
    <w:rsid w:val="00A754B9"/>
    <w:rsid w:val="00A8409B"/>
    <w:rsid w:val="00AB0B2C"/>
    <w:rsid w:val="00B87C96"/>
    <w:rsid w:val="00BE3433"/>
    <w:rsid w:val="00C121A3"/>
    <w:rsid w:val="00C37C25"/>
    <w:rsid w:val="00C50ED8"/>
    <w:rsid w:val="00CB269B"/>
    <w:rsid w:val="00CD5709"/>
    <w:rsid w:val="00D317FA"/>
    <w:rsid w:val="00DB3C5B"/>
    <w:rsid w:val="00DC5C3A"/>
    <w:rsid w:val="00E90C3C"/>
    <w:rsid w:val="00EB5425"/>
    <w:rsid w:val="00EC51FC"/>
    <w:rsid w:val="00EF62E3"/>
    <w:rsid w:val="00F0700D"/>
    <w:rsid w:val="00F17263"/>
    <w:rsid w:val="00F31080"/>
    <w:rsid w:val="00F645A1"/>
    <w:rsid w:val="00F75FAB"/>
    <w:rsid w:val="00F7617D"/>
    <w:rsid w:val="00F91646"/>
    <w:rsid w:val="00FE0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425"/>
    <w:rPr>
      <w:color w:val="0563C1" w:themeColor="hyperlink"/>
      <w:u w:val="single"/>
    </w:rPr>
  </w:style>
  <w:style w:type="paragraph" w:styleId="a4">
    <w:name w:val="header"/>
    <w:basedOn w:val="a"/>
    <w:link w:val="Char"/>
    <w:uiPriority w:val="99"/>
    <w:unhideWhenUsed/>
    <w:rsid w:val="00651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11D1"/>
    <w:rPr>
      <w:sz w:val="18"/>
      <w:szCs w:val="18"/>
    </w:rPr>
  </w:style>
  <w:style w:type="paragraph" w:styleId="a5">
    <w:name w:val="footer"/>
    <w:basedOn w:val="a"/>
    <w:link w:val="Char0"/>
    <w:uiPriority w:val="99"/>
    <w:unhideWhenUsed/>
    <w:rsid w:val="006511D1"/>
    <w:pPr>
      <w:tabs>
        <w:tab w:val="center" w:pos="4153"/>
        <w:tab w:val="right" w:pos="8306"/>
      </w:tabs>
      <w:snapToGrid w:val="0"/>
      <w:jc w:val="left"/>
    </w:pPr>
    <w:rPr>
      <w:sz w:val="18"/>
      <w:szCs w:val="18"/>
    </w:rPr>
  </w:style>
  <w:style w:type="character" w:customStyle="1" w:styleId="Char0">
    <w:name w:val="页脚 Char"/>
    <w:basedOn w:val="a0"/>
    <w:link w:val="a5"/>
    <w:uiPriority w:val="99"/>
    <w:rsid w:val="006511D1"/>
    <w:rPr>
      <w:sz w:val="18"/>
      <w:szCs w:val="18"/>
    </w:rPr>
  </w:style>
  <w:style w:type="paragraph" w:styleId="a6">
    <w:name w:val="Body Text"/>
    <w:basedOn w:val="a"/>
    <w:link w:val="Char1"/>
    <w:uiPriority w:val="1"/>
    <w:qFormat/>
    <w:rsid w:val="00616423"/>
    <w:pPr>
      <w:ind w:left="540"/>
      <w:jc w:val="left"/>
    </w:pPr>
    <w:rPr>
      <w:rFonts w:ascii="宋体" w:eastAsia="宋体" w:hAnsi="宋体"/>
      <w:kern w:val="0"/>
      <w:szCs w:val="21"/>
      <w:lang w:eastAsia="en-US"/>
    </w:rPr>
  </w:style>
  <w:style w:type="character" w:customStyle="1" w:styleId="Char1">
    <w:name w:val="正文文本 Char"/>
    <w:basedOn w:val="a0"/>
    <w:link w:val="a6"/>
    <w:uiPriority w:val="1"/>
    <w:rsid w:val="00616423"/>
    <w:rPr>
      <w:rFonts w:ascii="宋体" w:eastAsia="宋体" w:hAnsi="宋体"/>
      <w:kern w:val="0"/>
      <w:szCs w:val="21"/>
      <w:lang w:eastAsia="en-US"/>
    </w:rPr>
  </w:style>
</w:styles>
</file>

<file path=word/webSettings.xml><?xml version="1.0" encoding="utf-8"?>
<w:webSettings xmlns:r="http://schemas.openxmlformats.org/officeDocument/2006/relationships" xmlns:w="http://schemas.openxmlformats.org/wordprocessingml/2006/main">
  <w:divs>
    <w:div w:id="840506277">
      <w:bodyDiv w:val="1"/>
      <w:marLeft w:val="0"/>
      <w:marRight w:val="0"/>
      <w:marTop w:val="0"/>
      <w:marBottom w:val="0"/>
      <w:divBdr>
        <w:top w:val="none" w:sz="0" w:space="0" w:color="auto"/>
        <w:left w:val="none" w:sz="0" w:space="0" w:color="auto"/>
        <w:bottom w:val="none" w:sz="0" w:space="0" w:color="auto"/>
        <w:right w:val="none" w:sz="0" w:space="0" w:color="auto"/>
      </w:divBdr>
    </w:div>
    <w:div w:id="951129922">
      <w:bodyDiv w:val="1"/>
      <w:marLeft w:val="0"/>
      <w:marRight w:val="0"/>
      <w:marTop w:val="0"/>
      <w:marBottom w:val="0"/>
      <w:divBdr>
        <w:top w:val="none" w:sz="0" w:space="0" w:color="auto"/>
        <w:left w:val="none" w:sz="0" w:space="0" w:color="auto"/>
        <w:bottom w:val="none" w:sz="0" w:space="0" w:color="auto"/>
        <w:right w:val="none" w:sz="0" w:space="0" w:color="auto"/>
      </w:divBdr>
    </w:div>
    <w:div w:id="1345128683">
      <w:bodyDiv w:val="1"/>
      <w:marLeft w:val="0"/>
      <w:marRight w:val="0"/>
      <w:marTop w:val="0"/>
      <w:marBottom w:val="0"/>
      <w:divBdr>
        <w:top w:val="none" w:sz="0" w:space="0" w:color="auto"/>
        <w:left w:val="none" w:sz="0" w:space="0" w:color="auto"/>
        <w:bottom w:val="none" w:sz="0" w:space="0" w:color="auto"/>
        <w:right w:val="none" w:sz="0" w:space="0" w:color="auto"/>
      </w:divBdr>
    </w:div>
    <w:div w:id="20389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3807</Characters>
  <Application>Microsoft Office Word</Application>
  <DocSecurity>4</DocSecurity>
  <Lines>31</Lines>
  <Paragraphs>8</Paragraphs>
  <ScaleCrop>false</ScaleCrop>
  <Company>phfund</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吕金平</dc:creator>
  <cp:keywords/>
  <dc:description/>
  <cp:lastModifiedBy>ZHONGM</cp:lastModifiedBy>
  <cp:revision>2</cp:revision>
  <dcterms:created xsi:type="dcterms:W3CDTF">2018-06-07T16:30:00Z</dcterms:created>
  <dcterms:modified xsi:type="dcterms:W3CDTF">2018-06-07T16:30:00Z</dcterms:modified>
</cp:coreProperties>
</file>