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BCC" w:rsidRPr="00C31CDA" w:rsidRDefault="00F41BCC" w:rsidP="00F41BCC">
      <w:pPr>
        <w:jc w:val="center"/>
        <w:rPr>
          <w:rFonts w:ascii="Arial" w:hAnsi="宋体" w:cs="Arial"/>
          <w:b/>
          <w:sz w:val="28"/>
          <w:szCs w:val="28"/>
        </w:rPr>
      </w:pPr>
      <w:r w:rsidRPr="00C31CDA">
        <w:rPr>
          <w:rFonts w:ascii="Arial" w:hAnsi="宋体" w:cs="Arial"/>
          <w:b/>
          <w:sz w:val="28"/>
          <w:szCs w:val="28"/>
        </w:rPr>
        <w:t>民生加银基金管理有限公司关于旗下</w:t>
      </w:r>
      <w:r w:rsidR="005B070E">
        <w:rPr>
          <w:rFonts w:ascii="Arial" w:hAnsi="宋体" w:cs="Arial" w:hint="eastAsia"/>
          <w:b/>
          <w:sz w:val="28"/>
          <w:szCs w:val="28"/>
        </w:rPr>
        <w:t>部分</w:t>
      </w:r>
      <w:r w:rsidRPr="00C31CDA">
        <w:rPr>
          <w:rFonts w:ascii="Arial" w:hAnsi="宋体" w:cs="Arial"/>
          <w:b/>
          <w:sz w:val="28"/>
          <w:szCs w:val="28"/>
        </w:rPr>
        <w:t>基金持有的股票</w:t>
      </w:r>
    </w:p>
    <w:p w:rsidR="00DA1CC1" w:rsidRPr="00991FFC" w:rsidRDefault="00F41BCC" w:rsidP="00F41BCC">
      <w:pPr>
        <w:spacing w:line="360" w:lineRule="auto"/>
        <w:jc w:val="center"/>
        <w:rPr>
          <w:rFonts w:asciiTheme="minorEastAsia" w:eastAsiaTheme="minorEastAsia" w:hAnsiTheme="minorEastAsia"/>
          <w:b/>
          <w:bCs/>
          <w:sz w:val="28"/>
          <w:szCs w:val="28"/>
        </w:rPr>
      </w:pPr>
      <w:r w:rsidRPr="00C31CDA">
        <w:rPr>
          <w:rFonts w:ascii="Arial" w:hAnsi="宋体" w:cs="Arial"/>
          <w:b/>
          <w:sz w:val="28"/>
          <w:szCs w:val="28"/>
        </w:rPr>
        <w:t>停牌后</w:t>
      </w:r>
      <w:r>
        <w:rPr>
          <w:rFonts w:ascii="Arial" w:hAnsi="宋体" w:cs="Arial" w:hint="eastAsia"/>
          <w:b/>
          <w:sz w:val="28"/>
          <w:szCs w:val="28"/>
        </w:rPr>
        <w:t>进行估值调整</w:t>
      </w:r>
      <w:r w:rsidRPr="00C31CDA">
        <w:rPr>
          <w:rFonts w:ascii="Arial" w:hAnsi="宋体" w:cs="Arial"/>
          <w:b/>
          <w:sz w:val="28"/>
          <w:szCs w:val="28"/>
        </w:rPr>
        <w:t>的提示性公告</w:t>
      </w:r>
    </w:p>
    <w:p w:rsidR="00DA1CC1" w:rsidRPr="00991FFC" w:rsidRDefault="00DA1CC1" w:rsidP="00DA1CC1">
      <w:pPr>
        <w:spacing w:line="360" w:lineRule="auto"/>
        <w:rPr>
          <w:rFonts w:ascii="宋体" w:hAnsi="宋体"/>
        </w:rPr>
      </w:pPr>
    </w:p>
    <w:p w:rsidR="00DA1CC1" w:rsidRPr="00F41BCC" w:rsidRDefault="009C7BBC" w:rsidP="004C5FF7">
      <w:pPr>
        <w:spacing w:line="360" w:lineRule="auto"/>
        <w:ind w:firstLineChars="200" w:firstLine="480"/>
        <w:rPr>
          <w:rFonts w:asciiTheme="minorEastAsia" w:eastAsiaTheme="minorEastAsia" w:hAnsiTheme="minorEastAsia"/>
          <w:sz w:val="24"/>
          <w:szCs w:val="24"/>
        </w:rPr>
      </w:pPr>
      <w:r w:rsidRPr="00F41BCC">
        <w:rPr>
          <w:rFonts w:asciiTheme="minorEastAsia" w:eastAsiaTheme="minorEastAsia" w:hAnsiTheme="minorEastAsia" w:hint="eastAsia"/>
          <w:sz w:val="24"/>
          <w:szCs w:val="24"/>
        </w:rPr>
        <w:t>根据中国证监会《中国证监会关于证券投资基金估值业务的指导意见》（中国证监会发</w:t>
      </w:r>
      <w:bookmarkStart w:id="0" w:name="_GoBack"/>
      <w:bookmarkEnd w:id="0"/>
      <w:r w:rsidRPr="00F41BCC">
        <w:rPr>
          <w:rFonts w:asciiTheme="minorEastAsia" w:eastAsiaTheme="minorEastAsia" w:hAnsiTheme="minorEastAsia" w:hint="eastAsia"/>
          <w:sz w:val="24"/>
          <w:szCs w:val="24"/>
        </w:rPr>
        <w:t>[2017]第13号）</w:t>
      </w:r>
      <w:r w:rsidR="00DA1CC1" w:rsidRPr="00F41BCC">
        <w:rPr>
          <w:rFonts w:asciiTheme="minorEastAsia" w:eastAsiaTheme="minorEastAsia" w:hAnsiTheme="minorEastAsia"/>
          <w:sz w:val="24"/>
          <w:szCs w:val="24"/>
        </w:rPr>
        <w:t>、中国证券业</w:t>
      </w:r>
      <w:r w:rsidR="00F41BCC">
        <w:rPr>
          <w:rFonts w:asciiTheme="minorEastAsia" w:eastAsiaTheme="minorEastAsia" w:hAnsiTheme="minorEastAsia"/>
          <w:sz w:val="24"/>
          <w:szCs w:val="24"/>
        </w:rPr>
        <w:t>协会基金估值工作小组《关于停牌股票估值的参考方法》的有关规定，</w:t>
      </w:r>
      <w:r w:rsidR="00F41BCC">
        <w:rPr>
          <w:rFonts w:asciiTheme="minorEastAsia" w:eastAsiaTheme="minorEastAsia" w:hAnsiTheme="minorEastAsia" w:hint="eastAsia"/>
          <w:sz w:val="24"/>
          <w:szCs w:val="24"/>
        </w:rPr>
        <w:t>民生加银</w:t>
      </w:r>
      <w:r w:rsidR="00DA1CC1" w:rsidRPr="00F41BCC">
        <w:rPr>
          <w:rFonts w:asciiTheme="minorEastAsia" w:eastAsiaTheme="minorEastAsia" w:hAnsiTheme="minorEastAsia"/>
          <w:sz w:val="24"/>
          <w:szCs w:val="24"/>
        </w:rPr>
        <w:t>基金管理有限公司（以下简称</w:t>
      </w:r>
      <w:r w:rsidR="00F41BCC" w:rsidRPr="004D6C09">
        <w:rPr>
          <w:rFonts w:ascii="Arial" w:hAnsi="Arial" w:cs="Arial"/>
          <w:sz w:val="24"/>
          <w:szCs w:val="24"/>
        </w:rPr>
        <w:t>“</w:t>
      </w:r>
      <w:r w:rsidR="00F41BCC" w:rsidRPr="004D6C09">
        <w:rPr>
          <w:rFonts w:ascii="Arial" w:hAnsi="宋体" w:cs="Arial"/>
          <w:sz w:val="24"/>
          <w:szCs w:val="24"/>
        </w:rPr>
        <w:t>本公司</w:t>
      </w:r>
      <w:r w:rsidR="00F41BCC" w:rsidRPr="004D6C09">
        <w:rPr>
          <w:rFonts w:ascii="Arial" w:hAnsi="Arial" w:cs="Arial"/>
          <w:sz w:val="24"/>
          <w:szCs w:val="24"/>
        </w:rPr>
        <w:t>”</w:t>
      </w:r>
      <w:r w:rsidR="00F41BCC">
        <w:rPr>
          <w:rFonts w:asciiTheme="minorEastAsia" w:eastAsiaTheme="minorEastAsia" w:hAnsiTheme="minorEastAsia"/>
          <w:sz w:val="24"/>
          <w:szCs w:val="24"/>
        </w:rPr>
        <w:t>）</w:t>
      </w:r>
      <w:r w:rsidR="00F41BCC">
        <w:rPr>
          <w:rFonts w:asciiTheme="minorEastAsia" w:eastAsiaTheme="minorEastAsia" w:hAnsiTheme="minorEastAsia" w:hint="eastAsia"/>
          <w:sz w:val="24"/>
          <w:szCs w:val="24"/>
        </w:rPr>
        <w:t>经</w:t>
      </w:r>
      <w:r w:rsidR="00F41BCC">
        <w:rPr>
          <w:rFonts w:asciiTheme="minorEastAsia" w:eastAsiaTheme="minorEastAsia" w:hAnsiTheme="minorEastAsia"/>
          <w:sz w:val="24"/>
          <w:szCs w:val="24"/>
        </w:rPr>
        <w:t>与</w:t>
      </w:r>
      <w:r w:rsidR="00665A9C" w:rsidRPr="00665A9C">
        <w:rPr>
          <w:rFonts w:asciiTheme="minorEastAsia" w:eastAsiaTheme="minorEastAsia" w:hAnsiTheme="minorEastAsia" w:hint="eastAsia"/>
          <w:sz w:val="24"/>
          <w:szCs w:val="24"/>
        </w:rPr>
        <w:t>基金托管人</w:t>
      </w:r>
      <w:r w:rsidR="00DA1CC1" w:rsidRPr="00F41BCC">
        <w:rPr>
          <w:rFonts w:asciiTheme="minorEastAsia" w:eastAsiaTheme="minorEastAsia" w:hAnsiTheme="minorEastAsia"/>
          <w:sz w:val="24"/>
          <w:szCs w:val="24"/>
        </w:rPr>
        <w:t>协商一致，决定于201</w:t>
      </w:r>
      <w:r w:rsidRPr="00F41BCC">
        <w:rPr>
          <w:rFonts w:asciiTheme="minorEastAsia" w:eastAsiaTheme="minorEastAsia" w:hAnsiTheme="minorEastAsia" w:hint="eastAsia"/>
          <w:sz w:val="24"/>
          <w:szCs w:val="24"/>
        </w:rPr>
        <w:t>8</w:t>
      </w:r>
      <w:r w:rsidR="00DA1CC1" w:rsidRPr="00F41BCC">
        <w:rPr>
          <w:rFonts w:asciiTheme="minorEastAsia" w:eastAsiaTheme="minorEastAsia" w:hAnsiTheme="minorEastAsia" w:hint="eastAsia"/>
          <w:sz w:val="24"/>
          <w:szCs w:val="24"/>
        </w:rPr>
        <w:t>年</w:t>
      </w:r>
      <w:r w:rsidR="00F41BCC">
        <w:rPr>
          <w:rFonts w:asciiTheme="minorEastAsia" w:eastAsiaTheme="minorEastAsia" w:hAnsiTheme="minorEastAsia"/>
          <w:sz w:val="24"/>
          <w:szCs w:val="24"/>
        </w:rPr>
        <w:t>5</w:t>
      </w:r>
      <w:r w:rsidR="00DA1CC1" w:rsidRPr="00F41BCC">
        <w:rPr>
          <w:rFonts w:asciiTheme="minorEastAsia" w:eastAsiaTheme="minorEastAsia" w:hAnsiTheme="minorEastAsia" w:hint="eastAsia"/>
          <w:sz w:val="24"/>
          <w:szCs w:val="24"/>
        </w:rPr>
        <w:t>月</w:t>
      </w:r>
      <w:r w:rsidR="00F41BCC">
        <w:rPr>
          <w:rFonts w:asciiTheme="minorEastAsia" w:eastAsiaTheme="minorEastAsia" w:hAnsiTheme="minorEastAsia"/>
          <w:sz w:val="24"/>
          <w:szCs w:val="24"/>
        </w:rPr>
        <w:t>10</w:t>
      </w:r>
      <w:r w:rsidR="00C35DEC" w:rsidRPr="00F41BCC">
        <w:rPr>
          <w:rFonts w:asciiTheme="minorEastAsia" w:eastAsiaTheme="minorEastAsia" w:hAnsiTheme="minorEastAsia" w:hint="eastAsia"/>
          <w:sz w:val="24"/>
          <w:szCs w:val="24"/>
        </w:rPr>
        <w:t>日起对本公司旗下</w:t>
      </w:r>
      <w:r w:rsidR="000103F0">
        <w:rPr>
          <w:rFonts w:asciiTheme="minorEastAsia" w:eastAsiaTheme="minorEastAsia" w:hAnsiTheme="minorEastAsia" w:hint="eastAsia"/>
          <w:sz w:val="24"/>
          <w:szCs w:val="24"/>
        </w:rPr>
        <w:t>部分</w:t>
      </w:r>
      <w:r w:rsidR="00C35DEC" w:rsidRPr="00F41BCC">
        <w:rPr>
          <w:rFonts w:asciiTheme="minorEastAsia" w:eastAsiaTheme="minorEastAsia" w:hAnsiTheme="minorEastAsia" w:hint="eastAsia"/>
          <w:sz w:val="24"/>
          <w:szCs w:val="24"/>
        </w:rPr>
        <w:t>基金所持有</w:t>
      </w:r>
      <w:r w:rsidR="00665A9C">
        <w:rPr>
          <w:rFonts w:asciiTheme="minorEastAsia" w:eastAsiaTheme="minorEastAsia" w:hAnsiTheme="minorEastAsia" w:hint="eastAsia"/>
          <w:sz w:val="24"/>
          <w:szCs w:val="24"/>
        </w:rPr>
        <w:t>停牌</w:t>
      </w:r>
      <w:r w:rsidR="00F41BCC">
        <w:rPr>
          <w:rFonts w:asciiTheme="minorEastAsia" w:eastAsiaTheme="minorEastAsia" w:hAnsiTheme="minorEastAsia" w:hint="eastAsia"/>
          <w:sz w:val="24"/>
          <w:szCs w:val="24"/>
        </w:rPr>
        <w:t>股票</w:t>
      </w:r>
      <w:r w:rsidR="00AE386C" w:rsidRPr="00F41BCC">
        <w:rPr>
          <w:rFonts w:asciiTheme="minorEastAsia" w:eastAsiaTheme="minorEastAsia" w:hAnsiTheme="minorEastAsia" w:hint="eastAsia"/>
          <w:sz w:val="24"/>
          <w:szCs w:val="24"/>
        </w:rPr>
        <w:t>“</w:t>
      </w:r>
      <w:r w:rsidR="00D07F32" w:rsidRPr="00F41BCC">
        <w:rPr>
          <w:rFonts w:asciiTheme="minorEastAsia" w:eastAsiaTheme="minorEastAsia" w:hAnsiTheme="minorEastAsia" w:hint="eastAsia"/>
          <w:sz w:val="24"/>
          <w:szCs w:val="24"/>
        </w:rPr>
        <w:t>中兴通讯</w:t>
      </w:r>
      <w:r w:rsidR="00386647" w:rsidRPr="00F41BCC">
        <w:rPr>
          <w:rFonts w:asciiTheme="minorEastAsia" w:eastAsiaTheme="minorEastAsia" w:hAnsiTheme="minorEastAsia"/>
          <w:sz w:val="24"/>
          <w:szCs w:val="24"/>
        </w:rPr>
        <w:t>”</w:t>
      </w:r>
      <w:r w:rsidR="00DA1CC1" w:rsidRPr="00F41BCC">
        <w:rPr>
          <w:rFonts w:asciiTheme="minorEastAsia" w:eastAsiaTheme="minorEastAsia" w:hAnsiTheme="minorEastAsia" w:hint="eastAsia"/>
          <w:sz w:val="24"/>
          <w:szCs w:val="24"/>
        </w:rPr>
        <w:t>（股票代码</w:t>
      </w:r>
      <w:r w:rsidR="00D07F32" w:rsidRPr="00F41BCC">
        <w:rPr>
          <w:rFonts w:asciiTheme="minorEastAsia" w:eastAsiaTheme="minorEastAsia" w:hAnsiTheme="minorEastAsia" w:hint="eastAsia"/>
          <w:sz w:val="24"/>
          <w:szCs w:val="24"/>
        </w:rPr>
        <w:t>000063</w:t>
      </w:r>
      <w:r w:rsidR="00DA1CC1" w:rsidRPr="00F41BCC">
        <w:rPr>
          <w:rFonts w:asciiTheme="minorEastAsia" w:eastAsiaTheme="minorEastAsia" w:hAnsiTheme="minorEastAsia" w:hint="eastAsia"/>
          <w:sz w:val="24"/>
          <w:szCs w:val="24"/>
        </w:rPr>
        <w:t>）</w:t>
      </w:r>
      <w:r w:rsidR="00590DDD" w:rsidRPr="00F41BCC">
        <w:rPr>
          <w:rFonts w:asciiTheme="minorEastAsia" w:eastAsiaTheme="minorEastAsia" w:hAnsiTheme="minorEastAsia" w:hint="eastAsia"/>
          <w:sz w:val="24"/>
          <w:szCs w:val="24"/>
        </w:rPr>
        <w:t>进行估值调整，估值价格调整为</w:t>
      </w:r>
      <w:r w:rsidR="00827196">
        <w:rPr>
          <w:rFonts w:asciiTheme="minorEastAsia" w:eastAsiaTheme="minorEastAsia" w:hAnsiTheme="minorEastAsia"/>
          <w:sz w:val="24"/>
          <w:szCs w:val="24"/>
        </w:rPr>
        <w:t>20.54</w:t>
      </w:r>
      <w:r w:rsidR="00590DDD" w:rsidRPr="00F41BCC">
        <w:rPr>
          <w:rFonts w:asciiTheme="minorEastAsia" w:eastAsiaTheme="minorEastAsia" w:hAnsiTheme="minorEastAsia" w:hint="eastAsia"/>
          <w:sz w:val="24"/>
          <w:szCs w:val="24"/>
        </w:rPr>
        <w:t>元</w:t>
      </w:r>
      <w:r w:rsidR="00DA1CC1" w:rsidRPr="00F41BCC">
        <w:rPr>
          <w:rFonts w:asciiTheme="minorEastAsia" w:eastAsiaTheme="minorEastAsia" w:hAnsiTheme="minorEastAsia" w:hint="eastAsia"/>
          <w:sz w:val="24"/>
          <w:szCs w:val="24"/>
        </w:rPr>
        <w:t>。</w:t>
      </w:r>
    </w:p>
    <w:p w:rsidR="00F175C9" w:rsidRDefault="000103F0" w:rsidP="000103F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在“中兴通讯”复牌且其交易体现了活跃市场交易特征后，恢复按市场价格进行估值，</w:t>
      </w:r>
      <w:r w:rsidR="00F175C9" w:rsidRPr="00D11B36">
        <w:rPr>
          <w:rFonts w:ascii="Arial" w:hAnsi="宋体" w:cs="Arial" w:hint="eastAsia"/>
          <w:sz w:val="24"/>
          <w:szCs w:val="24"/>
        </w:rPr>
        <w:t>届时</w:t>
      </w:r>
      <w:r w:rsidR="00D20A21">
        <w:rPr>
          <w:rFonts w:ascii="Arial" w:hAnsi="宋体" w:cs="Arial" w:hint="eastAsia"/>
          <w:sz w:val="24"/>
          <w:szCs w:val="24"/>
        </w:rPr>
        <w:t>将</w:t>
      </w:r>
      <w:r w:rsidR="00F175C9" w:rsidRPr="00D11B36">
        <w:rPr>
          <w:rFonts w:ascii="Arial" w:hAnsi="宋体" w:cs="Arial" w:hint="eastAsia"/>
          <w:sz w:val="24"/>
          <w:szCs w:val="24"/>
        </w:rPr>
        <w:t>不再另</w:t>
      </w:r>
      <w:r w:rsidR="00F175C9">
        <w:rPr>
          <w:rFonts w:ascii="Arial" w:hAnsi="宋体" w:cs="Arial" w:hint="eastAsia"/>
          <w:sz w:val="24"/>
          <w:szCs w:val="24"/>
        </w:rPr>
        <w:t>行公告。</w:t>
      </w:r>
    </w:p>
    <w:p w:rsidR="00D20A21" w:rsidRDefault="00F41BCC" w:rsidP="00F175C9">
      <w:pPr>
        <w:spacing w:line="360" w:lineRule="auto"/>
        <w:ind w:firstLineChars="200" w:firstLine="480"/>
        <w:rPr>
          <w:rFonts w:ascii="Arial" w:hAnsi="宋体" w:cs="Arial"/>
          <w:sz w:val="24"/>
          <w:szCs w:val="24"/>
        </w:rPr>
      </w:pPr>
      <w:r w:rsidRPr="004D6C09">
        <w:rPr>
          <w:rFonts w:ascii="Arial" w:hAnsi="宋体" w:cs="Arial"/>
          <w:sz w:val="24"/>
          <w:szCs w:val="24"/>
        </w:rPr>
        <w:t>投资者可登陆</w:t>
      </w:r>
      <w:r w:rsidR="00D20A21">
        <w:rPr>
          <w:rFonts w:ascii="Arial" w:hAnsi="宋体" w:cs="Arial" w:hint="eastAsia"/>
          <w:sz w:val="24"/>
          <w:szCs w:val="24"/>
        </w:rPr>
        <w:t>本</w:t>
      </w:r>
      <w:r w:rsidRPr="004D6C09">
        <w:rPr>
          <w:rFonts w:ascii="Arial" w:hAnsi="宋体" w:cs="Arial"/>
          <w:sz w:val="24"/>
          <w:szCs w:val="24"/>
        </w:rPr>
        <w:t>公司网</w:t>
      </w:r>
      <w:r w:rsidRPr="004D6C09">
        <w:rPr>
          <w:rFonts w:ascii="Arial" w:hAnsi="Arial" w:cs="Arial"/>
          <w:sz w:val="24"/>
          <w:szCs w:val="24"/>
        </w:rPr>
        <w:t>站（</w:t>
      </w:r>
      <w:hyperlink r:id="rId6" w:history="1">
        <w:r w:rsidRPr="004D6C09">
          <w:rPr>
            <w:rFonts w:ascii="Arial" w:hAnsi="Arial" w:cs="Arial"/>
            <w:sz w:val="24"/>
            <w:szCs w:val="24"/>
          </w:rPr>
          <w:t>http://www</w:t>
        </w:r>
      </w:hyperlink>
      <w:r w:rsidRPr="004D6C09">
        <w:rPr>
          <w:rFonts w:ascii="Arial" w:hAnsi="Arial" w:cs="Arial"/>
          <w:sz w:val="24"/>
          <w:szCs w:val="24"/>
        </w:rPr>
        <w:t>. msjyfund.com.cn</w:t>
      </w:r>
      <w:r w:rsidRPr="004D6C09">
        <w:rPr>
          <w:rFonts w:ascii="Arial" w:hAnsi="宋体" w:cs="Arial"/>
          <w:sz w:val="24"/>
          <w:szCs w:val="24"/>
        </w:rPr>
        <w:t>）或拨打客户服务电话</w:t>
      </w:r>
      <w:r w:rsidRPr="004D6C09">
        <w:rPr>
          <w:rFonts w:ascii="Arial" w:hAnsi="Arial" w:cs="Arial"/>
          <w:sz w:val="24"/>
          <w:szCs w:val="24"/>
        </w:rPr>
        <w:t>400-8888-388</w:t>
      </w:r>
      <w:r w:rsidRPr="004D6C09">
        <w:rPr>
          <w:rFonts w:ascii="Arial" w:hAnsi="宋体" w:cs="Arial"/>
          <w:sz w:val="24"/>
          <w:szCs w:val="24"/>
        </w:rPr>
        <w:t>咨询或查阅相关信息。</w:t>
      </w:r>
    </w:p>
    <w:p w:rsidR="00F175C9" w:rsidRDefault="00D20A21" w:rsidP="00F175C9">
      <w:pPr>
        <w:spacing w:line="360" w:lineRule="auto"/>
        <w:ind w:firstLineChars="200" w:firstLine="480"/>
        <w:rPr>
          <w:rFonts w:ascii="Arial" w:hAnsi="Arial" w:cs="Arial"/>
          <w:sz w:val="24"/>
          <w:szCs w:val="24"/>
        </w:rPr>
      </w:pPr>
      <w:r w:rsidRPr="00653E4B">
        <w:rPr>
          <w:rFonts w:ascii="Arial" w:hAnsi="宋体" w:cs="Arial" w:hint="eastAsia"/>
          <w:sz w:val="24"/>
          <w:szCs w:val="24"/>
        </w:rPr>
        <w:t>风险提示：基金管理人承诺以诚实信用、勤勉尽责的原则管理和运用基金资产，但不保证基金一定盈利，也不保证最低收益。投资者投资于本公司管理的基金时应认真阅读基金合同和招募说明书。</w:t>
      </w:r>
    </w:p>
    <w:p w:rsidR="00F41BCC" w:rsidRPr="00F175C9" w:rsidRDefault="00F41BCC" w:rsidP="00F175C9">
      <w:pPr>
        <w:spacing w:line="360" w:lineRule="auto"/>
        <w:ind w:firstLineChars="200" w:firstLine="480"/>
        <w:rPr>
          <w:rFonts w:asciiTheme="minorEastAsia" w:eastAsiaTheme="minorEastAsia" w:hAnsiTheme="minorEastAsia"/>
          <w:sz w:val="24"/>
          <w:szCs w:val="24"/>
        </w:rPr>
      </w:pPr>
      <w:r w:rsidRPr="004D6C09">
        <w:rPr>
          <w:rFonts w:ascii="Arial" w:hAnsi="宋体" w:cs="Arial"/>
          <w:sz w:val="24"/>
          <w:szCs w:val="24"/>
        </w:rPr>
        <w:t>特此公告</w:t>
      </w:r>
      <w:r>
        <w:rPr>
          <w:rFonts w:ascii="Arial" w:hAnsi="宋体" w:cs="Arial" w:hint="eastAsia"/>
          <w:sz w:val="24"/>
          <w:szCs w:val="24"/>
        </w:rPr>
        <w:t>。</w:t>
      </w:r>
    </w:p>
    <w:p w:rsidR="00F41BCC" w:rsidRDefault="00F41BCC" w:rsidP="00F41BCC">
      <w:pPr>
        <w:spacing w:line="360" w:lineRule="auto"/>
        <w:ind w:firstLineChars="236" w:firstLine="566"/>
        <w:jc w:val="left"/>
        <w:rPr>
          <w:rFonts w:ascii="Arial" w:hAnsi="宋体" w:cs="Arial"/>
          <w:sz w:val="24"/>
          <w:szCs w:val="24"/>
        </w:rPr>
      </w:pPr>
    </w:p>
    <w:p w:rsidR="00F41BCC" w:rsidRDefault="00F41BCC" w:rsidP="00F41BCC">
      <w:pPr>
        <w:jc w:val="left"/>
        <w:rPr>
          <w:rFonts w:ascii="Arial" w:hAnsi="Arial" w:cs="Arial"/>
          <w:sz w:val="24"/>
          <w:szCs w:val="24"/>
        </w:rPr>
      </w:pPr>
    </w:p>
    <w:p w:rsidR="00F41BCC" w:rsidRPr="004D6C09" w:rsidRDefault="00F41BCC" w:rsidP="00F41BCC">
      <w:pPr>
        <w:jc w:val="right"/>
        <w:rPr>
          <w:rFonts w:ascii="Arial" w:hAnsi="Arial" w:cs="Arial"/>
          <w:sz w:val="24"/>
          <w:szCs w:val="24"/>
        </w:rPr>
      </w:pPr>
      <w:r w:rsidRPr="004D6C09">
        <w:rPr>
          <w:rFonts w:ascii="Arial" w:hAnsi="宋体" w:cs="Arial"/>
          <w:sz w:val="24"/>
          <w:szCs w:val="24"/>
        </w:rPr>
        <w:t>民生加银基金管理有限公司</w:t>
      </w:r>
    </w:p>
    <w:p w:rsidR="00F41BCC" w:rsidRPr="004D6C09" w:rsidRDefault="00F41BCC" w:rsidP="00F41BCC">
      <w:pPr>
        <w:jc w:val="right"/>
        <w:rPr>
          <w:rFonts w:ascii="Arial" w:hAnsi="Arial" w:cs="Arial"/>
          <w:sz w:val="24"/>
          <w:szCs w:val="24"/>
        </w:rPr>
      </w:pPr>
    </w:p>
    <w:p w:rsidR="00F41BCC" w:rsidRPr="000F7147" w:rsidRDefault="00F41BCC" w:rsidP="00F41BCC">
      <w:pPr>
        <w:jc w:val="right"/>
        <w:rPr>
          <w:rFonts w:ascii="Arial" w:hAnsi="Arial" w:cs="Arial"/>
          <w:sz w:val="24"/>
          <w:szCs w:val="24"/>
        </w:rPr>
      </w:pPr>
      <w:r>
        <w:rPr>
          <w:rFonts w:ascii="Arial" w:hAnsi="Arial" w:cs="Arial"/>
          <w:sz w:val="24"/>
          <w:szCs w:val="24"/>
        </w:rPr>
        <w:t>201</w:t>
      </w:r>
      <w:r>
        <w:rPr>
          <w:rFonts w:ascii="Arial" w:hAnsi="Arial" w:cs="Arial" w:hint="eastAsia"/>
          <w:sz w:val="24"/>
          <w:szCs w:val="24"/>
        </w:rPr>
        <w:t>8</w:t>
      </w:r>
      <w:r w:rsidRPr="004D6C09">
        <w:rPr>
          <w:rFonts w:ascii="Arial" w:hAnsi="宋体" w:cs="Arial"/>
          <w:sz w:val="24"/>
          <w:szCs w:val="24"/>
        </w:rPr>
        <w:t>年</w:t>
      </w:r>
      <w:r>
        <w:rPr>
          <w:rFonts w:ascii="Arial" w:hAnsi="Arial" w:cs="Arial"/>
          <w:sz w:val="24"/>
          <w:szCs w:val="24"/>
        </w:rPr>
        <w:t>5</w:t>
      </w:r>
      <w:r w:rsidRPr="004D6C09">
        <w:rPr>
          <w:rFonts w:ascii="Arial" w:hAnsi="宋体" w:cs="Arial"/>
          <w:sz w:val="24"/>
          <w:szCs w:val="24"/>
        </w:rPr>
        <w:t>月</w:t>
      </w:r>
      <w:r>
        <w:rPr>
          <w:rFonts w:ascii="Arial" w:hAnsi="宋体" w:cs="Arial"/>
          <w:sz w:val="24"/>
          <w:szCs w:val="24"/>
        </w:rPr>
        <w:t>1</w:t>
      </w:r>
      <w:r w:rsidR="00CE17B7">
        <w:rPr>
          <w:rFonts w:ascii="Arial" w:hAnsi="宋体" w:cs="Arial"/>
          <w:sz w:val="24"/>
          <w:szCs w:val="24"/>
        </w:rPr>
        <w:t>1</w:t>
      </w:r>
      <w:r w:rsidRPr="004D6C09">
        <w:rPr>
          <w:rFonts w:ascii="Arial" w:hAnsi="宋体" w:cs="Arial"/>
          <w:sz w:val="24"/>
          <w:szCs w:val="24"/>
        </w:rPr>
        <w:t>日</w:t>
      </w:r>
    </w:p>
    <w:p w:rsidR="00A668C8" w:rsidRPr="00991FFC" w:rsidRDefault="00A668C8"/>
    <w:sectPr w:rsidR="00A668C8" w:rsidRPr="00991FFC" w:rsidSect="00420E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D9F" w:rsidRDefault="00A46D9F" w:rsidP="00AE4688">
      <w:r>
        <w:separator/>
      </w:r>
    </w:p>
  </w:endnote>
  <w:endnote w:type="continuationSeparator" w:id="1">
    <w:p w:rsidR="00A46D9F" w:rsidRDefault="00A46D9F" w:rsidP="00AE46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D9F" w:rsidRDefault="00A46D9F" w:rsidP="00AE4688">
      <w:r>
        <w:separator/>
      </w:r>
    </w:p>
  </w:footnote>
  <w:footnote w:type="continuationSeparator" w:id="1">
    <w:p w:rsidR="00A46D9F" w:rsidRDefault="00A46D9F" w:rsidP="00AE46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68C8"/>
    <w:rsid w:val="000103F0"/>
    <w:rsid w:val="0001450E"/>
    <w:rsid w:val="000145C5"/>
    <w:rsid w:val="0002026F"/>
    <w:rsid w:val="00023CA6"/>
    <w:rsid w:val="000367B3"/>
    <w:rsid w:val="00046BE4"/>
    <w:rsid w:val="0005368B"/>
    <w:rsid w:val="000540B3"/>
    <w:rsid w:val="0005463B"/>
    <w:rsid w:val="000676B2"/>
    <w:rsid w:val="00075094"/>
    <w:rsid w:val="000775C8"/>
    <w:rsid w:val="00084D1B"/>
    <w:rsid w:val="00091A24"/>
    <w:rsid w:val="000A0644"/>
    <w:rsid w:val="000B4A36"/>
    <w:rsid w:val="000D096A"/>
    <w:rsid w:val="000D37A9"/>
    <w:rsid w:val="000D683E"/>
    <w:rsid w:val="000F4A0D"/>
    <w:rsid w:val="00113C33"/>
    <w:rsid w:val="00114D77"/>
    <w:rsid w:val="00122B46"/>
    <w:rsid w:val="00133D7D"/>
    <w:rsid w:val="00135AB6"/>
    <w:rsid w:val="00137B80"/>
    <w:rsid w:val="00141430"/>
    <w:rsid w:val="0014398C"/>
    <w:rsid w:val="00144B36"/>
    <w:rsid w:val="00156AF6"/>
    <w:rsid w:val="00161381"/>
    <w:rsid w:val="00171652"/>
    <w:rsid w:val="001764E8"/>
    <w:rsid w:val="001C4468"/>
    <w:rsid w:val="001C6B1E"/>
    <w:rsid w:val="001D4A24"/>
    <w:rsid w:val="001D783D"/>
    <w:rsid w:val="001E467F"/>
    <w:rsid w:val="00210B4C"/>
    <w:rsid w:val="00215149"/>
    <w:rsid w:val="002449BC"/>
    <w:rsid w:val="002553B3"/>
    <w:rsid w:val="0028741F"/>
    <w:rsid w:val="002D5506"/>
    <w:rsid w:val="00317A01"/>
    <w:rsid w:val="003200E4"/>
    <w:rsid w:val="00321653"/>
    <w:rsid w:val="00331229"/>
    <w:rsid w:val="00334649"/>
    <w:rsid w:val="00363E81"/>
    <w:rsid w:val="003732FB"/>
    <w:rsid w:val="00374CCF"/>
    <w:rsid w:val="0038615D"/>
    <w:rsid w:val="0038655C"/>
    <w:rsid w:val="00386647"/>
    <w:rsid w:val="0038758B"/>
    <w:rsid w:val="003A70FC"/>
    <w:rsid w:val="003B4775"/>
    <w:rsid w:val="003C1BB2"/>
    <w:rsid w:val="003D4263"/>
    <w:rsid w:val="003E2A26"/>
    <w:rsid w:val="003E44E3"/>
    <w:rsid w:val="003F7F1A"/>
    <w:rsid w:val="004020E9"/>
    <w:rsid w:val="00413EB5"/>
    <w:rsid w:val="00420A34"/>
    <w:rsid w:val="00421214"/>
    <w:rsid w:val="00424FB1"/>
    <w:rsid w:val="0045585C"/>
    <w:rsid w:val="00463480"/>
    <w:rsid w:val="00465547"/>
    <w:rsid w:val="00472877"/>
    <w:rsid w:val="004951A2"/>
    <w:rsid w:val="00497F32"/>
    <w:rsid w:val="004C5FF7"/>
    <w:rsid w:val="004D241C"/>
    <w:rsid w:val="00502F09"/>
    <w:rsid w:val="00520CBC"/>
    <w:rsid w:val="00536F26"/>
    <w:rsid w:val="00544A33"/>
    <w:rsid w:val="00555D0D"/>
    <w:rsid w:val="0057265A"/>
    <w:rsid w:val="00575F3D"/>
    <w:rsid w:val="005767FF"/>
    <w:rsid w:val="0058594B"/>
    <w:rsid w:val="00590DDD"/>
    <w:rsid w:val="0059774F"/>
    <w:rsid w:val="005A051A"/>
    <w:rsid w:val="005B070E"/>
    <w:rsid w:val="005B0BCD"/>
    <w:rsid w:val="005B30BC"/>
    <w:rsid w:val="005B5E5B"/>
    <w:rsid w:val="005F1DA7"/>
    <w:rsid w:val="0060247B"/>
    <w:rsid w:val="00602FB2"/>
    <w:rsid w:val="00604816"/>
    <w:rsid w:val="00606E35"/>
    <w:rsid w:val="0061254F"/>
    <w:rsid w:val="00612C08"/>
    <w:rsid w:val="00620730"/>
    <w:rsid w:val="00623577"/>
    <w:rsid w:val="006237B6"/>
    <w:rsid w:val="00631831"/>
    <w:rsid w:val="0063428B"/>
    <w:rsid w:val="00651F4E"/>
    <w:rsid w:val="00654DAC"/>
    <w:rsid w:val="00665A9C"/>
    <w:rsid w:val="00667F25"/>
    <w:rsid w:val="00680A88"/>
    <w:rsid w:val="0069124F"/>
    <w:rsid w:val="006968DC"/>
    <w:rsid w:val="006B1063"/>
    <w:rsid w:val="006B3BB3"/>
    <w:rsid w:val="006C41E3"/>
    <w:rsid w:val="006C6756"/>
    <w:rsid w:val="006C7407"/>
    <w:rsid w:val="006E0560"/>
    <w:rsid w:val="006E7936"/>
    <w:rsid w:val="006F20B9"/>
    <w:rsid w:val="006F7036"/>
    <w:rsid w:val="007004BF"/>
    <w:rsid w:val="00700F69"/>
    <w:rsid w:val="00701E8E"/>
    <w:rsid w:val="00713553"/>
    <w:rsid w:val="007157B8"/>
    <w:rsid w:val="00722156"/>
    <w:rsid w:val="00731CFE"/>
    <w:rsid w:val="00737CEC"/>
    <w:rsid w:val="00744199"/>
    <w:rsid w:val="0074545F"/>
    <w:rsid w:val="00753D48"/>
    <w:rsid w:val="007551CE"/>
    <w:rsid w:val="007652CB"/>
    <w:rsid w:val="00776746"/>
    <w:rsid w:val="00783EF4"/>
    <w:rsid w:val="007854B8"/>
    <w:rsid w:val="00797BC8"/>
    <w:rsid w:val="007A6EFB"/>
    <w:rsid w:val="007A7E40"/>
    <w:rsid w:val="007B1709"/>
    <w:rsid w:val="007B18D7"/>
    <w:rsid w:val="007B7A0D"/>
    <w:rsid w:val="007C1291"/>
    <w:rsid w:val="007C1781"/>
    <w:rsid w:val="007C6B28"/>
    <w:rsid w:val="007D139B"/>
    <w:rsid w:val="007D30AD"/>
    <w:rsid w:val="007E08D8"/>
    <w:rsid w:val="00827196"/>
    <w:rsid w:val="00831C5F"/>
    <w:rsid w:val="00871BE9"/>
    <w:rsid w:val="00874BFE"/>
    <w:rsid w:val="008823C3"/>
    <w:rsid w:val="008A68BF"/>
    <w:rsid w:val="008A7C7B"/>
    <w:rsid w:val="008B22C1"/>
    <w:rsid w:val="008C30CB"/>
    <w:rsid w:val="008C5589"/>
    <w:rsid w:val="008E1CA2"/>
    <w:rsid w:val="00901ED6"/>
    <w:rsid w:val="00902F76"/>
    <w:rsid w:val="0091042E"/>
    <w:rsid w:val="009300CC"/>
    <w:rsid w:val="00933BC7"/>
    <w:rsid w:val="00937B98"/>
    <w:rsid w:val="00941082"/>
    <w:rsid w:val="0095113C"/>
    <w:rsid w:val="009552E4"/>
    <w:rsid w:val="009632A9"/>
    <w:rsid w:val="009831B9"/>
    <w:rsid w:val="00991FFC"/>
    <w:rsid w:val="00993436"/>
    <w:rsid w:val="009A3260"/>
    <w:rsid w:val="009B495F"/>
    <w:rsid w:val="009B4CD5"/>
    <w:rsid w:val="009B73E5"/>
    <w:rsid w:val="009C7BBC"/>
    <w:rsid w:val="009E1C4C"/>
    <w:rsid w:val="009E59F4"/>
    <w:rsid w:val="009F73F0"/>
    <w:rsid w:val="00A05AAE"/>
    <w:rsid w:val="00A0609E"/>
    <w:rsid w:val="00A067EB"/>
    <w:rsid w:val="00A31D7C"/>
    <w:rsid w:val="00A40696"/>
    <w:rsid w:val="00A449E5"/>
    <w:rsid w:val="00A45223"/>
    <w:rsid w:val="00A4594E"/>
    <w:rsid w:val="00A466C4"/>
    <w:rsid w:val="00A46D9F"/>
    <w:rsid w:val="00A668C8"/>
    <w:rsid w:val="00A73031"/>
    <w:rsid w:val="00A87BAA"/>
    <w:rsid w:val="00A91321"/>
    <w:rsid w:val="00A92525"/>
    <w:rsid w:val="00A95FDC"/>
    <w:rsid w:val="00AA2318"/>
    <w:rsid w:val="00AA7402"/>
    <w:rsid w:val="00AB098C"/>
    <w:rsid w:val="00AD1CDD"/>
    <w:rsid w:val="00AD779E"/>
    <w:rsid w:val="00AE386C"/>
    <w:rsid w:val="00AE4688"/>
    <w:rsid w:val="00AF73EA"/>
    <w:rsid w:val="00B01176"/>
    <w:rsid w:val="00B04796"/>
    <w:rsid w:val="00B04D26"/>
    <w:rsid w:val="00B169C2"/>
    <w:rsid w:val="00B21B10"/>
    <w:rsid w:val="00B46C88"/>
    <w:rsid w:val="00B86283"/>
    <w:rsid w:val="00B972C2"/>
    <w:rsid w:val="00BE2F18"/>
    <w:rsid w:val="00BE5BC4"/>
    <w:rsid w:val="00BF7477"/>
    <w:rsid w:val="00C03F97"/>
    <w:rsid w:val="00C14BB1"/>
    <w:rsid w:val="00C214E9"/>
    <w:rsid w:val="00C22147"/>
    <w:rsid w:val="00C30560"/>
    <w:rsid w:val="00C35DEC"/>
    <w:rsid w:val="00C445C1"/>
    <w:rsid w:val="00C5685C"/>
    <w:rsid w:val="00C57556"/>
    <w:rsid w:val="00C6450E"/>
    <w:rsid w:val="00C71BF2"/>
    <w:rsid w:val="00C8371E"/>
    <w:rsid w:val="00C855F1"/>
    <w:rsid w:val="00C91274"/>
    <w:rsid w:val="00CA42F1"/>
    <w:rsid w:val="00CA67FF"/>
    <w:rsid w:val="00CA7FF2"/>
    <w:rsid w:val="00CB0BBC"/>
    <w:rsid w:val="00CB3D2F"/>
    <w:rsid w:val="00CB4A9A"/>
    <w:rsid w:val="00CB722B"/>
    <w:rsid w:val="00CC2515"/>
    <w:rsid w:val="00CC7C9F"/>
    <w:rsid w:val="00CD6B4A"/>
    <w:rsid w:val="00CE17B7"/>
    <w:rsid w:val="00D0030E"/>
    <w:rsid w:val="00D056DE"/>
    <w:rsid w:val="00D06879"/>
    <w:rsid w:val="00D07F32"/>
    <w:rsid w:val="00D20A21"/>
    <w:rsid w:val="00D24EC0"/>
    <w:rsid w:val="00D36195"/>
    <w:rsid w:val="00D4146D"/>
    <w:rsid w:val="00D44DFA"/>
    <w:rsid w:val="00D77554"/>
    <w:rsid w:val="00DA0FFD"/>
    <w:rsid w:val="00DA1CC1"/>
    <w:rsid w:val="00DA1E29"/>
    <w:rsid w:val="00DA4B12"/>
    <w:rsid w:val="00DA6D52"/>
    <w:rsid w:val="00DB68A8"/>
    <w:rsid w:val="00DE45CD"/>
    <w:rsid w:val="00DE585E"/>
    <w:rsid w:val="00DF0595"/>
    <w:rsid w:val="00DF25D6"/>
    <w:rsid w:val="00E20CB8"/>
    <w:rsid w:val="00E24A03"/>
    <w:rsid w:val="00E25D09"/>
    <w:rsid w:val="00E34E4C"/>
    <w:rsid w:val="00E36E30"/>
    <w:rsid w:val="00E42FB6"/>
    <w:rsid w:val="00E86720"/>
    <w:rsid w:val="00E86EA8"/>
    <w:rsid w:val="00E8735D"/>
    <w:rsid w:val="00E92453"/>
    <w:rsid w:val="00E95E37"/>
    <w:rsid w:val="00EA034F"/>
    <w:rsid w:val="00EC0972"/>
    <w:rsid w:val="00EC135D"/>
    <w:rsid w:val="00EC6A94"/>
    <w:rsid w:val="00ED6C26"/>
    <w:rsid w:val="00EE2E99"/>
    <w:rsid w:val="00EE3DCD"/>
    <w:rsid w:val="00EE7465"/>
    <w:rsid w:val="00EF3E1C"/>
    <w:rsid w:val="00F0299C"/>
    <w:rsid w:val="00F175C9"/>
    <w:rsid w:val="00F41BCC"/>
    <w:rsid w:val="00F45378"/>
    <w:rsid w:val="00F521CF"/>
    <w:rsid w:val="00F65575"/>
    <w:rsid w:val="00F75241"/>
    <w:rsid w:val="00F93473"/>
    <w:rsid w:val="00FB1E5C"/>
    <w:rsid w:val="00FB20C2"/>
    <w:rsid w:val="00FB6C49"/>
    <w:rsid w:val="00FC0009"/>
    <w:rsid w:val="00FC0494"/>
    <w:rsid w:val="00FC08DB"/>
    <w:rsid w:val="00FC2DBB"/>
    <w:rsid w:val="00FF5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1"/>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688"/>
    <w:rPr>
      <w:rFonts w:ascii="Calibri" w:eastAsia="宋体" w:hAnsi="Calibri" w:cs="宋体"/>
      <w:kern w:val="0"/>
      <w:sz w:val="18"/>
      <w:szCs w:val="18"/>
    </w:rPr>
  </w:style>
  <w:style w:type="paragraph" w:styleId="a4">
    <w:name w:val="footer"/>
    <w:basedOn w:val="a"/>
    <w:link w:val="Char0"/>
    <w:uiPriority w:val="99"/>
    <w:unhideWhenUsed/>
    <w:rsid w:val="00AE4688"/>
    <w:pPr>
      <w:tabs>
        <w:tab w:val="center" w:pos="4153"/>
        <w:tab w:val="right" w:pos="8306"/>
      </w:tabs>
      <w:snapToGrid w:val="0"/>
      <w:jc w:val="left"/>
    </w:pPr>
    <w:rPr>
      <w:sz w:val="18"/>
      <w:szCs w:val="18"/>
    </w:rPr>
  </w:style>
  <w:style w:type="character" w:customStyle="1" w:styleId="Char0">
    <w:name w:val="页脚 Char"/>
    <w:basedOn w:val="a0"/>
    <w:link w:val="a4"/>
    <w:uiPriority w:val="99"/>
    <w:rsid w:val="00AE4688"/>
    <w:rPr>
      <w:rFonts w:ascii="Calibri" w:eastAsia="宋体" w:hAnsi="Calibri" w:cs="宋体"/>
      <w:kern w:val="0"/>
      <w:sz w:val="18"/>
      <w:szCs w:val="18"/>
    </w:rPr>
  </w:style>
  <w:style w:type="paragraph" w:styleId="a5">
    <w:name w:val="Balloon Text"/>
    <w:basedOn w:val="a"/>
    <w:link w:val="Char1"/>
    <w:uiPriority w:val="99"/>
    <w:semiHidden/>
    <w:unhideWhenUsed/>
    <w:rsid w:val="00D0030E"/>
    <w:rPr>
      <w:sz w:val="18"/>
      <w:szCs w:val="18"/>
    </w:rPr>
  </w:style>
  <w:style w:type="character" w:customStyle="1" w:styleId="Char1">
    <w:name w:val="批注框文本 Char"/>
    <w:basedOn w:val="a0"/>
    <w:link w:val="a5"/>
    <w:uiPriority w:val="99"/>
    <w:semiHidden/>
    <w:rsid w:val="00D0030E"/>
    <w:rPr>
      <w:rFonts w:ascii="Calibri" w:eastAsia="宋体" w:hAnsi="Calibri" w:cs="宋体"/>
      <w:kern w:val="0"/>
      <w:sz w:val="18"/>
      <w:szCs w:val="18"/>
    </w:rPr>
  </w:style>
  <w:style w:type="character" w:styleId="a6">
    <w:name w:val="annotation reference"/>
    <w:basedOn w:val="a0"/>
    <w:uiPriority w:val="99"/>
    <w:semiHidden/>
    <w:unhideWhenUsed/>
    <w:rsid w:val="00D20A21"/>
    <w:rPr>
      <w:sz w:val="21"/>
      <w:szCs w:val="21"/>
    </w:rPr>
  </w:style>
  <w:style w:type="paragraph" w:styleId="a7">
    <w:name w:val="annotation text"/>
    <w:basedOn w:val="a"/>
    <w:link w:val="Char2"/>
    <w:uiPriority w:val="99"/>
    <w:semiHidden/>
    <w:unhideWhenUsed/>
    <w:rsid w:val="00D20A21"/>
    <w:pPr>
      <w:jc w:val="left"/>
    </w:pPr>
  </w:style>
  <w:style w:type="character" w:customStyle="1" w:styleId="Char2">
    <w:name w:val="批注文字 Char"/>
    <w:basedOn w:val="a0"/>
    <w:link w:val="a7"/>
    <w:uiPriority w:val="99"/>
    <w:semiHidden/>
    <w:rsid w:val="00D20A21"/>
    <w:rPr>
      <w:rFonts w:ascii="Calibri" w:eastAsia="宋体" w:hAnsi="Calibri" w:cs="宋体"/>
      <w:kern w:val="0"/>
      <w:szCs w:val="21"/>
    </w:rPr>
  </w:style>
  <w:style w:type="paragraph" w:styleId="a8">
    <w:name w:val="annotation subject"/>
    <w:basedOn w:val="a7"/>
    <w:next w:val="a7"/>
    <w:link w:val="Char3"/>
    <w:uiPriority w:val="99"/>
    <w:semiHidden/>
    <w:unhideWhenUsed/>
    <w:rsid w:val="00D20A21"/>
    <w:rPr>
      <w:b/>
      <w:bCs/>
    </w:rPr>
  </w:style>
  <w:style w:type="character" w:customStyle="1" w:styleId="Char3">
    <w:name w:val="批注主题 Char"/>
    <w:basedOn w:val="Char2"/>
    <w:link w:val="a8"/>
    <w:uiPriority w:val="99"/>
    <w:semiHidden/>
    <w:rsid w:val="00D20A21"/>
    <w:rPr>
      <w:rFonts w:ascii="Calibri" w:eastAsia="宋体" w:hAnsi="Calibri" w:cs="宋体"/>
      <w:b/>
      <w:bCs/>
      <w:kern w:val="0"/>
      <w:szCs w:val="21"/>
    </w:rPr>
  </w:style>
</w:styles>
</file>

<file path=word/webSettings.xml><?xml version="1.0" encoding="utf-8"?>
<w:webSettings xmlns:r="http://schemas.openxmlformats.org/officeDocument/2006/relationships" xmlns:w="http://schemas.openxmlformats.org/wordprocessingml/2006/main">
  <w:divs>
    <w:div w:id="88696522">
      <w:bodyDiv w:val="1"/>
      <w:marLeft w:val="0"/>
      <w:marRight w:val="0"/>
      <w:marTop w:val="0"/>
      <w:marBottom w:val="0"/>
      <w:divBdr>
        <w:top w:val="none" w:sz="0" w:space="0" w:color="auto"/>
        <w:left w:val="none" w:sz="0" w:space="0" w:color="auto"/>
        <w:bottom w:val="none" w:sz="0" w:space="0" w:color="auto"/>
        <w:right w:val="none" w:sz="0" w:space="0" w:color="auto"/>
      </w:divBdr>
    </w:div>
    <w:div w:id="94518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4</DocSecurity>
  <Lines>3</Lines>
  <Paragraphs>1</Paragraphs>
  <ScaleCrop>false</ScaleCrop>
  <Company>Microsoft</Company>
  <LinksUpToDate>false</LinksUpToDate>
  <CharactersWithSpaces>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wanghq</dc:creator>
  <cp:lastModifiedBy>ZHONGM</cp:lastModifiedBy>
  <cp:revision>2</cp:revision>
  <dcterms:created xsi:type="dcterms:W3CDTF">2018-05-10T16:37:00Z</dcterms:created>
  <dcterms:modified xsi:type="dcterms:W3CDTF">2018-05-10T16:37:00Z</dcterms:modified>
</cp:coreProperties>
</file>