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B9" w:rsidRPr="00972CB4" w:rsidRDefault="00567BB9" w:rsidP="00567BB9">
      <w:pPr>
        <w:spacing w:line="360" w:lineRule="auto"/>
        <w:jc w:val="center"/>
        <w:rPr>
          <w:b/>
          <w:sz w:val="32"/>
        </w:rPr>
      </w:pPr>
      <w:r w:rsidRPr="00972CB4">
        <w:rPr>
          <w:rFonts w:hint="eastAsia"/>
          <w:b/>
          <w:sz w:val="32"/>
        </w:rPr>
        <w:t>鹏华丰信分级债券型证券投资基金份额折算和变更登记的提示性公告</w:t>
      </w:r>
    </w:p>
    <w:p w:rsidR="005652BA" w:rsidRPr="00972CB4" w:rsidRDefault="005652BA" w:rsidP="005652BA">
      <w:pPr>
        <w:spacing w:line="360" w:lineRule="auto"/>
        <w:jc w:val="center"/>
        <w:rPr>
          <w:rFonts w:asciiTheme="minorEastAsia" w:eastAsiaTheme="minorEastAsia" w:hAnsiTheme="minorEastAsia"/>
          <w:b/>
          <w:bCs/>
          <w:sz w:val="24"/>
        </w:rPr>
      </w:pPr>
    </w:p>
    <w:p w:rsidR="00316FC8" w:rsidRPr="00972CB4" w:rsidRDefault="00316FC8" w:rsidP="00316FC8">
      <w:pPr>
        <w:spacing w:line="360" w:lineRule="auto"/>
        <w:jc w:val="left"/>
        <w:rPr>
          <w:rFonts w:asciiTheme="minorEastAsia" w:eastAsiaTheme="minorEastAsia" w:hAnsiTheme="minorEastAsia" w:cs="宋体"/>
          <w:color w:val="000000" w:themeColor="text1"/>
          <w:kern w:val="0"/>
          <w:sz w:val="24"/>
        </w:rPr>
      </w:pPr>
    </w:p>
    <w:p w:rsidR="00316FC8" w:rsidRPr="00972CB4" w:rsidRDefault="00512629" w:rsidP="00972CB4">
      <w:pPr>
        <w:spacing w:line="360" w:lineRule="auto"/>
        <w:jc w:val="left"/>
        <w:rPr>
          <w:rFonts w:asciiTheme="minorEastAsia" w:eastAsiaTheme="minorEastAsia" w:hAnsiTheme="minorEastAsia" w:cs="宋体"/>
          <w:color w:val="000000" w:themeColor="text1"/>
          <w:kern w:val="0"/>
          <w:sz w:val="24"/>
        </w:rPr>
      </w:pPr>
      <w:r w:rsidRPr="00972CB4">
        <w:rPr>
          <w:rFonts w:asciiTheme="minorEastAsia" w:eastAsiaTheme="minorEastAsia" w:hAnsiTheme="minorEastAsia" w:cs="宋体" w:hint="eastAsia"/>
          <w:color w:val="000000" w:themeColor="text1"/>
          <w:kern w:val="0"/>
          <w:sz w:val="24"/>
        </w:rPr>
        <w:t>鹏华基金管理有限公司（以下简称</w:t>
      </w:r>
      <w:r w:rsidRPr="00972CB4">
        <w:rPr>
          <w:rFonts w:asciiTheme="minorEastAsia" w:eastAsiaTheme="minorEastAsia" w:hAnsiTheme="minorEastAsia" w:cs="宋体"/>
          <w:color w:val="000000" w:themeColor="text1"/>
          <w:kern w:val="0"/>
          <w:sz w:val="24"/>
        </w:rPr>
        <w:t>“</w:t>
      </w:r>
      <w:r w:rsidRPr="00972CB4">
        <w:rPr>
          <w:rFonts w:asciiTheme="minorEastAsia" w:eastAsiaTheme="minorEastAsia" w:hAnsiTheme="minorEastAsia" w:cs="宋体" w:hint="eastAsia"/>
          <w:color w:val="000000" w:themeColor="text1"/>
          <w:kern w:val="0"/>
          <w:sz w:val="24"/>
        </w:rPr>
        <w:t>本公司</w:t>
      </w:r>
      <w:r w:rsidRPr="00972CB4">
        <w:rPr>
          <w:rFonts w:asciiTheme="minorEastAsia" w:eastAsiaTheme="minorEastAsia" w:hAnsiTheme="minorEastAsia" w:cs="宋体"/>
          <w:color w:val="000000" w:themeColor="text1"/>
          <w:kern w:val="0"/>
          <w:sz w:val="24"/>
        </w:rPr>
        <w:t>”</w:t>
      </w:r>
      <w:r w:rsidRPr="00972CB4">
        <w:rPr>
          <w:rFonts w:asciiTheme="minorEastAsia" w:eastAsiaTheme="minorEastAsia" w:hAnsiTheme="minorEastAsia" w:cs="宋体" w:hint="eastAsia"/>
          <w:color w:val="000000" w:themeColor="text1"/>
          <w:kern w:val="0"/>
          <w:sz w:val="24"/>
        </w:rPr>
        <w:t>或</w:t>
      </w:r>
      <w:r w:rsidRPr="00972CB4">
        <w:rPr>
          <w:rFonts w:asciiTheme="minorEastAsia" w:eastAsiaTheme="minorEastAsia" w:hAnsiTheme="minorEastAsia" w:cs="宋体"/>
          <w:color w:val="000000" w:themeColor="text1"/>
          <w:kern w:val="0"/>
          <w:sz w:val="24"/>
        </w:rPr>
        <w:t>“</w:t>
      </w:r>
      <w:r w:rsidRPr="00972CB4">
        <w:rPr>
          <w:rFonts w:asciiTheme="minorEastAsia" w:eastAsiaTheme="minorEastAsia" w:hAnsiTheme="minorEastAsia" w:cs="宋体" w:hint="eastAsia"/>
          <w:color w:val="000000" w:themeColor="text1"/>
          <w:kern w:val="0"/>
          <w:sz w:val="24"/>
        </w:rPr>
        <w:t>基金管理人</w:t>
      </w:r>
      <w:r w:rsidRPr="00972CB4">
        <w:rPr>
          <w:rFonts w:asciiTheme="minorEastAsia" w:eastAsiaTheme="minorEastAsia" w:hAnsiTheme="minorEastAsia" w:cs="宋体"/>
          <w:color w:val="000000" w:themeColor="text1"/>
          <w:kern w:val="0"/>
          <w:sz w:val="24"/>
        </w:rPr>
        <w:t>”</w:t>
      </w:r>
      <w:r w:rsidRPr="00972CB4">
        <w:rPr>
          <w:rFonts w:asciiTheme="minorEastAsia" w:eastAsiaTheme="minorEastAsia" w:hAnsiTheme="minorEastAsia" w:cs="宋体" w:hint="eastAsia"/>
          <w:color w:val="000000" w:themeColor="text1"/>
          <w:kern w:val="0"/>
          <w:sz w:val="24"/>
        </w:rPr>
        <w:t>）于</w:t>
      </w:r>
      <w:r w:rsidR="00972CB4" w:rsidRPr="00972CB4">
        <w:rPr>
          <w:rFonts w:asciiTheme="minorEastAsia" w:eastAsiaTheme="minorEastAsia" w:hAnsiTheme="minorEastAsia" w:cs="宋体"/>
          <w:color w:val="000000" w:themeColor="text1"/>
          <w:kern w:val="0"/>
          <w:sz w:val="24"/>
        </w:rPr>
        <w:t>2018</w:t>
      </w:r>
      <w:r w:rsidRPr="00972CB4">
        <w:rPr>
          <w:rFonts w:asciiTheme="minorEastAsia" w:eastAsiaTheme="minorEastAsia" w:hAnsiTheme="minorEastAsia" w:cs="宋体" w:hint="eastAsia"/>
          <w:color w:val="000000" w:themeColor="text1"/>
          <w:kern w:val="0"/>
          <w:sz w:val="24"/>
        </w:rPr>
        <w:t>年</w:t>
      </w:r>
      <w:r w:rsidR="00972CB4" w:rsidRPr="00972CB4">
        <w:rPr>
          <w:rFonts w:asciiTheme="minorEastAsia" w:eastAsiaTheme="minorEastAsia" w:hAnsiTheme="minorEastAsia" w:cs="宋体"/>
          <w:color w:val="000000" w:themeColor="text1"/>
          <w:kern w:val="0"/>
          <w:sz w:val="24"/>
        </w:rPr>
        <w:t>3</w:t>
      </w:r>
      <w:r w:rsidRPr="00972CB4">
        <w:rPr>
          <w:rFonts w:asciiTheme="minorEastAsia" w:eastAsiaTheme="minorEastAsia" w:hAnsiTheme="minorEastAsia" w:cs="宋体" w:hint="eastAsia"/>
          <w:color w:val="000000" w:themeColor="text1"/>
          <w:kern w:val="0"/>
          <w:sz w:val="24"/>
        </w:rPr>
        <w:t>月</w:t>
      </w:r>
      <w:r w:rsidR="00972CB4" w:rsidRPr="00972CB4">
        <w:rPr>
          <w:rFonts w:asciiTheme="minorEastAsia" w:eastAsiaTheme="minorEastAsia" w:hAnsiTheme="minorEastAsia" w:cs="宋体"/>
          <w:color w:val="000000" w:themeColor="text1"/>
          <w:kern w:val="0"/>
          <w:sz w:val="24"/>
        </w:rPr>
        <w:t>9</w:t>
      </w:r>
      <w:r w:rsidRPr="00972CB4">
        <w:rPr>
          <w:rFonts w:asciiTheme="minorEastAsia" w:eastAsiaTheme="minorEastAsia" w:hAnsiTheme="minorEastAsia" w:cs="宋体" w:hint="eastAsia"/>
          <w:color w:val="000000" w:themeColor="text1"/>
          <w:kern w:val="0"/>
          <w:sz w:val="24"/>
        </w:rPr>
        <w:t>日在指定媒体及本公司网站（</w:t>
      </w:r>
      <w:r w:rsidRPr="00972CB4">
        <w:rPr>
          <w:rFonts w:asciiTheme="minorEastAsia" w:eastAsiaTheme="minorEastAsia" w:hAnsiTheme="minorEastAsia" w:cs="宋体"/>
          <w:color w:val="000000" w:themeColor="text1"/>
          <w:kern w:val="0"/>
          <w:sz w:val="24"/>
        </w:rPr>
        <w:t>http://www.phfund.com</w:t>
      </w:r>
      <w:r w:rsidRPr="00972CB4">
        <w:rPr>
          <w:rFonts w:asciiTheme="minorEastAsia" w:eastAsiaTheme="minorEastAsia" w:hAnsiTheme="minorEastAsia" w:cs="宋体" w:hint="eastAsia"/>
          <w:color w:val="000000" w:themeColor="text1"/>
          <w:kern w:val="0"/>
          <w:sz w:val="24"/>
        </w:rPr>
        <w:t>）发布了《</w:t>
      </w:r>
      <w:r w:rsidR="00972CB4" w:rsidRPr="00972CB4">
        <w:rPr>
          <w:rFonts w:asciiTheme="minorEastAsia" w:eastAsiaTheme="minorEastAsia" w:hAnsiTheme="minorEastAsia" w:cs="宋体" w:hint="eastAsia"/>
          <w:color w:val="000000" w:themeColor="text1"/>
          <w:kern w:val="0"/>
          <w:sz w:val="24"/>
        </w:rPr>
        <w:t>鹏华基金管理有限公司关于以通讯方式召开鹏华丰信分级债券型证券投资基金基金份额持有人大会的公告</w:t>
      </w:r>
      <w:r w:rsidRPr="00972CB4">
        <w:rPr>
          <w:rFonts w:asciiTheme="minorEastAsia" w:eastAsiaTheme="minorEastAsia" w:hAnsiTheme="minorEastAsia" w:cs="宋体" w:hint="eastAsia"/>
          <w:color w:val="000000" w:themeColor="text1"/>
          <w:kern w:val="0"/>
          <w:sz w:val="24"/>
        </w:rPr>
        <w:t>》</w:t>
      </w:r>
      <w:r w:rsidRPr="00972CB4">
        <w:rPr>
          <w:rFonts w:asciiTheme="minorEastAsia" w:eastAsiaTheme="minorEastAsia" w:hAnsiTheme="minorEastAsia" w:cs="宋体"/>
          <w:color w:val="000000" w:themeColor="text1"/>
          <w:kern w:val="0"/>
          <w:sz w:val="24"/>
        </w:rPr>
        <w:t>”</w:t>
      </w:r>
      <w:r w:rsidRPr="00972CB4">
        <w:rPr>
          <w:rFonts w:asciiTheme="minorEastAsia" w:eastAsiaTheme="minorEastAsia" w:hAnsiTheme="minorEastAsia" w:cs="宋体" w:hint="eastAsia"/>
          <w:color w:val="000000" w:themeColor="text1"/>
          <w:kern w:val="0"/>
          <w:sz w:val="24"/>
        </w:rPr>
        <w:t>），于</w:t>
      </w:r>
      <w:r w:rsidR="00972CB4" w:rsidRPr="00972CB4">
        <w:rPr>
          <w:rFonts w:asciiTheme="minorEastAsia" w:eastAsiaTheme="minorEastAsia" w:hAnsiTheme="minorEastAsia" w:cs="宋体"/>
          <w:color w:val="000000" w:themeColor="text1"/>
          <w:kern w:val="0"/>
          <w:sz w:val="24"/>
        </w:rPr>
        <w:t>2018</w:t>
      </w:r>
      <w:r w:rsidR="00316FC8" w:rsidRPr="00972CB4">
        <w:rPr>
          <w:rFonts w:asciiTheme="minorEastAsia" w:eastAsiaTheme="minorEastAsia" w:hAnsiTheme="minorEastAsia" w:cs="宋体" w:hint="eastAsia"/>
          <w:color w:val="000000" w:themeColor="text1"/>
          <w:kern w:val="0"/>
          <w:sz w:val="24"/>
        </w:rPr>
        <w:t>年</w:t>
      </w:r>
      <w:r w:rsidR="00972CB4" w:rsidRPr="00972CB4">
        <w:rPr>
          <w:rFonts w:asciiTheme="minorEastAsia" w:eastAsiaTheme="minorEastAsia" w:hAnsiTheme="minorEastAsia" w:cs="宋体"/>
          <w:color w:val="000000" w:themeColor="text1"/>
          <w:kern w:val="0"/>
          <w:sz w:val="24"/>
        </w:rPr>
        <w:t>4</w:t>
      </w:r>
      <w:r w:rsidR="00316FC8" w:rsidRPr="00972CB4">
        <w:rPr>
          <w:rFonts w:asciiTheme="minorEastAsia" w:eastAsiaTheme="minorEastAsia" w:hAnsiTheme="minorEastAsia" w:cs="宋体" w:hint="eastAsia"/>
          <w:color w:val="000000" w:themeColor="text1"/>
          <w:kern w:val="0"/>
          <w:sz w:val="24"/>
        </w:rPr>
        <w:t>月</w:t>
      </w:r>
      <w:r w:rsidR="00972CB4" w:rsidRPr="00972CB4">
        <w:rPr>
          <w:rFonts w:asciiTheme="minorEastAsia" w:eastAsiaTheme="minorEastAsia" w:hAnsiTheme="minorEastAsia" w:cs="宋体"/>
          <w:color w:val="000000" w:themeColor="text1"/>
          <w:kern w:val="0"/>
          <w:sz w:val="24"/>
        </w:rPr>
        <w:t>11</w:t>
      </w:r>
      <w:r w:rsidR="00316FC8" w:rsidRPr="00972CB4">
        <w:rPr>
          <w:rFonts w:asciiTheme="minorEastAsia" w:eastAsiaTheme="minorEastAsia" w:hAnsiTheme="minorEastAsia" w:cs="宋体" w:hint="eastAsia"/>
          <w:color w:val="000000" w:themeColor="text1"/>
          <w:kern w:val="0"/>
          <w:sz w:val="24"/>
        </w:rPr>
        <w:t>日</w:t>
      </w:r>
      <w:r w:rsidRPr="00972CB4">
        <w:rPr>
          <w:rFonts w:asciiTheme="minorEastAsia" w:eastAsiaTheme="minorEastAsia" w:hAnsiTheme="minorEastAsia" w:cs="宋体" w:hint="eastAsia"/>
          <w:color w:val="000000" w:themeColor="text1"/>
          <w:kern w:val="0"/>
          <w:sz w:val="24"/>
        </w:rPr>
        <w:t>发布了《</w:t>
      </w:r>
      <w:r w:rsidR="00972CB4" w:rsidRPr="00972CB4">
        <w:rPr>
          <w:rFonts w:asciiTheme="minorEastAsia" w:eastAsiaTheme="minorEastAsia" w:hAnsiTheme="minorEastAsia" w:cs="宋体" w:hint="eastAsia"/>
          <w:color w:val="000000" w:themeColor="text1"/>
          <w:kern w:val="0"/>
          <w:sz w:val="24"/>
        </w:rPr>
        <w:t>鹏华基金管理有限公司关于鹏华丰信分级债券型证券投资基金基金份额持有人大会表决结果暨决议生效的公告</w:t>
      </w:r>
      <w:r w:rsidRPr="00972CB4">
        <w:rPr>
          <w:rFonts w:asciiTheme="minorEastAsia" w:eastAsiaTheme="minorEastAsia" w:hAnsiTheme="minorEastAsia" w:cs="宋体" w:hint="eastAsia"/>
          <w:color w:val="000000" w:themeColor="text1"/>
          <w:kern w:val="0"/>
          <w:sz w:val="24"/>
        </w:rPr>
        <w:t>》。</w:t>
      </w:r>
      <w:r w:rsidR="00316FC8" w:rsidRPr="00972CB4">
        <w:rPr>
          <w:rFonts w:asciiTheme="minorEastAsia" w:eastAsiaTheme="minorEastAsia" w:hAnsiTheme="minorEastAsia" w:cs="宋体" w:hint="eastAsia"/>
          <w:color w:val="000000" w:themeColor="text1"/>
          <w:kern w:val="0"/>
          <w:sz w:val="24"/>
        </w:rPr>
        <w:t>基金管理人决定对鹏华丰信分级债券型证券投资基金进行基金份额折算和变更登记，转型</w:t>
      </w:r>
      <w:r w:rsidR="00972CB4" w:rsidRPr="00972CB4">
        <w:rPr>
          <w:rFonts w:asciiTheme="minorEastAsia" w:eastAsiaTheme="minorEastAsia" w:hAnsiTheme="minorEastAsia" w:cs="宋体" w:hint="eastAsia"/>
          <w:color w:val="000000" w:themeColor="text1"/>
          <w:kern w:val="0"/>
          <w:sz w:val="24"/>
        </w:rPr>
        <w:t>为鹏华普悦债券型</w:t>
      </w:r>
      <w:r w:rsidR="00972CB4">
        <w:rPr>
          <w:rFonts w:asciiTheme="minorEastAsia" w:eastAsiaTheme="minorEastAsia" w:hAnsiTheme="minorEastAsia" w:cs="宋体" w:hint="eastAsia"/>
          <w:color w:val="000000" w:themeColor="text1"/>
          <w:kern w:val="0"/>
          <w:sz w:val="24"/>
        </w:rPr>
        <w:t>证券投资基金</w:t>
      </w:r>
      <w:r w:rsidR="00F04EEE">
        <w:rPr>
          <w:rFonts w:asciiTheme="minorEastAsia" w:eastAsiaTheme="minorEastAsia" w:hAnsiTheme="minorEastAsia" w:cs="宋体" w:hint="eastAsia"/>
          <w:color w:val="000000" w:themeColor="text1"/>
          <w:kern w:val="0"/>
          <w:sz w:val="24"/>
        </w:rPr>
        <w:t>（</w:t>
      </w:r>
      <w:r w:rsidR="004A56D5" w:rsidRPr="003D2CC6">
        <w:rPr>
          <w:rFonts w:asciiTheme="minorEastAsia" w:hAnsiTheme="minorEastAsia" w:hint="eastAsia"/>
          <w:szCs w:val="21"/>
        </w:rPr>
        <w:t>以下简</w:t>
      </w:r>
      <w:r w:rsidR="004A56D5" w:rsidRPr="004A56D5">
        <w:rPr>
          <w:rFonts w:asciiTheme="minorEastAsia" w:eastAsiaTheme="minorEastAsia" w:hAnsiTheme="minorEastAsia" w:cs="宋体" w:hint="eastAsia"/>
          <w:color w:val="000000" w:themeColor="text1"/>
          <w:kern w:val="0"/>
          <w:sz w:val="24"/>
        </w:rPr>
        <w:t>称“鹏华</w:t>
      </w:r>
      <w:r w:rsidR="004A56D5" w:rsidRPr="00972CB4">
        <w:rPr>
          <w:rFonts w:asciiTheme="minorEastAsia" w:eastAsiaTheme="minorEastAsia" w:hAnsiTheme="minorEastAsia" w:cs="宋体" w:hint="eastAsia"/>
          <w:color w:val="000000" w:themeColor="text1"/>
          <w:kern w:val="0"/>
          <w:sz w:val="24"/>
        </w:rPr>
        <w:t>普悦债券</w:t>
      </w:r>
      <w:r w:rsidR="004A56D5" w:rsidRPr="004A56D5">
        <w:rPr>
          <w:rFonts w:asciiTheme="minorEastAsia" w:eastAsiaTheme="minorEastAsia" w:hAnsiTheme="minorEastAsia" w:cs="宋体" w:hint="eastAsia"/>
          <w:color w:val="000000" w:themeColor="text1"/>
          <w:kern w:val="0"/>
          <w:sz w:val="24"/>
        </w:rPr>
        <w:t>基金” 或“本基金”）</w:t>
      </w:r>
      <w:r w:rsidR="00972CB4" w:rsidRPr="00972CB4">
        <w:rPr>
          <w:rFonts w:asciiTheme="minorEastAsia" w:eastAsiaTheme="minorEastAsia" w:hAnsiTheme="minorEastAsia" w:cs="宋体" w:hint="eastAsia"/>
          <w:color w:val="000000" w:themeColor="text1"/>
          <w:kern w:val="0"/>
          <w:sz w:val="24"/>
        </w:rPr>
        <w:t>。转型后终止分级运作，不再设置基金份额的分级、份额折算等机制，转型后本基金以普通开放式运作。</w:t>
      </w:r>
      <w:r w:rsidR="00316FC8" w:rsidRPr="00972CB4">
        <w:rPr>
          <w:rFonts w:asciiTheme="minorEastAsia" w:eastAsiaTheme="minorEastAsia" w:hAnsiTheme="minorEastAsia" w:cs="宋体" w:hint="eastAsia"/>
          <w:color w:val="000000" w:themeColor="text1"/>
          <w:kern w:val="0"/>
          <w:sz w:val="24"/>
        </w:rPr>
        <w:t>基金份额折算和变更登记由基金管理人办理，本</w:t>
      </w:r>
      <w:r w:rsidR="00316FC8" w:rsidRPr="00972CB4">
        <w:rPr>
          <w:rFonts w:asciiTheme="minorEastAsia" w:eastAsiaTheme="minorEastAsia" w:hAnsiTheme="minorEastAsia" w:cs="宋体"/>
          <w:color w:val="000000" w:themeColor="text1"/>
          <w:kern w:val="0"/>
          <w:sz w:val="24"/>
        </w:rPr>
        <w:t>基金</w:t>
      </w:r>
      <w:r w:rsidR="00316FC8" w:rsidRPr="00972CB4">
        <w:rPr>
          <w:rFonts w:asciiTheme="minorEastAsia" w:eastAsiaTheme="minorEastAsia" w:hAnsiTheme="minorEastAsia" w:cs="宋体" w:hint="eastAsia"/>
          <w:color w:val="000000" w:themeColor="text1"/>
          <w:kern w:val="0"/>
          <w:sz w:val="24"/>
        </w:rPr>
        <w:t>实施折算和变更登记事项如下：</w:t>
      </w:r>
    </w:p>
    <w:p w:rsidR="002C57FF" w:rsidRPr="00972CB4" w:rsidRDefault="002C57FF" w:rsidP="002C57FF">
      <w:pPr>
        <w:spacing w:line="360" w:lineRule="auto"/>
        <w:rPr>
          <w:rFonts w:asciiTheme="minorEastAsia" w:hAnsiTheme="minorEastAsia"/>
          <w:b/>
          <w:sz w:val="24"/>
        </w:rPr>
      </w:pPr>
      <w:r w:rsidRPr="00972CB4">
        <w:rPr>
          <w:rFonts w:asciiTheme="minorEastAsia" w:hAnsiTheme="minorEastAsia" w:hint="eastAsia"/>
          <w:b/>
          <w:sz w:val="24"/>
        </w:rPr>
        <w:t>一、基金份额净值折算和变更登记</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1、基金份额折算基准日</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基金份额折算基准日为 2018 年</w:t>
      </w:r>
      <w:r w:rsidRPr="00972CB4">
        <w:rPr>
          <w:rFonts w:asciiTheme="minorEastAsia" w:hAnsiTheme="minorEastAsia"/>
          <w:sz w:val="24"/>
        </w:rPr>
        <w:t>5</w:t>
      </w:r>
      <w:r w:rsidRPr="00972CB4">
        <w:rPr>
          <w:rFonts w:asciiTheme="minorEastAsia" w:hAnsiTheme="minorEastAsia" w:hint="eastAsia"/>
          <w:sz w:val="24"/>
        </w:rPr>
        <w:t>月</w:t>
      </w:r>
      <w:r w:rsidRPr="00972CB4">
        <w:rPr>
          <w:rFonts w:asciiTheme="minorEastAsia" w:hAnsiTheme="minorEastAsia"/>
          <w:sz w:val="24"/>
        </w:rPr>
        <w:t>1</w:t>
      </w:r>
      <w:r w:rsidR="00171203">
        <w:rPr>
          <w:rFonts w:asciiTheme="minorEastAsia" w:hAnsiTheme="minorEastAsia"/>
          <w:sz w:val="24"/>
        </w:rPr>
        <w:t>4</w:t>
      </w:r>
      <w:r w:rsidRPr="00972CB4">
        <w:rPr>
          <w:rFonts w:asciiTheme="minorEastAsia" w:hAnsiTheme="minorEastAsia" w:hint="eastAsia"/>
          <w:sz w:val="24"/>
        </w:rPr>
        <w:t>日。</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2、折算对象</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基金份额折算基准日登记在册的鹏华丰信分级债券型证券投资基金的全部基金份额。</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 xml:space="preserve">3、基金份额净值折算 </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在基金份额净值折算基准日日终，鹏华丰信 A 和丰信 B 基金份额的基金份额净值折算为 1.0000 元（其基金份额数按折算比例相应增加或减少）。</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折算方式如下：</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基金份额净值折算基准日日终，丰信 A、丰信 B 份额的基金份额净值调整为 1.0000 元，折算后，基金份额持有人持有的丰信 A、丰信 B 份额的份额数按照比例相应增减。</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 xml:space="preserve">丰信 A 份额的基金份额折算公式如下： </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丰信 A 份额的折算比例＝基金份额净值折算基准日折算前丰信 A 份额的</w:t>
      </w:r>
      <w:r w:rsidRPr="00972CB4">
        <w:rPr>
          <w:rFonts w:asciiTheme="minorEastAsia" w:hAnsiTheme="minorEastAsia" w:hint="eastAsia"/>
          <w:sz w:val="24"/>
        </w:rPr>
        <w:lastRenderedPageBreak/>
        <w:t>基金份额净值</w:t>
      </w:r>
      <w:r w:rsidRPr="00972CB4">
        <w:rPr>
          <w:rFonts w:asciiTheme="minorEastAsia" w:hAnsiTheme="minorEastAsia"/>
          <w:sz w:val="24"/>
        </w:rPr>
        <w:t>/1.0000</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丰信 A 份额经折算后的份额数＝折算前丰信 A 份额的份额数×丰信 A 份额的折算比例</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 xml:space="preserve">丰信 B 份额的基金份额折算公式如下： </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丰信 B 份额的折算比例＝基金份额净值折算基准日折算前丰信 B 份额的基金份额净值</w:t>
      </w:r>
      <w:r w:rsidRPr="00972CB4">
        <w:rPr>
          <w:rFonts w:asciiTheme="minorEastAsia" w:hAnsiTheme="minorEastAsia"/>
          <w:sz w:val="24"/>
        </w:rPr>
        <w:t>/1.0000</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丰信 B 份额经折算后的份额数＝折算前丰信 B 份额的份额数×丰信 B 份额的折算比例</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基金份额折算比例保留至小数点后第 8 位，小数点第 8 位以后的部分四舍五入。丰信A、丰信 B 份额经折算后的份额数采用四舍五入的方式保留到小数点后两位，由此产生的误差计入基金财产。</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在实施基金份额折算时，基金份额净值折算基准日折算前丰信 A、丰信 B 份额的基金份额净值、丰信 A、丰信 B 份额的折算比例的具体计算结果见基金管理人届时发布的相关公告。</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除保留位数因素影响外，基金份额的折算对丰信 A、丰信 B 份额基金份额持有人的权益无实质性影响。</w:t>
      </w:r>
    </w:p>
    <w:p w:rsidR="002C57FF" w:rsidRPr="00972CB4" w:rsidRDefault="002C57FF" w:rsidP="002C57FF">
      <w:pPr>
        <w:spacing w:line="360" w:lineRule="auto"/>
        <w:ind w:firstLineChars="200" w:firstLine="480"/>
        <w:rPr>
          <w:rFonts w:asciiTheme="minorEastAsia" w:hAnsiTheme="minorEastAsia"/>
          <w:sz w:val="24"/>
        </w:rPr>
      </w:pPr>
      <w:r w:rsidRPr="00972CB4">
        <w:rPr>
          <w:rFonts w:asciiTheme="minorEastAsia" w:hAnsiTheme="minorEastAsia" w:hint="eastAsia"/>
          <w:sz w:val="24"/>
        </w:rPr>
        <w:t xml:space="preserve">2、基金份额变更登记 </w:t>
      </w:r>
    </w:p>
    <w:p w:rsidR="001C682A" w:rsidRPr="00972CB4" w:rsidRDefault="002C57FF" w:rsidP="001C682A">
      <w:pPr>
        <w:spacing w:line="360" w:lineRule="auto"/>
        <w:ind w:firstLineChars="200" w:firstLine="480"/>
        <w:jc w:val="left"/>
        <w:rPr>
          <w:rFonts w:asciiTheme="minorEastAsia" w:hAnsiTheme="minorEastAsia"/>
          <w:sz w:val="24"/>
        </w:rPr>
      </w:pPr>
      <w:r w:rsidRPr="00972CB4">
        <w:rPr>
          <w:rFonts w:asciiTheme="minorEastAsia" w:hAnsiTheme="minorEastAsia" w:hint="eastAsia"/>
          <w:sz w:val="24"/>
        </w:rPr>
        <w:t>基金管理人将于基金份额净值折算基准日后完成基金份额变更登记。在基金份额变更登记日日终，基金管理人将对投资者持有的丰信 A 份额、丰信 B 份额变更登记为鹏华普悦债券型证券投资基金基金份额。</w:t>
      </w:r>
      <w:r w:rsidR="001C682A" w:rsidRPr="00972CB4">
        <w:rPr>
          <w:rFonts w:asciiTheme="minorEastAsia" w:hAnsiTheme="minorEastAsia" w:hint="eastAsia"/>
          <w:sz w:val="24"/>
        </w:rPr>
        <w:t>基金变更登记成功后鹏华普悦债券型证券投资基金的登记机构仍为鹏华基金管理有限公司。</w:t>
      </w:r>
    </w:p>
    <w:p w:rsidR="002C57FF" w:rsidRPr="00972CB4" w:rsidRDefault="002C57FF" w:rsidP="001C682A">
      <w:pPr>
        <w:spacing w:line="360" w:lineRule="auto"/>
        <w:jc w:val="left"/>
        <w:rPr>
          <w:rFonts w:asciiTheme="minorEastAsia" w:hAnsiTheme="minorEastAsia"/>
          <w:sz w:val="24"/>
        </w:rPr>
      </w:pPr>
      <w:r w:rsidRPr="00972CB4">
        <w:rPr>
          <w:rFonts w:asciiTheme="minorEastAsia" w:hAnsiTheme="minorEastAsia" w:hint="eastAsia"/>
          <w:b/>
          <w:sz w:val="24"/>
        </w:rPr>
        <w:t>二、关于基金合同等法律文件的修订</w:t>
      </w:r>
    </w:p>
    <w:p w:rsidR="002C57FF" w:rsidRPr="007E534E" w:rsidRDefault="002C57FF" w:rsidP="002C57FF">
      <w:pPr>
        <w:pStyle w:val="Default"/>
        <w:spacing w:line="360" w:lineRule="auto"/>
        <w:ind w:firstLineChars="200" w:firstLine="480"/>
        <w:rPr>
          <w:rFonts w:asciiTheme="minorEastAsia" w:hAnsiTheme="minorEastAsia" w:cs="Times New Roman"/>
          <w:color w:val="auto"/>
          <w:kern w:val="2"/>
        </w:rPr>
      </w:pPr>
      <w:r w:rsidRPr="00972CB4">
        <w:rPr>
          <w:rFonts w:asciiTheme="minorEastAsia" w:hAnsiTheme="minorEastAsia" w:cs="Times New Roman" w:hint="eastAsia"/>
          <w:color w:val="auto"/>
          <w:kern w:val="2"/>
        </w:rPr>
        <w:t>根据《关于鹏华丰信分级债券型证券投资基金转型的议案》、《鹏华基金管理有限公司关于鹏华丰信分级债券型证券投资基金基金份额持有人大会表决结果暨决议生效的公告》以及相关法律法规的规定，经与基金托管人上海</w:t>
      </w:r>
      <w:r w:rsidRPr="00972CB4">
        <w:rPr>
          <w:rFonts w:asciiTheme="minorEastAsia" w:hAnsiTheme="minorEastAsia" w:cs="Times New Roman"/>
          <w:color w:val="auto"/>
          <w:kern w:val="2"/>
        </w:rPr>
        <w:t>银行</w:t>
      </w:r>
      <w:r w:rsidRPr="00972CB4">
        <w:rPr>
          <w:rFonts w:asciiTheme="minorEastAsia" w:hAnsiTheme="minorEastAsia" w:cs="Times New Roman" w:hint="eastAsia"/>
          <w:color w:val="auto"/>
          <w:kern w:val="2"/>
        </w:rPr>
        <w:t>股份有限公司协商一致，基金管理人已将《鹏华丰信分级债券型证券投资基金基金合同》、《鹏华丰信分级债券型证券投资基金托管协议》分别修订为《鹏华普悦债券型证券投资基金基金合同》、《鹏华普悦债券型证券投资基金托管协议》，并据此编制《鹏华普悦债券型证券投资基金招募说明书》。《鹏华普悦债券型证券投资基金基</w:t>
      </w:r>
      <w:r w:rsidRPr="00972CB4">
        <w:rPr>
          <w:rFonts w:asciiTheme="minorEastAsia" w:hAnsiTheme="minorEastAsia" w:cs="Times New Roman" w:hint="eastAsia"/>
          <w:color w:val="auto"/>
          <w:kern w:val="2"/>
        </w:rPr>
        <w:lastRenderedPageBreak/>
        <w:t>金合同》、《鹏华普悦债券型证券投资基金托管协议》将自鹏华丰信分级债券型证券投资基金基金份额转换基准日的次一工作日起，即2018年</w:t>
      </w:r>
      <w:r w:rsidRPr="00972CB4">
        <w:rPr>
          <w:rFonts w:asciiTheme="minorEastAsia" w:hAnsiTheme="minorEastAsia" w:cs="Times New Roman"/>
          <w:color w:val="auto"/>
          <w:kern w:val="2"/>
        </w:rPr>
        <w:t>5</w:t>
      </w:r>
      <w:r w:rsidRPr="00972CB4">
        <w:rPr>
          <w:rFonts w:asciiTheme="minorEastAsia" w:hAnsiTheme="minorEastAsia" w:cs="Times New Roman" w:hint="eastAsia"/>
          <w:color w:val="auto"/>
          <w:kern w:val="2"/>
        </w:rPr>
        <w:t>月</w:t>
      </w:r>
      <w:r w:rsidRPr="00972CB4">
        <w:rPr>
          <w:rFonts w:asciiTheme="minorEastAsia" w:hAnsiTheme="minorEastAsia" w:cs="Times New Roman"/>
          <w:color w:val="auto"/>
          <w:kern w:val="2"/>
        </w:rPr>
        <w:t>1</w:t>
      </w:r>
      <w:r w:rsidR="00171203">
        <w:rPr>
          <w:rFonts w:asciiTheme="minorEastAsia" w:hAnsiTheme="minorEastAsia" w:cs="Times New Roman"/>
          <w:color w:val="auto"/>
          <w:kern w:val="2"/>
        </w:rPr>
        <w:t>5</w:t>
      </w:r>
      <w:r w:rsidRPr="00972CB4">
        <w:rPr>
          <w:rFonts w:asciiTheme="minorEastAsia" w:hAnsiTheme="minorEastAsia" w:cs="Times New Roman" w:hint="eastAsia"/>
          <w:color w:val="auto"/>
          <w:kern w:val="2"/>
        </w:rPr>
        <w:t>日起生效，同日，鹏华丰信分级债券型证券投资基金正式更名为“鹏华普悦债券型证券投资基金”，基金代码为000291。</w:t>
      </w:r>
    </w:p>
    <w:p w:rsidR="002C57FF" w:rsidRPr="007E534E" w:rsidRDefault="001C682A" w:rsidP="002C57FF">
      <w:pPr>
        <w:spacing w:line="360" w:lineRule="auto"/>
        <w:rPr>
          <w:rFonts w:asciiTheme="minorEastAsia" w:hAnsiTheme="minorEastAsia"/>
          <w:b/>
          <w:sz w:val="24"/>
        </w:rPr>
      </w:pPr>
      <w:r>
        <w:rPr>
          <w:rFonts w:asciiTheme="minorEastAsia" w:hAnsiTheme="minorEastAsia" w:hint="eastAsia"/>
          <w:b/>
          <w:sz w:val="24"/>
        </w:rPr>
        <w:t>三</w:t>
      </w:r>
      <w:r w:rsidR="002C57FF">
        <w:rPr>
          <w:rFonts w:asciiTheme="minorEastAsia" w:hAnsiTheme="minorEastAsia" w:hint="eastAsia"/>
          <w:b/>
          <w:sz w:val="24"/>
        </w:rPr>
        <w:t>、</w:t>
      </w:r>
      <w:r w:rsidR="002C57FF" w:rsidRPr="007E534E">
        <w:rPr>
          <w:rFonts w:asciiTheme="minorEastAsia" w:hAnsiTheme="minorEastAsia" w:hint="eastAsia"/>
          <w:b/>
          <w:sz w:val="24"/>
        </w:rPr>
        <w:t>鹏华普悦债券型证券投资基金</w:t>
      </w:r>
      <w:r w:rsidR="002C57FF">
        <w:rPr>
          <w:rFonts w:asciiTheme="minorEastAsia" w:hAnsiTheme="minorEastAsia" w:hint="eastAsia"/>
          <w:b/>
          <w:sz w:val="24"/>
        </w:rPr>
        <w:t>的</w:t>
      </w:r>
      <w:r w:rsidR="002C57FF" w:rsidRPr="007E534E">
        <w:rPr>
          <w:rFonts w:asciiTheme="minorEastAsia" w:hAnsiTheme="minorEastAsia"/>
          <w:b/>
          <w:sz w:val="24"/>
        </w:rPr>
        <w:t>申购赎回</w:t>
      </w:r>
    </w:p>
    <w:p w:rsidR="002C57FF" w:rsidRDefault="002C57FF" w:rsidP="002C57FF">
      <w:pPr>
        <w:pStyle w:val="Default"/>
        <w:spacing w:line="360" w:lineRule="auto"/>
        <w:ind w:firstLineChars="200" w:firstLine="480"/>
        <w:rPr>
          <w:rFonts w:asciiTheme="minorEastAsia" w:hAnsiTheme="minorEastAsia" w:cs="Times New Roman"/>
          <w:color w:val="auto"/>
          <w:kern w:val="2"/>
        </w:rPr>
      </w:pPr>
      <w:r w:rsidRPr="005E654D">
        <w:rPr>
          <w:rFonts w:asciiTheme="minorEastAsia" w:hAnsiTheme="minorEastAsia" w:cs="Times New Roman" w:hint="eastAsia"/>
          <w:color w:val="auto"/>
          <w:kern w:val="2"/>
        </w:rPr>
        <w:t>基金管理人自《鹏华普悦债券型证券投资基金基金</w:t>
      </w:r>
      <w:r w:rsidRPr="005E654D">
        <w:rPr>
          <w:rFonts w:asciiTheme="minorEastAsia" w:hAnsiTheme="minorEastAsia" w:cs="Times New Roman"/>
          <w:color w:val="auto"/>
          <w:kern w:val="2"/>
        </w:rPr>
        <w:t>合同</w:t>
      </w:r>
      <w:r w:rsidRPr="005E654D">
        <w:rPr>
          <w:rFonts w:asciiTheme="minorEastAsia" w:hAnsiTheme="minorEastAsia" w:cs="Times New Roman" w:hint="eastAsia"/>
          <w:color w:val="auto"/>
          <w:kern w:val="2"/>
        </w:rPr>
        <w:t>》生效之日</w:t>
      </w:r>
      <w:r>
        <w:rPr>
          <w:rFonts w:asciiTheme="minorEastAsia" w:hAnsiTheme="minorEastAsia" w:cs="Times New Roman" w:hint="eastAsia"/>
          <w:color w:val="auto"/>
          <w:kern w:val="2"/>
        </w:rPr>
        <w:t>，</w:t>
      </w:r>
      <w:r w:rsidRPr="002C57FF">
        <w:rPr>
          <w:rFonts w:asciiTheme="minorEastAsia" w:hAnsiTheme="minorEastAsia" w:cs="Times New Roman" w:hint="eastAsia"/>
          <w:color w:val="auto"/>
          <w:kern w:val="2"/>
        </w:rPr>
        <w:t>即2018年</w:t>
      </w:r>
      <w:r>
        <w:rPr>
          <w:rFonts w:asciiTheme="minorEastAsia" w:hAnsiTheme="minorEastAsia" w:cs="Times New Roman"/>
          <w:color w:val="auto"/>
          <w:kern w:val="2"/>
        </w:rPr>
        <w:t>5</w:t>
      </w:r>
      <w:r w:rsidRPr="002C57FF">
        <w:rPr>
          <w:rFonts w:asciiTheme="minorEastAsia" w:hAnsiTheme="minorEastAsia" w:cs="Times New Roman" w:hint="eastAsia"/>
          <w:color w:val="auto"/>
          <w:kern w:val="2"/>
        </w:rPr>
        <w:t>月</w:t>
      </w:r>
      <w:r>
        <w:rPr>
          <w:rFonts w:asciiTheme="minorEastAsia" w:hAnsiTheme="minorEastAsia" w:cs="Times New Roman"/>
          <w:color w:val="auto"/>
          <w:kern w:val="2"/>
        </w:rPr>
        <w:t>1</w:t>
      </w:r>
      <w:r w:rsidR="00171203">
        <w:rPr>
          <w:rFonts w:asciiTheme="minorEastAsia" w:hAnsiTheme="minorEastAsia" w:cs="Times New Roman"/>
          <w:color w:val="auto"/>
          <w:kern w:val="2"/>
        </w:rPr>
        <w:t>5</w:t>
      </w:r>
      <w:r w:rsidRPr="002C57FF">
        <w:rPr>
          <w:rFonts w:asciiTheme="minorEastAsia" w:hAnsiTheme="minorEastAsia" w:cs="Times New Roman" w:hint="eastAsia"/>
          <w:color w:val="auto"/>
          <w:kern w:val="2"/>
        </w:rPr>
        <w:t>日</w:t>
      </w:r>
      <w:r w:rsidRPr="005E654D">
        <w:rPr>
          <w:rFonts w:asciiTheme="minorEastAsia" w:hAnsiTheme="minorEastAsia" w:cs="Times New Roman" w:hint="eastAsia"/>
          <w:color w:val="auto"/>
          <w:kern w:val="2"/>
        </w:rPr>
        <w:t>起不超过3个月开始办理鹏华普悦债券型证券投资基金的申购、赎回业务，具体业务办理时间在相关公告中约定。在确定申购开始与赎回开始时间后，基金管理人将依照《证券投资基金信息披露管理办法》的有关规定在指定媒介上公告申购与赎回的开始时间。</w:t>
      </w:r>
    </w:p>
    <w:p w:rsidR="002C57FF" w:rsidRPr="0040025A" w:rsidRDefault="001C682A" w:rsidP="002C57FF">
      <w:pPr>
        <w:spacing w:line="360" w:lineRule="auto"/>
        <w:rPr>
          <w:rFonts w:asciiTheme="minorEastAsia" w:hAnsiTheme="minorEastAsia"/>
          <w:b/>
          <w:sz w:val="24"/>
        </w:rPr>
      </w:pPr>
      <w:r>
        <w:rPr>
          <w:rFonts w:asciiTheme="minorEastAsia" w:hAnsiTheme="minorEastAsia" w:hint="eastAsia"/>
          <w:b/>
          <w:sz w:val="24"/>
        </w:rPr>
        <w:t>四</w:t>
      </w:r>
      <w:r w:rsidR="002C57FF" w:rsidRPr="0040025A">
        <w:rPr>
          <w:rFonts w:asciiTheme="minorEastAsia" w:hAnsiTheme="minorEastAsia" w:hint="eastAsia"/>
          <w:b/>
          <w:sz w:val="24"/>
        </w:rPr>
        <w:t>、</w:t>
      </w:r>
      <w:r w:rsidR="002C57FF">
        <w:rPr>
          <w:rFonts w:asciiTheme="minorEastAsia" w:hAnsiTheme="minorEastAsia" w:hint="eastAsia"/>
          <w:b/>
          <w:sz w:val="24"/>
        </w:rPr>
        <w:t>风险提示</w:t>
      </w:r>
    </w:p>
    <w:p w:rsidR="002C57FF" w:rsidRDefault="002C57FF" w:rsidP="002C57FF">
      <w:pPr>
        <w:pStyle w:val="Default"/>
        <w:spacing w:line="360" w:lineRule="auto"/>
        <w:ind w:firstLineChars="200" w:firstLine="480"/>
        <w:rPr>
          <w:rFonts w:asciiTheme="minorEastAsia" w:hAnsiTheme="minorEastAsia" w:cs="Times New Roman"/>
          <w:color w:val="auto"/>
          <w:kern w:val="2"/>
        </w:rPr>
      </w:pPr>
      <w:r w:rsidRPr="005E654D">
        <w:rPr>
          <w:rFonts w:asciiTheme="minorEastAsia" w:hAnsiTheme="minorEastAsia" w:cs="Times New Roman" w:hint="eastAsia"/>
          <w:color w:val="auto"/>
          <w:kern w:val="2"/>
        </w:rPr>
        <w:t>本基金管理人承诺以诚实信用、勤勉尽责的原则管理和运用基金资产，但不保证基金一定盈利，也不保证最低收益。敬请投资人注意投资风险。投资者投资于本基金前应认真阅读</w:t>
      </w:r>
      <w:r w:rsidRPr="007E534E">
        <w:rPr>
          <w:rFonts w:asciiTheme="minorEastAsia" w:hAnsiTheme="minorEastAsia" w:cs="Times New Roman" w:hint="eastAsia"/>
          <w:color w:val="auto"/>
          <w:kern w:val="2"/>
        </w:rPr>
        <w:t>《鹏华普悦债券型证券投资基金基金合同》、</w:t>
      </w:r>
      <w:r>
        <w:rPr>
          <w:rFonts w:asciiTheme="minorEastAsia" w:hAnsiTheme="minorEastAsia" w:cs="Times New Roman" w:hint="eastAsia"/>
          <w:color w:val="auto"/>
          <w:kern w:val="2"/>
        </w:rPr>
        <w:t>最新的</w:t>
      </w:r>
      <w:r w:rsidRPr="005E654D">
        <w:rPr>
          <w:rFonts w:asciiTheme="minorEastAsia" w:hAnsiTheme="minorEastAsia" w:cs="Times New Roman" w:hint="eastAsia"/>
          <w:color w:val="auto"/>
          <w:kern w:val="2"/>
        </w:rPr>
        <w:t>《</w:t>
      </w:r>
      <w:r w:rsidRPr="007E534E">
        <w:rPr>
          <w:rFonts w:asciiTheme="minorEastAsia" w:hAnsiTheme="minorEastAsia" w:cs="Times New Roman" w:hint="eastAsia"/>
          <w:color w:val="auto"/>
          <w:kern w:val="2"/>
        </w:rPr>
        <w:t>鹏华普悦债券型证券投资基金</w:t>
      </w:r>
      <w:r w:rsidRPr="005E654D">
        <w:rPr>
          <w:rFonts w:asciiTheme="minorEastAsia" w:hAnsiTheme="minorEastAsia" w:cs="Times New Roman" w:hint="eastAsia"/>
          <w:color w:val="auto"/>
          <w:kern w:val="2"/>
        </w:rPr>
        <w:t>招募说明书》等法律文件</w:t>
      </w:r>
      <w:r>
        <w:rPr>
          <w:rFonts w:asciiTheme="minorEastAsia" w:hAnsiTheme="minorEastAsia" w:cs="Times New Roman" w:hint="eastAsia"/>
          <w:color w:val="auto"/>
          <w:kern w:val="2"/>
        </w:rPr>
        <w:t>以及</w:t>
      </w:r>
      <w:r>
        <w:rPr>
          <w:rFonts w:asciiTheme="minorEastAsia" w:hAnsiTheme="minorEastAsia" w:cs="Times New Roman"/>
          <w:color w:val="auto"/>
          <w:kern w:val="2"/>
        </w:rPr>
        <w:t>《</w:t>
      </w:r>
      <w:r w:rsidRPr="00B05239">
        <w:rPr>
          <w:rFonts w:asciiTheme="minorEastAsia" w:hAnsiTheme="minorEastAsia" w:cs="Times New Roman" w:hint="eastAsia"/>
          <w:color w:val="auto"/>
          <w:kern w:val="2"/>
        </w:rPr>
        <w:t>鹏华基金管理有限公司关于以通讯方式召开鹏华丰信分级债券型证券投资基金基金份额持有人大会的公告</w:t>
      </w:r>
      <w:r>
        <w:rPr>
          <w:rFonts w:asciiTheme="minorEastAsia" w:hAnsiTheme="minorEastAsia" w:cs="Times New Roman" w:hint="eastAsia"/>
          <w:color w:val="auto"/>
          <w:kern w:val="2"/>
        </w:rPr>
        <w:t>》</w:t>
      </w:r>
      <w:r>
        <w:rPr>
          <w:rFonts w:asciiTheme="minorEastAsia" w:hAnsiTheme="minorEastAsia" w:cs="Times New Roman"/>
          <w:color w:val="auto"/>
          <w:kern w:val="2"/>
        </w:rPr>
        <w:t>、</w:t>
      </w:r>
      <w:r w:rsidRPr="00B05239">
        <w:rPr>
          <w:rFonts w:asciiTheme="minorEastAsia" w:hAnsiTheme="minorEastAsia" w:cs="Times New Roman" w:hint="eastAsia"/>
          <w:color w:val="auto"/>
          <w:kern w:val="2"/>
        </w:rPr>
        <w:t>《关于鹏华丰信分级债券型证券投资基金转型的议案》</w:t>
      </w:r>
      <w:r>
        <w:rPr>
          <w:rFonts w:asciiTheme="minorEastAsia" w:hAnsiTheme="minorEastAsia" w:cs="Times New Roman" w:hint="eastAsia"/>
          <w:color w:val="auto"/>
          <w:kern w:val="2"/>
        </w:rPr>
        <w:t>、</w:t>
      </w:r>
      <w:r>
        <w:rPr>
          <w:rFonts w:asciiTheme="minorEastAsia" w:hAnsiTheme="minorEastAsia" w:cs="Times New Roman"/>
          <w:color w:val="auto"/>
          <w:kern w:val="2"/>
        </w:rPr>
        <w:t>《</w:t>
      </w:r>
      <w:r w:rsidRPr="00B05239">
        <w:rPr>
          <w:rFonts w:asciiTheme="minorEastAsia" w:hAnsiTheme="minorEastAsia" w:cs="Times New Roman" w:hint="eastAsia"/>
          <w:color w:val="auto"/>
          <w:kern w:val="2"/>
        </w:rPr>
        <w:t>鹏华基金管理有限公司关于鹏华丰信分级债券型证券投资基金基金份额持有人大会表决结果暨决议生效的公告</w:t>
      </w:r>
      <w:r>
        <w:rPr>
          <w:rFonts w:asciiTheme="minorEastAsia" w:hAnsiTheme="minorEastAsia" w:cs="Times New Roman" w:hint="eastAsia"/>
          <w:color w:val="auto"/>
          <w:kern w:val="2"/>
        </w:rPr>
        <w:t>》的</w:t>
      </w:r>
      <w:r>
        <w:rPr>
          <w:rFonts w:asciiTheme="minorEastAsia" w:hAnsiTheme="minorEastAsia" w:cs="Times New Roman"/>
          <w:color w:val="auto"/>
          <w:kern w:val="2"/>
        </w:rPr>
        <w:t>相关规定</w:t>
      </w:r>
      <w:r>
        <w:rPr>
          <w:rFonts w:asciiTheme="minorEastAsia" w:hAnsiTheme="minorEastAsia" w:cs="Times New Roman" w:hint="eastAsia"/>
          <w:color w:val="auto"/>
          <w:kern w:val="2"/>
        </w:rPr>
        <w:t>，</w:t>
      </w:r>
      <w:r>
        <w:rPr>
          <w:rFonts w:asciiTheme="minorEastAsia" w:hAnsiTheme="minorEastAsia" w:cs="Times New Roman"/>
          <w:color w:val="auto"/>
          <w:kern w:val="2"/>
        </w:rPr>
        <w:t>了解</w:t>
      </w:r>
      <w:r>
        <w:rPr>
          <w:rFonts w:asciiTheme="minorEastAsia" w:hAnsiTheme="minorEastAsia" w:cs="Times New Roman" w:hint="eastAsia"/>
          <w:color w:val="auto"/>
          <w:kern w:val="2"/>
        </w:rPr>
        <w:t>拟投资</w:t>
      </w:r>
      <w:r>
        <w:rPr>
          <w:rFonts w:asciiTheme="minorEastAsia" w:hAnsiTheme="minorEastAsia" w:cs="Times New Roman"/>
          <w:color w:val="auto"/>
          <w:kern w:val="2"/>
        </w:rPr>
        <w:t>基金的风险收益特征和转型安排，并根据自身投资目的、投资期限、投资经验、资产状况等判断基金是否和投资者的</w:t>
      </w:r>
      <w:r>
        <w:rPr>
          <w:rFonts w:asciiTheme="minorEastAsia" w:hAnsiTheme="minorEastAsia" w:cs="Times New Roman" w:hint="eastAsia"/>
          <w:color w:val="auto"/>
          <w:kern w:val="2"/>
        </w:rPr>
        <w:t>风险</w:t>
      </w:r>
      <w:r>
        <w:rPr>
          <w:rFonts w:asciiTheme="minorEastAsia" w:hAnsiTheme="minorEastAsia" w:cs="Times New Roman"/>
          <w:color w:val="auto"/>
          <w:kern w:val="2"/>
        </w:rPr>
        <w:t>承受能力</w:t>
      </w:r>
      <w:r>
        <w:rPr>
          <w:rFonts w:asciiTheme="minorEastAsia" w:hAnsiTheme="minorEastAsia" w:cs="Times New Roman" w:hint="eastAsia"/>
          <w:color w:val="auto"/>
          <w:kern w:val="2"/>
        </w:rPr>
        <w:t>相匹配</w:t>
      </w:r>
      <w:r w:rsidRPr="005E654D">
        <w:rPr>
          <w:rFonts w:asciiTheme="minorEastAsia" w:hAnsiTheme="minorEastAsia" w:cs="Times New Roman" w:hint="eastAsia"/>
          <w:color w:val="auto"/>
          <w:kern w:val="2"/>
        </w:rPr>
        <w:t>。</w:t>
      </w:r>
    </w:p>
    <w:p w:rsidR="002C57FF" w:rsidRDefault="002C57FF" w:rsidP="002C57FF">
      <w:pPr>
        <w:pStyle w:val="Default"/>
        <w:spacing w:line="360" w:lineRule="auto"/>
        <w:ind w:firstLineChars="200" w:firstLine="480"/>
        <w:rPr>
          <w:rFonts w:asciiTheme="minorEastAsia" w:hAnsiTheme="minorEastAsia" w:cs="Times New Roman"/>
          <w:color w:val="auto"/>
          <w:kern w:val="2"/>
        </w:rPr>
      </w:pPr>
      <w:r w:rsidRPr="0040025A">
        <w:rPr>
          <w:rFonts w:asciiTheme="minorEastAsia" w:hAnsiTheme="minorEastAsia" w:cs="Times New Roman" w:hint="eastAsia"/>
          <w:color w:val="auto"/>
          <w:kern w:val="2"/>
        </w:rPr>
        <w:t>特此公告。</w:t>
      </w:r>
    </w:p>
    <w:p w:rsidR="00D9258F" w:rsidRPr="00972CB4" w:rsidRDefault="00D9258F" w:rsidP="00D9258F">
      <w:pPr>
        <w:spacing w:line="360" w:lineRule="auto"/>
        <w:jc w:val="right"/>
        <w:rPr>
          <w:rFonts w:asciiTheme="minorEastAsia" w:eastAsiaTheme="minorEastAsia" w:hAnsiTheme="minorEastAsia"/>
          <w:sz w:val="24"/>
        </w:rPr>
      </w:pPr>
      <w:r w:rsidRPr="00972CB4">
        <w:rPr>
          <w:rFonts w:asciiTheme="minorEastAsia" w:eastAsiaTheme="minorEastAsia" w:hAnsiTheme="minorEastAsia" w:hint="eastAsia"/>
          <w:sz w:val="24"/>
        </w:rPr>
        <w:t>鹏华基金管理有限公司</w:t>
      </w:r>
    </w:p>
    <w:p w:rsidR="00D9258F" w:rsidRPr="00972CB4" w:rsidRDefault="00D9258F" w:rsidP="00D9258F">
      <w:pPr>
        <w:spacing w:line="360" w:lineRule="auto"/>
        <w:jc w:val="right"/>
        <w:rPr>
          <w:rFonts w:asciiTheme="minorEastAsia" w:eastAsiaTheme="minorEastAsia" w:hAnsiTheme="minorEastAsia"/>
          <w:sz w:val="24"/>
        </w:rPr>
      </w:pPr>
      <w:r w:rsidRPr="00972CB4">
        <w:rPr>
          <w:rFonts w:asciiTheme="minorEastAsia" w:eastAsiaTheme="minorEastAsia" w:hAnsiTheme="minorEastAsia"/>
          <w:sz w:val="24"/>
        </w:rPr>
        <w:t>2018</w:t>
      </w:r>
      <w:r w:rsidRPr="00972CB4">
        <w:rPr>
          <w:rFonts w:asciiTheme="minorEastAsia" w:eastAsiaTheme="minorEastAsia" w:hAnsiTheme="minorEastAsia" w:hint="eastAsia"/>
          <w:sz w:val="24"/>
        </w:rPr>
        <w:t>年</w:t>
      </w:r>
      <w:r w:rsidRPr="00972CB4">
        <w:rPr>
          <w:rFonts w:asciiTheme="minorEastAsia" w:eastAsiaTheme="minorEastAsia" w:hAnsiTheme="minorEastAsia"/>
          <w:sz w:val="24"/>
        </w:rPr>
        <w:t>5</w:t>
      </w:r>
      <w:r w:rsidRPr="00972CB4">
        <w:rPr>
          <w:rFonts w:asciiTheme="minorEastAsia" w:eastAsiaTheme="minorEastAsia" w:hAnsiTheme="minorEastAsia" w:hint="eastAsia"/>
          <w:sz w:val="24"/>
        </w:rPr>
        <w:t>月</w:t>
      </w:r>
      <w:r w:rsidR="00972CB4" w:rsidRPr="00972CB4">
        <w:rPr>
          <w:rFonts w:asciiTheme="minorEastAsia" w:eastAsiaTheme="minorEastAsia" w:hAnsiTheme="minorEastAsia"/>
          <w:sz w:val="24"/>
        </w:rPr>
        <w:t>8</w:t>
      </w:r>
      <w:r w:rsidRPr="00972CB4">
        <w:rPr>
          <w:rFonts w:asciiTheme="minorEastAsia" w:eastAsiaTheme="minorEastAsia" w:hAnsiTheme="minorEastAsia" w:hint="eastAsia"/>
          <w:sz w:val="24"/>
        </w:rPr>
        <w:t>日</w:t>
      </w:r>
    </w:p>
    <w:p w:rsidR="00D9258F" w:rsidRPr="00D9258F" w:rsidRDefault="00D9258F" w:rsidP="002C57FF">
      <w:pPr>
        <w:pStyle w:val="Default"/>
        <w:spacing w:line="360" w:lineRule="auto"/>
        <w:ind w:firstLineChars="200" w:firstLine="480"/>
        <w:rPr>
          <w:rFonts w:asciiTheme="minorEastAsia" w:hAnsiTheme="minorEastAsia" w:cs="Times New Roman"/>
          <w:color w:val="auto"/>
          <w:kern w:val="2"/>
        </w:rPr>
      </w:pPr>
    </w:p>
    <w:p w:rsidR="002C57FF" w:rsidRPr="002C57FF" w:rsidRDefault="002C57FF" w:rsidP="002C57FF">
      <w:pPr>
        <w:spacing w:line="360" w:lineRule="auto"/>
        <w:jc w:val="left"/>
        <w:rPr>
          <w:rFonts w:asciiTheme="minorEastAsia" w:hAnsiTheme="minorEastAsia"/>
          <w:sz w:val="24"/>
        </w:rPr>
      </w:pPr>
    </w:p>
    <w:p w:rsidR="005D24ED" w:rsidRPr="005D24ED" w:rsidRDefault="005D24ED" w:rsidP="005D24ED">
      <w:pPr>
        <w:widowControl/>
        <w:spacing w:line="360" w:lineRule="auto"/>
        <w:jc w:val="left"/>
        <w:rPr>
          <w:rFonts w:asciiTheme="minorEastAsia" w:hAnsiTheme="minorEastAsia" w:cs="宋体"/>
          <w:szCs w:val="21"/>
        </w:rPr>
      </w:pPr>
    </w:p>
    <w:p w:rsidR="00316FC8" w:rsidRPr="00316FC8" w:rsidRDefault="00316FC8" w:rsidP="00316FC8">
      <w:pPr>
        <w:spacing w:line="360" w:lineRule="auto"/>
        <w:jc w:val="left"/>
        <w:rPr>
          <w:rFonts w:asciiTheme="minorEastAsia" w:eastAsiaTheme="minorEastAsia" w:hAnsiTheme="minorEastAsia" w:cs="宋体"/>
          <w:kern w:val="0"/>
          <w:sz w:val="24"/>
        </w:rPr>
      </w:pPr>
    </w:p>
    <w:p w:rsidR="00512629" w:rsidRPr="00335D6D" w:rsidRDefault="00512629" w:rsidP="00512629">
      <w:pPr>
        <w:rPr>
          <w:rFonts w:asciiTheme="minorEastAsia" w:eastAsiaTheme="minorEastAsia" w:hAnsiTheme="minorEastAsia"/>
          <w:sz w:val="24"/>
        </w:rPr>
      </w:pPr>
      <w:bookmarkStart w:id="0" w:name="_GoBack"/>
      <w:bookmarkEnd w:id="0"/>
    </w:p>
    <w:p w:rsidR="00C4504F" w:rsidRPr="00335D6D" w:rsidRDefault="00C4504F">
      <w:pPr>
        <w:rPr>
          <w:rFonts w:asciiTheme="minorEastAsia" w:eastAsiaTheme="minorEastAsia" w:hAnsiTheme="minorEastAsia"/>
        </w:rPr>
      </w:pPr>
    </w:p>
    <w:sectPr w:rsidR="00C4504F" w:rsidRPr="00335D6D" w:rsidSect="00F377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FCC" w:rsidRDefault="00D77FCC" w:rsidP="0011048D">
      <w:r>
        <w:separator/>
      </w:r>
    </w:p>
  </w:endnote>
  <w:endnote w:type="continuationSeparator" w:id="1">
    <w:p w:rsidR="00D77FCC" w:rsidRDefault="00D77FCC" w:rsidP="00110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FCC" w:rsidRDefault="00D77FCC" w:rsidP="0011048D">
      <w:r>
        <w:separator/>
      </w:r>
    </w:p>
  </w:footnote>
  <w:footnote w:type="continuationSeparator" w:id="1">
    <w:p w:rsidR="00D77FCC" w:rsidRDefault="00D77FCC" w:rsidP="00110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F3784"/>
    <w:multiLevelType w:val="hybridMultilevel"/>
    <w:tmpl w:val="E5E876B6"/>
    <w:lvl w:ilvl="0" w:tplc="D436B7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15E6252"/>
    <w:multiLevelType w:val="hybridMultilevel"/>
    <w:tmpl w:val="DD302EA8"/>
    <w:lvl w:ilvl="0" w:tplc="BC7EBA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6694"/>
    <w:rsid w:val="000658A2"/>
    <w:rsid w:val="000C6CC4"/>
    <w:rsid w:val="000E0F0E"/>
    <w:rsid w:val="00103C41"/>
    <w:rsid w:val="0011048D"/>
    <w:rsid w:val="00136CAE"/>
    <w:rsid w:val="00171203"/>
    <w:rsid w:val="00195048"/>
    <w:rsid w:val="001B1EC8"/>
    <w:rsid w:val="001C682A"/>
    <w:rsid w:val="00290449"/>
    <w:rsid w:val="002955DE"/>
    <w:rsid w:val="0029786D"/>
    <w:rsid w:val="002C57FF"/>
    <w:rsid w:val="002D0954"/>
    <w:rsid w:val="002D2D41"/>
    <w:rsid w:val="00313216"/>
    <w:rsid w:val="00316FC8"/>
    <w:rsid w:val="00335D6D"/>
    <w:rsid w:val="00382AF0"/>
    <w:rsid w:val="00396FE2"/>
    <w:rsid w:val="003F495A"/>
    <w:rsid w:val="00413B33"/>
    <w:rsid w:val="004A56D5"/>
    <w:rsid w:val="004E6D61"/>
    <w:rsid w:val="004F4953"/>
    <w:rsid w:val="00512629"/>
    <w:rsid w:val="00536694"/>
    <w:rsid w:val="00561BCC"/>
    <w:rsid w:val="005652BA"/>
    <w:rsid w:val="00567BB9"/>
    <w:rsid w:val="005A0C08"/>
    <w:rsid w:val="005D24ED"/>
    <w:rsid w:val="006265F5"/>
    <w:rsid w:val="00655FD9"/>
    <w:rsid w:val="00693C6A"/>
    <w:rsid w:val="006E7D05"/>
    <w:rsid w:val="007405AF"/>
    <w:rsid w:val="007874FA"/>
    <w:rsid w:val="007B43C1"/>
    <w:rsid w:val="007B5141"/>
    <w:rsid w:val="007D3554"/>
    <w:rsid w:val="007D653D"/>
    <w:rsid w:val="00843A09"/>
    <w:rsid w:val="0087685C"/>
    <w:rsid w:val="00881931"/>
    <w:rsid w:val="0089189D"/>
    <w:rsid w:val="009179A2"/>
    <w:rsid w:val="009332B6"/>
    <w:rsid w:val="00941D28"/>
    <w:rsid w:val="009457A3"/>
    <w:rsid w:val="00972CB4"/>
    <w:rsid w:val="009759C8"/>
    <w:rsid w:val="0099331B"/>
    <w:rsid w:val="00A53448"/>
    <w:rsid w:val="00AE61FF"/>
    <w:rsid w:val="00AE65D6"/>
    <w:rsid w:val="00AF5485"/>
    <w:rsid w:val="00C4504F"/>
    <w:rsid w:val="00C5583B"/>
    <w:rsid w:val="00C575D6"/>
    <w:rsid w:val="00C92906"/>
    <w:rsid w:val="00CA0C17"/>
    <w:rsid w:val="00D02DB0"/>
    <w:rsid w:val="00D07539"/>
    <w:rsid w:val="00D27CE7"/>
    <w:rsid w:val="00D77FCC"/>
    <w:rsid w:val="00D9258F"/>
    <w:rsid w:val="00DA2518"/>
    <w:rsid w:val="00DA4A08"/>
    <w:rsid w:val="00DD0D45"/>
    <w:rsid w:val="00E37C07"/>
    <w:rsid w:val="00E611B7"/>
    <w:rsid w:val="00E745A4"/>
    <w:rsid w:val="00F04EEE"/>
    <w:rsid w:val="00F37737"/>
    <w:rsid w:val="00F9096C"/>
    <w:rsid w:val="00FA0C2A"/>
    <w:rsid w:val="00FF14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629"/>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5652B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4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048D"/>
    <w:rPr>
      <w:rFonts w:ascii="Times New Roman" w:eastAsia="宋体" w:hAnsi="Times New Roman" w:cs="Times New Roman"/>
      <w:sz w:val="18"/>
      <w:szCs w:val="18"/>
    </w:rPr>
  </w:style>
  <w:style w:type="paragraph" w:styleId="a4">
    <w:name w:val="footer"/>
    <w:basedOn w:val="a"/>
    <w:link w:val="Char0"/>
    <w:uiPriority w:val="99"/>
    <w:unhideWhenUsed/>
    <w:rsid w:val="0011048D"/>
    <w:pPr>
      <w:tabs>
        <w:tab w:val="center" w:pos="4153"/>
        <w:tab w:val="right" w:pos="8306"/>
      </w:tabs>
      <w:snapToGrid w:val="0"/>
      <w:jc w:val="left"/>
    </w:pPr>
    <w:rPr>
      <w:sz w:val="18"/>
      <w:szCs w:val="18"/>
    </w:rPr>
  </w:style>
  <w:style w:type="character" w:customStyle="1" w:styleId="Char0">
    <w:name w:val="页脚 Char"/>
    <w:basedOn w:val="a0"/>
    <w:link w:val="a4"/>
    <w:uiPriority w:val="99"/>
    <w:rsid w:val="0011048D"/>
    <w:rPr>
      <w:rFonts w:ascii="Times New Roman" w:eastAsia="宋体" w:hAnsi="Times New Roman" w:cs="Times New Roman"/>
      <w:sz w:val="18"/>
      <w:szCs w:val="18"/>
    </w:rPr>
  </w:style>
  <w:style w:type="character" w:customStyle="1" w:styleId="1Char">
    <w:name w:val="标题 1 Char"/>
    <w:basedOn w:val="a0"/>
    <w:link w:val="1"/>
    <w:uiPriority w:val="9"/>
    <w:rsid w:val="005652BA"/>
    <w:rPr>
      <w:rFonts w:ascii="宋体" w:eastAsia="宋体" w:hAnsi="宋体" w:cs="宋体"/>
      <w:b/>
      <w:bCs/>
      <w:kern w:val="36"/>
      <w:sz w:val="48"/>
      <w:szCs w:val="48"/>
    </w:rPr>
  </w:style>
  <w:style w:type="paragraph" w:customStyle="1" w:styleId="Default">
    <w:name w:val="Default"/>
    <w:rsid w:val="00316FC8"/>
    <w:pPr>
      <w:widowControl w:val="0"/>
      <w:autoSpaceDE w:val="0"/>
      <w:autoSpaceDN w:val="0"/>
      <w:adjustRightInd w:val="0"/>
    </w:pPr>
    <w:rPr>
      <w:rFonts w:ascii="Calibri" w:hAnsi="Calibri" w:cs="Calibri"/>
      <w:color w:val="000000"/>
      <w:kern w:val="0"/>
      <w:sz w:val="24"/>
      <w:szCs w:val="24"/>
    </w:rPr>
  </w:style>
  <w:style w:type="paragraph" w:styleId="a5">
    <w:name w:val="List Paragraph"/>
    <w:basedOn w:val="a"/>
    <w:uiPriority w:val="34"/>
    <w:qFormat/>
    <w:rsid w:val="00316FC8"/>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88547413">
      <w:bodyDiv w:val="1"/>
      <w:marLeft w:val="0"/>
      <w:marRight w:val="0"/>
      <w:marTop w:val="0"/>
      <w:marBottom w:val="0"/>
      <w:divBdr>
        <w:top w:val="none" w:sz="0" w:space="0" w:color="auto"/>
        <w:left w:val="none" w:sz="0" w:space="0" w:color="auto"/>
        <w:bottom w:val="none" w:sz="0" w:space="0" w:color="auto"/>
        <w:right w:val="none" w:sz="0" w:space="0" w:color="auto"/>
      </w:divBdr>
    </w:div>
    <w:div w:id="95253124">
      <w:bodyDiv w:val="1"/>
      <w:marLeft w:val="0"/>
      <w:marRight w:val="0"/>
      <w:marTop w:val="0"/>
      <w:marBottom w:val="0"/>
      <w:divBdr>
        <w:top w:val="none" w:sz="0" w:space="0" w:color="auto"/>
        <w:left w:val="none" w:sz="0" w:space="0" w:color="auto"/>
        <w:bottom w:val="none" w:sz="0" w:space="0" w:color="auto"/>
        <w:right w:val="none" w:sz="0" w:space="0" w:color="auto"/>
      </w:divBdr>
    </w:div>
    <w:div w:id="265502472">
      <w:bodyDiv w:val="1"/>
      <w:marLeft w:val="0"/>
      <w:marRight w:val="0"/>
      <w:marTop w:val="0"/>
      <w:marBottom w:val="0"/>
      <w:divBdr>
        <w:top w:val="none" w:sz="0" w:space="0" w:color="auto"/>
        <w:left w:val="none" w:sz="0" w:space="0" w:color="auto"/>
        <w:bottom w:val="none" w:sz="0" w:space="0" w:color="auto"/>
        <w:right w:val="none" w:sz="0" w:space="0" w:color="auto"/>
      </w:divBdr>
    </w:div>
    <w:div w:id="277680599">
      <w:bodyDiv w:val="1"/>
      <w:marLeft w:val="0"/>
      <w:marRight w:val="0"/>
      <w:marTop w:val="0"/>
      <w:marBottom w:val="0"/>
      <w:divBdr>
        <w:top w:val="none" w:sz="0" w:space="0" w:color="auto"/>
        <w:left w:val="none" w:sz="0" w:space="0" w:color="auto"/>
        <w:bottom w:val="none" w:sz="0" w:space="0" w:color="auto"/>
        <w:right w:val="none" w:sz="0" w:space="0" w:color="auto"/>
      </w:divBdr>
    </w:div>
    <w:div w:id="319844013">
      <w:bodyDiv w:val="1"/>
      <w:marLeft w:val="0"/>
      <w:marRight w:val="0"/>
      <w:marTop w:val="0"/>
      <w:marBottom w:val="0"/>
      <w:divBdr>
        <w:top w:val="none" w:sz="0" w:space="0" w:color="auto"/>
        <w:left w:val="none" w:sz="0" w:space="0" w:color="auto"/>
        <w:bottom w:val="none" w:sz="0" w:space="0" w:color="auto"/>
        <w:right w:val="none" w:sz="0" w:space="0" w:color="auto"/>
      </w:divBdr>
    </w:div>
    <w:div w:id="468933975">
      <w:bodyDiv w:val="1"/>
      <w:marLeft w:val="0"/>
      <w:marRight w:val="0"/>
      <w:marTop w:val="0"/>
      <w:marBottom w:val="0"/>
      <w:divBdr>
        <w:top w:val="none" w:sz="0" w:space="0" w:color="auto"/>
        <w:left w:val="none" w:sz="0" w:space="0" w:color="auto"/>
        <w:bottom w:val="none" w:sz="0" w:space="0" w:color="auto"/>
        <w:right w:val="none" w:sz="0" w:space="0" w:color="auto"/>
      </w:divBdr>
    </w:div>
    <w:div w:id="579368603">
      <w:bodyDiv w:val="1"/>
      <w:marLeft w:val="0"/>
      <w:marRight w:val="0"/>
      <w:marTop w:val="0"/>
      <w:marBottom w:val="0"/>
      <w:divBdr>
        <w:top w:val="none" w:sz="0" w:space="0" w:color="auto"/>
        <w:left w:val="none" w:sz="0" w:space="0" w:color="auto"/>
        <w:bottom w:val="none" w:sz="0" w:space="0" w:color="auto"/>
        <w:right w:val="none" w:sz="0" w:space="0" w:color="auto"/>
      </w:divBdr>
    </w:div>
    <w:div w:id="617953279">
      <w:bodyDiv w:val="1"/>
      <w:marLeft w:val="0"/>
      <w:marRight w:val="0"/>
      <w:marTop w:val="0"/>
      <w:marBottom w:val="0"/>
      <w:divBdr>
        <w:top w:val="none" w:sz="0" w:space="0" w:color="auto"/>
        <w:left w:val="none" w:sz="0" w:space="0" w:color="auto"/>
        <w:bottom w:val="none" w:sz="0" w:space="0" w:color="auto"/>
        <w:right w:val="none" w:sz="0" w:space="0" w:color="auto"/>
      </w:divBdr>
    </w:div>
    <w:div w:id="635993863">
      <w:bodyDiv w:val="1"/>
      <w:marLeft w:val="0"/>
      <w:marRight w:val="0"/>
      <w:marTop w:val="0"/>
      <w:marBottom w:val="0"/>
      <w:divBdr>
        <w:top w:val="none" w:sz="0" w:space="0" w:color="auto"/>
        <w:left w:val="none" w:sz="0" w:space="0" w:color="auto"/>
        <w:bottom w:val="none" w:sz="0" w:space="0" w:color="auto"/>
        <w:right w:val="none" w:sz="0" w:space="0" w:color="auto"/>
      </w:divBdr>
      <w:divsChild>
        <w:div w:id="1367028931">
          <w:marLeft w:val="0"/>
          <w:marRight w:val="0"/>
          <w:marTop w:val="0"/>
          <w:marBottom w:val="0"/>
          <w:divBdr>
            <w:top w:val="none" w:sz="0" w:space="0" w:color="auto"/>
            <w:left w:val="none" w:sz="0" w:space="0" w:color="auto"/>
            <w:bottom w:val="none" w:sz="0" w:space="0" w:color="auto"/>
            <w:right w:val="none" w:sz="0" w:space="0" w:color="auto"/>
          </w:divBdr>
          <w:divsChild>
            <w:div w:id="265773832">
              <w:marLeft w:val="0"/>
              <w:marRight w:val="0"/>
              <w:marTop w:val="0"/>
              <w:marBottom w:val="0"/>
              <w:divBdr>
                <w:top w:val="none" w:sz="0" w:space="0" w:color="auto"/>
                <w:left w:val="none" w:sz="0" w:space="0" w:color="auto"/>
                <w:bottom w:val="none" w:sz="0" w:space="0" w:color="auto"/>
                <w:right w:val="none" w:sz="0" w:space="0" w:color="auto"/>
              </w:divBdr>
              <w:divsChild>
                <w:div w:id="1357928828">
                  <w:marLeft w:val="0"/>
                  <w:marRight w:val="0"/>
                  <w:marTop w:val="0"/>
                  <w:marBottom w:val="0"/>
                  <w:divBdr>
                    <w:top w:val="none" w:sz="0" w:space="0" w:color="auto"/>
                    <w:left w:val="none" w:sz="0" w:space="0" w:color="auto"/>
                    <w:bottom w:val="none" w:sz="0" w:space="0" w:color="auto"/>
                    <w:right w:val="none" w:sz="0" w:space="0" w:color="auto"/>
                  </w:divBdr>
                  <w:divsChild>
                    <w:div w:id="1491941172">
                      <w:marLeft w:val="0"/>
                      <w:marRight w:val="0"/>
                      <w:marTop w:val="0"/>
                      <w:marBottom w:val="0"/>
                      <w:divBdr>
                        <w:top w:val="single" w:sz="6" w:space="31" w:color="E5E5E5"/>
                        <w:left w:val="single" w:sz="6" w:space="31" w:color="E5E5E5"/>
                        <w:bottom w:val="single" w:sz="6" w:space="31" w:color="E5E5E5"/>
                        <w:right w:val="single" w:sz="6" w:space="31" w:color="E5E5E5"/>
                      </w:divBdr>
                      <w:divsChild>
                        <w:div w:id="18238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3268">
      <w:bodyDiv w:val="1"/>
      <w:marLeft w:val="0"/>
      <w:marRight w:val="0"/>
      <w:marTop w:val="0"/>
      <w:marBottom w:val="0"/>
      <w:divBdr>
        <w:top w:val="none" w:sz="0" w:space="0" w:color="auto"/>
        <w:left w:val="none" w:sz="0" w:space="0" w:color="auto"/>
        <w:bottom w:val="none" w:sz="0" w:space="0" w:color="auto"/>
        <w:right w:val="none" w:sz="0" w:space="0" w:color="auto"/>
      </w:divBdr>
    </w:div>
    <w:div w:id="1271549471">
      <w:bodyDiv w:val="1"/>
      <w:marLeft w:val="0"/>
      <w:marRight w:val="0"/>
      <w:marTop w:val="0"/>
      <w:marBottom w:val="0"/>
      <w:divBdr>
        <w:top w:val="none" w:sz="0" w:space="0" w:color="auto"/>
        <w:left w:val="none" w:sz="0" w:space="0" w:color="auto"/>
        <w:bottom w:val="none" w:sz="0" w:space="0" w:color="auto"/>
        <w:right w:val="none" w:sz="0" w:space="0" w:color="auto"/>
      </w:divBdr>
    </w:div>
    <w:div w:id="1374040614">
      <w:bodyDiv w:val="1"/>
      <w:marLeft w:val="0"/>
      <w:marRight w:val="0"/>
      <w:marTop w:val="0"/>
      <w:marBottom w:val="0"/>
      <w:divBdr>
        <w:top w:val="none" w:sz="0" w:space="0" w:color="auto"/>
        <w:left w:val="none" w:sz="0" w:space="0" w:color="auto"/>
        <w:bottom w:val="none" w:sz="0" w:space="0" w:color="auto"/>
        <w:right w:val="none" w:sz="0" w:space="0" w:color="auto"/>
      </w:divBdr>
    </w:div>
    <w:div w:id="1594699985">
      <w:bodyDiv w:val="1"/>
      <w:marLeft w:val="0"/>
      <w:marRight w:val="0"/>
      <w:marTop w:val="0"/>
      <w:marBottom w:val="0"/>
      <w:divBdr>
        <w:top w:val="none" w:sz="0" w:space="0" w:color="auto"/>
        <w:left w:val="none" w:sz="0" w:space="0" w:color="auto"/>
        <w:bottom w:val="none" w:sz="0" w:space="0" w:color="auto"/>
        <w:right w:val="none" w:sz="0" w:space="0" w:color="auto"/>
      </w:divBdr>
    </w:div>
    <w:div w:id="176660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1867</Characters>
  <Application>Microsoft Office Word</Application>
  <DocSecurity>4</DocSecurity>
  <Lines>15</Lines>
  <Paragraphs>4</Paragraphs>
  <ScaleCrop>false</ScaleCrop>
  <Company>PHFund</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吴群莉</dc:creator>
  <cp:keywords/>
  <dc:description/>
  <cp:lastModifiedBy>ZHONGM</cp:lastModifiedBy>
  <cp:revision>2</cp:revision>
  <dcterms:created xsi:type="dcterms:W3CDTF">2018-05-07T16:36:00Z</dcterms:created>
  <dcterms:modified xsi:type="dcterms:W3CDTF">2018-05-07T16:36:00Z</dcterms:modified>
</cp:coreProperties>
</file>