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73" w:rsidRPr="007215CD" w:rsidRDefault="008F6E73" w:rsidP="00B956AB">
      <w:pPr>
        <w:pStyle w:val="2"/>
        <w:jc w:val="center"/>
      </w:pPr>
      <w:r w:rsidRPr="006C1AE7">
        <w:rPr>
          <w:rFonts w:hint="eastAsia"/>
        </w:rPr>
        <w:t>中信建投睿康混合型证券投资基金</w:t>
      </w:r>
      <w:r>
        <w:rPr>
          <w:rFonts w:hint="eastAsia"/>
        </w:rPr>
        <w:t>可能触发基金合同终止情形</w:t>
      </w:r>
      <w:r w:rsidRPr="000F4CE3">
        <w:rPr>
          <w:rFonts w:hint="eastAsia"/>
        </w:rPr>
        <w:t>的</w:t>
      </w:r>
      <w:r>
        <w:rPr>
          <w:rFonts w:hint="eastAsia"/>
        </w:rPr>
        <w:t>提示性</w:t>
      </w:r>
      <w:r w:rsidRPr="000F4CE3">
        <w:rPr>
          <w:rFonts w:hint="eastAsia"/>
        </w:rPr>
        <w:t>公告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根据《中华人民共和国证券投资基金法》、《公开募集证券投资基金运作管理办法》、《中信建投睿康混合型证券投资基金基金合同》（以下简称“《基金合同》”）的有关规定，中信建投睿康混合型证券投资基金（以下简称“本基金”）可能触发基金合同终止情形，现将相关事项提示公告如下：</w:t>
      </w:r>
    </w:p>
    <w:p w:rsidR="008F6E73" w:rsidRPr="00B956AB" w:rsidRDefault="008F6E73" w:rsidP="00B956AB">
      <w:pPr>
        <w:spacing w:line="360" w:lineRule="auto"/>
        <w:ind w:firstLineChars="200" w:firstLine="442"/>
        <w:rPr>
          <w:rFonts w:asciiTheme="minorEastAsia" w:eastAsiaTheme="minorEastAsia" w:hAnsiTheme="minorEastAsia" w:cs="Arial"/>
          <w:b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b/>
          <w:color w:val="000000"/>
          <w:szCs w:val="21"/>
        </w:rPr>
        <w:t>一、本基金基本信息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基金名称：中信建投睿康混合型证券投资基金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基金简称：中信建投睿康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基金代码：A类：004268；C类：</w:t>
      </w:r>
      <w:r w:rsidRPr="00B956AB">
        <w:rPr>
          <w:rFonts w:asciiTheme="minorEastAsia" w:eastAsiaTheme="minorEastAsia" w:hAnsiTheme="minorEastAsia" w:cs="Arial"/>
          <w:color w:val="000000"/>
          <w:szCs w:val="21"/>
        </w:rPr>
        <w:t>00</w:t>
      </w: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4269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基金运作方式：混合型、开放式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基金合同生效日：2017年4月26日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基金管理人名称：中信建投基金管理有限公司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基金托管人名称：北京银行股份有限公司</w:t>
      </w:r>
    </w:p>
    <w:p w:rsidR="008F6E73" w:rsidRPr="00B956AB" w:rsidRDefault="008F6E73" w:rsidP="00B956AB">
      <w:pPr>
        <w:spacing w:line="360" w:lineRule="auto"/>
        <w:ind w:firstLineChars="200" w:firstLine="442"/>
        <w:rPr>
          <w:rFonts w:asciiTheme="minorEastAsia" w:eastAsiaTheme="minorEastAsia" w:hAnsiTheme="minorEastAsia" w:cs="Arial"/>
          <w:b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b/>
          <w:color w:val="000000"/>
          <w:szCs w:val="21"/>
        </w:rPr>
        <w:t>二、可能触发基金合同终止的情形说明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/>
          <w:color w:val="000000"/>
          <w:szCs w:val="21"/>
        </w:rPr>
        <w:t>根据《基金合同》“第五部分 基金备案”之“三、基金存续期 内的基金份额持有人数量和资产规模”的约定:“《基金合同》生效后，连续 20 个工作日出现基金份额持有人数量不满 200 人或者基金 资产净值低于 5000 万元情形的，基金管理人应当在定期报告中予以披露；连续 60 个工作日出现前述情形的，本基金将根据基金合同的约定进入清算程序并终止，无须召开基金份额持有人大会审议。法律法规另有规定时，从其规定。”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截至 2018 年5月</w:t>
      </w:r>
      <w:r w:rsidR="00BC2C9B">
        <w:rPr>
          <w:rFonts w:asciiTheme="minorEastAsia" w:eastAsiaTheme="minorEastAsia" w:hAnsiTheme="minorEastAsia" w:cs="Arial" w:hint="eastAsia"/>
          <w:color w:val="000000"/>
          <w:szCs w:val="21"/>
        </w:rPr>
        <w:t>4</w:t>
      </w: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日日终，本基金已出现连续 59个工作日基金资产净值低于</w:t>
      </w:r>
      <w:r w:rsidR="00BC2C9B">
        <w:rPr>
          <w:rFonts w:asciiTheme="minorEastAsia" w:eastAsiaTheme="minorEastAsia" w:hAnsiTheme="minorEastAsia" w:cs="Arial" w:hint="eastAsia"/>
          <w:color w:val="000000"/>
          <w:szCs w:val="21"/>
        </w:rPr>
        <w:t>5000</w:t>
      </w: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万元的情形，若截至2018年5月7日日终，本基金连续60个工作日基金资产净值低于5000万元，则将触发《基金合同》中约定的本基金终止条款，基金管理人将终</w:t>
      </w: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lastRenderedPageBreak/>
        <w:t>止《基金合同》并按照《基金合同》的约定履行基金财产清算程序，无须召开基金份额持有人大会。</w:t>
      </w:r>
    </w:p>
    <w:p w:rsidR="008F6E73" w:rsidRPr="00B956AB" w:rsidRDefault="008F6E73" w:rsidP="00B956AB">
      <w:pPr>
        <w:spacing w:line="360" w:lineRule="auto"/>
        <w:ind w:firstLineChars="200" w:firstLine="442"/>
        <w:rPr>
          <w:rFonts w:asciiTheme="minorEastAsia" w:eastAsiaTheme="minorEastAsia" w:hAnsiTheme="minorEastAsia" w:cs="Arial"/>
          <w:b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b/>
          <w:color w:val="000000"/>
          <w:szCs w:val="21"/>
        </w:rPr>
        <w:t>三、其他需要提示的事项</w:t>
      </w:r>
    </w:p>
    <w:p w:rsidR="008F6E73" w:rsidRPr="00B956AB" w:rsidRDefault="00BC2C9B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t>1</w:t>
      </w:r>
      <w:r w:rsidR="008F6E73" w:rsidRPr="00B956AB">
        <w:rPr>
          <w:rFonts w:asciiTheme="minorEastAsia" w:eastAsiaTheme="minorEastAsia" w:hAnsiTheme="minorEastAsia" w:cs="Arial" w:hint="eastAsia"/>
          <w:color w:val="000000"/>
          <w:szCs w:val="21"/>
        </w:rPr>
        <w:t>、若基金合同终止，</w:t>
      </w:r>
      <w:r w:rsidR="008F6E73" w:rsidRPr="00B956AB">
        <w:rPr>
          <w:rFonts w:asciiTheme="minorEastAsia" w:eastAsiaTheme="minorEastAsia" w:hAnsiTheme="minorEastAsia" w:cs="Arial"/>
          <w:color w:val="000000"/>
          <w:szCs w:val="21"/>
        </w:rPr>
        <w:t>自 2018年</w:t>
      </w:r>
      <w:r w:rsidR="008F6E73" w:rsidRPr="00B956AB">
        <w:rPr>
          <w:rFonts w:asciiTheme="minorEastAsia" w:eastAsiaTheme="minorEastAsia" w:hAnsiTheme="minorEastAsia" w:cs="Arial" w:hint="eastAsia"/>
          <w:color w:val="000000"/>
          <w:szCs w:val="21"/>
        </w:rPr>
        <w:t>5</w:t>
      </w:r>
      <w:r w:rsidR="008F6E73" w:rsidRPr="00B956AB">
        <w:rPr>
          <w:rFonts w:asciiTheme="minorEastAsia" w:eastAsiaTheme="minorEastAsia" w:hAnsiTheme="minorEastAsia" w:cs="Arial"/>
          <w:color w:val="000000"/>
          <w:szCs w:val="21"/>
        </w:rPr>
        <w:t>月</w:t>
      </w:r>
      <w:r w:rsidR="00071FA0">
        <w:rPr>
          <w:rFonts w:asciiTheme="minorEastAsia" w:eastAsiaTheme="minorEastAsia" w:hAnsiTheme="minorEastAsia" w:cs="Arial" w:hint="eastAsia"/>
          <w:color w:val="000000"/>
          <w:szCs w:val="21"/>
        </w:rPr>
        <w:t>8</w:t>
      </w:r>
      <w:r w:rsidR="008F6E73" w:rsidRPr="00B956AB">
        <w:rPr>
          <w:rFonts w:asciiTheme="minorEastAsia" w:eastAsiaTheme="minorEastAsia" w:hAnsiTheme="minorEastAsia" w:cs="Arial"/>
          <w:color w:val="000000"/>
          <w:szCs w:val="21"/>
        </w:rPr>
        <w:t>日起，本基金进入清算程序，不再办理申购、赎回、转换等业务，并且之后不再恢复。本基金进入清算程序后，停止收取基金管理费、基金托管费、基金销售服务费等费用。</w:t>
      </w:r>
    </w:p>
    <w:p w:rsidR="008F6E73" w:rsidRPr="00B956AB" w:rsidRDefault="00BC2C9B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t>2</w:t>
      </w:r>
      <w:r w:rsidR="008F6E73" w:rsidRPr="00B956AB">
        <w:rPr>
          <w:rFonts w:asciiTheme="minorEastAsia" w:eastAsiaTheme="minorEastAsia" w:hAnsiTheme="minorEastAsia" w:cs="Arial" w:hint="eastAsia"/>
          <w:color w:val="000000"/>
          <w:szCs w:val="21"/>
        </w:rPr>
        <w:t>、若《基金合同》终止，基金管理人将根据相关法律法规、《基金合同》等规定成立基金财产清算小组，履行基金财产清算程序。</w:t>
      </w:r>
    </w:p>
    <w:p w:rsidR="008F6E73" w:rsidRPr="00B956AB" w:rsidRDefault="00BC2C9B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t>3</w:t>
      </w:r>
      <w:r w:rsidR="008F6E73" w:rsidRPr="00B956AB">
        <w:rPr>
          <w:rFonts w:asciiTheme="minorEastAsia" w:eastAsiaTheme="minorEastAsia" w:hAnsiTheme="minorEastAsia" w:cs="Arial" w:hint="eastAsia"/>
          <w:color w:val="000000"/>
          <w:szCs w:val="21"/>
        </w:rPr>
        <w:t>、投资者欲了解本基金的详细情况,请认真阅读本基金《基金合同》及本基金招募说明书，投资者可通过以下途径咨询：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基金管理人网站：http://www.cfund108.com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客服电话：</w:t>
      </w:r>
      <w:r w:rsidRPr="00B956AB">
        <w:rPr>
          <w:rFonts w:asciiTheme="minorEastAsia" w:eastAsiaTheme="minorEastAsia" w:hAnsiTheme="minorEastAsia" w:hint="eastAsia"/>
          <w:spacing w:val="8"/>
          <w:szCs w:val="21"/>
        </w:rPr>
        <w:t>4009-108-108</w:t>
      </w:r>
    </w:p>
    <w:p w:rsidR="008F6E73" w:rsidRPr="00B956AB" w:rsidRDefault="00BC2C9B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t>4</w:t>
      </w:r>
      <w:r w:rsidR="008F6E73" w:rsidRPr="00B956AB">
        <w:rPr>
          <w:rFonts w:asciiTheme="minorEastAsia" w:eastAsiaTheme="minorEastAsia" w:hAnsiTheme="minorEastAsia" w:cs="Arial" w:hint="eastAsia"/>
          <w:color w:val="000000"/>
          <w:szCs w:val="21"/>
        </w:rPr>
        <w:t>、本公告解释权归</w:t>
      </w:r>
      <w:r w:rsidR="001A7DA6">
        <w:rPr>
          <w:rFonts w:asciiTheme="minorEastAsia" w:eastAsiaTheme="minorEastAsia" w:hAnsiTheme="minorEastAsia" w:cs="Arial" w:hint="eastAsia"/>
          <w:color w:val="000000"/>
          <w:szCs w:val="21"/>
        </w:rPr>
        <w:t>中信建投</w:t>
      </w:r>
      <w:r w:rsidR="008F6E73" w:rsidRPr="00B956AB">
        <w:rPr>
          <w:rFonts w:asciiTheme="minorEastAsia" w:eastAsiaTheme="minorEastAsia" w:hAnsiTheme="minorEastAsia" w:cs="Arial" w:hint="eastAsia"/>
          <w:color w:val="000000"/>
          <w:szCs w:val="21"/>
        </w:rPr>
        <w:t>基金管理有限公司所有。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风险提示：本公司承诺以诚实信用、勤勉尽责的原则管理和运用基金财产，但不保证基金一定盈利，也不保证最低收益。投资人应认真阅读拟投资基金的《基金合同》、《招募说明书》等法律文件，了解所投资基金的风险收益特征，并根据自身情况购买与风险承受能力相匹配的产品。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特此公告。</w:t>
      </w: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</w:p>
    <w:p w:rsidR="008F6E73" w:rsidRPr="00B956AB" w:rsidRDefault="008F6E73" w:rsidP="008F6E73">
      <w:pPr>
        <w:spacing w:line="360" w:lineRule="auto"/>
        <w:ind w:firstLineChars="200" w:firstLine="440"/>
        <w:rPr>
          <w:rFonts w:asciiTheme="minorEastAsia" w:eastAsiaTheme="minorEastAsia" w:hAnsiTheme="minorEastAsia" w:cs="Arial"/>
          <w:color w:val="000000"/>
          <w:szCs w:val="21"/>
        </w:rPr>
      </w:pPr>
    </w:p>
    <w:p w:rsidR="008F6E73" w:rsidRPr="00B956AB" w:rsidRDefault="008F6E73" w:rsidP="008F6E73">
      <w:pPr>
        <w:spacing w:line="360" w:lineRule="auto"/>
        <w:ind w:firstLineChars="200" w:firstLine="440"/>
        <w:jc w:val="right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中信建投基金管理有限公司</w:t>
      </w:r>
    </w:p>
    <w:p w:rsidR="008F6E73" w:rsidRPr="00B956AB" w:rsidRDefault="008F6E73" w:rsidP="008F6E73">
      <w:pPr>
        <w:spacing w:line="360" w:lineRule="auto"/>
        <w:ind w:firstLineChars="200" w:firstLine="440"/>
        <w:jc w:val="right"/>
        <w:rPr>
          <w:rFonts w:asciiTheme="minorEastAsia" w:eastAsiaTheme="minorEastAsia" w:hAnsiTheme="minorEastAsia" w:cs="Arial"/>
          <w:color w:val="000000"/>
          <w:szCs w:val="21"/>
        </w:rPr>
      </w:pPr>
      <w:r w:rsidRPr="00B956AB">
        <w:rPr>
          <w:rFonts w:asciiTheme="minorEastAsia" w:eastAsiaTheme="minorEastAsia" w:hAnsiTheme="minorEastAsia" w:cs="Arial" w:hint="eastAsia"/>
          <w:color w:val="000000"/>
          <w:szCs w:val="21"/>
        </w:rPr>
        <w:t>2018 年5月7日</w:t>
      </w:r>
    </w:p>
    <w:p w:rsidR="004358AB" w:rsidRPr="00B956AB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B956AB" w:rsidSect="00DE1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7C3" w:rsidRDefault="002F77C3" w:rsidP="008F6E73">
      <w:pPr>
        <w:spacing w:after="0"/>
      </w:pPr>
      <w:r>
        <w:separator/>
      </w:r>
    </w:p>
  </w:endnote>
  <w:endnote w:type="continuationSeparator" w:id="1">
    <w:p w:rsidR="002F77C3" w:rsidRDefault="002F77C3" w:rsidP="008F6E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7C3" w:rsidRDefault="002F77C3" w:rsidP="008F6E73">
      <w:pPr>
        <w:spacing w:after="0"/>
      </w:pPr>
      <w:r>
        <w:separator/>
      </w:r>
    </w:p>
  </w:footnote>
  <w:footnote w:type="continuationSeparator" w:id="1">
    <w:p w:rsidR="002F77C3" w:rsidRDefault="002F77C3" w:rsidP="008F6E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740E"/>
    <w:rsid w:val="00071FA0"/>
    <w:rsid w:val="000E526C"/>
    <w:rsid w:val="001813BB"/>
    <w:rsid w:val="001A7DA6"/>
    <w:rsid w:val="002F77C3"/>
    <w:rsid w:val="00323B43"/>
    <w:rsid w:val="003D37D8"/>
    <w:rsid w:val="00426133"/>
    <w:rsid w:val="004358AB"/>
    <w:rsid w:val="00792A47"/>
    <w:rsid w:val="008212C8"/>
    <w:rsid w:val="008247C7"/>
    <w:rsid w:val="008635EF"/>
    <w:rsid w:val="008B7726"/>
    <w:rsid w:val="008C33B3"/>
    <w:rsid w:val="008F6E73"/>
    <w:rsid w:val="00A05A85"/>
    <w:rsid w:val="00AA7CDF"/>
    <w:rsid w:val="00B956AB"/>
    <w:rsid w:val="00BC2C9B"/>
    <w:rsid w:val="00D31D50"/>
    <w:rsid w:val="00D7101D"/>
    <w:rsid w:val="00D96861"/>
    <w:rsid w:val="00FE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56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E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E7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E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E73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956A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7101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01D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B956AB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4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ZHONGM</cp:lastModifiedBy>
  <cp:revision>2</cp:revision>
  <dcterms:created xsi:type="dcterms:W3CDTF">2018-05-06T16:34:00Z</dcterms:created>
  <dcterms:modified xsi:type="dcterms:W3CDTF">2018-05-06T16:34:00Z</dcterms:modified>
</cp:coreProperties>
</file>