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B24" w:rsidRPr="00141875" w:rsidRDefault="0082061B" w:rsidP="00C42784">
      <w:pPr>
        <w:pStyle w:val="Default"/>
        <w:jc w:val="center"/>
        <w:rPr>
          <w:rFonts w:eastAsia="微软雅黑"/>
          <w:b/>
          <w:szCs w:val="21"/>
        </w:rPr>
      </w:pPr>
      <w:r w:rsidRPr="00141875">
        <w:rPr>
          <w:rFonts w:eastAsia="微软雅黑"/>
          <w:b/>
          <w:szCs w:val="21"/>
        </w:rPr>
        <w:t>国联安基金管理有限公司关于旗下部分基金参加</w:t>
      </w:r>
      <w:r w:rsidR="00C42784" w:rsidRPr="00141875">
        <w:rPr>
          <w:rFonts w:eastAsia="微软雅黑" w:hint="eastAsia"/>
          <w:b/>
          <w:szCs w:val="21"/>
        </w:rPr>
        <w:t>北京恒天明泽</w:t>
      </w:r>
    </w:p>
    <w:p w:rsidR="0082061B" w:rsidRPr="00141875" w:rsidRDefault="00C42784" w:rsidP="00C42784">
      <w:pPr>
        <w:pStyle w:val="Default"/>
        <w:jc w:val="center"/>
        <w:rPr>
          <w:rFonts w:eastAsia="微软雅黑"/>
          <w:b/>
          <w:szCs w:val="21"/>
        </w:rPr>
      </w:pPr>
      <w:r w:rsidRPr="00141875">
        <w:rPr>
          <w:rFonts w:eastAsia="微软雅黑" w:hint="eastAsia"/>
          <w:b/>
          <w:szCs w:val="21"/>
        </w:rPr>
        <w:t>基金销售有限公司</w:t>
      </w:r>
      <w:r w:rsidR="0082061B" w:rsidRPr="00141875">
        <w:rPr>
          <w:rFonts w:eastAsia="微软雅黑"/>
          <w:b/>
          <w:szCs w:val="21"/>
        </w:rPr>
        <w:t>费率优惠活动的公告</w:t>
      </w:r>
    </w:p>
    <w:p w:rsidR="00F4335D" w:rsidRPr="00141875" w:rsidRDefault="00F4335D" w:rsidP="00141875">
      <w:pPr>
        <w:pStyle w:val="Default"/>
        <w:ind w:firstLineChars="200" w:firstLine="420"/>
        <w:rPr>
          <w:rFonts w:eastAsia="微软雅黑"/>
          <w:sz w:val="21"/>
          <w:szCs w:val="21"/>
        </w:rPr>
      </w:pPr>
    </w:p>
    <w:p w:rsidR="0082061B" w:rsidRPr="00141875" w:rsidRDefault="0082061B" w:rsidP="00141875">
      <w:pPr>
        <w:pStyle w:val="Default"/>
        <w:ind w:firstLineChars="200" w:firstLine="420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为了更好地满足广大投资者的理财需求, 国联安基金管理有限公司（以下简称“本公司”）经与</w:t>
      </w:r>
      <w:r w:rsidR="00C42784" w:rsidRPr="00141875">
        <w:rPr>
          <w:rFonts w:eastAsia="微软雅黑" w:hint="eastAsia"/>
          <w:sz w:val="21"/>
          <w:szCs w:val="21"/>
        </w:rPr>
        <w:t>北京恒天明泽基金销售有限公司</w:t>
      </w:r>
      <w:r w:rsidRPr="00141875">
        <w:rPr>
          <w:rFonts w:eastAsia="微软雅黑"/>
          <w:sz w:val="21"/>
          <w:szCs w:val="21"/>
        </w:rPr>
        <w:t>（以下简称：“</w:t>
      </w:r>
      <w:r w:rsidR="00C42784" w:rsidRPr="00141875">
        <w:rPr>
          <w:rFonts w:eastAsia="微软雅黑" w:hint="eastAsia"/>
          <w:sz w:val="21"/>
          <w:szCs w:val="21"/>
        </w:rPr>
        <w:t>恒天明泽</w:t>
      </w:r>
      <w:r w:rsidRPr="00141875">
        <w:rPr>
          <w:rFonts w:eastAsia="微软雅黑"/>
          <w:sz w:val="21"/>
          <w:szCs w:val="21"/>
        </w:rPr>
        <w:t>”）协商一致，决定本公司旗下部分基金自2018年</w:t>
      </w:r>
      <w:r w:rsidR="006400E7">
        <w:rPr>
          <w:rFonts w:eastAsia="微软雅黑" w:hint="eastAsia"/>
          <w:sz w:val="21"/>
          <w:szCs w:val="21"/>
        </w:rPr>
        <w:t>4</w:t>
      </w:r>
      <w:r w:rsidRPr="00141875">
        <w:rPr>
          <w:rFonts w:eastAsia="微软雅黑"/>
          <w:sz w:val="21"/>
          <w:szCs w:val="21"/>
        </w:rPr>
        <w:t>月</w:t>
      </w:r>
      <w:r w:rsidR="006400E7">
        <w:rPr>
          <w:rFonts w:eastAsia="微软雅黑" w:hint="eastAsia"/>
          <w:sz w:val="21"/>
          <w:szCs w:val="21"/>
        </w:rPr>
        <w:t>27</w:t>
      </w:r>
      <w:r w:rsidRPr="00141875">
        <w:rPr>
          <w:rFonts w:eastAsia="微软雅黑"/>
          <w:sz w:val="21"/>
          <w:szCs w:val="21"/>
        </w:rPr>
        <w:t>日起参加</w:t>
      </w:r>
      <w:r w:rsidR="00C42784" w:rsidRPr="00141875">
        <w:rPr>
          <w:rFonts w:eastAsia="微软雅黑" w:hint="eastAsia"/>
          <w:sz w:val="21"/>
          <w:szCs w:val="21"/>
        </w:rPr>
        <w:t>恒天明泽</w:t>
      </w:r>
      <w:r w:rsidRPr="00141875">
        <w:rPr>
          <w:rFonts w:eastAsia="微软雅黑"/>
          <w:sz w:val="21"/>
          <w:szCs w:val="21"/>
        </w:rPr>
        <w:t>申购</w:t>
      </w:r>
      <w:r w:rsidR="00B25096">
        <w:rPr>
          <w:rFonts w:eastAsia="微软雅黑" w:hint="eastAsia"/>
          <w:sz w:val="21"/>
          <w:szCs w:val="21"/>
        </w:rPr>
        <w:t>、定投</w:t>
      </w:r>
      <w:r w:rsidRPr="00141875">
        <w:rPr>
          <w:rFonts w:eastAsia="微软雅黑"/>
          <w:sz w:val="21"/>
          <w:szCs w:val="21"/>
        </w:rPr>
        <w:t>费率的优惠活动。现就有关事项公告如下：</w:t>
      </w:r>
    </w:p>
    <w:p w:rsidR="00F4335D" w:rsidRPr="00141875" w:rsidRDefault="00F4335D" w:rsidP="0082061B">
      <w:pPr>
        <w:pStyle w:val="Default"/>
        <w:rPr>
          <w:rFonts w:eastAsia="微软雅黑"/>
          <w:sz w:val="21"/>
          <w:szCs w:val="21"/>
        </w:rPr>
      </w:pP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一、适用投资者范围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根据</w:t>
      </w:r>
      <w:r w:rsidR="00C42784" w:rsidRPr="00141875">
        <w:rPr>
          <w:rFonts w:eastAsia="微软雅黑" w:hint="eastAsia"/>
          <w:sz w:val="21"/>
          <w:szCs w:val="21"/>
        </w:rPr>
        <w:t>恒天明泽</w:t>
      </w:r>
      <w:r w:rsidRPr="00141875">
        <w:rPr>
          <w:rFonts w:eastAsia="微软雅黑"/>
          <w:sz w:val="21"/>
          <w:szCs w:val="21"/>
        </w:rPr>
        <w:t>指定方式办理相关基金的申购</w:t>
      </w:r>
      <w:r w:rsidR="00B25096">
        <w:rPr>
          <w:rFonts w:eastAsia="微软雅黑" w:hint="eastAsia"/>
          <w:sz w:val="21"/>
          <w:szCs w:val="21"/>
        </w:rPr>
        <w:t>、定投</w:t>
      </w:r>
      <w:r w:rsidRPr="00141875">
        <w:rPr>
          <w:rFonts w:eastAsia="微软雅黑"/>
          <w:sz w:val="21"/>
          <w:szCs w:val="21"/>
        </w:rPr>
        <w:t>业务，并具备合法基金投资资格的投资者。</w:t>
      </w:r>
    </w:p>
    <w:p w:rsidR="00F4335D" w:rsidRPr="00141875" w:rsidRDefault="00F4335D" w:rsidP="0082061B">
      <w:pPr>
        <w:pStyle w:val="Default"/>
        <w:rPr>
          <w:rFonts w:eastAsia="微软雅黑"/>
          <w:sz w:val="21"/>
          <w:szCs w:val="21"/>
        </w:rPr>
      </w:pP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二、适用基金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国联安科技动力股票型证券投资基金(基金代码：001956)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国联安上证大宗商品股票交易型开放式指数证券投资基金联接基金(</w:t>
      </w:r>
      <w:r w:rsidR="00F4335D" w:rsidRPr="00141875">
        <w:rPr>
          <w:rFonts w:eastAsia="微软雅黑"/>
          <w:sz w:val="21"/>
          <w:szCs w:val="21"/>
        </w:rPr>
        <w:t>基金代码</w:t>
      </w:r>
      <w:r w:rsidR="00F4335D" w:rsidRPr="00141875">
        <w:rPr>
          <w:rFonts w:eastAsia="微软雅黑" w:hint="eastAsia"/>
          <w:sz w:val="21"/>
          <w:szCs w:val="21"/>
        </w:rPr>
        <w:t>：</w:t>
      </w:r>
      <w:r w:rsidRPr="00141875">
        <w:rPr>
          <w:rFonts w:eastAsia="微软雅黑"/>
          <w:sz w:val="21"/>
          <w:szCs w:val="21"/>
        </w:rPr>
        <w:t>257060)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国联安中证医药100指数证券投资基金(基金代码：000059)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国联安德盛增利债券证券投资基金（基金代码：A类253020、B类253021）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国联安信心增益债券型证券投资基金(基金代码：253030)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国联安信心增长债券型证券投资基金（基金代码：A类253060、B类253061）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国联安货币市场证券投资基金（基金代码：A类253050、B类253051）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国联安德盛稳健证券投资基金(基金代码：255010)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国联安德盛小盘精选证券投资基金(基金代码：257010)</w:t>
      </w:r>
    </w:p>
    <w:p w:rsidR="00F4335D" w:rsidRPr="00141875" w:rsidRDefault="0082061B" w:rsidP="00F4335D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国联安德盛安心成长混合型证券投资基金(基金代码：253010)</w:t>
      </w:r>
    </w:p>
    <w:p w:rsidR="0082061B" w:rsidRPr="00141875" w:rsidRDefault="0082061B" w:rsidP="00F4335D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lastRenderedPageBreak/>
        <w:t>国联安德盛精选混合型证券投资基金(基金代码：257020)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国联安德盛优势混合型证券投资基金(基金代码：257030)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国联安德盛红利混合型证券投资基金(基金代码：257040)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国联安主题驱动混合型证券投资基金(基金代码：257050)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国联安优选行业混合型证券投资基金(基金代码：257070)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国联安保本混合型证券投资基金(基金代码：000058)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国联安新精选灵活配置混合型证券投资基金(基金代码：000417)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国联安安稳</w:t>
      </w:r>
      <w:r w:rsidR="00E94B04" w:rsidRPr="00141875">
        <w:rPr>
          <w:rFonts w:eastAsia="微软雅黑" w:hint="eastAsia"/>
          <w:sz w:val="21"/>
          <w:szCs w:val="21"/>
        </w:rPr>
        <w:t>灵活配置</w:t>
      </w:r>
      <w:r w:rsidRPr="00141875">
        <w:rPr>
          <w:rFonts w:eastAsia="微软雅黑"/>
          <w:sz w:val="21"/>
          <w:szCs w:val="21"/>
        </w:rPr>
        <w:t>混合型证券投资基金(基金代码：002367)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国联安鑫安灵活配置混合型证券投资基金(基金代码：001007)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国联安睿祺灵活配置混合型证券投资基金(基金代码：001157)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国联安锐意成长混合型证券投资基金(基金代码：004076)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国联安睿利定期开放混合型证券投资基金(基金代码：003362)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国联安添鑫灵活配置混合型证券投资基金（基金代码：</w:t>
      </w:r>
      <w:r w:rsidR="00F4335D" w:rsidRPr="00141875">
        <w:rPr>
          <w:rFonts w:eastAsia="微软雅黑"/>
          <w:sz w:val="21"/>
          <w:szCs w:val="21"/>
        </w:rPr>
        <w:t>A</w:t>
      </w:r>
      <w:r w:rsidRPr="00141875">
        <w:rPr>
          <w:rFonts w:eastAsia="微软雅黑"/>
          <w:sz w:val="21"/>
          <w:szCs w:val="21"/>
        </w:rPr>
        <w:t>类001359、C类001654）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国联安鑫禧灵活配置混合型证券投资基金（基金代码：</w:t>
      </w:r>
      <w:r w:rsidR="00F4335D" w:rsidRPr="00141875">
        <w:rPr>
          <w:rFonts w:eastAsia="微软雅黑"/>
          <w:sz w:val="21"/>
          <w:szCs w:val="21"/>
        </w:rPr>
        <w:t>A</w:t>
      </w:r>
      <w:r w:rsidRPr="00141875">
        <w:rPr>
          <w:rFonts w:eastAsia="微软雅黑"/>
          <w:sz w:val="21"/>
          <w:szCs w:val="21"/>
        </w:rPr>
        <w:t>类002365、</w:t>
      </w:r>
      <w:r w:rsidR="00F4335D" w:rsidRPr="00141875">
        <w:rPr>
          <w:rFonts w:eastAsia="微软雅黑"/>
          <w:sz w:val="21"/>
          <w:szCs w:val="21"/>
        </w:rPr>
        <w:t>C</w:t>
      </w:r>
      <w:r w:rsidRPr="00141875">
        <w:rPr>
          <w:rFonts w:eastAsia="微软雅黑"/>
          <w:sz w:val="21"/>
          <w:szCs w:val="21"/>
        </w:rPr>
        <w:t>类002366）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国联安鑫悦灵活配置混合型证券投资基金（基金代码：</w:t>
      </w:r>
      <w:r w:rsidR="00F4335D" w:rsidRPr="00141875">
        <w:rPr>
          <w:rFonts w:eastAsia="微软雅黑"/>
          <w:sz w:val="21"/>
          <w:szCs w:val="21"/>
        </w:rPr>
        <w:t>A</w:t>
      </w:r>
      <w:r w:rsidRPr="00141875">
        <w:rPr>
          <w:rFonts w:eastAsia="微软雅黑"/>
          <w:sz w:val="21"/>
          <w:szCs w:val="21"/>
        </w:rPr>
        <w:t>类002368、</w:t>
      </w:r>
      <w:r w:rsidR="00F4335D" w:rsidRPr="00141875">
        <w:rPr>
          <w:rFonts w:eastAsia="微软雅黑"/>
          <w:sz w:val="21"/>
          <w:szCs w:val="21"/>
        </w:rPr>
        <w:t>C</w:t>
      </w:r>
      <w:r w:rsidRPr="00141875">
        <w:rPr>
          <w:rFonts w:eastAsia="微软雅黑"/>
          <w:sz w:val="21"/>
          <w:szCs w:val="21"/>
        </w:rPr>
        <w:t>类002369）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国联安鑫盈混合型证券投资基金（基金代码：A类003275、C类003276）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国联安鑫盛混合型证券投资基金（基金代码：A类003772、C类003773)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国联安鑫汇混合型证券投资基金（基金代码：A类004129、C类004130）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国联安鑫乾混合型证券投资基金（基金代码：A类004081、C类004082）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国联安鑫发混合型证券投资基金（基金代码：A类004131、C类004132）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国联安鑫隆混合型证券投资基金（基金代码：A类004083、C类004084)</w:t>
      </w:r>
    </w:p>
    <w:p w:rsidR="00F4335D" w:rsidRPr="00141875" w:rsidRDefault="0082061B" w:rsidP="00F4335D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国联安鑫怡混合型证券投资基金（基金代码：A类004326、C类004327)</w:t>
      </w:r>
    </w:p>
    <w:p w:rsidR="0082061B" w:rsidRPr="00141875" w:rsidRDefault="0082061B" w:rsidP="00F4335D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lastRenderedPageBreak/>
        <w:t>国联安通盈灵活配置混合型证券投资基金（基金代码：A类000664、C类002485）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国联安鑫享灵活配置混合型证券投资基金（基金代码：A类001228、C类002186)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国联安睿智定期开放混合型证券投资基金(基金代码：003541)</w:t>
      </w:r>
    </w:p>
    <w:p w:rsidR="00F4335D" w:rsidRPr="00141875" w:rsidRDefault="00F4335D" w:rsidP="0082061B">
      <w:pPr>
        <w:pStyle w:val="Default"/>
        <w:rPr>
          <w:rFonts w:eastAsia="微软雅黑"/>
          <w:sz w:val="21"/>
          <w:szCs w:val="21"/>
        </w:rPr>
      </w:pP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三、优惠活动方案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1、业务开通时间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2018年</w:t>
      </w:r>
      <w:r w:rsidR="006400E7">
        <w:rPr>
          <w:rFonts w:eastAsia="微软雅黑" w:hint="eastAsia"/>
          <w:sz w:val="21"/>
          <w:szCs w:val="21"/>
        </w:rPr>
        <w:t>4</w:t>
      </w:r>
      <w:r w:rsidRPr="00141875">
        <w:rPr>
          <w:rFonts w:eastAsia="微软雅黑"/>
          <w:sz w:val="21"/>
          <w:szCs w:val="21"/>
        </w:rPr>
        <w:t>月</w:t>
      </w:r>
      <w:r w:rsidR="006400E7">
        <w:rPr>
          <w:rFonts w:eastAsia="微软雅黑" w:hint="eastAsia"/>
          <w:sz w:val="21"/>
          <w:szCs w:val="21"/>
        </w:rPr>
        <w:t>27</w:t>
      </w:r>
      <w:r w:rsidRPr="00141875">
        <w:rPr>
          <w:rFonts w:eastAsia="微软雅黑"/>
          <w:sz w:val="21"/>
          <w:szCs w:val="21"/>
        </w:rPr>
        <w:t>日起，具体优惠活动以</w:t>
      </w:r>
      <w:r w:rsidR="00C42784" w:rsidRPr="00141875">
        <w:rPr>
          <w:rFonts w:eastAsia="微软雅黑"/>
          <w:sz w:val="21"/>
          <w:szCs w:val="21"/>
        </w:rPr>
        <w:t>恒天明泽</w:t>
      </w:r>
      <w:r w:rsidRPr="00141875">
        <w:rPr>
          <w:rFonts w:eastAsia="微软雅黑"/>
          <w:sz w:val="21"/>
          <w:szCs w:val="21"/>
        </w:rPr>
        <w:t>官方网站所示公告为准，敬请投资者关注。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2、基金申购、定投费率优惠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投资者通过</w:t>
      </w:r>
      <w:r w:rsidR="00C42784" w:rsidRPr="00141875">
        <w:rPr>
          <w:rFonts w:eastAsia="微软雅黑"/>
          <w:sz w:val="21"/>
          <w:szCs w:val="21"/>
        </w:rPr>
        <w:t>恒天明泽</w:t>
      </w:r>
      <w:r w:rsidRPr="00141875">
        <w:rPr>
          <w:rFonts w:eastAsia="微软雅黑"/>
          <w:sz w:val="21"/>
          <w:szCs w:val="21"/>
        </w:rPr>
        <w:t>申购、定投本公司旗下基金，在不违反法律法规和基金合同的相关要求下，申购、定投费率不设折扣限制，具体折扣费率以</w:t>
      </w:r>
      <w:r w:rsidR="00C42784" w:rsidRPr="00141875">
        <w:rPr>
          <w:rFonts w:eastAsia="微软雅黑"/>
          <w:sz w:val="21"/>
          <w:szCs w:val="21"/>
        </w:rPr>
        <w:t>恒天明泽</w:t>
      </w:r>
      <w:r w:rsidRPr="00141875">
        <w:rPr>
          <w:rFonts w:eastAsia="微软雅黑"/>
          <w:sz w:val="21"/>
          <w:szCs w:val="21"/>
        </w:rPr>
        <w:t>活动为准。基金原费率请详见基金合同、招募说明书（更新）等法律文件，以及本公司发布的最新业务公告。费率优惠期限内，如本公司新增通过</w:t>
      </w:r>
      <w:r w:rsidR="00C42784" w:rsidRPr="00141875">
        <w:rPr>
          <w:rFonts w:eastAsia="微软雅黑"/>
          <w:sz w:val="21"/>
          <w:szCs w:val="21"/>
        </w:rPr>
        <w:t>恒天明泽</w:t>
      </w:r>
      <w:r w:rsidRPr="00141875">
        <w:rPr>
          <w:rFonts w:eastAsia="微软雅黑"/>
          <w:sz w:val="21"/>
          <w:szCs w:val="21"/>
        </w:rPr>
        <w:t>代销的基金产品，则自该基金产品开放申购当日起，将同时开通该基金上述优惠活动。</w:t>
      </w:r>
    </w:p>
    <w:p w:rsidR="00F4335D" w:rsidRPr="00141875" w:rsidRDefault="00F4335D" w:rsidP="0082061B">
      <w:pPr>
        <w:pStyle w:val="Default"/>
        <w:rPr>
          <w:rFonts w:eastAsia="微软雅黑"/>
          <w:sz w:val="21"/>
          <w:szCs w:val="21"/>
        </w:rPr>
      </w:pP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四、投资者可通过以下途径了解或咨询相关情况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1、</w:t>
      </w:r>
      <w:r w:rsidR="00C42784" w:rsidRPr="00141875">
        <w:rPr>
          <w:rFonts w:eastAsia="微软雅黑" w:hint="eastAsia"/>
          <w:sz w:val="21"/>
          <w:szCs w:val="21"/>
        </w:rPr>
        <w:t>北京恒天明泽基金销售有限公司</w:t>
      </w:r>
      <w:r w:rsidRPr="00141875">
        <w:rPr>
          <w:rFonts w:eastAsia="微软雅黑"/>
          <w:sz w:val="21"/>
          <w:szCs w:val="21"/>
        </w:rPr>
        <w:t>：</w:t>
      </w:r>
    </w:p>
    <w:p w:rsidR="0082061B" w:rsidRPr="00141875" w:rsidRDefault="0082061B" w:rsidP="00C42784">
      <w:pPr>
        <w:spacing w:line="360" w:lineRule="auto"/>
        <w:rPr>
          <w:rFonts w:ascii="微软雅黑" w:eastAsia="微软雅黑" w:hAnsi="微软雅黑"/>
          <w:szCs w:val="21"/>
        </w:rPr>
      </w:pPr>
      <w:r w:rsidRPr="00141875">
        <w:rPr>
          <w:rFonts w:ascii="微软雅黑" w:eastAsia="微软雅黑" w:hAnsi="微软雅黑"/>
          <w:szCs w:val="21"/>
        </w:rPr>
        <w:t>客户服务电话：</w:t>
      </w:r>
      <w:r w:rsidR="00C42784" w:rsidRPr="00141875">
        <w:rPr>
          <w:rFonts w:ascii="微软雅黑" w:eastAsia="微软雅黑" w:hAnsi="微软雅黑"/>
          <w:szCs w:val="21"/>
        </w:rPr>
        <w:t>400-8980-618</w:t>
      </w:r>
    </w:p>
    <w:p w:rsidR="00F86F27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网站：</w:t>
      </w:r>
      <w:hyperlink r:id="rId7" w:history="1">
        <w:r w:rsidR="00F86F27" w:rsidRPr="00141875">
          <w:rPr>
            <w:rStyle w:val="a6"/>
            <w:rFonts w:eastAsia="微软雅黑"/>
            <w:sz w:val="21"/>
            <w:szCs w:val="21"/>
          </w:rPr>
          <w:t>www.chtfund.com</w:t>
        </w:r>
      </w:hyperlink>
    </w:p>
    <w:p w:rsidR="00F86F27" w:rsidRPr="00141875" w:rsidRDefault="00F86F27" w:rsidP="0082061B">
      <w:pPr>
        <w:pStyle w:val="Default"/>
        <w:rPr>
          <w:rFonts w:eastAsia="微软雅黑"/>
          <w:sz w:val="21"/>
          <w:szCs w:val="21"/>
        </w:rPr>
      </w:pPr>
    </w:p>
    <w:p w:rsidR="0082061B" w:rsidRPr="00141875" w:rsidRDefault="00C42784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 w:hint="eastAsia"/>
          <w:sz w:val="21"/>
          <w:szCs w:val="21"/>
        </w:rPr>
        <w:t>2、</w:t>
      </w:r>
      <w:r w:rsidR="0082061B" w:rsidRPr="00141875">
        <w:rPr>
          <w:rFonts w:eastAsia="微软雅黑"/>
          <w:sz w:val="21"/>
          <w:szCs w:val="21"/>
        </w:rPr>
        <w:t>国联安基金管理有限公司：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客户服务电话：400-700-0365，021-38784766</w:t>
      </w:r>
    </w:p>
    <w:p w:rsidR="00F4335D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网站：</w:t>
      </w:r>
      <w:hyperlink r:id="rId8" w:history="1">
        <w:r w:rsidR="00F4335D" w:rsidRPr="00141875">
          <w:rPr>
            <w:rStyle w:val="a6"/>
            <w:rFonts w:eastAsia="微软雅黑"/>
            <w:sz w:val="21"/>
            <w:szCs w:val="21"/>
          </w:rPr>
          <w:t>www.gtja-allianz.com</w:t>
        </w:r>
      </w:hyperlink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lastRenderedPageBreak/>
        <w:t>五、重要提示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1、本优惠活动仅适用于本公司产品在</w:t>
      </w:r>
      <w:r w:rsidR="00C42784" w:rsidRPr="00141875">
        <w:rPr>
          <w:rFonts w:eastAsia="微软雅黑"/>
          <w:sz w:val="21"/>
          <w:szCs w:val="21"/>
        </w:rPr>
        <w:t>恒天明泽</w:t>
      </w:r>
      <w:r w:rsidRPr="00141875">
        <w:rPr>
          <w:rFonts w:eastAsia="微软雅黑"/>
          <w:sz w:val="21"/>
          <w:szCs w:val="21"/>
        </w:rPr>
        <w:t>处于正常申购期的基金产品的前端收费模式的申购手续费（含定投业务产生的申购手续费）；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2、本优惠活动仅适用于本公司产品在</w:t>
      </w:r>
      <w:r w:rsidR="00C42784" w:rsidRPr="00141875">
        <w:rPr>
          <w:rFonts w:eastAsia="微软雅黑"/>
          <w:sz w:val="21"/>
          <w:szCs w:val="21"/>
        </w:rPr>
        <w:t>恒天明泽</w:t>
      </w:r>
      <w:r w:rsidRPr="00141875">
        <w:rPr>
          <w:rFonts w:eastAsia="微软雅黑"/>
          <w:sz w:val="21"/>
          <w:szCs w:val="21"/>
        </w:rPr>
        <w:t>申购</w:t>
      </w:r>
      <w:bookmarkStart w:id="0" w:name="_GoBack"/>
      <w:r w:rsidR="00B25096">
        <w:rPr>
          <w:rFonts w:eastAsia="微软雅黑" w:hint="eastAsia"/>
          <w:sz w:val="21"/>
          <w:szCs w:val="21"/>
        </w:rPr>
        <w:t>、定投</w:t>
      </w:r>
      <w:bookmarkEnd w:id="0"/>
      <w:r w:rsidRPr="00141875">
        <w:rPr>
          <w:rFonts w:eastAsia="微软雅黑"/>
          <w:sz w:val="21"/>
          <w:szCs w:val="21"/>
        </w:rPr>
        <w:t>业务的手续费，不包括基金认购，基金赎回、转换业务和固定费用等其他业务的手续费；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3、费率优惠活动解释权归</w:t>
      </w:r>
      <w:r w:rsidR="00C42784" w:rsidRPr="00141875">
        <w:rPr>
          <w:rFonts w:eastAsia="微软雅黑"/>
          <w:sz w:val="21"/>
          <w:szCs w:val="21"/>
        </w:rPr>
        <w:t>恒天明泽</w:t>
      </w:r>
      <w:r w:rsidRPr="00141875">
        <w:rPr>
          <w:rFonts w:eastAsia="微软雅黑"/>
          <w:sz w:val="21"/>
          <w:szCs w:val="21"/>
        </w:rPr>
        <w:t>所有，有关优惠活动的具体规定如有变化，敬请投资者留意前述代销机构的有关公告；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4、费率优惠活动期间，业务办理的流程以</w:t>
      </w:r>
      <w:r w:rsidR="00C42784" w:rsidRPr="00141875">
        <w:rPr>
          <w:rFonts w:eastAsia="微软雅黑"/>
          <w:sz w:val="21"/>
          <w:szCs w:val="21"/>
        </w:rPr>
        <w:t>恒天明泽</w:t>
      </w:r>
      <w:r w:rsidRPr="00141875">
        <w:rPr>
          <w:rFonts w:eastAsia="微软雅黑"/>
          <w:sz w:val="21"/>
          <w:szCs w:val="21"/>
        </w:rPr>
        <w:t>的规定为准。投资者办理基金交易业务前，应仔细阅读相关基金的基金合同、招募说明书及其更新、风险提示及相关业务规则和操作指南等文件；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5、凡涉及相关基金在</w:t>
      </w:r>
      <w:r w:rsidR="00C42784" w:rsidRPr="00141875">
        <w:rPr>
          <w:rFonts w:eastAsia="微软雅黑"/>
          <w:sz w:val="21"/>
          <w:szCs w:val="21"/>
        </w:rPr>
        <w:t>恒天明泽</w:t>
      </w:r>
      <w:r w:rsidRPr="00141875">
        <w:rPr>
          <w:rFonts w:eastAsia="微软雅黑"/>
          <w:sz w:val="21"/>
          <w:szCs w:val="21"/>
        </w:rPr>
        <w:t>办理申购未明事项，敬请遵循</w:t>
      </w:r>
      <w:r w:rsidR="00C42784" w:rsidRPr="00141875">
        <w:rPr>
          <w:rFonts w:eastAsia="微软雅黑"/>
          <w:sz w:val="21"/>
          <w:szCs w:val="21"/>
        </w:rPr>
        <w:t>恒天明泽</w:t>
      </w:r>
      <w:r w:rsidRPr="00141875">
        <w:rPr>
          <w:rFonts w:eastAsia="微软雅黑"/>
          <w:sz w:val="21"/>
          <w:szCs w:val="21"/>
        </w:rPr>
        <w:t>的具体规定；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6、本公告的最终解释权归本公司所有。</w:t>
      </w:r>
    </w:p>
    <w:p w:rsidR="00F4335D" w:rsidRPr="00141875" w:rsidRDefault="00F4335D" w:rsidP="0082061B">
      <w:pPr>
        <w:pStyle w:val="Default"/>
        <w:rPr>
          <w:rFonts w:eastAsia="微软雅黑"/>
          <w:sz w:val="21"/>
          <w:szCs w:val="21"/>
        </w:rPr>
      </w:pPr>
    </w:p>
    <w:p w:rsidR="0082061B" w:rsidRPr="00141875" w:rsidRDefault="0082061B" w:rsidP="00F4335D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风险提示：本公司承诺诚实信用地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定期定额投资是引导投资人进行长期投资、平均投资成本的一种简单易行的投资方式。但是定期定额投资并不能规避基金投资所固有的风险，不能保证投资人获得收益，也不是替代储蓄的等效理财方式。</w:t>
      </w:r>
    </w:p>
    <w:p w:rsidR="0082061B" w:rsidRPr="00141875" w:rsidRDefault="0082061B" w:rsidP="0082061B">
      <w:pPr>
        <w:pStyle w:val="Defaul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特此公告。</w:t>
      </w:r>
    </w:p>
    <w:p w:rsidR="00F4335D" w:rsidRPr="00141875" w:rsidRDefault="00F4335D" w:rsidP="0082061B">
      <w:pPr>
        <w:pStyle w:val="Default"/>
        <w:rPr>
          <w:rFonts w:eastAsia="微软雅黑"/>
          <w:sz w:val="21"/>
          <w:szCs w:val="21"/>
        </w:rPr>
      </w:pPr>
    </w:p>
    <w:p w:rsidR="0082061B" w:rsidRPr="00141875" w:rsidRDefault="0082061B" w:rsidP="00F4335D">
      <w:pPr>
        <w:pStyle w:val="Default"/>
        <w:jc w:val="right"/>
        <w:rPr>
          <w:rFonts w:eastAsia="微软雅黑"/>
          <w:sz w:val="21"/>
          <w:szCs w:val="21"/>
        </w:rPr>
      </w:pPr>
      <w:r w:rsidRPr="00141875">
        <w:rPr>
          <w:rFonts w:eastAsia="微软雅黑"/>
          <w:sz w:val="21"/>
          <w:szCs w:val="21"/>
        </w:rPr>
        <w:t>国联安基金管理有限公司</w:t>
      </w:r>
    </w:p>
    <w:p w:rsidR="00905F9F" w:rsidRPr="00141875" w:rsidRDefault="0082061B" w:rsidP="00F4335D">
      <w:pPr>
        <w:jc w:val="right"/>
        <w:rPr>
          <w:rFonts w:ascii="微软雅黑" w:eastAsia="微软雅黑" w:hAnsi="微软雅黑"/>
          <w:szCs w:val="21"/>
        </w:rPr>
      </w:pPr>
      <w:r w:rsidRPr="00141875">
        <w:rPr>
          <w:rFonts w:ascii="微软雅黑" w:eastAsia="微软雅黑" w:hAnsi="微软雅黑"/>
          <w:szCs w:val="21"/>
        </w:rPr>
        <w:t>二〇一八年</w:t>
      </w:r>
      <w:r w:rsidR="006400E7">
        <w:rPr>
          <w:rFonts w:ascii="微软雅黑" w:eastAsia="微软雅黑" w:hAnsi="微软雅黑" w:hint="eastAsia"/>
          <w:szCs w:val="21"/>
        </w:rPr>
        <w:t>四</w:t>
      </w:r>
      <w:r w:rsidR="006400E7">
        <w:rPr>
          <w:rFonts w:ascii="微软雅黑" w:eastAsia="微软雅黑" w:hAnsi="微软雅黑"/>
          <w:szCs w:val="21"/>
        </w:rPr>
        <w:t>月</w:t>
      </w:r>
      <w:r w:rsidR="006400E7">
        <w:rPr>
          <w:rFonts w:ascii="微软雅黑" w:eastAsia="微软雅黑" w:hAnsi="微软雅黑" w:hint="eastAsia"/>
          <w:szCs w:val="21"/>
        </w:rPr>
        <w:t>二十七</w:t>
      </w:r>
      <w:r w:rsidRPr="00141875">
        <w:rPr>
          <w:rFonts w:ascii="微软雅黑" w:eastAsia="微软雅黑" w:hAnsi="微软雅黑"/>
          <w:szCs w:val="21"/>
        </w:rPr>
        <w:t>日</w:t>
      </w:r>
    </w:p>
    <w:sectPr w:rsidR="00905F9F" w:rsidRPr="00141875" w:rsidSect="00E95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EEE" w:rsidRDefault="00BB0EEE" w:rsidP="00C42784">
      <w:r>
        <w:separator/>
      </w:r>
    </w:p>
  </w:endnote>
  <w:endnote w:type="continuationSeparator" w:id="1">
    <w:p w:rsidR="00BB0EEE" w:rsidRDefault="00BB0EEE" w:rsidP="00C42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EEE" w:rsidRDefault="00BB0EEE" w:rsidP="00C42784">
      <w:r>
        <w:separator/>
      </w:r>
    </w:p>
  </w:footnote>
  <w:footnote w:type="continuationSeparator" w:id="1">
    <w:p w:rsidR="00BB0EEE" w:rsidRDefault="00BB0EEE" w:rsidP="00C427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4AB"/>
    <w:rsid w:val="000D5B24"/>
    <w:rsid w:val="00100CB4"/>
    <w:rsid w:val="00141875"/>
    <w:rsid w:val="001B783A"/>
    <w:rsid w:val="00224644"/>
    <w:rsid w:val="002C52A0"/>
    <w:rsid w:val="00404D4D"/>
    <w:rsid w:val="004C1664"/>
    <w:rsid w:val="006400E7"/>
    <w:rsid w:val="007A313E"/>
    <w:rsid w:val="007F699F"/>
    <w:rsid w:val="00805E19"/>
    <w:rsid w:val="0082061B"/>
    <w:rsid w:val="009176FB"/>
    <w:rsid w:val="0093300E"/>
    <w:rsid w:val="00B25096"/>
    <w:rsid w:val="00B706D0"/>
    <w:rsid w:val="00BB0EEE"/>
    <w:rsid w:val="00C42784"/>
    <w:rsid w:val="00C60DA7"/>
    <w:rsid w:val="00CD24AB"/>
    <w:rsid w:val="00E94B04"/>
    <w:rsid w:val="00E9532C"/>
    <w:rsid w:val="00F4335D"/>
    <w:rsid w:val="00F86F27"/>
    <w:rsid w:val="00FB7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061B"/>
    <w:pPr>
      <w:widowControl w:val="0"/>
      <w:autoSpaceDE w:val="0"/>
      <w:autoSpaceDN w:val="0"/>
      <w:adjustRightInd w:val="0"/>
    </w:pPr>
    <w:rPr>
      <w:rFonts w:ascii="微软雅黑" w:hAnsi="微软雅黑" w:cs="微软雅黑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42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27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2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27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278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2784"/>
    <w:rPr>
      <w:sz w:val="18"/>
      <w:szCs w:val="18"/>
    </w:rPr>
  </w:style>
  <w:style w:type="character" w:styleId="a6">
    <w:name w:val="Hyperlink"/>
    <w:basedOn w:val="a0"/>
    <w:uiPriority w:val="99"/>
    <w:unhideWhenUsed/>
    <w:rsid w:val="00F4335D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7A313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7A313E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7A313E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7A313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7A313E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F86F2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1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ja-allian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tfun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D4CE3-E7FA-4F45-B7AD-7D4F1FB9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375</Words>
  <Characters>2143</Characters>
  <Application>Microsoft Office Word</Application>
  <DocSecurity>4</DocSecurity>
  <Lines>17</Lines>
  <Paragraphs>5</Paragraphs>
  <ScaleCrop>false</ScaleCrop>
  <Company>GTJI-Allianz Funds Management Co.,Ltd.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王宁</dc:creator>
  <cp:keywords/>
  <dc:description/>
  <cp:lastModifiedBy>ZHONGM</cp:lastModifiedBy>
  <cp:revision>2</cp:revision>
  <cp:lastPrinted>2018-03-26T08:07:00Z</cp:lastPrinted>
  <dcterms:created xsi:type="dcterms:W3CDTF">2018-04-26T16:38:00Z</dcterms:created>
  <dcterms:modified xsi:type="dcterms:W3CDTF">2018-04-26T16:38:00Z</dcterms:modified>
</cp:coreProperties>
</file>