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国联安鑫盛混合型证券投资基金</w:t>
      </w:r>
    </w:p>
    <w:p w:rsidR="002D2A00"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2018</w:t>
      </w:r>
      <w:r w:rsidRPr="004264FD">
        <w:rPr>
          <w:rFonts w:eastAsiaTheme="minorEastAsia"/>
          <w:b/>
          <w:color w:val="000000" w:themeColor="text1"/>
          <w:sz w:val="36"/>
          <w:szCs w:val="36"/>
        </w:rPr>
        <w:t>年第</w:t>
      </w:r>
      <w:r w:rsidRPr="004264FD">
        <w:rPr>
          <w:rFonts w:eastAsiaTheme="minorEastAsia"/>
          <w:b/>
          <w:color w:val="000000" w:themeColor="text1"/>
          <w:sz w:val="36"/>
          <w:szCs w:val="36"/>
        </w:rPr>
        <w:t>1</w:t>
      </w:r>
      <w:r w:rsidRPr="004264FD">
        <w:rPr>
          <w:rFonts w:eastAsiaTheme="minorEastAsia"/>
          <w:b/>
          <w:color w:val="000000" w:themeColor="text1"/>
          <w:sz w:val="36"/>
          <w:szCs w:val="36"/>
        </w:rPr>
        <w:t>季度报告</w:t>
      </w:r>
    </w:p>
    <w:p w:rsidR="009A2283" w:rsidRPr="004264FD" w:rsidRDefault="00121533" w:rsidP="00FC13C8">
      <w:pPr>
        <w:spacing w:line="360" w:lineRule="auto"/>
        <w:jc w:val="center"/>
        <w:rPr>
          <w:rFonts w:eastAsiaTheme="minorEastAsia"/>
          <w:b/>
          <w:color w:val="000000" w:themeColor="text1"/>
          <w:szCs w:val="21"/>
        </w:rPr>
      </w:pPr>
      <w:r w:rsidRPr="004264FD">
        <w:rPr>
          <w:rFonts w:eastAsiaTheme="minorEastAsia"/>
          <w:b/>
          <w:color w:val="000000" w:themeColor="text1"/>
          <w:sz w:val="36"/>
          <w:szCs w:val="36"/>
        </w:rPr>
        <w:t>2018</w:t>
      </w:r>
      <w:r w:rsidRPr="004264FD">
        <w:rPr>
          <w:rFonts w:eastAsiaTheme="minorEastAsia"/>
          <w:b/>
          <w:color w:val="000000" w:themeColor="text1"/>
          <w:sz w:val="36"/>
          <w:szCs w:val="36"/>
        </w:rPr>
        <w:t>年</w:t>
      </w:r>
      <w:r w:rsidRPr="004264FD">
        <w:rPr>
          <w:rFonts w:eastAsiaTheme="minorEastAsia"/>
          <w:b/>
          <w:color w:val="000000" w:themeColor="text1"/>
          <w:sz w:val="36"/>
          <w:szCs w:val="36"/>
        </w:rPr>
        <w:t>3</w:t>
      </w:r>
      <w:r w:rsidRPr="004264FD">
        <w:rPr>
          <w:rFonts w:eastAsiaTheme="minorEastAsia"/>
          <w:b/>
          <w:color w:val="000000" w:themeColor="text1"/>
          <w:sz w:val="36"/>
          <w:szCs w:val="36"/>
        </w:rPr>
        <w:t>月</w:t>
      </w:r>
      <w:r w:rsidRPr="004264FD">
        <w:rPr>
          <w:rFonts w:eastAsiaTheme="minorEastAsia"/>
          <w:b/>
          <w:color w:val="000000" w:themeColor="text1"/>
          <w:sz w:val="36"/>
          <w:szCs w:val="36"/>
        </w:rPr>
        <w:t>31</w:t>
      </w:r>
      <w:r w:rsidRPr="004264FD">
        <w:rPr>
          <w:rFonts w:eastAsiaTheme="minorEastAsia"/>
          <w:b/>
          <w:color w:val="000000" w:themeColor="text1"/>
          <w:sz w:val="36"/>
          <w:szCs w:val="36"/>
        </w:rPr>
        <w:t>日</w:t>
      </w: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E27360">
      <w:pPr>
        <w:spacing w:line="360" w:lineRule="auto"/>
        <w:jc w:val="center"/>
        <w:rPr>
          <w:rFonts w:eastAsiaTheme="minorEastAsia"/>
          <w:b/>
          <w:color w:val="000000" w:themeColor="text1"/>
          <w:szCs w:val="21"/>
        </w:rPr>
      </w:pPr>
    </w:p>
    <w:p w:rsidR="00E27360" w:rsidRPr="004264FD" w:rsidRDefault="00E27360" w:rsidP="00E27360">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rPr>
          <w:rFonts w:eastAsiaTheme="minorEastAsia"/>
          <w:b/>
          <w:color w:val="000000" w:themeColor="text1"/>
          <w:szCs w:val="21"/>
        </w:rPr>
      </w:pP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基金管理人：</w:t>
      </w:r>
      <w:r w:rsidR="00BF377F" w:rsidRPr="004264FD">
        <w:rPr>
          <w:rFonts w:eastAsiaTheme="minorEastAsia"/>
          <w:b/>
          <w:color w:val="000000" w:themeColor="text1"/>
          <w:sz w:val="24"/>
        </w:rPr>
        <w:t>国联安基金管理有限公司</w:t>
      </w: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基金托管人：</w:t>
      </w:r>
      <w:r w:rsidR="00BF377F" w:rsidRPr="004264FD">
        <w:rPr>
          <w:rFonts w:eastAsiaTheme="minorEastAsia"/>
          <w:b/>
          <w:color w:val="000000" w:themeColor="text1"/>
          <w:sz w:val="24"/>
        </w:rPr>
        <w:t>上海浦东发展银行股份有限公司</w:t>
      </w:r>
    </w:p>
    <w:p w:rsidR="009A2283" w:rsidRPr="004264FD" w:rsidRDefault="009A2283" w:rsidP="00634B21">
      <w:pPr>
        <w:spacing w:line="360" w:lineRule="auto"/>
        <w:ind w:firstLineChars="900" w:firstLine="2168"/>
        <w:rPr>
          <w:rFonts w:eastAsiaTheme="minorEastAsia"/>
          <w:color w:val="000000" w:themeColor="text1"/>
          <w:szCs w:val="21"/>
        </w:rPr>
        <w:sectPr w:rsidR="009A2283" w:rsidRPr="004264FD" w:rsidSect="00F7094A">
          <w:headerReference w:type="default" r:id="rId8"/>
          <w:footerReference w:type="default" r:id="rId9"/>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00D04410" w:rsidRPr="004264FD">
        <w:rPr>
          <w:rFonts w:eastAsiaTheme="minorEastAsia"/>
          <w:b/>
          <w:color w:val="000000" w:themeColor="text1"/>
          <w:sz w:val="24"/>
        </w:rPr>
        <w:t>二〇一八年四月二十日</w:t>
      </w:r>
    </w:p>
    <w:p w:rsidR="009238DB" w:rsidRPr="004264FD" w:rsidRDefault="009238DB" w:rsidP="00AE2F3C">
      <w:pPr>
        <w:pStyle w:val="1"/>
        <w:spacing w:beforeLines="100" w:afterLines="100" w:line="360" w:lineRule="auto"/>
        <w:jc w:val="center"/>
        <w:rPr>
          <w:rFonts w:eastAsiaTheme="minorEastAsia"/>
          <w:b w:val="0"/>
          <w:color w:val="000000" w:themeColor="text1"/>
          <w:kern w:val="0"/>
          <w:sz w:val="21"/>
          <w:szCs w:val="21"/>
        </w:rPr>
      </w:pPr>
      <w:r w:rsidRPr="004264FD">
        <w:rPr>
          <w:rFonts w:eastAsiaTheme="minorEastAsia"/>
          <w:color w:val="000000" w:themeColor="text1"/>
          <w:kern w:val="0"/>
          <w:sz w:val="21"/>
          <w:szCs w:val="21"/>
        </w:rPr>
        <w:lastRenderedPageBreak/>
        <w:t xml:space="preserve">§1  </w:t>
      </w:r>
      <w:r w:rsidRPr="004264FD">
        <w:rPr>
          <w:rFonts w:eastAsiaTheme="minorEastAsia"/>
          <w:color w:val="000000" w:themeColor="text1"/>
          <w:kern w:val="0"/>
          <w:sz w:val="21"/>
          <w:szCs w:val="21"/>
        </w:rPr>
        <w:t>重要提示</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基金托管人上海浦东发展银行股份有限公司根据本基金合同规定，于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4264FD" w:rsidRDefault="00267DA9"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本报告期自</w:t>
      </w: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日起至</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31</w:t>
      </w:r>
      <w:r w:rsidRPr="004264FD">
        <w:rPr>
          <w:rFonts w:eastAsiaTheme="minorEastAsia"/>
          <w:color w:val="000000" w:themeColor="text1"/>
          <w:szCs w:val="21"/>
        </w:rPr>
        <w:t>日止。</w:t>
      </w:r>
    </w:p>
    <w:p w:rsidR="009238DB" w:rsidRPr="004264FD" w:rsidRDefault="009238DB" w:rsidP="00AE2F3C">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§2  </w:t>
      </w:r>
      <w:r w:rsidRPr="004264FD">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86758B" w:rsidRPr="004264FD" w:rsidTr="003F7026">
        <w:tc>
          <w:tcPr>
            <w:tcW w:w="2835" w:type="dxa"/>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基金简称</w:t>
            </w:r>
          </w:p>
        </w:tc>
        <w:tc>
          <w:tcPr>
            <w:tcW w:w="5479" w:type="dxa"/>
            <w:gridSpan w:val="2"/>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国联安鑫盛混合</w:t>
            </w:r>
          </w:p>
        </w:tc>
      </w:tr>
      <w:tr w:rsidR="0086758B" w:rsidRPr="004264FD" w:rsidTr="003F7026">
        <w:tc>
          <w:tcPr>
            <w:tcW w:w="2835" w:type="dxa"/>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003772</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契约型开放式</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基金合同生效日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2016</w:t>
            </w:r>
            <w:r w:rsidRPr="004264FD">
              <w:rPr>
                <w:rFonts w:eastAsiaTheme="minorEastAsia"/>
                <w:color w:val="000000" w:themeColor="text1"/>
                <w:kern w:val="0"/>
                <w:szCs w:val="21"/>
              </w:rPr>
              <w:t>年</w:t>
            </w:r>
            <w:r w:rsidRPr="004264FD">
              <w:rPr>
                <w:rFonts w:eastAsiaTheme="minorEastAsia"/>
                <w:color w:val="000000" w:themeColor="text1"/>
                <w:kern w:val="0"/>
                <w:szCs w:val="21"/>
              </w:rPr>
              <w:t>11</w:t>
            </w:r>
            <w:r w:rsidRPr="004264FD">
              <w:rPr>
                <w:rFonts w:eastAsiaTheme="minorEastAsia"/>
                <w:color w:val="000000" w:themeColor="text1"/>
                <w:kern w:val="0"/>
                <w:szCs w:val="21"/>
              </w:rPr>
              <w:t>月</w:t>
            </w:r>
            <w:r w:rsidRPr="004264FD">
              <w:rPr>
                <w:rFonts w:eastAsiaTheme="minorEastAsia"/>
                <w:color w:val="000000" w:themeColor="text1"/>
                <w:kern w:val="0"/>
                <w:szCs w:val="21"/>
              </w:rPr>
              <w:t>30</w:t>
            </w:r>
            <w:r w:rsidRPr="004264FD">
              <w:rPr>
                <w:rFonts w:eastAsiaTheme="minorEastAsia"/>
                <w:color w:val="000000" w:themeColor="text1"/>
                <w:kern w:val="0"/>
                <w:szCs w:val="21"/>
              </w:rPr>
              <w:t>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报告期末基金份额总额</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1,494,279.45</w:t>
            </w:r>
            <w:r w:rsidRPr="004264FD">
              <w:rPr>
                <w:rFonts w:eastAsiaTheme="minorEastAsia"/>
                <w:color w:val="000000" w:themeColor="text1"/>
                <w:kern w:val="0"/>
                <w:szCs w:val="21"/>
              </w:rPr>
              <w:t>份</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投资目标</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在严格控制投资风险和保持基金资产良好流动性的基础上，力争长期内实现超越业绩比较基准的投资回报。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投资策略</w:t>
            </w:r>
          </w:p>
        </w:tc>
        <w:tc>
          <w:tcPr>
            <w:tcW w:w="5479" w:type="dxa"/>
            <w:gridSpan w:val="2"/>
            <w:vAlign w:val="center"/>
          </w:tcPr>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金类资产等资产类别的分配比例。在有效控制投资风险的前提下，形成大类资产的配置方案。</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）久期配置：基于宏观经济趋势性变化，自上而下的资产配置。</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利用宏观经济分析模型，确定宏观经济的周期变化，主要是中长期的变化趋势，由此确定利率变动的方向和趋势。根据不同大类资产在宏观经济周期的属性，即货币市场顺周期、债券市场逆周期的特点，确定债券资产配置的基本方向和特征。结合货币政策、财政政策以及债券市场资金供求分析，为各种稳健收益类金融工具进行风险评估，最终确定投资组合的久期配置。</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）期限结构配置：基于数量化模型，自上而下的资产配置。</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确定组合久期后，通过研究收益率曲线形态，采用收益率曲线分析模型对各期限段的风险收益情况进行评估，对收益率曲线各个期限的骑乘收益进行分析。通过优化资产配置模型选择预期收益率最高的期限段进行配比组合，从而在子弹组合、杠铃组合和梯形组合中选择风险收益比最佳的配置方案。</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子弹组合，即使组合的现金流尽量集中分布；</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杠铃组合，即使组合的现金流尽量呈两极分布；</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梯形组合，即使组合的现金流在投资期内尽可能平均分布。</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）债券类别配置</w:t>
            </w:r>
            <w:r>
              <w:rPr>
                <w:rFonts w:eastAsiaTheme="minorEastAsia"/>
                <w:color w:val="000000" w:themeColor="text1"/>
                <w:kern w:val="0"/>
                <w:szCs w:val="21"/>
              </w:rPr>
              <w:t>/</w:t>
            </w:r>
            <w:r>
              <w:rPr>
                <w:rFonts w:eastAsiaTheme="minorEastAsia"/>
                <w:color w:val="000000" w:themeColor="text1"/>
                <w:kern w:val="0"/>
                <w:szCs w:val="21"/>
              </w:rPr>
              <w:t>个券选择：主要依据信用利差分析，自上而下的资产配置。</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利率债券和信用债券之间的相对价值，以其历史价格关系的数量分析为依据，同时兼顾特定类别收益品种的基本面分析，综合分析各个品种的信用利差变化。在信用利差水平较高时持有金融债、企业债、短期融资券、可分离可转债等信用债券，在信用利差水平较低时持有国</w:t>
            </w:r>
            <w:r>
              <w:rPr>
                <w:rFonts w:eastAsiaTheme="minorEastAsia"/>
                <w:color w:val="000000" w:themeColor="text1"/>
                <w:kern w:val="0"/>
                <w:szCs w:val="21"/>
              </w:rPr>
              <w:lastRenderedPageBreak/>
              <w:t>债等利率债券，从而确定整个债券组合中各类别债券投资比例。</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个券选择：基于各个投资品种具体情况，自下而上的资产配置。</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个券选择应遵循如下原则：</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相对价值原则：同等风险中收益率较高的品种，同等收益率风险较低的品种。</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流动性原则：其它条件类似，选择流动性较好的品种。</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在股票投资中，本基金采用定量分析与定性分析相结合的方法，选择其中经营稳健、具有核心竞争优势的上市公司进行投资。其间，本基金也将积极关注上市公司基本面发生改变时所带来的投资交易机会。</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）定量分析</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本基金将对反映上市公司质量和增长潜力的成长性指标、财务指标和估值指标等进行定量分析，以挑选具有成长优势、财务优势和估值优势的个股。</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本基金考察的成长指标主要包括：主营收入增长率、净利润增长率。</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本基金考察的财务指标主要包括：净资产收益率、资产负债率。</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本基金考察的估值指标主要包括：市盈率、市盈率</w:t>
            </w:r>
            <w:r>
              <w:rPr>
                <w:rFonts w:eastAsiaTheme="minorEastAsia"/>
                <w:color w:val="000000" w:themeColor="text1"/>
                <w:kern w:val="0"/>
                <w:szCs w:val="21"/>
              </w:rPr>
              <w:t>/</w:t>
            </w:r>
            <w:r>
              <w:rPr>
                <w:rFonts w:eastAsiaTheme="minorEastAsia"/>
                <w:color w:val="000000" w:themeColor="text1"/>
                <w:kern w:val="0"/>
                <w:szCs w:val="21"/>
              </w:rPr>
              <w:t>净利增长率。</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）定性分析</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通过实地调研等方法，综合考察评估公司的经营情况，重点投资具有较高进入壁垒、在行业中具备核心优势、经营稳健的公司，并坚决规避那些公司治理混乱、管理效率低下的公司，以确保最大程度地规避投资风险。</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、中小企业私募债券投资策略</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小企业私募债券本质上为公司债，本基金对中小企业私募债券的投资将重点关注信用风险和流动性风险。本基金依靠内部信用评级系统持续跟踪研究发债主体的经营状况、财务指标等情况，对其信用风险进行评估并作出及时反应。内部信用评级以深入的企业基本面分析为基础，结合定性和定量方法，注重对企业未来偿债能力的分析评估，对中小企业私募债券进行分类，以便准确地评估中小企业私募债券的信用风险程度，并及时跟踪其信用风险的变化。</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内部的信用分析方法对可选的中小企业私募债券品种进行筛选过滤，重点分析发行主体的公司背景、竞争地位、治理结构、盈利能力、偿债能力、现金流水平等诸多因素，给予不同因素不同权重，采用数量化方法对主体所发行债券进行打分和投资价值评估，选择发行主体资质优良，估值合理且流通相对充分的品种进行适度投资。</w:t>
            </w:r>
          </w:p>
          <w:p w:rsidR="00122EAB" w:rsidRDefault="007C5C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、资产支持证券投资策略</w:t>
            </w:r>
          </w:p>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资产支持证券定价受多种因素影响，包括市场利率、发行条款、支持资产的构成及质量、提前偿还率等。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lastRenderedPageBreak/>
              <w:t>业绩比较基准</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沪深</w:t>
            </w:r>
            <w:r w:rsidRPr="004264FD">
              <w:rPr>
                <w:rFonts w:eastAsiaTheme="minorEastAsia"/>
                <w:color w:val="000000" w:themeColor="text1"/>
                <w:kern w:val="0"/>
                <w:szCs w:val="21"/>
              </w:rPr>
              <w:t>300</w:t>
            </w:r>
            <w:r w:rsidRPr="004264FD">
              <w:rPr>
                <w:rFonts w:eastAsiaTheme="minorEastAsia"/>
                <w:color w:val="000000" w:themeColor="text1"/>
                <w:kern w:val="0"/>
                <w:szCs w:val="21"/>
              </w:rPr>
              <w:t>指数收益率</w:t>
            </w:r>
            <w:r w:rsidRPr="004264FD">
              <w:rPr>
                <w:rFonts w:eastAsiaTheme="minorEastAsia"/>
                <w:color w:val="000000" w:themeColor="text1"/>
                <w:kern w:val="0"/>
                <w:szCs w:val="21"/>
              </w:rPr>
              <w:t>×20%+</w:t>
            </w:r>
            <w:r w:rsidRPr="004264FD">
              <w:rPr>
                <w:rFonts w:eastAsiaTheme="minorEastAsia"/>
                <w:color w:val="000000" w:themeColor="text1"/>
                <w:kern w:val="0"/>
                <w:szCs w:val="21"/>
              </w:rPr>
              <w:t>上证国债指数收益率</w:t>
            </w:r>
            <w:r w:rsidRPr="004264FD">
              <w:rPr>
                <w:rFonts w:eastAsiaTheme="minorEastAsia"/>
                <w:color w:val="000000" w:themeColor="text1"/>
                <w:kern w:val="0"/>
                <w:szCs w:val="21"/>
              </w:rPr>
              <w:t>×80%</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风险收益特征</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中等预期风险、中等预期收益</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基金管理人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国联安基金管理有限公司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基金托管人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上海浦东发展银行股份有限公司</w:t>
            </w:r>
          </w:p>
        </w:tc>
      </w:tr>
      <w:tr w:rsidR="0086758B" w:rsidRPr="004264FD" w:rsidTr="003F7026">
        <w:tc>
          <w:tcPr>
            <w:tcW w:w="2835" w:type="dxa"/>
            <w:vAlign w:val="center"/>
          </w:tcPr>
          <w:p w:rsidR="008532F3" w:rsidRPr="004264FD" w:rsidRDefault="00D72993" w:rsidP="003F7026">
            <w:pPr>
              <w:adjustRightInd w:val="0"/>
              <w:spacing w:before="29" w:line="360" w:lineRule="auto"/>
              <w:ind w:left="17"/>
              <w:rPr>
                <w:rFonts w:eastAsiaTheme="minorEastAsia"/>
                <w:color w:val="000000" w:themeColor="text1"/>
                <w:kern w:val="0"/>
                <w:szCs w:val="21"/>
              </w:rPr>
            </w:pPr>
            <w:r w:rsidRPr="00D72993">
              <w:rPr>
                <w:rFonts w:eastAsiaTheme="minorEastAsia" w:hint="eastAsia"/>
                <w:color w:val="000000" w:themeColor="text1"/>
                <w:szCs w:val="21"/>
              </w:rPr>
              <w:t>下属分级</w:t>
            </w:r>
            <w:r w:rsidR="008532F3" w:rsidRPr="004264FD">
              <w:rPr>
                <w:rFonts w:eastAsiaTheme="minorEastAsia"/>
                <w:color w:val="000000" w:themeColor="text1"/>
                <w:szCs w:val="21"/>
              </w:rPr>
              <w:t>基金的基金简称</w:t>
            </w:r>
          </w:p>
        </w:tc>
        <w:tc>
          <w:tcPr>
            <w:tcW w:w="2739"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A</w:t>
            </w:r>
          </w:p>
        </w:tc>
        <w:tc>
          <w:tcPr>
            <w:tcW w:w="2740"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C</w:t>
            </w:r>
          </w:p>
        </w:tc>
      </w:tr>
      <w:tr w:rsidR="0086758B" w:rsidRPr="004264FD" w:rsidTr="003F7026">
        <w:tc>
          <w:tcPr>
            <w:tcW w:w="2835" w:type="dxa"/>
            <w:vAlign w:val="center"/>
          </w:tcPr>
          <w:p w:rsidR="008532F3" w:rsidRPr="00251CC4" w:rsidRDefault="008532F3" w:rsidP="003F7026">
            <w:pPr>
              <w:adjustRightInd w:val="0"/>
              <w:spacing w:before="29" w:line="360" w:lineRule="auto"/>
              <w:ind w:left="17"/>
              <w:rPr>
                <w:rFonts w:eastAsiaTheme="minorEastAsia"/>
                <w:color w:val="000000" w:themeColor="text1"/>
                <w:szCs w:val="21"/>
              </w:rPr>
            </w:pPr>
            <w:r w:rsidRPr="00251CC4">
              <w:rPr>
                <w:rFonts w:eastAsiaTheme="minorEastAsia"/>
                <w:color w:val="000000" w:themeColor="text1"/>
                <w:szCs w:val="21"/>
              </w:rPr>
              <w:t>下属</w:t>
            </w:r>
            <w:r w:rsidR="00D72993" w:rsidRPr="00D72993">
              <w:rPr>
                <w:rFonts w:eastAsiaTheme="minorEastAsia" w:hint="eastAsia"/>
                <w:color w:val="000000" w:themeColor="text1"/>
                <w:szCs w:val="21"/>
              </w:rPr>
              <w:t>分</w:t>
            </w:r>
            <w:r w:rsidRPr="00251CC4">
              <w:rPr>
                <w:rFonts w:eastAsiaTheme="minorEastAsia"/>
                <w:color w:val="000000" w:themeColor="text1"/>
                <w:szCs w:val="21"/>
              </w:rPr>
              <w:t>级基金的交易代码</w:t>
            </w:r>
          </w:p>
        </w:tc>
        <w:tc>
          <w:tcPr>
            <w:tcW w:w="2739"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003772</w:t>
            </w:r>
          </w:p>
        </w:tc>
        <w:tc>
          <w:tcPr>
            <w:tcW w:w="2740"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003773</w:t>
            </w:r>
          </w:p>
        </w:tc>
      </w:tr>
      <w:tr w:rsidR="0086758B" w:rsidRPr="004264FD" w:rsidTr="003F7026">
        <w:tc>
          <w:tcPr>
            <w:tcW w:w="2835" w:type="dxa"/>
            <w:vAlign w:val="center"/>
          </w:tcPr>
          <w:p w:rsidR="00F22F9F" w:rsidRPr="004264FD" w:rsidRDefault="00F22F9F"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szCs w:val="21"/>
              </w:rPr>
              <w:t>报告期末下属</w:t>
            </w:r>
            <w:r w:rsidR="00D72993" w:rsidRPr="00D72993">
              <w:rPr>
                <w:rFonts w:eastAsiaTheme="minorEastAsia" w:hint="eastAsia"/>
                <w:color w:val="000000" w:themeColor="text1"/>
                <w:szCs w:val="21"/>
              </w:rPr>
              <w:t>分</w:t>
            </w:r>
            <w:r w:rsidRPr="004264FD">
              <w:rPr>
                <w:rFonts w:eastAsiaTheme="minorEastAsia"/>
                <w:color w:val="000000" w:themeColor="text1"/>
                <w:szCs w:val="21"/>
              </w:rPr>
              <w:t>级基金的份额总额</w:t>
            </w:r>
          </w:p>
        </w:tc>
        <w:tc>
          <w:tcPr>
            <w:tcW w:w="2739"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1,491,866.51</w:t>
            </w:r>
            <w:r w:rsidRPr="004264FD">
              <w:rPr>
                <w:rFonts w:eastAsiaTheme="minorEastAsia"/>
                <w:color w:val="000000" w:themeColor="text1"/>
                <w:kern w:val="0"/>
                <w:szCs w:val="21"/>
              </w:rPr>
              <w:t>份</w:t>
            </w:r>
          </w:p>
        </w:tc>
        <w:tc>
          <w:tcPr>
            <w:tcW w:w="2740"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2,412.94</w:t>
            </w:r>
            <w:r w:rsidRPr="004264FD">
              <w:rPr>
                <w:rFonts w:eastAsiaTheme="minorEastAsia"/>
                <w:color w:val="000000" w:themeColor="text1"/>
                <w:kern w:val="0"/>
                <w:szCs w:val="21"/>
              </w:rPr>
              <w:t>份</w:t>
            </w:r>
          </w:p>
        </w:tc>
      </w:tr>
    </w:tbl>
    <w:p w:rsidR="009238DB" w:rsidRPr="004264FD" w:rsidRDefault="009238DB" w:rsidP="00AE2F3C">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§3  </w:t>
      </w:r>
      <w:r w:rsidRPr="004264FD">
        <w:rPr>
          <w:rFonts w:eastAsiaTheme="minorEastAsia"/>
          <w:color w:val="000000" w:themeColor="text1"/>
          <w:kern w:val="0"/>
          <w:sz w:val="21"/>
          <w:szCs w:val="21"/>
        </w:rPr>
        <w:t>主要财务指标和基金净值表现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3.1 </w:t>
      </w:r>
      <w:r w:rsidRPr="004264FD">
        <w:rPr>
          <w:rFonts w:eastAsiaTheme="minorEastAsia"/>
          <w:b/>
          <w:color w:val="000000" w:themeColor="text1"/>
          <w:kern w:val="0"/>
          <w:szCs w:val="21"/>
        </w:rPr>
        <w:t>主要财务指标</w:t>
      </w:r>
    </w:p>
    <w:p w:rsidR="009238DB" w:rsidRPr="004264FD"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86758B" w:rsidRPr="004264FD" w:rsidTr="003F7026">
        <w:tc>
          <w:tcPr>
            <w:tcW w:w="3402" w:type="dxa"/>
            <w:vMerge w:val="restart"/>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主要财务指标</w:t>
            </w:r>
          </w:p>
        </w:tc>
        <w:tc>
          <w:tcPr>
            <w:tcW w:w="4962" w:type="dxa"/>
            <w:gridSpan w:val="2"/>
            <w:vAlign w:val="center"/>
          </w:tcPr>
          <w:p w:rsidR="002976E5"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报告期</w:t>
            </w:r>
          </w:p>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w:t>
            </w: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31</w:t>
            </w:r>
            <w:r w:rsidRPr="004264FD">
              <w:rPr>
                <w:rFonts w:eastAsiaTheme="minorEastAsia"/>
                <w:color w:val="000000" w:themeColor="text1"/>
                <w:szCs w:val="21"/>
              </w:rPr>
              <w:t>日</w:t>
            </w:r>
            <w:r w:rsidRPr="004264FD">
              <w:rPr>
                <w:rFonts w:eastAsiaTheme="minorEastAsia"/>
                <w:color w:val="000000" w:themeColor="text1"/>
                <w:szCs w:val="21"/>
              </w:rPr>
              <w:t>)</w:t>
            </w:r>
          </w:p>
        </w:tc>
      </w:tr>
      <w:tr w:rsidR="0086758B" w:rsidRPr="004264FD" w:rsidTr="003F7026">
        <w:tc>
          <w:tcPr>
            <w:tcW w:w="3402" w:type="dxa"/>
            <w:vMerge/>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p>
        </w:tc>
        <w:tc>
          <w:tcPr>
            <w:tcW w:w="2481" w:type="dxa"/>
            <w:vAlign w:val="center"/>
          </w:tcPr>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A</w:t>
            </w:r>
          </w:p>
        </w:tc>
        <w:tc>
          <w:tcPr>
            <w:tcW w:w="2481" w:type="dxa"/>
            <w:vAlign w:val="center"/>
          </w:tcPr>
          <w:p w:rsidR="009E549D" w:rsidRPr="004264FD" w:rsidRDefault="00FE7FB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C</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1.</w:t>
            </w:r>
            <w:r w:rsidRPr="004264FD">
              <w:rPr>
                <w:rFonts w:eastAsiaTheme="minorEastAsia"/>
                <w:color w:val="000000" w:themeColor="text1"/>
                <w:kern w:val="0"/>
                <w:szCs w:val="21"/>
              </w:rPr>
              <w:t>本期已实现收益</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-636,742.87</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86.11</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w:t>
            </w:r>
            <w:r w:rsidRPr="004264FD">
              <w:rPr>
                <w:rFonts w:eastAsiaTheme="minorEastAsia"/>
                <w:color w:val="000000" w:themeColor="text1"/>
                <w:kern w:val="0"/>
                <w:szCs w:val="21"/>
              </w:rPr>
              <w:t>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-258,814.90</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39.78</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3.</w:t>
            </w:r>
            <w:r w:rsidRPr="004264FD">
              <w:rPr>
                <w:rFonts w:eastAsiaTheme="minorEastAsia"/>
                <w:color w:val="000000" w:themeColor="text1"/>
                <w:kern w:val="0"/>
                <w:szCs w:val="21"/>
              </w:rPr>
              <w:t>加权平均基金份额本期利润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-0.0033</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0.0162</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期末基金资产净值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1,527,464.98</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2,481.08</w:t>
            </w:r>
          </w:p>
        </w:tc>
      </w:tr>
      <w:tr w:rsidR="0086758B" w:rsidRPr="004264FD" w:rsidTr="003F7026">
        <w:trPr>
          <w:trHeight w:val="158"/>
        </w:trPr>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5.</w:t>
            </w:r>
            <w:r w:rsidRPr="004264FD">
              <w:rPr>
                <w:rFonts w:eastAsiaTheme="minorEastAsia"/>
                <w:color w:val="000000" w:themeColor="text1"/>
                <w:kern w:val="0"/>
                <w:szCs w:val="21"/>
              </w:rPr>
              <w:t>期末基金份额净值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1.0239</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1.0282</w:t>
            </w:r>
          </w:p>
        </w:tc>
      </w:tr>
    </w:tbl>
    <w:p w:rsidR="00122EAB" w:rsidRDefault="007C5C1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、本期已实现收益指基金本期利息收入、投资收益、其他收入（不含公允价值变动收益）扣除相关费用后的余额，本期利润为本期已实现收益加上本期公允价值变动收益，包含停牌股票按公允价值调整的影响；</w:t>
      </w:r>
    </w:p>
    <w:p w:rsidR="009238DB" w:rsidRPr="004264FD" w:rsidRDefault="005E01A3"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、上述基金业绩指标不包括持有人交易基金的各项费用，例如，开放式基金的申购赎回费等，计入费用后实际收益要低于所列数字。</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3.2 </w:t>
      </w:r>
      <w:r w:rsidRPr="004264FD">
        <w:rPr>
          <w:rFonts w:eastAsiaTheme="minorEastAsia"/>
          <w:b/>
          <w:color w:val="000000" w:themeColor="text1"/>
          <w:kern w:val="0"/>
          <w:szCs w:val="21"/>
        </w:rPr>
        <w:t>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3.2.1</w:t>
      </w:r>
      <w:r w:rsidRPr="004264FD">
        <w:rPr>
          <w:rFonts w:eastAsiaTheme="minorEastAsia"/>
          <w:b/>
          <w:color w:val="000000" w:themeColor="text1"/>
          <w:kern w:val="0"/>
          <w:szCs w:val="21"/>
        </w:rPr>
        <w:t>本报告期基金份额净值增长率及其与同期业绩比较基准收益率的比较</w:t>
      </w:r>
    </w:p>
    <w:p w:rsidR="009238DB" w:rsidRPr="004264FD" w:rsidRDefault="009238DB" w:rsidP="00FC13C8">
      <w:pPr>
        <w:spacing w:line="360" w:lineRule="auto"/>
        <w:rPr>
          <w:rFonts w:eastAsiaTheme="minorEastAsia"/>
          <w:b/>
          <w:color w:val="000000" w:themeColor="text1"/>
          <w:szCs w:val="21"/>
        </w:rPr>
      </w:pPr>
      <w:r w:rsidRPr="004264FD">
        <w:rPr>
          <w:rFonts w:eastAsiaTheme="minorEastAsia"/>
          <w:b/>
          <w:color w:val="000000" w:themeColor="text1"/>
          <w:szCs w:val="21"/>
        </w:rPr>
        <w:t>1</w:t>
      </w:r>
      <w:r w:rsidRPr="004264FD">
        <w:rPr>
          <w:rFonts w:eastAsiaTheme="minorEastAsia"/>
          <w:b/>
          <w:color w:val="000000" w:themeColor="text1"/>
          <w:szCs w:val="21"/>
        </w:rPr>
        <w:t>、</w:t>
      </w:r>
      <w:r w:rsidR="00A5643A" w:rsidRPr="004264FD">
        <w:rPr>
          <w:rFonts w:eastAsiaTheme="minorEastAsia"/>
          <w:b/>
          <w:color w:val="000000" w:themeColor="text1"/>
          <w:kern w:val="0"/>
          <w:szCs w:val="21"/>
        </w:rPr>
        <w:t>国联安鑫盛混合</w:t>
      </w:r>
      <w:r w:rsidR="00A5643A" w:rsidRPr="004264FD">
        <w:rPr>
          <w:rFonts w:eastAsiaTheme="minorEastAsia"/>
          <w:b/>
          <w:color w:val="000000" w:themeColor="text1"/>
          <w:kern w:val="0"/>
          <w:szCs w:val="21"/>
        </w:rPr>
        <w:t>A</w:t>
      </w:r>
      <w:r w:rsidRPr="004264FD">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122EAB">
        <w:tc>
          <w:tcPr>
            <w:tcW w:w="1290" w:type="dxa"/>
            <w:vAlign w:val="center"/>
          </w:tcPr>
          <w:p w:rsidR="00122EAB" w:rsidRDefault="007C5C16">
            <w:pPr>
              <w:jc w:val="left"/>
            </w:pPr>
            <w:r>
              <w:rPr>
                <w:rFonts w:eastAsiaTheme="minorEastAsia"/>
                <w:color w:val="000000" w:themeColor="text1"/>
                <w:szCs w:val="21"/>
              </w:rPr>
              <w:t>过去三个月</w:t>
            </w:r>
          </w:p>
        </w:tc>
        <w:tc>
          <w:tcPr>
            <w:tcW w:w="1291" w:type="dxa"/>
            <w:vAlign w:val="center"/>
          </w:tcPr>
          <w:p w:rsidR="00122EAB" w:rsidRDefault="007C5C16">
            <w:pPr>
              <w:jc w:val="right"/>
            </w:pPr>
            <w:r>
              <w:rPr>
                <w:rFonts w:eastAsiaTheme="minorEastAsia"/>
                <w:color w:val="000000" w:themeColor="text1"/>
                <w:szCs w:val="21"/>
              </w:rPr>
              <w:t>2.24%</w:t>
            </w:r>
          </w:p>
        </w:tc>
        <w:tc>
          <w:tcPr>
            <w:tcW w:w="1291" w:type="dxa"/>
            <w:vAlign w:val="center"/>
          </w:tcPr>
          <w:p w:rsidR="00122EAB" w:rsidRDefault="007C5C16">
            <w:pPr>
              <w:jc w:val="right"/>
            </w:pPr>
            <w:r>
              <w:rPr>
                <w:rFonts w:eastAsiaTheme="minorEastAsia"/>
                <w:color w:val="000000" w:themeColor="text1"/>
                <w:szCs w:val="21"/>
              </w:rPr>
              <w:t>0.23%</w:t>
            </w:r>
          </w:p>
        </w:tc>
        <w:tc>
          <w:tcPr>
            <w:tcW w:w="1291" w:type="dxa"/>
            <w:vAlign w:val="center"/>
          </w:tcPr>
          <w:p w:rsidR="00122EAB" w:rsidRDefault="007C5C16">
            <w:pPr>
              <w:jc w:val="right"/>
            </w:pPr>
            <w:r>
              <w:rPr>
                <w:rFonts w:eastAsiaTheme="minorEastAsia"/>
                <w:color w:val="000000" w:themeColor="text1"/>
                <w:szCs w:val="21"/>
              </w:rPr>
              <w:t>0.45%</w:t>
            </w:r>
          </w:p>
        </w:tc>
        <w:tc>
          <w:tcPr>
            <w:tcW w:w="1291" w:type="dxa"/>
            <w:vAlign w:val="center"/>
          </w:tcPr>
          <w:p w:rsidR="00122EAB" w:rsidRDefault="007C5C16">
            <w:pPr>
              <w:jc w:val="right"/>
            </w:pPr>
            <w:r>
              <w:rPr>
                <w:rFonts w:eastAsiaTheme="minorEastAsia"/>
                <w:color w:val="000000" w:themeColor="text1"/>
                <w:szCs w:val="21"/>
              </w:rPr>
              <w:t>0.24%</w:t>
            </w:r>
          </w:p>
        </w:tc>
        <w:tc>
          <w:tcPr>
            <w:tcW w:w="1291" w:type="dxa"/>
            <w:vAlign w:val="center"/>
          </w:tcPr>
          <w:p w:rsidR="00122EAB" w:rsidRDefault="007C5C16">
            <w:pPr>
              <w:jc w:val="right"/>
            </w:pPr>
            <w:r>
              <w:rPr>
                <w:rFonts w:eastAsiaTheme="minorEastAsia"/>
                <w:color w:val="000000" w:themeColor="text1"/>
                <w:szCs w:val="21"/>
              </w:rPr>
              <w:t>1.79%</w:t>
            </w:r>
          </w:p>
        </w:tc>
        <w:tc>
          <w:tcPr>
            <w:tcW w:w="1291" w:type="dxa"/>
            <w:vAlign w:val="center"/>
          </w:tcPr>
          <w:p w:rsidR="00122EAB" w:rsidRDefault="007C5C16">
            <w:pPr>
              <w:jc w:val="right"/>
            </w:pPr>
            <w:r>
              <w:rPr>
                <w:rFonts w:eastAsiaTheme="minorEastAsia"/>
                <w:color w:val="000000" w:themeColor="text1"/>
                <w:szCs w:val="21"/>
              </w:rPr>
              <w:t>-0.01%</w:t>
            </w:r>
          </w:p>
        </w:tc>
      </w:tr>
    </w:tbl>
    <w:p w:rsidR="004425E8" w:rsidRPr="004264FD" w:rsidRDefault="004425E8"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注：上述基金业绩指标不包括持有人认购或交易基金的各项费用，计入费用后实际收益水平要低于所列数字。</w:t>
      </w:r>
    </w:p>
    <w:p w:rsidR="009238DB" w:rsidRPr="004264FD" w:rsidRDefault="009238DB" w:rsidP="00AE2F3C">
      <w:pPr>
        <w:adjustRightInd w:val="0"/>
        <w:spacing w:beforeLines="100" w:line="360" w:lineRule="auto"/>
        <w:rPr>
          <w:rFonts w:eastAsiaTheme="minorEastAsia"/>
          <w:b/>
          <w:color w:val="000000" w:themeColor="text1"/>
          <w:kern w:val="0"/>
          <w:szCs w:val="21"/>
        </w:rPr>
      </w:pPr>
      <w:r w:rsidRPr="004264FD">
        <w:rPr>
          <w:rFonts w:eastAsiaTheme="minorEastAsia"/>
          <w:b/>
          <w:color w:val="000000" w:themeColor="text1"/>
          <w:szCs w:val="21"/>
        </w:rPr>
        <w:t>2</w:t>
      </w:r>
      <w:r w:rsidRPr="004264FD">
        <w:rPr>
          <w:rFonts w:eastAsiaTheme="minorEastAsia"/>
          <w:b/>
          <w:color w:val="000000" w:themeColor="text1"/>
          <w:szCs w:val="21"/>
        </w:rPr>
        <w:t>、</w:t>
      </w:r>
      <w:r w:rsidR="00FE7FBD" w:rsidRPr="004264FD">
        <w:rPr>
          <w:rFonts w:eastAsiaTheme="minorEastAsia"/>
          <w:b/>
          <w:color w:val="000000" w:themeColor="text1"/>
          <w:kern w:val="0"/>
          <w:szCs w:val="21"/>
        </w:rPr>
        <w:t>国联安鑫盛混合</w:t>
      </w:r>
      <w:r w:rsidR="00FE7FBD" w:rsidRPr="004264FD">
        <w:rPr>
          <w:rFonts w:eastAsiaTheme="minorEastAsia"/>
          <w:b/>
          <w:color w:val="000000" w:themeColor="text1"/>
          <w:kern w:val="0"/>
          <w:szCs w:val="21"/>
        </w:rPr>
        <w:t>C</w:t>
      </w:r>
      <w:r w:rsidRPr="004264FD">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122EAB">
        <w:tc>
          <w:tcPr>
            <w:tcW w:w="1290" w:type="dxa"/>
            <w:vAlign w:val="center"/>
          </w:tcPr>
          <w:p w:rsidR="00122EAB" w:rsidRDefault="007C5C16">
            <w:pPr>
              <w:jc w:val="left"/>
            </w:pPr>
            <w:r>
              <w:rPr>
                <w:rFonts w:eastAsiaTheme="minorEastAsia"/>
                <w:color w:val="000000" w:themeColor="text1"/>
                <w:szCs w:val="21"/>
              </w:rPr>
              <w:t>过去三个月</w:t>
            </w:r>
          </w:p>
        </w:tc>
        <w:tc>
          <w:tcPr>
            <w:tcW w:w="1291" w:type="dxa"/>
            <w:vAlign w:val="center"/>
          </w:tcPr>
          <w:p w:rsidR="00122EAB" w:rsidRDefault="007C5C16">
            <w:pPr>
              <w:jc w:val="right"/>
            </w:pPr>
            <w:r>
              <w:rPr>
                <w:rFonts w:eastAsiaTheme="minorEastAsia"/>
                <w:color w:val="000000" w:themeColor="text1"/>
                <w:szCs w:val="21"/>
              </w:rPr>
              <w:t>1.58%</w:t>
            </w:r>
          </w:p>
        </w:tc>
        <w:tc>
          <w:tcPr>
            <w:tcW w:w="1291" w:type="dxa"/>
            <w:vAlign w:val="center"/>
          </w:tcPr>
          <w:p w:rsidR="00122EAB" w:rsidRDefault="007C5C16">
            <w:pPr>
              <w:jc w:val="right"/>
            </w:pPr>
            <w:r>
              <w:rPr>
                <w:rFonts w:eastAsiaTheme="minorEastAsia"/>
                <w:color w:val="000000" w:themeColor="text1"/>
                <w:szCs w:val="21"/>
              </w:rPr>
              <w:t>0.19%</w:t>
            </w:r>
          </w:p>
        </w:tc>
        <w:tc>
          <w:tcPr>
            <w:tcW w:w="1291" w:type="dxa"/>
            <w:vAlign w:val="center"/>
          </w:tcPr>
          <w:p w:rsidR="00122EAB" w:rsidRDefault="007C5C16">
            <w:pPr>
              <w:jc w:val="right"/>
            </w:pPr>
            <w:r>
              <w:rPr>
                <w:rFonts w:eastAsiaTheme="minorEastAsia"/>
                <w:color w:val="000000" w:themeColor="text1"/>
                <w:szCs w:val="21"/>
              </w:rPr>
              <w:t>0.45%</w:t>
            </w:r>
          </w:p>
        </w:tc>
        <w:tc>
          <w:tcPr>
            <w:tcW w:w="1291" w:type="dxa"/>
            <w:vAlign w:val="center"/>
          </w:tcPr>
          <w:p w:rsidR="00122EAB" w:rsidRDefault="007C5C16">
            <w:pPr>
              <w:jc w:val="right"/>
            </w:pPr>
            <w:r>
              <w:rPr>
                <w:rFonts w:eastAsiaTheme="minorEastAsia"/>
                <w:color w:val="000000" w:themeColor="text1"/>
                <w:szCs w:val="21"/>
              </w:rPr>
              <w:t>0.24%</w:t>
            </w:r>
          </w:p>
        </w:tc>
        <w:tc>
          <w:tcPr>
            <w:tcW w:w="1291" w:type="dxa"/>
            <w:vAlign w:val="center"/>
          </w:tcPr>
          <w:p w:rsidR="00122EAB" w:rsidRDefault="007C5C16">
            <w:pPr>
              <w:jc w:val="right"/>
            </w:pPr>
            <w:r>
              <w:rPr>
                <w:rFonts w:eastAsiaTheme="minorEastAsia"/>
                <w:color w:val="000000" w:themeColor="text1"/>
                <w:szCs w:val="21"/>
              </w:rPr>
              <w:t>1.13%</w:t>
            </w:r>
          </w:p>
        </w:tc>
        <w:tc>
          <w:tcPr>
            <w:tcW w:w="1291" w:type="dxa"/>
            <w:vAlign w:val="center"/>
          </w:tcPr>
          <w:p w:rsidR="00122EAB" w:rsidRDefault="007C5C16">
            <w:pPr>
              <w:jc w:val="right"/>
            </w:pPr>
            <w:r>
              <w:rPr>
                <w:rFonts w:eastAsiaTheme="minorEastAsia"/>
                <w:color w:val="000000" w:themeColor="text1"/>
                <w:szCs w:val="21"/>
              </w:rPr>
              <w:t>-0.05%</w:t>
            </w:r>
          </w:p>
        </w:tc>
      </w:tr>
    </w:tbl>
    <w:p w:rsidR="00E73221" w:rsidRPr="004264FD" w:rsidRDefault="00FE7FBD"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注：上述基金业绩指标不包括持有人认购或交易基金的各项费用，计入费用后实际收益水平要低于所列数字。</w:t>
      </w:r>
    </w:p>
    <w:p w:rsidR="009238DB" w:rsidRPr="004264FD" w:rsidRDefault="009238DB" w:rsidP="00AE2F3C">
      <w:pPr>
        <w:spacing w:beforeLines="100" w:line="360" w:lineRule="auto"/>
        <w:rPr>
          <w:rFonts w:eastAsiaTheme="minorEastAsia"/>
          <w:b/>
          <w:color w:val="000000" w:themeColor="text1"/>
          <w:kern w:val="0"/>
          <w:szCs w:val="21"/>
        </w:rPr>
      </w:pPr>
      <w:r w:rsidRPr="004264FD">
        <w:rPr>
          <w:rFonts w:eastAsiaTheme="minorEastAsia"/>
          <w:b/>
          <w:color w:val="000000" w:themeColor="text1"/>
          <w:kern w:val="0"/>
          <w:szCs w:val="21"/>
        </w:rPr>
        <w:t>3.2.2</w:t>
      </w:r>
      <w:r w:rsidRPr="004264FD">
        <w:rPr>
          <w:rFonts w:eastAsiaTheme="minorEastAsia"/>
          <w:b/>
          <w:color w:val="000000" w:themeColor="text1"/>
          <w:kern w:val="0"/>
          <w:szCs w:val="21"/>
        </w:rPr>
        <w:t xml:space="preserve">　</w:t>
      </w:r>
      <w:r w:rsidR="006016F2" w:rsidRPr="004264FD">
        <w:rPr>
          <w:rStyle w:val="af6"/>
          <w:color w:val="000000" w:themeColor="text1"/>
          <w:szCs w:val="21"/>
          <w:shd w:val="clear" w:color="auto" w:fill="FFFFFF"/>
        </w:rPr>
        <w:t>自基金合同生效以来</w:t>
      </w:r>
      <w:r w:rsidR="00BF57BE" w:rsidRPr="004264FD">
        <w:rPr>
          <w:rFonts w:eastAsiaTheme="minorEastAsia"/>
          <w:b/>
          <w:color w:val="000000" w:themeColor="text1"/>
          <w:szCs w:val="21"/>
        </w:rPr>
        <w:t>基金累计净值增长率变动及其与同期业绩比较基准收益率变动的比较</w:t>
      </w:r>
    </w:p>
    <w:p w:rsidR="009A045B" w:rsidRPr="004264FD" w:rsidRDefault="009A045B" w:rsidP="00FC13C8">
      <w:pPr>
        <w:spacing w:line="360" w:lineRule="auto"/>
        <w:jc w:val="center"/>
        <w:rPr>
          <w:rFonts w:eastAsiaTheme="minorEastAsia"/>
          <w:color w:val="000000" w:themeColor="text1"/>
          <w:szCs w:val="21"/>
        </w:rPr>
      </w:pPr>
      <w:r w:rsidRPr="004264FD">
        <w:rPr>
          <w:rFonts w:eastAsiaTheme="minorEastAsia"/>
          <w:color w:val="000000" w:themeColor="text1"/>
          <w:szCs w:val="21"/>
        </w:rPr>
        <w:t>国联安鑫盛混合型证券投资基金</w:t>
      </w:r>
    </w:p>
    <w:p w:rsidR="00022396" w:rsidRPr="004264FD" w:rsidRDefault="00022396" w:rsidP="00FC13C8">
      <w:pPr>
        <w:pStyle w:val="a5"/>
        <w:snapToGrid w:val="0"/>
        <w:spacing w:line="360" w:lineRule="auto"/>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累计净值增长率与业绩比较基准收益率的历史走势对比图</w:t>
      </w:r>
    </w:p>
    <w:p w:rsidR="009A045B" w:rsidRPr="004264FD"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w:t>
      </w:r>
      <w:r w:rsidR="00D04410" w:rsidRPr="004264FD">
        <w:rPr>
          <w:rFonts w:ascii="Times New Roman" w:eastAsiaTheme="minorEastAsia" w:hAnsi="Times New Roman"/>
          <w:color w:val="000000" w:themeColor="text1"/>
        </w:rPr>
        <w:t>2016</w:t>
      </w:r>
      <w:r w:rsidR="00D04410" w:rsidRPr="004264FD">
        <w:rPr>
          <w:rFonts w:ascii="Times New Roman" w:eastAsiaTheme="minorEastAsia" w:hAnsi="Times New Roman"/>
          <w:color w:val="000000" w:themeColor="text1"/>
        </w:rPr>
        <w:t>年</w:t>
      </w:r>
      <w:r w:rsidR="00D04410" w:rsidRPr="004264FD">
        <w:rPr>
          <w:rFonts w:ascii="Times New Roman" w:eastAsiaTheme="minorEastAsia" w:hAnsi="Times New Roman"/>
          <w:color w:val="000000" w:themeColor="text1"/>
        </w:rPr>
        <w:t>11</w:t>
      </w:r>
      <w:r w:rsidR="00D04410" w:rsidRPr="004264FD">
        <w:rPr>
          <w:rFonts w:ascii="Times New Roman" w:eastAsiaTheme="minorEastAsia" w:hAnsi="Times New Roman"/>
          <w:color w:val="000000" w:themeColor="text1"/>
        </w:rPr>
        <w:t>月</w:t>
      </w:r>
      <w:r w:rsidR="00D04410" w:rsidRPr="004264FD">
        <w:rPr>
          <w:rFonts w:ascii="Times New Roman" w:eastAsiaTheme="minorEastAsia" w:hAnsi="Times New Roman"/>
          <w:color w:val="000000" w:themeColor="text1"/>
        </w:rPr>
        <w:t>30</w:t>
      </w:r>
      <w:r w:rsidR="00D04410"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至</w:t>
      </w:r>
      <w:r w:rsidRPr="004264FD">
        <w:rPr>
          <w:rFonts w:ascii="Times New Roman" w:eastAsiaTheme="minorEastAsia" w:hAnsi="Times New Roman"/>
          <w:color w:val="000000" w:themeColor="text1"/>
        </w:rPr>
        <w:t>2018</w:t>
      </w:r>
      <w:r w:rsidRPr="004264FD">
        <w:rPr>
          <w:rFonts w:ascii="Times New Roman" w:eastAsiaTheme="minorEastAsia" w:hAnsi="Times New Roman"/>
          <w:color w:val="000000" w:themeColor="text1"/>
        </w:rPr>
        <w:t>年</w:t>
      </w:r>
      <w:r w:rsidRPr="004264FD">
        <w:rPr>
          <w:rFonts w:ascii="Times New Roman" w:eastAsiaTheme="minorEastAsia" w:hAnsi="Times New Roman"/>
          <w:color w:val="000000" w:themeColor="text1"/>
        </w:rPr>
        <w:t>3</w:t>
      </w:r>
      <w:r w:rsidRPr="004264FD">
        <w:rPr>
          <w:rFonts w:ascii="Times New Roman" w:eastAsiaTheme="minorEastAsia" w:hAnsi="Times New Roman"/>
          <w:color w:val="000000" w:themeColor="text1"/>
        </w:rPr>
        <w:t>月</w:t>
      </w:r>
      <w:r w:rsidRPr="004264FD">
        <w:rPr>
          <w:rFonts w:ascii="Times New Roman" w:eastAsiaTheme="minorEastAsia" w:hAnsi="Times New Roman"/>
          <w:color w:val="000000" w:themeColor="text1"/>
        </w:rPr>
        <w:t>31</w:t>
      </w:r>
      <w:r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w:t>
      </w:r>
    </w:p>
    <w:p w:rsidR="009238DB" w:rsidRPr="004264FD" w:rsidRDefault="009238DB" w:rsidP="00FC13C8">
      <w:pPr>
        <w:snapToGrid w:val="0"/>
        <w:spacing w:line="360" w:lineRule="auto"/>
        <w:rPr>
          <w:rFonts w:eastAsiaTheme="minorEastAsia"/>
          <w:color w:val="000000" w:themeColor="text1"/>
          <w:szCs w:val="21"/>
        </w:rPr>
      </w:pPr>
      <w:r w:rsidRPr="004264FD">
        <w:rPr>
          <w:rFonts w:eastAsiaTheme="minorEastAsia"/>
          <w:color w:val="000000" w:themeColor="text1"/>
          <w:szCs w:val="21"/>
        </w:rPr>
        <w:t>1</w:t>
      </w:r>
      <w:r w:rsidRPr="004264FD">
        <w:rPr>
          <w:rFonts w:eastAsiaTheme="minorEastAsia"/>
          <w:color w:val="000000" w:themeColor="text1"/>
          <w:szCs w:val="21"/>
        </w:rPr>
        <w:t>．</w:t>
      </w:r>
      <w:r w:rsidR="0042785F" w:rsidRPr="004264FD">
        <w:rPr>
          <w:rFonts w:eastAsiaTheme="minorEastAsia"/>
          <w:color w:val="000000" w:themeColor="text1"/>
          <w:szCs w:val="21"/>
        </w:rPr>
        <w:t>国联安鑫盛混合</w:t>
      </w:r>
      <w:r w:rsidR="0042785F" w:rsidRPr="004264FD">
        <w:rPr>
          <w:rFonts w:eastAsiaTheme="minorEastAsia"/>
          <w:color w:val="000000" w:themeColor="text1"/>
          <w:szCs w:val="21"/>
        </w:rPr>
        <w:t>A</w:t>
      </w:r>
      <w:r w:rsidRPr="004264FD">
        <w:rPr>
          <w:rFonts w:eastAsiaTheme="minorEastAsia"/>
          <w:color w:val="000000" w:themeColor="text1"/>
          <w:szCs w:val="21"/>
        </w:rPr>
        <w:t>：</w:t>
      </w:r>
    </w:p>
    <w:p w:rsidR="00FC7F43" w:rsidRPr="004264FD" w:rsidRDefault="009D5A40"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76600"/>
                    </a:xfrm>
                    <a:prstGeom prst="rect">
                      <a:avLst/>
                    </a:prstGeom>
                    <a:noFill/>
                    <a:ln>
                      <a:noFill/>
                    </a:ln>
                  </pic:spPr>
                </pic:pic>
              </a:graphicData>
            </a:graphic>
          </wp:inline>
        </w:drawing>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、本基金业绩比较基准为：沪深</w:t>
      </w:r>
      <w:r>
        <w:rPr>
          <w:rFonts w:eastAsiaTheme="minorEastAsia"/>
          <w:color w:val="000000" w:themeColor="text1"/>
          <w:szCs w:val="21"/>
        </w:rPr>
        <w:t xml:space="preserve">300 </w:t>
      </w:r>
      <w:r>
        <w:rPr>
          <w:rFonts w:eastAsiaTheme="minorEastAsia"/>
          <w:color w:val="000000" w:themeColor="text1"/>
          <w:szCs w:val="21"/>
        </w:rPr>
        <w:t>指数收益率</w:t>
      </w:r>
      <w:r>
        <w:rPr>
          <w:rFonts w:eastAsiaTheme="minorEastAsia"/>
          <w:color w:val="000000" w:themeColor="text1"/>
          <w:szCs w:val="21"/>
        </w:rPr>
        <w:t>×20%+</w:t>
      </w:r>
      <w:r>
        <w:rPr>
          <w:rFonts w:eastAsiaTheme="minorEastAsia"/>
          <w:color w:val="000000" w:themeColor="text1"/>
          <w:szCs w:val="21"/>
        </w:rPr>
        <w:t>上证国债指数收益率</w:t>
      </w:r>
      <w:r>
        <w:rPr>
          <w:rFonts w:eastAsiaTheme="minorEastAsia"/>
          <w:color w:val="000000" w:themeColor="text1"/>
          <w:szCs w:val="21"/>
        </w:rPr>
        <w:t>×80%</w:t>
      </w:r>
      <w:r>
        <w:rPr>
          <w:rFonts w:eastAsiaTheme="minorEastAsia"/>
          <w:color w:val="000000" w:themeColor="text1"/>
          <w:szCs w:val="21"/>
        </w:rPr>
        <w:t>；</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、本基金基金合同于</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日生效。本基金建仓期为自基金合同生效之日起的</w:t>
      </w:r>
      <w:r>
        <w:rPr>
          <w:rFonts w:eastAsiaTheme="minorEastAsia"/>
          <w:color w:val="000000" w:themeColor="text1"/>
          <w:szCs w:val="21"/>
        </w:rPr>
        <w:t>6</w:t>
      </w:r>
      <w:r>
        <w:rPr>
          <w:rFonts w:eastAsiaTheme="minorEastAsia"/>
          <w:color w:val="000000" w:themeColor="text1"/>
          <w:szCs w:val="21"/>
        </w:rPr>
        <w:t>个月，本基金建仓期结束距本报告期末不满一年，建仓期结束时各项资产配置符合合同约定；</w:t>
      </w:r>
    </w:p>
    <w:p w:rsidR="0042785F" w:rsidRPr="004264FD" w:rsidRDefault="0042785F"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3</w:t>
      </w:r>
      <w:r w:rsidRPr="004264FD">
        <w:rPr>
          <w:rFonts w:eastAsiaTheme="minorEastAsia"/>
          <w:color w:val="000000" w:themeColor="text1"/>
          <w:szCs w:val="21"/>
        </w:rPr>
        <w:t>、上述基金业绩指标不包括持有人认购或交易基金的各项费用，计入费用后实际收益水平要低于所列数字。</w:t>
      </w:r>
    </w:p>
    <w:p w:rsidR="009238DB" w:rsidRPr="004264FD" w:rsidRDefault="009238DB" w:rsidP="00AE2F3C">
      <w:pPr>
        <w:snapToGrid w:val="0"/>
        <w:spacing w:beforeLines="100" w:line="360" w:lineRule="auto"/>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w:t>
      </w:r>
      <w:r w:rsidR="00FE7FBD" w:rsidRPr="004264FD">
        <w:rPr>
          <w:rFonts w:eastAsiaTheme="minorEastAsia"/>
          <w:color w:val="000000" w:themeColor="text1"/>
          <w:szCs w:val="21"/>
        </w:rPr>
        <w:t>国联安鑫盛混合</w:t>
      </w:r>
      <w:r w:rsidR="00FE7FBD" w:rsidRPr="004264FD">
        <w:rPr>
          <w:rFonts w:eastAsiaTheme="minorEastAsia"/>
          <w:color w:val="000000" w:themeColor="text1"/>
          <w:szCs w:val="21"/>
        </w:rPr>
        <w:t>C</w:t>
      </w:r>
      <w:r w:rsidR="0042785F" w:rsidRPr="004264FD">
        <w:rPr>
          <w:rFonts w:eastAsiaTheme="minorEastAsia"/>
          <w:color w:val="000000" w:themeColor="text1"/>
          <w:szCs w:val="21"/>
        </w:rPr>
        <w:t>：</w:t>
      </w:r>
    </w:p>
    <w:p w:rsidR="00FC7F43" w:rsidRPr="004264FD" w:rsidRDefault="00BD72C1"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76600"/>
                    </a:xfrm>
                    <a:prstGeom prst="rect">
                      <a:avLst/>
                    </a:prstGeom>
                    <a:noFill/>
                    <a:ln>
                      <a:noFill/>
                    </a:ln>
                  </pic:spPr>
                </pic:pic>
              </a:graphicData>
            </a:graphic>
          </wp:inline>
        </w:drawing>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、本基金业绩比较基准为：沪深</w:t>
      </w:r>
      <w:r>
        <w:rPr>
          <w:rFonts w:eastAsiaTheme="minorEastAsia"/>
          <w:color w:val="000000" w:themeColor="text1"/>
          <w:szCs w:val="21"/>
        </w:rPr>
        <w:t xml:space="preserve">300 </w:t>
      </w:r>
      <w:r>
        <w:rPr>
          <w:rFonts w:eastAsiaTheme="minorEastAsia"/>
          <w:color w:val="000000" w:themeColor="text1"/>
          <w:szCs w:val="21"/>
        </w:rPr>
        <w:t>指数收益率</w:t>
      </w:r>
      <w:r>
        <w:rPr>
          <w:rFonts w:eastAsiaTheme="minorEastAsia"/>
          <w:color w:val="000000" w:themeColor="text1"/>
          <w:szCs w:val="21"/>
        </w:rPr>
        <w:t>×20%+</w:t>
      </w:r>
      <w:r>
        <w:rPr>
          <w:rFonts w:eastAsiaTheme="minorEastAsia"/>
          <w:color w:val="000000" w:themeColor="text1"/>
          <w:szCs w:val="21"/>
        </w:rPr>
        <w:t>上证国债指数收益率</w:t>
      </w:r>
      <w:r>
        <w:rPr>
          <w:rFonts w:eastAsiaTheme="minorEastAsia"/>
          <w:color w:val="000000" w:themeColor="text1"/>
          <w:szCs w:val="21"/>
        </w:rPr>
        <w:t>×80%</w:t>
      </w:r>
      <w:r>
        <w:rPr>
          <w:rFonts w:eastAsiaTheme="minorEastAsia"/>
          <w:color w:val="000000" w:themeColor="text1"/>
          <w:szCs w:val="21"/>
        </w:rPr>
        <w:t>；</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、本基金基金合同于</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日生效。本基金建仓期为自基金合同生效之日起的</w:t>
      </w:r>
      <w:r>
        <w:rPr>
          <w:rFonts w:eastAsiaTheme="minorEastAsia"/>
          <w:color w:val="000000" w:themeColor="text1"/>
          <w:szCs w:val="21"/>
        </w:rPr>
        <w:t>6</w:t>
      </w:r>
      <w:r>
        <w:rPr>
          <w:rFonts w:eastAsiaTheme="minorEastAsia"/>
          <w:color w:val="000000" w:themeColor="text1"/>
          <w:szCs w:val="21"/>
        </w:rPr>
        <w:t>个月，本基金建仓期结束距本报告期末不满一年，建仓期结束时各项资产配置符合合同约定；</w:t>
      </w:r>
    </w:p>
    <w:p w:rsidR="0042785F" w:rsidRPr="004264FD" w:rsidRDefault="00FE7FBD"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3</w:t>
      </w:r>
      <w:r w:rsidRPr="004264FD">
        <w:rPr>
          <w:rFonts w:eastAsiaTheme="minorEastAsia"/>
          <w:color w:val="000000" w:themeColor="text1"/>
          <w:szCs w:val="21"/>
        </w:rPr>
        <w:t>、上述基金业绩指标不包括持有人认购或交易基金的各项费用，计入费用后实际收益水平要低于所列数字。</w:t>
      </w:r>
    </w:p>
    <w:p w:rsidR="00973B57" w:rsidRPr="004264FD" w:rsidRDefault="00973B57" w:rsidP="00B54782">
      <w:pPr>
        <w:spacing w:line="360" w:lineRule="auto"/>
        <w:ind w:firstLineChars="200" w:firstLine="420"/>
        <w:rPr>
          <w:rFonts w:eastAsiaTheme="minorEastAsia"/>
          <w:color w:val="000000" w:themeColor="text1"/>
          <w:szCs w:val="21"/>
        </w:rPr>
      </w:pPr>
    </w:p>
    <w:p w:rsidR="009238DB" w:rsidRPr="004264FD" w:rsidRDefault="009238DB" w:rsidP="00AE2F3C">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§4  </w:t>
      </w:r>
      <w:r w:rsidRPr="004264FD">
        <w:rPr>
          <w:rFonts w:eastAsiaTheme="minorEastAsia"/>
          <w:color w:val="000000" w:themeColor="text1"/>
          <w:kern w:val="0"/>
          <w:sz w:val="21"/>
          <w:szCs w:val="21"/>
        </w:rPr>
        <w:t>管理人报告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4.1 </w:t>
      </w:r>
      <w:r w:rsidRPr="004264FD">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264FD" w:rsidRPr="004264FD" w:rsidTr="00B54782">
        <w:tc>
          <w:tcPr>
            <w:tcW w:w="952"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姓名</w:t>
            </w:r>
          </w:p>
        </w:tc>
        <w:tc>
          <w:tcPr>
            <w:tcW w:w="930"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职务</w:t>
            </w:r>
          </w:p>
        </w:tc>
        <w:tc>
          <w:tcPr>
            <w:tcW w:w="2519" w:type="dxa"/>
            <w:gridSpan w:val="2"/>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任本基金的基金经理期限</w:t>
            </w:r>
          </w:p>
        </w:tc>
        <w:tc>
          <w:tcPr>
            <w:tcW w:w="1254"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证券从业年限</w:t>
            </w:r>
          </w:p>
        </w:tc>
        <w:tc>
          <w:tcPr>
            <w:tcW w:w="3276"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说明</w:t>
            </w:r>
          </w:p>
        </w:tc>
      </w:tr>
      <w:tr w:rsidR="004264FD" w:rsidRPr="004264FD" w:rsidTr="00B54782">
        <w:tc>
          <w:tcPr>
            <w:tcW w:w="952"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任职日期</w:t>
            </w:r>
          </w:p>
        </w:tc>
        <w:tc>
          <w:tcPr>
            <w:tcW w:w="1309"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离任日期</w:t>
            </w:r>
          </w:p>
        </w:tc>
        <w:tc>
          <w:tcPr>
            <w:tcW w:w="1254"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122EAB">
        <w:tc>
          <w:tcPr>
            <w:tcW w:w="952" w:type="dxa"/>
            <w:vAlign w:val="center"/>
          </w:tcPr>
          <w:p w:rsidR="00122EAB" w:rsidRDefault="007C5C16">
            <w:pPr>
              <w:jc w:val="center"/>
            </w:pPr>
            <w:r>
              <w:rPr>
                <w:rFonts w:eastAsiaTheme="minorEastAsia"/>
                <w:color w:val="000000" w:themeColor="text1"/>
                <w:szCs w:val="21"/>
              </w:rPr>
              <w:t>侯慧娣</w:t>
            </w:r>
          </w:p>
        </w:tc>
        <w:tc>
          <w:tcPr>
            <w:tcW w:w="930" w:type="dxa"/>
            <w:vAlign w:val="center"/>
          </w:tcPr>
          <w:p w:rsidR="00122EAB" w:rsidRDefault="007C5C16">
            <w:pPr>
              <w:jc w:val="center"/>
            </w:pPr>
            <w:r>
              <w:rPr>
                <w:rFonts w:eastAsiaTheme="minorEastAsia"/>
                <w:color w:val="000000" w:themeColor="text1"/>
                <w:szCs w:val="21"/>
              </w:rPr>
              <w:t>本基金基金经理、兼任国联安货币市场证券投资基金基金经理、国联安睿祺灵活配置混合型证券投资基金基金经理、国联安睿利定期开放混合型证券投资基金基金经理。</w:t>
            </w:r>
          </w:p>
        </w:tc>
        <w:tc>
          <w:tcPr>
            <w:tcW w:w="1210" w:type="dxa"/>
            <w:vAlign w:val="center"/>
          </w:tcPr>
          <w:p w:rsidR="00122EAB" w:rsidRDefault="007C5C16">
            <w:pPr>
              <w:jc w:val="center"/>
            </w:pPr>
            <w:r>
              <w:rPr>
                <w:rFonts w:eastAsiaTheme="minorEastAsia"/>
                <w:color w:val="000000" w:themeColor="text1"/>
                <w:szCs w:val="21"/>
              </w:rPr>
              <w:t>2016-11-30</w:t>
            </w:r>
          </w:p>
        </w:tc>
        <w:tc>
          <w:tcPr>
            <w:tcW w:w="1309" w:type="dxa"/>
            <w:vAlign w:val="center"/>
          </w:tcPr>
          <w:p w:rsidR="00122EAB" w:rsidRDefault="007C5C16">
            <w:pPr>
              <w:jc w:val="center"/>
            </w:pPr>
            <w:r>
              <w:rPr>
                <w:rFonts w:eastAsiaTheme="minorEastAsia"/>
                <w:color w:val="000000" w:themeColor="text1"/>
                <w:szCs w:val="21"/>
              </w:rPr>
              <w:t>-</w:t>
            </w:r>
          </w:p>
        </w:tc>
        <w:tc>
          <w:tcPr>
            <w:tcW w:w="1254" w:type="dxa"/>
            <w:vAlign w:val="center"/>
          </w:tcPr>
          <w:p w:rsidR="00122EAB" w:rsidRDefault="007C5C16">
            <w:pPr>
              <w:jc w:val="center"/>
            </w:pPr>
            <w:r>
              <w:rPr>
                <w:rFonts w:eastAsiaTheme="minorEastAsia"/>
                <w:color w:val="000000" w:themeColor="text1"/>
                <w:szCs w:val="21"/>
              </w:rPr>
              <w:t>11</w:t>
            </w:r>
            <w:r>
              <w:rPr>
                <w:rFonts w:eastAsiaTheme="minorEastAsia"/>
                <w:color w:val="000000" w:themeColor="text1"/>
                <w:szCs w:val="21"/>
              </w:rPr>
              <w:t>年（自</w:t>
            </w:r>
            <w:r>
              <w:rPr>
                <w:rFonts w:eastAsiaTheme="minorEastAsia"/>
                <w:color w:val="000000" w:themeColor="text1"/>
                <w:szCs w:val="21"/>
              </w:rPr>
              <w:t>2007</w:t>
            </w:r>
            <w:r>
              <w:rPr>
                <w:rFonts w:eastAsiaTheme="minorEastAsia"/>
                <w:color w:val="000000" w:themeColor="text1"/>
                <w:szCs w:val="21"/>
              </w:rPr>
              <w:t>年）</w:t>
            </w:r>
          </w:p>
        </w:tc>
        <w:tc>
          <w:tcPr>
            <w:tcW w:w="3276" w:type="dxa"/>
            <w:vAlign w:val="center"/>
          </w:tcPr>
          <w:p w:rsidR="00122EAB" w:rsidRDefault="007C5C16">
            <w:r>
              <w:rPr>
                <w:rFonts w:eastAsiaTheme="minorEastAsia"/>
                <w:color w:val="000000" w:themeColor="text1"/>
                <w:szCs w:val="21"/>
              </w:rPr>
              <w:t>侯慧娣女士，理学硕士。</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月在国泰君安证券研究所从事国内债券市场数据分析与处理；</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月在世商软件（上海）有限公司从事债券分析；</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月在国信证券股份有限公司经济研究所从事债券和固定收益分析；</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月在德邦基金管理有限公司固定收益部从事研究和管理工作，期间曾担任基金经理和固定收益部副总监。</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月加入国联安基金管理有限公司，</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月起任国联安睿祺灵活配置混合型证券投资基金基金经理、国联安货币市场证券投资基金基金经理。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月兼任国联安鑫禧灵</w:t>
            </w:r>
            <w:bookmarkStart w:id="0" w:name="_GoBack"/>
            <w:bookmarkEnd w:id="0"/>
            <w:r>
              <w:rPr>
                <w:rFonts w:eastAsiaTheme="minorEastAsia"/>
                <w:color w:val="000000" w:themeColor="text1"/>
                <w:szCs w:val="21"/>
              </w:rPr>
              <w:t>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sidR="00115F93">
              <w:rPr>
                <w:rFonts w:eastAsiaTheme="minorEastAsia" w:hint="eastAsia"/>
                <w:color w:val="000000" w:themeColor="text1"/>
                <w:szCs w:val="21"/>
              </w:rPr>
              <w:t>2</w:t>
            </w:r>
            <w:r>
              <w:rPr>
                <w:rFonts w:eastAsiaTheme="minorEastAsia"/>
                <w:color w:val="000000" w:themeColor="text1"/>
                <w:szCs w:val="21"/>
              </w:rPr>
              <w:t>月起兼任国联安鑫盛混合型证券投资基金基金经理。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月兼任国联安鑫利混合型证券投资基金基金经理。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月起兼任国联安睿利定期开放混合型证券投资基金基金经理。</w:t>
            </w:r>
          </w:p>
        </w:tc>
      </w:tr>
      <w:tr w:rsidR="00122EAB">
        <w:tc>
          <w:tcPr>
            <w:tcW w:w="952" w:type="dxa"/>
            <w:vAlign w:val="center"/>
          </w:tcPr>
          <w:p w:rsidR="00122EAB" w:rsidRDefault="007C5C16">
            <w:pPr>
              <w:jc w:val="center"/>
            </w:pPr>
            <w:r>
              <w:rPr>
                <w:rFonts w:eastAsiaTheme="minorEastAsia"/>
                <w:color w:val="000000" w:themeColor="text1"/>
                <w:szCs w:val="21"/>
              </w:rPr>
              <w:t>杨子江</w:t>
            </w:r>
          </w:p>
        </w:tc>
        <w:tc>
          <w:tcPr>
            <w:tcW w:w="930" w:type="dxa"/>
            <w:vAlign w:val="center"/>
          </w:tcPr>
          <w:p w:rsidR="00122EAB" w:rsidRDefault="007C5C16">
            <w:pPr>
              <w:jc w:val="center"/>
            </w:pPr>
            <w:r>
              <w:rPr>
                <w:rFonts w:eastAsiaTheme="minorEastAsia"/>
                <w:color w:val="000000" w:themeColor="text1"/>
                <w:szCs w:val="21"/>
              </w:rPr>
              <w:t>本基金基金经理、兼任国联安德盛安心成长混合型证券投资基金基金经理、国联安鑫悦灵活配置混合型证券投资基金基金经理、国联安鑫汇混合型证券投资基金基金经理、国联安鑫乾混合型证券投资基金基金经理、国联安鑫发混合型证券投资基金基金经理、国联安鑫隆混合型证券投资基金基金经理、国联安鑫怡混合型证券投资基金基金经理。</w:t>
            </w:r>
          </w:p>
        </w:tc>
        <w:tc>
          <w:tcPr>
            <w:tcW w:w="1210" w:type="dxa"/>
            <w:vAlign w:val="center"/>
          </w:tcPr>
          <w:p w:rsidR="00122EAB" w:rsidRDefault="007C5C16">
            <w:pPr>
              <w:jc w:val="center"/>
            </w:pPr>
            <w:r>
              <w:rPr>
                <w:rFonts w:eastAsiaTheme="minorEastAsia"/>
                <w:color w:val="000000" w:themeColor="text1"/>
                <w:szCs w:val="21"/>
              </w:rPr>
              <w:t>2017-12-29</w:t>
            </w:r>
          </w:p>
        </w:tc>
        <w:tc>
          <w:tcPr>
            <w:tcW w:w="1309" w:type="dxa"/>
            <w:vAlign w:val="center"/>
          </w:tcPr>
          <w:p w:rsidR="00122EAB" w:rsidRDefault="007C5C16">
            <w:pPr>
              <w:jc w:val="center"/>
            </w:pPr>
            <w:r>
              <w:rPr>
                <w:rFonts w:eastAsiaTheme="minorEastAsia"/>
                <w:color w:val="000000" w:themeColor="text1"/>
                <w:szCs w:val="21"/>
              </w:rPr>
              <w:t>-</w:t>
            </w:r>
          </w:p>
        </w:tc>
        <w:tc>
          <w:tcPr>
            <w:tcW w:w="1254" w:type="dxa"/>
            <w:vAlign w:val="center"/>
          </w:tcPr>
          <w:p w:rsidR="00122EAB" w:rsidRDefault="007C5C16">
            <w:pPr>
              <w:jc w:val="center"/>
            </w:pPr>
            <w:r>
              <w:rPr>
                <w:rFonts w:eastAsiaTheme="minorEastAsia"/>
                <w:color w:val="000000" w:themeColor="text1"/>
                <w:szCs w:val="21"/>
              </w:rPr>
              <w:t>17</w:t>
            </w:r>
            <w:r>
              <w:rPr>
                <w:rFonts w:eastAsiaTheme="minorEastAsia"/>
                <w:color w:val="000000" w:themeColor="text1"/>
                <w:szCs w:val="21"/>
              </w:rPr>
              <w:t>年（自</w:t>
            </w:r>
            <w:r>
              <w:rPr>
                <w:rFonts w:eastAsiaTheme="minorEastAsia"/>
                <w:color w:val="000000" w:themeColor="text1"/>
                <w:szCs w:val="21"/>
              </w:rPr>
              <w:t>2001</w:t>
            </w:r>
            <w:r>
              <w:rPr>
                <w:rFonts w:eastAsiaTheme="minorEastAsia"/>
                <w:color w:val="000000" w:themeColor="text1"/>
                <w:szCs w:val="21"/>
              </w:rPr>
              <w:t>年起）</w:t>
            </w:r>
          </w:p>
        </w:tc>
        <w:tc>
          <w:tcPr>
            <w:tcW w:w="3276" w:type="dxa"/>
            <w:vAlign w:val="center"/>
          </w:tcPr>
          <w:p w:rsidR="00122EAB" w:rsidRDefault="007C5C16">
            <w:r>
              <w:rPr>
                <w:rFonts w:eastAsiaTheme="minorEastAsia"/>
                <w:color w:val="000000" w:themeColor="text1"/>
                <w:szCs w:val="21"/>
              </w:rPr>
              <w:t>杨子江，硕士研究生，</w:t>
            </w:r>
            <w:r>
              <w:rPr>
                <w:rFonts w:eastAsiaTheme="minorEastAsia"/>
                <w:color w:val="000000" w:themeColor="text1"/>
                <w:szCs w:val="21"/>
              </w:rPr>
              <w:t>2001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月在上海睿信投资管理有限公司担任研究员。</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月加入国联安基金管理有限公司，历任高级研究员、研究部副总监，现任研究部总监。</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日起任国联安鑫盛混合型证券投资基金基金经理。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日起任国联安鑫汇混合型证券投资基金基金经理。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日起任国联安鑫发混合型证券投资基金基金经理。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日起任国联安鑫隆混合型证券投资基金基金经理。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日起任国联安德盛安心成长混合型证券投资基金基金经理。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日起任国联安鑫乾混合型证券投资基金基金经理。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日起任国联安鑫悦灵活配置混合型证券投资基金基金经理。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日起任国联安鑫怡混合型证券投资基金基金经理。</w:t>
            </w:r>
          </w:p>
        </w:tc>
      </w:tr>
    </w:tbl>
    <w:p w:rsidR="00122EAB" w:rsidRDefault="007C5C1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、基金经理的任职日期和离职日期为公司对外公告之日；</w:t>
      </w:r>
    </w:p>
    <w:p w:rsidR="005C7D00" w:rsidRPr="004264FD" w:rsidRDefault="00062E1F"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、证券从业年限的统计标准为证券行业的工作经历年限。</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4.2</w:t>
      </w:r>
      <w:r w:rsidR="00B22511" w:rsidRPr="00B22511">
        <w:rPr>
          <w:rFonts w:eastAsiaTheme="minorEastAsia" w:hint="eastAsia"/>
          <w:b/>
          <w:color w:val="000000" w:themeColor="text1"/>
          <w:kern w:val="0"/>
          <w:szCs w:val="21"/>
        </w:rPr>
        <w:t>管理人对报告期内本基金运作遵规守信情况的说明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本基金管理人严格遵守《中华人民共和国证券投资基金法》、《国联安鑫盛混合型证券投资基金基金合同》及其他相关法律法规、法律文件的规定，本着诚实信用、勤勉尽责的原则管理和运用基金财产，在严格控制风险的前提下，为基金份额持有人谋求最大利益。本基金运作管理符合有关法律法规和基金合同的规定和约定，无损害基金份额持有人利益的行为。</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4.3 </w:t>
      </w:r>
      <w:r w:rsidRPr="004264FD">
        <w:rPr>
          <w:rFonts w:eastAsiaTheme="minorEastAsia"/>
          <w:b/>
          <w:color w:val="000000" w:themeColor="text1"/>
          <w:kern w:val="0"/>
          <w:szCs w:val="21"/>
        </w:rPr>
        <w:t>公平交易专项说明</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 xml:space="preserve">4.3.1 </w:t>
      </w:r>
      <w:r w:rsidRPr="004264FD">
        <w:rPr>
          <w:rFonts w:eastAsiaTheme="minorEastAsia"/>
          <w:color w:val="000000" w:themeColor="text1"/>
          <w:szCs w:val="21"/>
        </w:rPr>
        <w:t>公平交易制度的执行情况</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本基金管理人遵照相应法律法规和内部规章，制定并完善了《国联安基金管理有限公司公平交易制度》（以下简称</w:t>
      </w:r>
      <w:r>
        <w:rPr>
          <w:rFonts w:eastAsiaTheme="minorEastAsia"/>
          <w:color w:val="000000" w:themeColor="text1"/>
          <w:szCs w:val="21"/>
        </w:rPr>
        <w:t>“</w:t>
      </w:r>
      <w:r>
        <w:rPr>
          <w:rFonts w:eastAsiaTheme="minorEastAsia"/>
          <w:color w:val="000000" w:themeColor="text1"/>
          <w:szCs w:val="21"/>
        </w:rPr>
        <w:t>公平交易制度</w:t>
      </w:r>
      <w:r>
        <w:rPr>
          <w:rFonts w:eastAsiaTheme="minorEastAsia"/>
          <w:color w:val="000000" w:themeColor="text1"/>
          <w:szCs w:val="21"/>
        </w:rPr>
        <w:t>”</w:t>
      </w:r>
      <w:r>
        <w:rPr>
          <w:rFonts w:eastAsiaTheme="minorEastAsia"/>
          <w:color w:val="000000" w:themeColor="text1"/>
          <w:szCs w:val="21"/>
        </w:rPr>
        <w:t>），用以规范包括投资授权、研究分析、投资决策、交易执行以及投资管理过程中涉及的实施效果与业绩评估等投资管理活动相关的各个环节。</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执行公平交易制度的规定，公平对待不同投资组合，确保各投资组合在获得投资信息、投资建议和投资决策等方面均享有平等机会；在交易环节严格按照时间优先，价格优先的原则执行指令；如遇指令价位相同或指令价位不同但市场条件都满足时，及时执行交易系统中的公平交易模块；采用公平交易分析系统对不同投资组合的交易价差进行定期分析；对投资流程独立稽核等。</w:t>
      </w:r>
    </w:p>
    <w:p w:rsidR="00D15733"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本报告期内，公司旗下所有投资组合参与的交易所公开竞价同日反向交易成交较少的单边交易量未发现有超过该证券当日成交量</w:t>
      </w:r>
      <w:r w:rsidRPr="004264FD">
        <w:rPr>
          <w:rFonts w:eastAsiaTheme="minorEastAsia"/>
          <w:color w:val="000000" w:themeColor="text1"/>
          <w:szCs w:val="21"/>
        </w:rPr>
        <w:t>5%</w:t>
      </w:r>
      <w:r w:rsidRPr="004264FD">
        <w:rPr>
          <w:rFonts w:eastAsiaTheme="minorEastAsia"/>
          <w:color w:val="000000" w:themeColor="text1"/>
          <w:szCs w:val="21"/>
        </w:rPr>
        <w:t>的情况。公平交易制度总体执行情况良好。</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4.3.</w:t>
      </w:r>
      <w:r w:rsidR="005B6047" w:rsidRPr="004264FD">
        <w:rPr>
          <w:rFonts w:eastAsiaTheme="minorEastAsia"/>
          <w:color w:val="000000" w:themeColor="text1"/>
          <w:szCs w:val="21"/>
        </w:rPr>
        <w:t>2</w:t>
      </w:r>
      <w:r w:rsidRPr="004264FD">
        <w:rPr>
          <w:rFonts w:eastAsiaTheme="minorEastAsia"/>
          <w:color w:val="000000" w:themeColor="text1"/>
          <w:szCs w:val="21"/>
        </w:rPr>
        <w:t>异常交易行为的专项说明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本报告期内未发现存在可能导致不公平交易和利益输送的无法解释的异常交易行为。</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4.4 </w:t>
      </w:r>
      <w:r w:rsidRPr="004264FD">
        <w:rPr>
          <w:rFonts w:eastAsiaTheme="minorEastAsia"/>
          <w:b/>
          <w:color w:val="000000" w:themeColor="text1"/>
          <w:kern w:val="0"/>
          <w:szCs w:val="21"/>
        </w:rPr>
        <w:t>报告期内基金的投资策略和业绩表现说明</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4.4.1</w:t>
      </w:r>
      <w:r w:rsidRPr="004264FD">
        <w:rPr>
          <w:rFonts w:eastAsiaTheme="minorEastAsia"/>
          <w:color w:val="000000" w:themeColor="text1"/>
          <w:szCs w:val="21"/>
        </w:rPr>
        <w:t>报告期内基金投资策略和运作分析</w:t>
      </w:r>
    </w:p>
    <w:p w:rsidR="003B40B4" w:rsidRPr="00FB5F36" w:rsidRDefault="003B40B4" w:rsidP="003B40B4">
      <w:pPr>
        <w:rPr>
          <w:b/>
        </w:rPr>
      </w:pPr>
      <w:r w:rsidRPr="00FB5F36">
        <w:rPr>
          <w:rFonts w:hint="eastAsia"/>
          <w:b/>
        </w:rPr>
        <w:t>权益投资部分：</w:t>
      </w:r>
    </w:p>
    <w:p w:rsidR="003B40B4" w:rsidRDefault="003B40B4" w:rsidP="003B40B4">
      <w:r>
        <w:rPr>
          <w:rFonts w:hint="eastAsia"/>
        </w:rPr>
        <w:t>在</w:t>
      </w:r>
      <w:r>
        <w:rPr>
          <w:rFonts w:hint="eastAsia"/>
        </w:rPr>
        <w:t>2018</w:t>
      </w:r>
      <w:r>
        <w:rPr>
          <w:rFonts w:hint="eastAsia"/>
        </w:rPr>
        <w:t>年</w:t>
      </w:r>
      <w:r>
        <w:rPr>
          <w:rFonts w:hint="eastAsia"/>
        </w:rPr>
        <w:t>1</w:t>
      </w:r>
      <w:r>
        <w:rPr>
          <w:rFonts w:hint="eastAsia"/>
        </w:rPr>
        <w:t>季度，</w:t>
      </w:r>
      <w:r>
        <w:rPr>
          <w:rFonts w:hint="eastAsia"/>
        </w:rPr>
        <w:t>A</w:t>
      </w:r>
      <w:r>
        <w:rPr>
          <w:rFonts w:hint="eastAsia"/>
        </w:rPr>
        <w:t>股市场流动性并未真正改善</w:t>
      </w:r>
      <w:r>
        <w:rPr>
          <w:rFonts w:hint="eastAsia"/>
        </w:rPr>
        <w:t>,</w:t>
      </w:r>
      <w:r>
        <w:rPr>
          <w:rFonts w:hint="eastAsia"/>
        </w:rPr>
        <w:t>结构性分化的局面继续</w:t>
      </w:r>
      <w:r>
        <w:rPr>
          <w:rFonts w:hint="eastAsia"/>
        </w:rPr>
        <w:t>,</w:t>
      </w:r>
      <w:r>
        <w:rPr>
          <w:rFonts w:hint="eastAsia"/>
        </w:rPr>
        <w:t>但是经过过去一年的估值变动，需要重新审视各公司、各个行业成长性和估值的匹配程度，“简单买入并持有行业龙头”这一策略的超额收益，已然显著缩水；另一方面</w:t>
      </w:r>
      <w:r>
        <w:rPr>
          <w:rFonts w:hint="eastAsia"/>
        </w:rPr>
        <w:t>,</w:t>
      </w:r>
      <w:r>
        <w:rPr>
          <w:rFonts w:hint="eastAsia"/>
        </w:rPr>
        <w:t>复杂的国内外经济环境和从紧的监管政策</w:t>
      </w:r>
      <w:r>
        <w:rPr>
          <w:rFonts w:hint="eastAsia"/>
        </w:rPr>
        <w:t>,</w:t>
      </w:r>
      <w:r>
        <w:rPr>
          <w:rFonts w:hint="eastAsia"/>
        </w:rPr>
        <w:t>进一步放大了市场波动。</w:t>
      </w:r>
    </w:p>
    <w:p w:rsidR="003B40B4" w:rsidRDefault="003B40B4" w:rsidP="003B40B4">
      <w:r>
        <w:rPr>
          <w:rFonts w:hint="eastAsia"/>
        </w:rPr>
        <w:t>对于二季度及全年，考虑到宏观经济增速大概率继续回落，一方面我们将降低收益率预期，资本利得与红利并重，另一方面，在精选行业龙头之外，也将优选景气向上的细分行业和成长公司，相对</w:t>
      </w:r>
      <w:r>
        <w:rPr>
          <w:rFonts w:hint="eastAsia"/>
        </w:rPr>
        <w:t>2017</w:t>
      </w:r>
      <w:r>
        <w:rPr>
          <w:rFonts w:hint="eastAsia"/>
        </w:rPr>
        <w:t>年更为灵活、务实地调整仓位</w:t>
      </w:r>
      <w:r>
        <w:rPr>
          <w:rFonts w:hint="eastAsia"/>
        </w:rPr>
        <w:t>,</w:t>
      </w:r>
      <w:r>
        <w:rPr>
          <w:rFonts w:hint="eastAsia"/>
        </w:rPr>
        <w:t>争取为投资人获取长期、稳健的收益。</w:t>
      </w:r>
    </w:p>
    <w:p w:rsidR="003B40B4" w:rsidRDefault="003B40B4" w:rsidP="003B40B4"/>
    <w:p w:rsidR="003B40B4" w:rsidRPr="00FB5F36" w:rsidRDefault="003B40B4" w:rsidP="003B40B4">
      <w:pPr>
        <w:rPr>
          <w:b/>
        </w:rPr>
      </w:pPr>
      <w:r w:rsidRPr="00FB5F36">
        <w:rPr>
          <w:rFonts w:hint="eastAsia"/>
          <w:b/>
        </w:rPr>
        <w:t>固定收益部分：</w:t>
      </w:r>
    </w:p>
    <w:p w:rsidR="003B40B4" w:rsidRDefault="003B40B4" w:rsidP="003B40B4">
      <w:r>
        <w:rPr>
          <w:rFonts w:hint="eastAsia"/>
        </w:rPr>
        <w:t>2018</w:t>
      </w:r>
      <w:r>
        <w:rPr>
          <w:rFonts w:hint="eastAsia"/>
        </w:rPr>
        <w:t>年一季度，国内经济基本面呈现平稳边际回落迹象，</w:t>
      </w:r>
      <w:r>
        <w:rPr>
          <w:rFonts w:hint="eastAsia"/>
        </w:rPr>
        <w:t>PPI</w:t>
      </w:r>
      <w:r>
        <w:rPr>
          <w:rFonts w:hint="eastAsia"/>
        </w:rPr>
        <w:t>继续回落，</w:t>
      </w:r>
      <w:r>
        <w:rPr>
          <w:rFonts w:hint="eastAsia"/>
        </w:rPr>
        <w:t xml:space="preserve"> CPI</w:t>
      </w:r>
      <w:r>
        <w:rPr>
          <w:rFonts w:hint="eastAsia"/>
        </w:rPr>
        <w:t>虽然上行但未超市场预期，通胀预期证伪。</w:t>
      </w:r>
      <w:r>
        <w:rPr>
          <w:rFonts w:hint="eastAsia"/>
        </w:rPr>
        <w:t>3</w:t>
      </w:r>
      <w:r>
        <w:rPr>
          <w:rFonts w:hint="eastAsia"/>
        </w:rPr>
        <w:t>月开始工业经济增长势头明显放缓，需求羸弱，基本面出现走弱迹象。货币政策维持中性，央行于</w:t>
      </w:r>
      <w:r>
        <w:rPr>
          <w:rFonts w:hint="eastAsia"/>
        </w:rPr>
        <w:t>2018</w:t>
      </w:r>
      <w:r>
        <w:rPr>
          <w:rFonts w:hint="eastAsia"/>
        </w:rPr>
        <w:t>年</w:t>
      </w:r>
      <w:r>
        <w:rPr>
          <w:rFonts w:hint="eastAsia"/>
        </w:rPr>
        <w:t>1</w:t>
      </w:r>
      <w:r>
        <w:rPr>
          <w:rFonts w:hint="eastAsia"/>
        </w:rPr>
        <w:t>月分实施普惠定向降准同时启动春节临时降准安排。一季度前</w:t>
      </w:r>
      <w:r>
        <w:rPr>
          <w:rFonts w:hint="eastAsia"/>
        </w:rPr>
        <w:t>2</w:t>
      </w:r>
      <w:r>
        <w:rPr>
          <w:rFonts w:hint="eastAsia"/>
        </w:rPr>
        <w:t>个月社融继续回落，其中表外融资同比大幅回落</w:t>
      </w:r>
      <w:r>
        <w:rPr>
          <w:rFonts w:hint="eastAsia"/>
        </w:rPr>
        <w:t>1.2</w:t>
      </w:r>
      <w:r>
        <w:rPr>
          <w:rFonts w:hint="eastAsia"/>
        </w:rPr>
        <w:t>万亿，叠加人民币汇率升值，境外机构超配人民币债券，央行临时降准和普惠降准使得银行超储改善，一季度末资金紧张程度远小于</w:t>
      </w:r>
      <w:r>
        <w:rPr>
          <w:rFonts w:hint="eastAsia"/>
        </w:rPr>
        <w:t>2017</w:t>
      </w:r>
      <w:r>
        <w:rPr>
          <w:rFonts w:hint="eastAsia"/>
        </w:rPr>
        <w:t>年</w:t>
      </w:r>
      <w:r>
        <w:rPr>
          <w:rFonts w:hint="eastAsia"/>
        </w:rPr>
        <w:t>3</w:t>
      </w:r>
      <w:r>
        <w:rPr>
          <w:rFonts w:hint="eastAsia"/>
        </w:rPr>
        <w:t>月底。金融严监管预期下市场机构普遍配置谨慎，一季度债券供给小于需求叠加春节临时降准安排引发了资金面宽松下的债市小牛行情，债券收益率曲线呈陡峭化下行，其中十年期国开债收益率下行幅度超过</w:t>
      </w:r>
      <w:r>
        <w:rPr>
          <w:rFonts w:hint="eastAsia"/>
        </w:rPr>
        <w:t>40bp</w:t>
      </w:r>
      <w:r>
        <w:rPr>
          <w:rFonts w:hint="eastAsia"/>
        </w:rPr>
        <w:t>，一年至</w:t>
      </w:r>
      <w:r>
        <w:rPr>
          <w:rFonts w:hint="eastAsia"/>
        </w:rPr>
        <w:t>3</w:t>
      </w:r>
      <w:r>
        <w:rPr>
          <w:rFonts w:hint="eastAsia"/>
        </w:rPr>
        <w:t>年高等级信用债下行幅度超过</w:t>
      </w:r>
      <w:r>
        <w:rPr>
          <w:rFonts w:hint="eastAsia"/>
        </w:rPr>
        <w:t>50bp</w:t>
      </w:r>
      <w:r>
        <w:rPr>
          <w:rFonts w:hint="eastAsia"/>
        </w:rPr>
        <w:t>。</w:t>
      </w:r>
      <w:r>
        <w:rPr>
          <w:rFonts w:hint="eastAsia"/>
        </w:rPr>
        <w:t>1</w:t>
      </w:r>
      <w:r>
        <w:rPr>
          <w:rFonts w:hint="eastAsia"/>
        </w:rPr>
        <w:t>季度中债新综合指数上涨</w:t>
      </w:r>
      <w:r>
        <w:rPr>
          <w:rFonts w:hint="eastAsia"/>
        </w:rPr>
        <w:t>1.9%</w:t>
      </w:r>
      <w:r>
        <w:rPr>
          <w:rFonts w:hint="eastAsia"/>
        </w:rPr>
        <w:t>，年化回报率接近</w:t>
      </w:r>
      <w:r>
        <w:rPr>
          <w:rFonts w:hint="eastAsia"/>
        </w:rPr>
        <w:t>8%</w:t>
      </w:r>
      <w:r>
        <w:rPr>
          <w:rFonts w:hint="eastAsia"/>
        </w:rPr>
        <w:t>。</w:t>
      </w:r>
    </w:p>
    <w:p w:rsidR="003B40B4" w:rsidRDefault="003B40B4" w:rsidP="003B40B4">
      <w:r>
        <w:rPr>
          <w:rFonts w:hint="eastAsia"/>
        </w:rPr>
        <w:t>本基金在</w:t>
      </w:r>
      <w:r>
        <w:rPr>
          <w:rFonts w:hint="eastAsia"/>
        </w:rPr>
        <w:t>1</w:t>
      </w:r>
      <w:r>
        <w:rPr>
          <w:rFonts w:hint="eastAsia"/>
        </w:rPr>
        <w:t>月份准确判断春节前后资金面变化，</w:t>
      </w:r>
      <w:r>
        <w:rPr>
          <w:rFonts w:hint="eastAsia"/>
        </w:rPr>
        <w:t>1</w:t>
      </w:r>
      <w:r>
        <w:rPr>
          <w:rFonts w:hint="eastAsia"/>
        </w:rPr>
        <w:t>月上中旬大幅增配较高利率同业存单和同业存款，同时增加跨春节逆回购资产，审慎操作，在保持基金平稳操作的同时为投资者获取了较好的回报。</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4.4.2</w:t>
      </w:r>
      <w:r w:rsidRPr="004264FD">
        <w:rPr>
          <w:rFonts w:eastAsiaTheme="minorEastAsia"/>
          <w:color w:val="000000" w:themeColor="text1"/>
          <w:szCs w:val="21"/>
        </w:rPr>
        <w:t>报告期内基金的业绩表现</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本报告期内，国联安鑫盛混合</w:t>
      </w:r>
      <w:r w:rsidRPr="004264FD">
        <w:rPr>
          <w:rFonts w:eastAsiaTheme="minorEastAsia"/>
          <w:color w:val="000000" w:themeColor="text1"/>
          <w:szCs w:val="21"/>
        </w:rPr>
        <w:t>A</w:t>
      </w:r>
      <w:r w:rsidRPr="004264FD">
        <w:rPr>
          <w:rFonts w:eastAsiaTheme="minorEastAsia"/>
          <w:color w:val="000000" w:themeColor="text1"/>
          <w:szCs w:val="21"/>
        </w:rPr>
        <w:t>的份额净值增长率为</w:t>
      </w:r>
      <w:r w:rsidRPr="004264FD">
        <w:rPr>
          <w:rFonts w:eastAsiaTheme="minorEastAsia"/>
          <w:color w:val="000000" w:themeColor="text1"/>
          <w:szCs w:val="21"/>
        </w:rPr>
        <w:t>2.24%</w:t>
      </w:r>
      <w:r w:rsidRPr="004264FD">
        <w:rPr>
          <w:rFonts w:eastAsiaTheme="minorEastAsia"/>
          <w:color w:val="000000" w:themeColor="text1"/>
          <w:szCs w:val="21"/>
        </w:rPr>
        <w:t>，同期业绩比较基准收益率为</w:t>
      </w:r>
      <w:r w:rsidRPr="004264FD">
        <w:rPr>
          <w:rFonts w:eastAsiaTheme="minorEastAsia"/>
          <w:color w:val="000000" w:themeColor="text1"/>
          <w:szCs w:val="21"/>
        </w:rPr>
        <w:t>0.45%</w:t>
      </w:r>
      <w:r w:rsidRPr="004264FD">
        <w:rPr>
          <w:rFonts w:eastAsiaTheme="minorEastAsia"/>
          <w:color w:val="000000" w:themeColor="text1"/>
          <w:szCs w:val="21"/>
        </w:rPr>
        <w:t>；国联安鑫盛混合</w:t>
      </w:r>
      <w:r w:rsidRPr="004264FD">
        <w:rPr>
          <w:rFonts w:eastAsiaTheme="minorEastAsia"/>
          <w:color w:val="000000" w:themeColor="text1"/>
          <w:szCs w:val="21"/>
        </w:rPr>
        <w:t>C</w:t>
      </w:r>
      <w:r w:rsidRPr="004264FD">
        <w:rPr>
          <w:rFonts w:eastAsiaTheme="minorEastAsia"/>
          <w:color w:val="000000" w:themeColor="text1"/>
          <w:szCs w:val="21"/>
        </w:rPr>
        <w:t>的份额净值增长率为</w:t>
      </w:r>
      <w:r w:rsidRPr="004264FD">
        <w:rPr>
          <w:rFonts w:eastAsiaTheme="minorEastAsia"/>
          <w:color w:val="000000" w:themeColor="text1"/>
          <w:szCs w:val="21"/>
        </w:rPr>
        <w:t>1.58%</w:t>
      </w:r>
      <w:r w:rsidRPr="004264FD">
        <w:rPr>
          <w:rFonts w:eastAsiaTheme="minorEastAsia"/>
          <w:color w:val="000000" w:themeColor="text1"/>
          <w:szCs w:val="21"/>
        </w:rPr>
        <w:t>，同期业绩比较基准收益率为</w:t>
      </w:r>
      <w:r w:rsidRPr="004264FD">
        <w:rPr>
          <w:rFonts w:eastAsiaTheme="minorEastAsia"/>
          <w:color w:val="000000" w:themeColor="text1"/>
          <w:szCs w:val="21"/>
        </w:rPr>
        <w:t>0.45%</w:t>
      </w:r>
      <w:r w:rsidRPr="004264FD">
        <w:rPr>
          <w:rFonts w:eastAsiaTheme="minorEastAsia"/>
          <w:color w:val="000000" w:themeColor="text1"/>
          <w:szCs w:val="21"/>
        </w:rPr>
        <w:t>。</w:t>
      </w:r>
    </w:p>
    <w:p w:rsidR="000739C3" w:rsidRPr="004264FD" w:rsidRDefault="000739C3" w:rsidP="003F7026">
      <w:pPr>
        <w:spacing w:line="360" w:lineRule="auto"/>
        <w:ind w:firstLineChars="200" w:firstLine="420"/>
        <w:rPr>
          <w:rFonts w:eastAsiaTheme="minorEastAsia"/>
          <w:color w:val="000000" w:themeColor="text1"/>
          <w:szCs w:val="21"/>
        </w:rPr>
      </w:pPr>
    </w:p>
    <w:p w:rsidR="00022662" w:rsidRPr="004264FD" w:rsidRDefault="00D971CB" w:rsidP="00D971CB">
      <w:pPr>
        <w:spacing w:line="360" w:lineRule="auto"/>
        <w:rPr>
          <w:rFonts w:eastAsiaTheme="minorEastAsia"/>
          <w:color w:val="000000" w:themeColor="text1"/>
          <w:szCs w:val="21"/>
        </w:rPr>
      </w:pPr>
      <w:r w:rsidRPr="004264FD">
        <w:rPr>
          <w:rFonts w:eastAsiaTheme="minorEastAsia"/>
          <w:b/>
          <w:color w:val="000000" w:themeColor="text1"/>
          <w:kern w:val="0"/>
          <w:szCs w:val="21"/>
        </w:rPr>
        <w:t>4</w:t>
      </w:r>
      <w:r w:rsidR="004734F0" w:rsidRPr="004264FD">
        <w:rPr>
          <w:rFonts w:eastAsiaTheme="minorEastAsia" w:hint="eastAsia"/>
          <w:b/>
          <w:color w:val="000000" w:themeColor="text1"/>
          <w:kern w:val="0"/>
          <w:szCs w:val="21"/>
        </w:rPr>
        <w:t>.</w:t>
      </w:r>
      <w:r w:rsidR="00B63B6A" w:rsidRPr="004264FD">
        <w:rPr>
          <w:rFonts w:eastAsiaTheme="minorEastAsia" w:hint="eastAsia"/>
          <w:b/>
          <w:color w:val="000000" w:themeColor="text1"/>
          <w:kern w:val="0"/>
          <w:szCs w:val="21"/>
        </w:rPr>
        <w:t>5</w:t>
      </w:r>
      <w:r w:rsidRPr="004264FD">
        <w:rPr>
          <w:rFonts w:asciiTheme="minorEastAsia" w:eastAsiaTheme="minorEastAsia" w:hAnsiTheme="minorEastAsia" w:hint="eastAsia"/>
          <w:b/>
          <w:color w:val="000000" w:themeColor="text1"/>
          <w:kern w:val="0"/>
          <w:szCs w:val="21"/>
        </w:rPr>
        <w:t>报告期内基金持有人数或基金资产净值预警说明</w:t>
      </w:r>
    </w:p>
    <w:p w:rsidR="00D971CB" w:rsidRPr="004264FD" w:rsidRDefault="00D971CB" w:rsidP="00D971CB">
      <w:pPr>
        <w:spacing w:line="360" w:lineRule="auto"/>
        <w:ind w:firstLineChars="200" w:firstLine="420"/>
        <w:rPr>
          <w:rFonts w:eastAsiaTheme="minorEastAsia"/>
          <w:color w:val="000000" w:themeColor="text1"/>
          <w:kern w:val="0"/>
          <w:szCs w:val="21"/>
        </w:rPr>
      </w:pPr>
      <w:r w:rsidRPr="004264FD">
        <w:rPr>
          <w:rFonts w:eastAsiaTheme="minorEastAsia"/>
          <w:color w:val="000000" w:themeColor="text1"/>
          <w:kern w:val="0"/>
          <w:szCs w:val="21"/>
        </w:rPr>
        <w:t>2018</w:t>
      </w:r>
      <w:r w:rsidRPr="004264FD">
        <w:rPr>
          <w:rFonts w:eastAsiaTheme="minorEastAsia"/>
          <w:color w:val="000000" w:themeColor="text1"/>
          <w:kern w:val="0"/>
          <w:szCs w:val="21"/>
        </w:rPr>
        <w:t>年</w:t>
      </w:r>
      <w:r w:rsidRPr="004264FD">
        <w:rPr>
          <w:rFonts w:eastAsiaTheme="minorEastAsia"/>
          <w:color w:val="000000" w:themeColor="text1"/>
          <w:kern w:val="0"/>
          <w:szCs w:val="21"/>
        </w:rPr>
        <w:t>2</w:t>
      </w:r>
      <w:r w:rsidRPr="004264FD">
        <w:rPr>
          <w:rFonts w:eastAsiaTheme="minorEastAsia"/>
          <w:color w:val="000000" w:themeColor="text1"/>
          <w:kern w:val="0"/>
          <w:szCs w:val="21"/>
        </w:rPr>
        <w:t>月</w:t>
      </w:r>
      <w:r w:rsidRPr="004264FD">
        <w:rPr>
          <w:rFonts w:eastAsiaTheme="minorEastAsia"/>
          <w:color w:val="000000" w:themeColor="text1"/>
          <w:kern w:val="0"/>
          <w:szCs w:val="21"/>
        </w:rPr>
        <w:t>1</w:t>
      </w:r>
      <w:r w:rsidRPr="004264FD">
        <w:rPr>
          <w:rFonts w:eastAsiaTheme="minorEastAsia"/>
          <w:color w:val="000000" w:themeColor="text1"/>
          <w:kern w:val="0"/>
          <w:szCs w:val="21"/>
        </w:rPr>
        <w:t>日至</w:t>
      </w:r>
      <w:r w:rsidRPr="004264FD">
        <w:rPr>
          <w:rFonts w:eastAsiaTheme="minorEastAsia"/>
          <w:color w:val="000000" w:themeColor="text1"/>
          <w:kern w:val="0"/>
          <w:szCs w:val="21"/>
        </w:rPr>
        <w:t>2018</w:t>
      </w:r>
      <w:r w:rsidRPr="004264FD">
        <w:rPr>
          <w:rFonts w:eastAsiaTheme="minorEastAsia"/>
          <w:color w:val="000000" w:themeColor="text1"/>
          <w:kern w:val="0"/>
          <w:szCs w:val="21"/>
        </w:rPr>
        <w:t>年</w:t>
      </w:r>
      <w:r w:rsidRPr="004264FD">
        <w:rPr>
          <w:rFonts w:eastAsiaTheme="minorEastAsia"/>
          <w:color w:val="000000" w:themeColor="text1"/>
          <w:kern w:val="0"/>
          <w:szCs w:val="21"/>
        </w:rPr>
        <w:t>3</w:t>
      </w:r>
      <w:r w:rsidRPr="004264FD">
        <w:rPr>
          <w:rFonts w:eastAsiaTheme="minorEastAsia"/>
          <w:color w:val="000000" w:themeColor="text1"/>
          <w:kern w:val="0"/>
          <w:szCs w:val="21"/>
        </w:rPr>
        <w:t>月</w:t>
      </w:r>
      <w:r w:rsidRPr="004264FD">
        <w:rPr>
          <w:rFonts w:eastAsiaTheme="minorEastAsia"/>
          <w:color w:val="000000" w:themeColor="text1"/>
          <w:kern w:val="0"/>
          <w:szCs w:val="21"/>
        </w:rPr>
        <w:t>31</w:t>
      </w:r>
      <w:r w:rsidRPr="004264FD">
        <w:rPr>
          <w:rFonts w:eastAsiaTheme="minorEastAsia"/>
          <w:color w:val="000000" w:themeColor="text1"/>
          <w:kern w:val="0"/>
          <w:szCs w:val="21"/>
        </w:rPr>
        <w:t>日本基金资产净值低于</w:t>
      </w:r>
      <w:r w:rsidRPr="004264FD">
        <w:rPr>
          <w:rFonts w:eastAsiaTheme="minorEastAsia"/>
          <w:color w:val="000000" w:themeColor="text1"/>
          <w:kern w:val="0"/>
          <w:szCs w:val="21"/>
        </w:rPr>
        <w:t>5000</w:t>
      </w:r>
      <w:r w:rsidRPr="004264FD">
        <w:rPr>
          <w:rFonts w:eastAsiaTheme="minorEastAsia"/>
          <w:color w:val="000000" w:themeColor="text1"/>
          <w:kern w:val="0"/>
          <w:szCs w:val="21"/>
        </w:rPr>
        <w:t>万元。</w:t>
      </w:r>
    </w:p>
    <w:p w:rsidR="00D971CB" w:rsidRPr="004264FD" w:rsidRDefault="00D971CB" w:rsidP="00D971CB">
      <w:pPr>
        <w:spacing w:line="360" w:lineRule="auto"/>
        <w:ind w:firstLineChars="200" w:firstLine="420"/>
        <w:rPr>
          <w:rFonts w:asciiTheme="minorEastAsia" w:eastAsiaTheme="minorEastAsia" w:hAnsiTheme="minorEastAsia"/>
          <w:color w:val="000000" w:themeColor="text1"/>
          <w:szCs w:val="21"/>
        </w:rPr>
      </w:pPr>
    </w:p>
    <w:p w:rsidR="009238DB" w:rsidRPr="004264FD" w:rsidRDefault="009238DB" w:rsidP="00AE2F3C">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§5  </w:t>
      </w:r>
      <w:r w:rsidRPr="004264FD">
        <w:rPr>
          <w:rFonts w:eastAsiaTheme="minorEastAsia"/>
          <w:color w:val="000000" w:themeColor="text1"/>
          <w:kern w:val="0"/>
          <w:sz w:val="21"/>
          <w:szCs w:val="21"/>
        </w:rPr>
        <w:t>投资组合报告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5.1 </w:t>
      </w:r>
      <w:r w:rsidRPr="004264FD">
        <w:rPr>
          <w:rFonts w:eastAsiaTheme="minorEastAsia"/>
          <w:b/>
          <w:color w:val="000000" w:themeColor="text1"/>
          <w:kern w:val="0"/>
          <w:szCs w:val="21"/>
        </w:rPr>
        <w:t>报告期末基金资产组合情况</w:t>
      </w:r>
    </w:p>
    <w:tbl>
      <w:tblPr>
        <w:tblStyle w:val="af2"/>
        <w:tblW w:w="8897" w:type="dxa"/>
        <w:tblInd w:w="108" w:type="dxa"/>
        <w:tblLayout w:type="fixed"/>
        <w:tblLook w:val="04A0"/>
      </w:tblPr>
      <w:tblGrid>
        <w:gridCol w:w="720"/>
        <w:gridCol w:w="2824"/>
        <w:gridCol w:w="2552"/>
        <w:gridCol w:w="2801"/>
      </w:tblGrid>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bookmarkStart w:id="1" w:name="OLE_LINK6"/>
            <w:bookmarkStart w:id="2" w:name="OLE_LINK7"/>
            <w:bookmarkStart w:id="3" w:name="OLE_LINK8"/>
            <w:bookmarkStart w:id="4" w:name="OLE_LINK20"/>
            <w:bookmarkStart w:id="5" w:name="OLE_LINK26"/>
            <w:bookmarkStart w:id="6" w:name="OLE_LINK27"/>
            <w:bookmarkStart w:id="7" w:name="OLE_LINK28"/>
            <w:bookmarkStart w:id="8" w:name="OLE_LINK36"/>
            <w:bookmarkStart w:id="9" w:name="OLE_LINK37"/>
            <w:bookmarkStart w:id="10" w:name="OLE_LINK38"/>
            <w:bookmarkStart w:id="11" w:name="OLE_LINK44"/>
            <w:bookmarkStart w:id="12" w:name="OLE_LINK45"/>
            <w:bookmarkStart w:id="13" w:name="OLE_LINK48"/>
            <w:bookmarkStart w:id="14" w:name="OLE_LINK49"/>
            <w:bookmarkStart w:id="15" w:name="OLE_LINK58"/>
            <w:bookmarkStart w:id="16" w:name="OLE_LINK59"/>
            <w:bookmarkStart w:id="17" w:name="OLE_LINK60"/>
            <w:bookmarkStart w:id="18" w:name="OLE_LINK61"/>
            <w:bookmarkStart w:id="19" w:name="OLE_LINK67"/>
            <w:bookmarkStart w:id="20" w:name="OLE_LINK69"/>
            <w:r w:rsidRPr="00A6438B">
              <w:rPr>
                <w:rFonts w:eastAsiaTheme="minorEastAsia"/>
                <w:color w:val="000000" w:themeColor="text1"/>
                <w:szCs w:val="21"/>
              </w:rPr>
              <w:t>序号</w:t>
            </w:r>
          </w:p>
        </w:tc>
        <w:tc>
          <w:tcPr>
            <w:tcW w:w="2824"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项目</w:t>
            </w:r>
          </w:p>
        </w:tc>
        <w:tc>
          <w:tcPr>
            <w:tcW w:w="2552"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金额</w:t>
            </w:r>
            <w:r w:rsidRPr="00A6438B">
              <w:rPr>
                <w:rFonts w:eastAsiaTheme="minorEastAsia"/>
                <w:color w:val="000000" w:themeColor="text1"/>
                <w:szCs w:val="21"/>
              </w:rPr>
              <w:t>(</w:t>
            </w:r>
            <w:r w:rsidRPr="00A6438B">
              <w:rPr>
                <w:rFonts w:eastAsiaTheme="minorEastAsia"/>
                <w:color w:val="000000" w:themeColor="text1"/>
                <w:szCs w:val="21"/>
              </w:rPr>
              <w:t>元</w:t>
            </w: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占基金总资产的比例</w:t>
            </w: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1</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权益投资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其中：股票</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2</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ascii="宋体" w:hAnsi="宋体" w:hint="eastAsia"/>
                <w:szCs w:val="21"/>
              </w:rPr>
              <w:t>基金投资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hint="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hint="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3</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固定收益投资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1,299,610.00</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78.16</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其中：债券</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1,299,610.00</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78.16</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autoSpaceDE w:val="0"/>
              <w:autoSpaceDN w:val="0"/>
              <w:adjustRightInd w:val="0"/>
              <w:spacing w:before="29" w:line="360" w:lineRule="auto"/>
              <w:ind w:left="17" w:firstLineChars="300" w:firstLine="630"/>
              <w:jc w:val="left"/>
              <w:rPr>
                <w:rFonts w:eastAsiaTheme="minorEastAsia"/>
                <w:color w:val="000000" w:themeColor="text1"/>
                <w:szCs w:val="21"/>
              </w:rPr>
            </w:pPr>
            <w:r w:rsidRPr="00A6438B">
              <w:rPr>
                <w:rFonts w:eastAsiaTheme="minorEastAsia"/>
                <w:color w:val="000000" w:themeColor="text1"/>
                <w:szCs w:val="21"/>
              </w:rPr>
              <w:t>资产支持证券</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4</w:t>
            </w:r>
          </w:p>
        </w:tc>
        <w:tc>
          <w:tcPr>
            <w:tcW w:w="2824" w:type="dxa"/>
            <w:vAlign w:val="center"/>
          </w:tcPr>
          <w:p w:rsidR="003944F9" w:rsidRPr="00A6438B" w:rsidRDefault="003944F9" w:rsidP="00AC5768">
            <w:pPr>
              <w:spacing w:before="29" w:line="360" w:lineRule="auto"/>
              <w:ind w:leftChars="50" w:left="105"/>
              <w:rPr>
                <w:rFonts w:eastAsiaTheme="minorEastAsia"/>
                <w:color w:val="000000" w:themeColor="text1"/>
                <w:szCs w:val="21"/>
              </w:rPr>
            </w:pPr>
            <w:r w:rsidRPr="00A6438B">
              <w:rPr>
                <w:rFonts w:eastAsiaTheme="minorEastAsia"/>
                <w:color w:val="000000" w:themeColor="text1"/>
                <w:szCs w:val="21"/>
              </w:rPr>
              <w:t>贵金属投资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5</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金融衍生品投资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6</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买入返售金融资产</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其中：买断式回购的买入返售金融资产</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7</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银行存款和结算备付金合计</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196,690.36</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11.83</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8</w:t>
            </w:r>
          </w:p>
        </w:tc>
        <w:tc>
          <w:tcPr>
            <w:tcW w:w="2824" w:type="dxa"/>
            <w:vAlign w:val="center"/>
          </w:tcPr>
          <w:p w:rsidR="003944F9" w:rsidRPr="00A6438B" w:rsidRDefault="003944F9" w:rsidP="00AC5768">
            <w:pPr>
              <w:spacing w:line="360" w:lineRule="auto"/>
              <w:rPr>
                <w:rFonts w:eastAsiaTheme="minorEastAsia"/>
                <w:color w:val="000000" w:themeColor="text1"/>
                <w:szCs w:val="21"/>
              </w:rPr>
            </w:pPr>
            <w:r w:rsidRPr="00A6438B">
              <w:rPr>
                <w:rFonts w:eastAsiaTheme="minorEastAsia"/>
                <w:color w:val="000000" w:themeColor="text1"/>
                <w:szCs w:val="21"/>
              </w:rPr>
              <w:t>其他各项资产</w:t>
            </w:r>
          </w:p>
        </w:tc>
        <w:tc>
          <w:tcPr>
            <w:tcW w:w="2552"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166,478.34</w:t>
            </w:r>
          </w:p>
        </w:tc>
        <w:tc>
          <w:tcPr>
            <w:tcW w:w="2801"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10.01</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9</w:t>
            </w:r>
          </w:p>
        </w:tc>
        <w:tc>
          <w:tcPr>
            <w:tcW w:w="2824" w:type="dxa"/>
            <w:vAlign w:val="center"/>
          </w:tcPr>
          <w:p w:rsidR="003944F9" w:rsidRPr="00A6438B" w:rsidRDefault="003944F9" w:rsidP="00AC5768">
            <w:pPr>
              <w:spacing w:line="360" w:lineRule="auto"/>
              <w:rPr>
                <w:rFonts w:eastAsiaTheme="minorEastAsia"/>
                <w:color w:val="000000" w:themeColor="text1"/>
                <w:szCs w:val="21"/>
              </w:rPr>
            </w:pPr>
            <w:r w:rsidRPr="00A6438B">
              <w:rPr>
                <w:rFonts w:eastAsiaTheme="minorEastAsia"/>
                <w:color w:val="000000" w:themeColor="text1"/>
                <w:szCs w:val="21"/>
              </w:rPr>
              <w:t>合计</w:t>
            </w:r>
          </w:p>
        </w:tc>
        <w:tc>
          <w:tcPr>
            <w:tcW w:w="2552"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1,662,778.70</w:t>
            </w:r>
          </w:p>
        </w:tc>
        <w:tc>
          <w:tcPr>
            <w:tcW w:w="2801"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100.00</w:t>
            </w:r>
          </w:p>
        </w:tc>
      </w:tr>
    </w:tbl>
    <w:p w:rsidR="003944F9" w:rsidRPr="00A6438B" w:rsidRDefault="003944F9" w:rsidP="003944F9">
      <w:pPr>
        <w:autoSpaceDE w:val="0"/>
        <w:autoSpaceDN w:val="0"/>
        <w:adjustRightInd w:val="0"/>
        <w:spacing w:line="360" w:lineRule="auto"/>
        <w:ind w:firstLineChars="200" w:firstLine="420"/>
        <w:jc w:val="left"/>
        <w:rPr>
          <w:rFonts w:eastAsiaTheme="minorEastAsia"/>
          <w:color w:val="000000" w:themeColor="text1"/>
          <w:szCs w:val="21"/>
        </w:rPr>
      </w:pPr>
      <w:r w:rsidRPr="00A6438B">
        <w:rPr>
          <w:rFonts w:eastAsiaTheme="minorEastAsia"/>
          <w:color w:val="000000" w:themeColor="text1"/>
          <w:szCs w:val="21"/>
        </w:rPr>
        <w:t>注：由于四舍五入的原因，分项之和与合计项可能存在尾差。</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9238DB"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5.2 </w:t>
      </w:r>
      <w:r w:rsidRPr="004264FD">
        <w:rPr>
          <w:rFonts w:eastAsiaTheme="minorEastAsia"/>
          <w:b/>
          <w:color w:val="000000" w:themeColor="text1"/>
          <w:kern w:val="0"/>
          <w:szCs w:val="21"/>
        </w:rPr>
        <w:t>报告期末按行业分类的股票投资组合</w:t>
      </w:r>
    </w:p>
    <w:p w:rsidR="00B459CD" w:rsidRPr="00B459CD" w:rsidRDefault="00B459CD" w:rsidP="00B459CD">
      <w:pPr>
        <w:rPr>
          <w:b/>
        </w:rPr>
      </w:pPr>
      <w:r w:rsidRPr="00B459CD">
        <w:rPr>
          <w:rFonts w:eastAsiaTheme="minorEastAsia" w:hint="eastAsia"/>
          <w:b/>
          <w:color w:val="000000" w:themeColor="text1"/>
          <w:kern w:val="0"/>
          <w:szCs w:val="21"/>
        </w:rPr>
        <w:t>5.2.1</w:t>
      </w:r>
      <w:r w:rsidRPr="00B459CD">
        <w:rPr>
          <w:rFonts w:eastAsiaTheme="minorEastAsia" w:hint="eastAsia"/>
          <w:b/>
          <w:color w:val="000000" w:themeColor="text1"/>
          <w:kern w:val="0"/>
          <w:szCs w:val="21"/>
        </w:rPr>
        <w:t>报告期末按行业分类的境内股票投资组合</w:t>
      </w:r>
    </w:p>
    <w:p w:rsidR="009238DB"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B459CD" w:rsidRPr="00B459CD" w:rsidRDefault="00B459CD" w:rsidP="00B459CD">
      <w:pPr>
        <w:jc w:val="left"/>
        <w:rPr>
          <w:b/>
        </w:rPr>
      </w:pPr>
      <w:r w:rsidRPr="00B459CD">
        <w:rPr>
          <w:rFonts w:ascii="宋体" w:hAnsi="宋体" w:hint="eastAsia"/>
          <w:b/>
          <w:kern w:val="0"/>
          <w:sz w:val="18"/>
        </w:rPr>
        <w:t>5.2.2</w:t>
      </w:r>
      <w:r w:rsidRPr="00B459CD">
        <w:rPr>
          <w:rFonts w:hint="eastAsia"/>
          <w:b/>
        </w:rPr>
        <w:t>报告期末按行业分类的</w:t>
      </w:r>
      <w:r w:rsidR="00B6544A">
        <w:rPr>
          <w:rFonts w:hint="eastAsia"/>
          <w:b/>
        </w:rPr>
        <w:t>港股通</w:t>
      </w:r>
      <w:r w:rsidRPr="00B459CD">
        <w:rPr>
          <w:rFonts w:hint="eastAsia"/>
          <w:b/>
        </w:rPr>
        <w:t>投资股票投资组合</w:t>
      </w:r>
    </w:p>
    <w:p w:rsidR="00B459CD" w:rsidRPr="00B459CD" w:rsidRDefault="00B459CD" w:rsidP="00B459CD">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本基金本报告期末未持有港股通投资股票。</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5.3 </w:t>
      </w:r>
      <w:r w:rsidRPr="004264FD">
        <w:rPr>
          <w:rFonts w:eastAsiaTheme="minorEastAsia"/>
          <w:b/>
          <w:color w:val="000000" w:themeColor="text1"/>
          <w:kern w:val="0"/>
          <w:szCs w:val="21"/>
        </w:rPr>
        <w:t>报告期末按公允价值占基金资产净值比例大小排序的前十名股票投资明细</w:t>
      </w:r>
    </w:p>
    <w:p w:rsidR="009238DB" w:rsidRPr="004264FD"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5.4 </w:t>
      </w:r>
      <w:r w:rsidRPr="004264FD">
        <w:rPr>
          <w:rFonts w:eastAsiaTheme="minorEastAsia"/>
          <w:b/>
          <w:color w:val="000000" w:themeColor="text1"/>
          <w:kern w:val="0"/>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260"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债券品种</w:t>
            </w:r>
          </w:p>
        </w:tc>
        <w:tc>
          <w:tcPr>
            <w:tcW w:w="2835"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公允价值</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占基金资产净值比例</w:t>
            </w:r>
            <w:r w:rsidRPr="004264FD">
              <w:rPr>
                <w:rFonts w:eastAsiaTheme="minorEastAsia"/>
                <w:color w:val="000000" w:themeColor="text1"/>
                <w:szCs w:val="21"/>
              </w:rPr>
              <w:t>(</w:t>
            </w:r>
            <w:r w:rsidRPr="004264FD">
              <w:rPr>
                <w:rFonts w:eastAsiaTheme="minorEastAsia"/>
                <w:color w:val="000000" w:themeColor="text1"/>
                <w:szCs w:val="21"/>
              </w:rPr>
              <w:t>％</w:t>
            </w: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国家债券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央行票据</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1,299,610.00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84.94</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其中：政策性金融债</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1,299,610.00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84.94</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企业短期融资</w:t>
            </w:r>
            <w:r w:rsidR="00FA786F" w:rsidRPr="004264FD">
              <w:rPr>
                <w:rFonts w:eastAsiaTheme="minorEastAsia"/>
                <w:color w:val="000000" w:themeColor="text1"/>
                <w:szCs w:val="21"/>
              </w:rPr>
              <w:t>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BE4FD1">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260" w:type="dxa"/>
            <w:vAlign w:val="center"/>
          </w:tcPr>
          <w:p w:rsidR="00686943" w:rsidRPr="004264FD" w:rsidRDefault="00686943" w:rsidP="00BE4FD1">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中期票据</w:t>
            </w:r>
          </w:p>
        </w:tc>
        <w:tc>
          <w:tcPr>
            <w:tcW w:w="2835"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可转债</w:t>
            </w:r>
            <w:r w:rsidR="00D50E1A">
              <w:rPr>
                <w:rFonts w:eastAsiaTheme="minorEastAsia" w:hint="eastAsia"/>
                <w:color w:val="000000" w:themeColor="text1"/>
                <w:szCs w:val="21"/>
              </w:rPr>
              <w:t>（可交换债）</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8926E3" w:rsidRPr="004264FD" w:rsidTr="00B54782">
        <w:tc>
          <w:tcPr>
            <w:tcW w:w="817" w:type="dxa"/>
            <w:vAlign w:val="center"/>
          </w:tcPr>
          <w:p w:rsidR="008926E3" w:rsidRPr="004264FD" w:rsidRDefault="008926E3" w:rsidP="00296E4A">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926E3" w:rsidRPr="004264FD" w:rsidRDefault="008926E3" w:rsidP="00296E4A">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9</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其他</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10</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合计</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1,299,610.00</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84.94</w:t>
            </w:r>
          </w:p>
        </w:tc>
      </w:tr>
    </w:tbl>
    <w:p w:rsidR="009238DB" w:rsidRPr="004264FD" w:rsidRDefault="00296E4A"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注：由于四舍五入的原因，分项之和与合计项可能存在尾差。</w:t>
      </w:r>
    </w:p>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5.5 </w:t>
      </w:r>
      <w:r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的前五名债券投资明细</w:t>
      </w:r>
    </w:p>
    <w:tbl>
      <w:tblPr>
        <w:tblStyle w:val="af2"/>
        <w:tblW w:w="0" w:type="auto"/>
        <w:tblInd w:w="108" w:type="dxa"/>
        <w:tblLayout w:type="fixed"/>
        <w:tblLook w:val="04A0"/>
      </w:tblPr>
      <w:tblGrid>
        <w:gridCol w:w="1504"/>
        <w:gridCol w:w="1504"/>
        <w:gridCol w:w="1504"/>
        <w:gridCol w:w="1503"/>
        <w:gridCol w:w="1503"/>
        <w:gridCol w:w="1503"/>
      </w:tblGrid>
      <w:tr w:rsidR="004264FD" w:rsidRPr="004264FD" w:rsidTr="00B54782">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债券代码</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债券名称</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数量（张）</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公允价值</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占基金资产净值比</w:t>
            </w:r>
            <w:r w:rsidR="00334656" w:rsidRPr="004264FD">
              <w:rPr>
                <w:rFonts w:eastAsiaTheme="minorEastAsia"/>
                <w:color w:val="000000" w:themeColor="text1"/>
                <w:kern w:val="0"/>
                <w:szCs w:val="21"/>
              </w:rPr>
              <w:t>例</w:t>
            </w:r>
            <w:r w:rsidRPr="004264FD">
              <w:rPr>
                <w:rFonts w:eastAsiaTheme="minorEastAsia"/>
                <w:color w:val="000000" w:themeColor="text1"/>
                <w:kern w:val="0"/>
                <w:szCs w:val="21"/>
              </w:rPr>
              <w:t>（％）</w:t>
            </w:r>
          </w:p>
        </w:tc>
      </w:tr>
      <w:tr w:rsidR="00122EAB">
        <w:tc>
          <w:tcPr>
            <w:tcW w:w="1504" w:type="dxa"/>
            <w:vAlign w:val="center"/>
          </w:tcPr>
          <w:p w:rsidR="00122EAB" w:rsidRDefault="007C5C16">
            <w:pPr>
              <w:jc w:val="center"/>
            </w:pPr>
            <w:r>
              <w:rPr>
                <w:rFonts w:eastAsiaTheme="minorEastAsia"/>
                <w:color w:val="000000" w:themeColor="text1"/>
                <w:szCs w:val="21"/>
              </w:rPr>
              <w:t>1</w:t>
            </w:r>
          </w:p>
        </w:tc>
        <w:tc>
          <w:tcPr>
            <w:tcW w:w="1504" w:type="dxa"/>
            <w:vAlign w:val="center"/>
          </w:tcPr>
          <w:p w:rsidR="00122EAB" w:rsidRDefault="007C5C16">
            <w:pPr>
              <w:jc w:val="center"/>
            </w:pPr>
            <w:r>
              <w:rPr>
                <w:rFonts w:eastAsiaTheme="minorEastAsia"/>
                <w:color w:val="000000" w:themeColor="text1"/>
                <w:szCs w:val="21"/>
              </w:rPr>
              <w:t>108601</w:t>
            </w:r>
          </w:p>
        </w:tc>
        <w:tc>
          <w:tcPr>
            <w:tcW w:w="1504" w:type="dxa"/>
            <w:vAlign w:val="center"/>
          </w:tcPr>
          <w:p w:rsidR="00122EAB" w:rsidRDefault="007C5C16">
            <w:pPr>
              <w:jc w:val="center"/>
            </w:pPr>
            <w:r>
              <w:rPr>
                <w:rFonts w:eastAsiaTheme="minorEastAsia"/>
                <w:color w:val="000000" w:themeColor="text1"/>
                <w:szCs w:val="21"/>
              </w:rPr>
              <w:t>国开</w:t>
            </w:r>
            <w:r>
              <w:rPr>
                <w:rFonts w:eastAsiaTheme="minorEastAsia"/>
                <w:color w:val="000000" w:themeColor="text1"/>
                <w:szCs w:val="21"/>
              </w:rPr>
              <w:t>1703</w:t>
            </w:r>
          </w:p>
        </w:tc>
        <w:tc>
          <w:tcPr>
            <w:tcW w:w="1503" w:type="dxa"/>
            <w:vAlign w:val="center"/>
          </w:tcPr>
          <w:p w:rsidR="00122EAB" w:rsidRDefault="007C5C16">
            <w:pPr>
              <w:jc w:val="right"/>
            </w:pPr>
            <w:r>
              <w:rPr>
                <w:rFonts w:eastAsiaTheme="minorEastAsia"/>
                <w:color w:val="000000" w:themeColor="text1"/>
                <w:szCs w:val="21"/>
              </w:rPr>
              <w:t>13,000</w:t>
            </w:r>
          </w:p>
        </w:tc>
        <w:tc>
          <w:tcPr>
            <w:tcW w:w="1503" w:type="dxa"/>
            <w:vAlign w:val="center"/>
          </w:tcPr>
          <w:p w:rsidR="00122EAB" w:rsidRDefault="007C5C16">
            <w:pPr>
              <w:jc w:val="right"/>
            </w:pPr>
            <w:r>
              <w:rPr>
                <w:rFonts w:eastAsiaTheme="minorEastAsia"/>
                <w:color w:val="000000" w:themeColor="text1"/>
                <w:szCs w:val="21"/>
              </w:rPr>
              <w:t>1,299,610.00</w:t>
            </w:r>
          </w:p>
        </w:tc>
        <w:tc>
          <w:tcPr>
            <w:tcW w:w="1503" w:type="dxa"/>
            <w:vAlign w:val="center"/>
          </w:tcPr>
          <w:p w:rsidR="00122EAB" w:rsidRDefault="007C5C16">
            <w:pPr>
              <w:jc w:val="right"/>
            </w:pPr>
            <w:r>
              <w:rPr>
                <w:rFonts w:eastAsiaTheme="minorEastAsia"/>
                <w:color w:val="000000" w:themeColor="text1"/>
                <w:szCs w:val="21"/>
              </w:rPr>
              <w:t>84.94</w:t>
            </w:r>
          </w:p>
        </w:tc>
      </w:tr>
    </w:tbl>
    <w:p w:rsidR="009238DB" w:rsidRPr="004264FD" w:rsidRDefault="009238DB"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5.6</w:t>
      </w:r>
      <w:r w:rsidRPr="004264FD">
        <w:rPr>
          <w:rFonts w:eastAsiaTheme="minorEastAsia"/>
          <w:b/>
          <w:color w:val="000000" w:themeColor="text1"/>
          <w:kern w:val="0"/>
          <w:szCs w:val="21"/>
        </w:rPr>
        <w:t xml:space="preserve">　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的前十名资产支持证券投资明细</w:t>
      </w:r>
    </w:p>
    <w:p w:rsidR="009238DB"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本基金本报告期末未持有资产支持证券。</w:t>
      </w:r>
    </w:p>
    <w:p w:rsidR="006D462B" w:rsidRPr="004264FD" w:rsidRDefault="006D462B" w:rsidP="00AE2F3C">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 xml:space="preserve">5.7 </w:t>
      </w:r>
      <w:r w:rsidRPr="004264FD">
        <w:rPr>
          <w:rFonts w:eastAsiaTheme="minorEastAsia"/>
          <w:b/>
          <w:bCs/>
          <w:color w:val="000000" w:themeColor="text1"/>
          <w:kern w:val="0"/>
          <w:szCs w:val="21"/>
        </w:rPr>
        <w:t>报告期末按公允价值占基金资产净值比例大小排序的前五名贵金属投资明细</w:t>
      </w:r>
    </w:p>
    <w:p w:rsidR="006D462B" w:rsidRPr="004264FD" w:rsidRDefault="006D462B" w:rsidP="00B54782">
      <w:pPr>
        <w:widowControl/>
        <w:spacing w:line="360" w:lineRule="auto"/>
        <w:ind w:firstLineChars="200" w:firstLine="420"/>
        <w:jc w:val="left"/>
        <w:rPr>
          <w:color w:val="000000" w:themeColor="text1"/>
          <w:szCs w:val="21"/>
        </w:rPr>
      </w:pPr>
      <w:r w:rsidRPr="004264FD">
        <w:rPr>
          <w:color w:val="000000" w:themeColor="text1"/>
          <w:szCs w:val="21"/>
        </w:rPr>
        <w:t>本基金本报告期末未持有贵金属。</w:t>
      </w:r>
    </w:p>
    <w:p w:rsidR="009238DB" w:rsidRPr="004264FD" w:rsidRDefault="001D5CD0"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w:t>
      </w:r>
      <w:r w:rsidR="009238DB" w:rsidRPr="004264FD">
        <w:rPr>
          <w:rFonts w:eastAsiaTheme="minorEastAsia"/>
          <w:b/>
          <w:color w:val="000000" w:themeColor="text1"/>
          <w:kern w:val="0"/>
          <w:szCs w:val="21"/>
        </w:rPr>
        <w:t>.</w:t>
      </w:r>
      <w:r w:rsidRPr="004264FD">
        <w:rPr>
          <w:rFonts w:eastAsiaTheme="minorEastAsia"/>
          <w:b/>
          <w:color w:val="000000" w:themeColor="text1"/>
          <w:kern w:val="0"/>
          <w:szCs w:val="21"/>
        </w:rPr>
        <w:t>8</w:t>
      </w:r>
      <w:r w:rsidR="009238DB"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009238DB" w:rsidRPr="004264FD">
        <w:rPr>
          <w:rFonts w:eastAsiaTheme="minorEastAsia"/>
          <w:b/>
          <w:color w:val="000000" w:themeColor="text1"/>
          <w:kern w:val="0"/>
          <w:szCs w:val="21"/>
        </w:rPr>
        <w:t>的前五名权证投资明细</w:t>
      </w:r>
    </w:p>
    <w:p w:rsidR="001D5CD0"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本基金本报告期末未持有权证。</w:t>
      </w:r>
    </w:p>
    <w:p w:rsidR="001D5CD0" w:rsidRPr="004264FD" w:rsidRDefault="001D5CD0" w:rsidP="00AE2F3C">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 </w:t>
      </w:r>
      <w:r w:rsidRPr="004264FD">
        <w:rPr>
          <w:rFonts w:eastAsiaTheme="minorEastAsia"/>
          <w:b/>
          <w:color w:val="000000" w:themeColor="text1"/>
          <w:szCs w:val="21"/>
        </w:rPr>
        <w:t>报告期末本基金投资的股指期货交易情况说明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5.9.1 </w:t>
      </w:r>
      <w:r w:rsidRPr="004264FD">
        <w:rPr>
          <w:rFonts w:eastAsiaTheme="minorEastAsia"/>
          <w:b/>
          <w:color w:val="000000" w:themeColor="text1"/>
          <w:szCs w:val="21"/>
        </w:rPr>
        <w:t>报告期末本基金投资的股指期货持仓和损益明细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本基金本报告期末未持有股指期货。</w:t>
      </w:r>
    </w:p>
    <w:p w:rsidR="001D5CD0" w:rsidRPr="004264FD" w:rsidRDefault="001D5CD0" w:rsidP="00AE2F3C">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5.9.2 </w:t>
      </w:r>
      <w:r w:rsidRPr="004264FD">
        <w:rPr>
          <w:rFonts w:eastAsiaTheme="minorEastAsia"/>
          <w:b/>
          <w:color w:val="000000" w:themeColor="text1"/>
          <w:szCs w:val="21"/>
        </w:rPr>
        <w:t>本基金投资股指期货的投资政策</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本基金本报告期末未持有股指期货，没有相关投资政策。</w:t>
      </w:r>
    </w:p>
    <w:p w:rsidR="001D5CD0" w:rsidRPr="004264FD" w:rsidRDefault="001D5CD0" w:rsidP="00AE2F3C">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5.10</w:t>
      </w:r>
      <w:r w:rsidRPr="004264FD">
        <w:rPr>
          <w:rFonts w:eastAsiaTheme="minorEastAsia"/>
          <w:b/>
          <w:color w:val="000000" w:themeColor="text1"/>
          <w:szCs w:val="21"/>
        </w:rPr>
        <w:t>报告期末本基金投资的国债期货交易情况说明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5.10.1 </w:t>
      </w:r>
      <w:r w:rsidRPr="004264FD">
        <w:rPr>
          <w:rFonts w:eastAsiaTheme="minorEastAsia"/>
          <w:b/>
          <w:color w:val="000000" w:themeColor="text1"/>
          <w:szCs w:val="21"/>
        </w:rPr>
        <w:t>本期国债期货投资政策</w:t>
      </w:r>
    </w:p>
    <w:p w:rsidR="001D5CD0" w:rsidRPr="004264FD" w:rsidRDefault="001D5CD0"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本基金本报告期末未持有国债期货，没有相关投资政策。</w:t>
      </w:r>
    </w:p>
    <w:p w:rsidR="001D5CD0" w:rsidRPr="004264FD" w:rsidRDefault="001D5CD0" w:rsidP="001D5CD0">
      <w:pPr>
        <w:autoSpaceDE w:val="0"/>
        <w:autoSpaceDN w:val="0"/>
        <w:adjustRightInd w:val="0"/>
        <w:spacing w:line="360" w:lineRule="auto"/>
        <w:jc w:val="left"/>
        <w:rPr>
          <w:rFonts w:eastAsiaTheme="minorEastAsia"/>
          <w:b/>
          <w:color w:val="000000" w:themeColor="text1"/>
          <w:szCs w:val="21"/>
        </w:rPr>
      </w:pPr>
      <w:r w:rsidRPr="004264FD">
        <w:rPr>
          <w:rFonts w:eastAsiaTheme="minorEastAsia"/>
          <w:b/>
          <w:color w:val="000000" w:themeColor="text1"/>
          <w:szCs w:val="21"/>
        </w:rPr>
        <w:t xml:space="preserve">5.10.2 </w:t>
      </w:r>
      <w:r w:rsidRPr="004264FD">
        <w:rPr>
          <w:rFonts w:eastAsiaTheme="minorEastAsia"/>
          <w:b/>
          <w:color w:val="000000" w:themeColor="text1"/>
          <w:szCs w:val="21"/>
        </w:rPr>
        <w:t>报告期末本基金投资的国债期货持仓和损益明细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5.10.3 </w:t>
      </w:r>
      <w:r w:rsidRPr="004264FD">
        <w:rPr>
          <w:rFonts w:eastAsiaTheme="minorEastAsia"/>
          <w:b/>
          <w:color w:val="000000" w:themeColor="text1"/>
          <w:szCs w:val="21"/>
        </w:rPr>
        <w:t>本期国债期货投资评价</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本基金本报告期末未持有国债期货，没有相关投资评价。</w:t>
      </w:r>
    </w:p>
    <w:p w:rsidR="001D5CD0" w:rsidRPr="004264FD" w:rsidRDefault="001D5CD0"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w:t>
      </w:r>
      <w:r w:rsidRPr="004264FD">
        <w:rPr>
          <w:rFonts w:eastAsiaTheme="minorEastAsia"/>
          <w:b/>
          <w:color w:val="000000" w:themeColor="text1"/>
          <w:kern w:val="0"/>
          <w:szCs w:val="21"/>
        </w:rPr>
        <w:t>投资组合报告附注</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5.11.1</w:t>
      </w:r>
      <w:r w:rsidRPr="004264FD">
        <w:rPr>
          <w:rFonts w:eastAsiaTheme="minorEastAsia"/>
          <w:color w:val="000000" w:themeColor="text1"/>
          <w:szCs w:val="21"/>
        </w:rPr>
        <w:t>本报告期内，经查询上海证券交易所、深圳证券交易所等机构公开信息披露平台，本基金投资的前十名证券的发行主体没有出现被监管部门立案调查，或在本报告编制日前一年内受到公开谴责、处罚的情形。</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5.11.2</w:t>
      </w:r>
      <w:r w:rsidRPr="004264FD">
        <w:rPr>
          <w:rFonts w:eastAsiaTheme="minorEastAsia"/>
          <w:color w:val="000000" w:themeColor="text1"/>
          <w:szCs w:val="21"/>
        </w:rPr>
        <w:t>本基金投资的前十名股票中，没有投资于超出基金合同规定备选股票库之外的股票。</w:t>
      </w:r>
    </w:p>
    <w:p w:rsidR="001D5CD0" w:rsidRPr="004264FD" w:rsidRDefault="001D5CD0" w:rsidP="001D5CD0">
      <w:pPr>
        <w:autoSpaceDE w:val="0"/>
        <w:autoSpaceDN w:val="0"/>
        <w:adjustRightInd w:val="0"/>
        <w:spacing w:line="360" w:lineRule="auto"/>
        <w:rPr>
          <w:rFonts w:eastAsiaTheme="minorEastAsia"/>
          <w:b/>
          <w:color w:val="000000" w:themeColor="text1"/>
          <w:kern w:val="0"/>
          <w:szCs w:val="21"/>
        </w:rPr>
      </w:pPr>
      <w:r w:rsidRPr="004264FD">
        <w:rPr>
          <w:rFonts w:eastAsiaTheme="minorEastAsia"/>
          <w:b/>
          <w:color w:val="000000" w:themeColor="text1"/>
          <w:kern w:val="0"/>
          <w:szCs w:val="21"/>
        </w:rPr>
        <w:t>5.11.3</w:t>
      </w:r>
      <w:r w:rsidR="00B22511" w:rsidRPr="00B22511">
        <w:rPr>
          <w:rFonts w:eastAsiaTheme="minorEastAsia" w:hint="eastAsia"/>
          <w:b/>
          <w:color w:val="000000" w:themeColor="text1"/>
          <w:kern w:val="0"/>
          <w:szCs w:val="21"/>
        </w:rPr>
        <w:t>其他资产构成</w:t>
      </w:r>
    </w:p>
    <w:tbl>
      <w:tblPr>
        <w:tblStyle w:val="af2"/>
        <w:tblW w:w="0" w:type="auto"/>
        <w:tblInd w:w="108" w:type="dxa"/>
        <w:tblLook w:val="04A0"/>
      </w:tblPr>
      <w:tblGrid>
        <w:gridCol w:w="944"/>
        <w:gridCol w:w="2761"/>
        <w:gridCol w:w="4808"/>
      </w:tblGrid>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2761"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名称</w:t>
            </w:r>
          </w:p>
        </w:tc>
        <w:tc>
          <w:tcPr>
            <w:tcW w:w="4808"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金额</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kern w:val="0"/>
                <w:szCs w:val="21"/>
              </w:rPr>
            </w:pPr>
            <w:r w:rsidRPr="004264FD">
              <w:rPr>
                <w:rFonts w:eastAsiaTheme="minorEastAsia"/>
                <w:color w:val="000000" w:themeColor="text1"/>
                <w:szCs w:val="21"/>
              </w:rPr>
              <w:t>1</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存出保证金</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123,558.01</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2</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应收证券清算款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3</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应收股利</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4</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应收利息</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42,920.33</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5</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应收申购款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6</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其他应收款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7</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szCs w:val="21"/>
              </w:rPr>
            </w:pPr>
            <w:r w:rsidRPr="004264FD">
              <w:rPr>
                <w:rFonts w:eastAsiaTheme="minorEastAsia"/>
                <w:color w:val="000000" w:themeColor="text1"/>
                <w:szCs w:val="21"/>
              </w:rPr>
              <w:t>待摊费用</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8</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9</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合计</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166,478.34</w:t>
            </w:r>
          </w:p>
        </w:tc>
      </w:tr>
    </w:tbl>
    <w:p w:rsidR="001D5CD0" w:rsidRPr="004264FD" w:rsidRDefault="001D5CD0" w:rsidP="00AE2F3C">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5.11.4</w:t>
      </w:r>
      <w:r w:rsidRPr="004264FD">
        <w:rPr>
          <w:rFonts w:eastAsiaTheme="minorEastAsia"/>
          <w:b/>
          <w:color w:val="000000" w:themeColor="text1"/>
          <w:kern w:val="0"/>
          <w:szCs w:val="21"/>
        </w:rPr>
        <w:t>报告期末持有的处于转股期的可转换债券明细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本基金本报告期末未持有处于转股期的可转换债券。</w:t>
      </w:r>
    </w:p>
    <w:p w:rsidR="001D5CD0" w:rsidRPr="004264FD" w:rsidRDefault="001D5CD0" w:rsidP="00AE2F3C">
      <w:pPr>
        <w:autoSpaceDE w:val="0"/>
        <w:autoSpaceDN w:val="0"/>
        <w:adjustRightInd w:val="0"/>
        <w:spacing w:beforeLines="100" w:line="360" w:lineRule="auto"/>
        <w:jc w:val="left"/>
        <w:rPr>
          <w:rFonts w:eastAsiaTheme="minorEastAsia"/>
          <w:b/>
          <w:bCs/>
          <w:color w:val="000000" w:themeColor="text1"/>
          <w:szCs w:val="21"/>
        </w:rPr>
      </w:pPr>
      <w:r w:rsidRPr="004264FD">
        <w:rPr>
          <w:rFonts w:eastAsiaTheme="minorEastAsia"/>
          <w:b/>
          <w:color w:val="000000" w:themeColor="text1"/>
          <w:kern w:val="0"/>
          <w:szCs w:val="21"/>
        </w:rPr>
        <w:t>5.11.5</w:t>
      </w:r>
      <w:r w:rsidRPr="004264FD">
        <w:rPr>
          <w:rFonts w:eastAsiaTheme="minorEastAsia"/>
          <w:b/>
          <w:bCs/>
          <w:color w:val="000000" w:themeColor="text1"/>
          <w:szCs w:val="21"/>
        </w:rPr>
        <w:t>报告期末前十名股票中存在流通受限情况的说明</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本基金本报告期末前十名股票中不存在流通受限情况。</w:t>
      </w:r>
    </w:p>
    <w:p w:rsidR="009238DB" w:rsidRPr="004264FD" w:rsidRDefault="009238DB" w:rsidP="00AE2F3C">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§6  </w:t>
      </w:r>
      <w:r w:rsidRPr="004264FD">
        <w:rPr>
          <w:rFonts w:eastAsiaTheme="minorEastAsia"/>
          <w:color w:val="000000" w:themeColor="text1"/>
          <w:kern w:val="0"/>
          <w:sz w:val="21"/>
          <w:szCs w:val="21"/>
        </w:rPr>
        <w:t>开放式基金份额变动</w:t>
      </w:r>
    </w:p>
    <w:p w:rsidR="009238DB" w:rsidRPr="004264FD"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C</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200,167,667.06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2,451.87</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1,492,423.29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59.16</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减：</w:t>
            </w:r>
            <w:r w:rsidR="00F72579" w:rsidRPr="004264FD">
              <w:rPr>
                <w:rFonts w:eastAsiaTheme="minorEastAsia"/>
                <w:color w:val="000000" w:themeColor="text1"/>
                <w:kern w:val="0"/>
                <w:szCs w:val="21"/>
              </w:rPr>
              <w:t>报告期</w:t>
            </w:r>
            <w:r w:rsidRPr="004264FD">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200,168,223.84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98.09</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1,491,866.51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2,412.94</w:t>
            </w:r>
          </w:p>
        </w:tc>
      </w:tr>
    </w:tbl>
    <w:p w:rsidR="00FB3C94" w:rsidRPr="004264FD" w:rsidRDefault="00FB3C94"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注：总申购份额包含本报告期内发生的转换入和红利再投资份额；总赎回份额包含本报告期内发生的转换出份额。</w:t>
      </w:r>
    </w:p>
    <w:p w:rsidR="00935FB1" w:rsidRPr="004264FD" w:rsidRDefault="00935FB1" w:rsidP="00AE2F3C">
      <w:pPr>
        <w:pStyle w:val="1"/>
        <w:tabs>
          <w:tab w:val="center" w:pos="4156"/>
          <w:tab w:val="right" w:pos="8312"/>
        </w:tabs>
        <w:spacing w:beforeLines="100" w:afterLines="100" w:line="360" w:lineRule="auto"/>
        <w:jc w:val="center"/>
        <w:rPr>
          <w:color w:val="000000" w:themeColor="text1"/>
          <w:sz w:val="21"/>
          <w:szCs w:val="21"/>
        </w:rPr>
      </w:pPr>
      <w:r w:rsidRPr="004264FD">
        <w:rPr>
          <w:rFonts w:eastAsiaTheme="minorEastAsia"/>
          <w:color w:val="000000" w:themeColor="text1"/>
          <w:kern w:val="0"/>
          <w:sz w:val="21"/>
          <w:szCs w:val="21"/>
        </w:rPr>
        <w:t>§7</w:t>
      </w:r>
      <w:r w:rsidR="00B22511">
        <w:rPr>
          <w:rFonts w:hint="eastAsia"/>
          <w:color w:val="000000"/>
          <w:sz w:val="21"/>
          <w:szCs w:val="21"/>
          <w:shd w:val="clear" w:color="auto" w:fill="FFFFFF"/>
        </w:rPr>
        <w:t>基金管理人运用固有资金投资本基金情况</w:t>
      </w:r>
    </w:p>
    <w:p w:rsidR="00935FB1" w:rsidRPr="004264FD" w:rsidRDefault="00935FB1" w:rsidP="00935FB1">
      <w:pPr>
        <w:spacing w:line="360" w:lineRule="auto"/>
        <w:jc w:val="left"/>
        <w:rPr>
          <w:color w:val="000000" w:themeColor="text1"/>
          <w:szCs w:val="21"/>
        </w:rPr>
      </w:pPr>
      <w:r w:rsidRPr="004264FD">
        <w:rPr>
          <w:b/>
          <w:color w:val="000000" w:themeColor="text1"/>
          <w:szCs w:val="21"/>
        </w:rPr>
        <w:t>7.1</w:t>
      </w:r>
      <w:r w:rsidR="00090834" w:rsidRPr="00C15AEF">
        <w:rPr>
          <w:rFonts w:eastAsiaTheme="minorEastAsia" w:hint="eastAsia"/>
          <w:b/>
          <w:bCs/>
          <w:color w:val="000000" w:themeColor="text1"/>
          <w:kern w:val="44"/>
          <w:szCs w:val="21"/>
        </w:rPr>
        <w:t>基金管理人持有本基金份额变动情况</w:t>
      </w:r>
    </w:p>
    <w:p w:rsidR="00916E71" w:rsidRPr="004264FD" w:rsidRDefault="00916E71" w:rsidP="00916E71">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8363" w:type="dxa"/>
        <w:tblInd w:w="108" w:type="dxa"/>
        <w:tblLayout w:type="fixed"/>
        <w:tblLook w:val="0000"/>
      </w:tblPr>
      <w:tblGrid>
        <w:gridCol w:w="2977"/>
        <w:gridCol w:w="2693"/>
        <w:gridCol w:w="2693"/>
      </w:tblGrid>
      <w:tr w:rsidR="00F96087" w:rsidRPr="004264FD" w:rsidTr="00B9328B">
        <w:tc>
          <w:tcPr>
            <w:tcW w:w="2977"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国联安鑫盛混合</w:t>
            </w:r>
            <w:r w:rsidRPr="004264FD">
              <w:rPr>
                <w:rFonts w:eastAsiaTheme="minorEastAsia"/>
                <w:color w:val="000000" w:themeColor="text1"/>
                <w:szCs w:val="21"/>
              </w:rPr>
              <w:t>C</w:t>
            </w:r>
          </w:p>
        </w:tc>
      </w:tr>
      <w:tr w:rsidR="00F96087" w:rsidRPr="004264FD" w:rsidTr="00B9328B">
        <w:tc>
          <w:tcPr>
            <w:tcW w:w="2977"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pStyle w:val="ac"/>
              <w:adjustRightInd w:val="0"/>
              <w:snapToGrid w:val="0"/>
              <w:spacing w:line="360" w:lineRule="exact"/>
              <w:rPr>
                <w:rFonts w:eastAsia="方正仿宋简体"/>
                <w:color w:val="000000" w:themeColor="text1"/>
                <w:sz w:val="21"/>
                <w:szCs w:val="21"/>
              </w:rPr>
            </w:pPr>
            <w:r w:rsidRPr="00F96087">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szCs w:val="21"/>
              </w:rPr>
            </w:pPr>
            <w:r w:rsidRPr="004264FD">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szCs w:val="21"/>
              </w:rPr>
            </w:pPr>
            <w:r w:rsidRPr="004264FD">
              <w:rPr>
                <w:rFonts w:eastAsiaTheme="minorEastAsia"/>
                <w:color w:val="000000" w:themeColor="text1"/>
                <w:szCs w:val="21"/>
              </w:rPr>
              <w:t>-</w:t>
            </w:r>
          </w:p>
        </w:tc>
      </w:tr>
      <w:tr w:rsidR="00F96087" w:rsidRPr="004264FD" w:rsidTr="00B9328B">
        <w:tc>
          <w:tcPr>
            <w:tcW w:w="2977"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9C6334" w:rsidP="00B9328B">
            <w:pPr>
              <w:adjustRightInd w:val="0"/>
              <w:snapToGrid w:val="0"/>
              <w:spacing w:line="360" w:lineRule="exact"/>
              <w:rPr>
                <w:color w:val="000000" w:themeColor="text1"/>
                <w:szCs w:val="21"/>
              </w:rPr>
            </w:pPr>
            <w:r w:rsidRPr="009C6334">
              <w:rPr>
                <w:rFonts w:eastAsiaTheme="minorEastAsia" w:hint="eastAsia"/>
                <w:color w:val="000000" w:themeColor="text1"/>
                <w:kern w:val="0"/>
                <w:szCs w:val="21"/>
              </w:rPr>
              <w:t>报告期期间</w:t>
            </w:r>
            <w:r w:rsidR="00F96087" w:rsidRPr="004264FD">
              <w:rPr>
                <w:color w:val="000000" w:themeColor="text1"/>
                <w:szCs w:val="21"/>
              </w:rPr>
              <w:t>买入</w:t>
            </w:r>
            <w:r w:rsidR="00F96087" w:rsidRPr="004264FD">
              <w:rPr>
                <w:color w:val="000000" w:themeColor="text1"/>
                <w:szCs w:val="21"/>
              </w:rPr>
              <w:t>/</w:t>
            </w:r>
            <w:r w:rsidR="00F96087" w:rsidRPr="004264FD">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kern w:val="0"/>
                <w:szCs w:val="21"/>
              </w:rPr>
            </w:pPr>
            <w:r w:rsidRPr="004264FD">
              <w:rPr>
                <w:rFonts w:eastAsiaTheme="minorEastAsia"/>
                <w:color w:val="000000" w:themeColor="text1"/>
                <w:szCs w:val="21"/>
              </w:rPr>
              <w:t>1,491,449.72</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kern w:val="0"/>
                <w:szCs w:val="21"/>
              </w:rPr>
            </w:pPr>
            <w:r w:rsidRPr="004264FD">
              <w:rPr>
                <w:rFonts w:eastAsiaTheme="minorEastAsia"/>
                <w:color w:val="000000" w:themeColor="text1"/>
                <w:szCs w:val="21"/>
              </w:rPr>
              <w:t>-</w:t>
            </w:r>
          </w:p>
        </w:tc>
      </w:tr>
      <w:tr w:rsidR="00F96087" w:rsidRPr="004264FD" w:rsidTr="00B9328B">
        <w:tc>
          <w:tcPr>
            <w:tcW w:w="2977"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9C6334" w:rsidP="00B9328B">
            <w:pPr>
              <w:adjustRightInd w:val="0"/>
              <w:snapToGrid w:val="0"/>
              <w:spacing w:line="360" w:lineRule="exact"/>
              <w:rPr>
                <w:color w:val="000000" w:themeColor="text1"/>
                <w:szCs w:val="21"/>
              </w:rPr>
            </w:pPr>
            <w:r w:rsidRPr="009C6334">
              <w:rPr>
                <w:rFonts w:eastAsiaTheme="minorEastAsia" w:hint="eastAsia"/>
                <w:color w:val="000000" w:themeColor="text1"/>
                <w:kern w:val="0"/>
                <w:szCs w:val="21"/>
              </w:rPr>
              <w:t>报告期期间</w:t>
            </w:r>
            <w:r w:rsidR="00F96087" w:rsidRPr="004264FD">
              <w:rPr>
                <w:color w:val="000000" w:themeColor="text1"/>
                <w:szCs w:val="21"/>
              </w:rPr>
              <w:t>卖出</w:t>
            </w:r>
            <w:r w:rsidR="00F96087" w:rsidRPr="004264FD">
              <w:rPr>
                <w:color w:val="000000" w:themeColor="text1"/>
                <w:szCs w:val="21"/>
              </w:rPr>
              <w:t>/</w:t>
            </w:r>
            <w:r w:rsidR="00F96087" w:rsidRPr="004264FD">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kern w:val="0"/>
                <w:szCs w:val="21"/>
              </w:rPr>
            </w:pPr>
            <w:r w:rsidRPr="004264FD">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kern w:val="0"/>
                <w:szCs w:val="21"/>
              </w:rPr>
            </w:pPr>
            <w:r w:rsidRPr="004264FD">
              <w:rPr>
                <w:rFonts w:eastAsiaTheme="minorEastAsia"/>
                <w:color w:val="000000" w:themeColor="text1"/>
                <w:szCs w:val="21"/>
              </w:rPr>
              <w:t>-</w:t>
            </w:r>
          </w:p>
        </w:tc>
      </w:tr>
      <w:tr w:rsidR="00F96087" w:rsidRPr="004264FD" w:rsidTr="00B9328B">
        <w:tc>
          <w:tcPr>
            <w:tcW w:w="2977"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adjustRightInd w:val="0"/>
              <w:snapToGrid w:val="0"/>
              <w:spacing w:line="360" w:lineRule="exact"/>
              <w:rPr>
                <w:color w:val="000000" w:themeColor="text1"/>
                <w:szCs w:val="21"/>
              </w:rPr>
            </w:pPr>
            <w:r w:rsidRPr="004264FD">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szCs w:val="21"/>
              </w:rPr>
            </w:pPr>
            <w:r w:rsidRPr="004264FD">
              <w:rPr>
                <w:rFonts w:eastAsiaTheme="minorEastAsia"/>
                <w:color w:val="000000" w:themeColor="text1"/>
                <w:szCs w:val="21"/>
              </w:rPr>
              <w:t>1,491,449.72</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szCs w:val="21"/>
              </w:rPr>
            </w:pPr>
            <w:r w:rsidRPr="004264FD">
              <w:rPr>
                <w:rFonts w:eastAsiaTheme="minorEastAsia"/>
                <w:color w:val="000000" w:themeColor="text1"/>
                <w:szCs w:val="21"/>
              </w:rPr>
              <w:t>-</w:t>
            </w:r>
          </w:p>
        </w:tc>
      </w:tr>
      <w:tr w:rsidR="00F96087" w:rsidRPr="004264FD" w:rsidTr="00B9328B">
        <w:tc>
          <w:tcPr>
            <w:tcW w:w="2977"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adjustRightInd w:val="0"/>
              <w:snapToGrid w:val="0"/>
              <w:spacing w:line="360" w:lineRule="exact"/>
              <w:rPr>
                <w:color w:val="000000" w:themeColor="text1"/>
                <w:szCs w:val="21"/>
              </w:rPr>
            </w:pPr>
            <w:r w:rsidRPr="004264FD">
              <w:rPr>
                <w:color w:val="000000" w:themeColor="text1"/>
                <w:szCs w:val="21"/>
              </w:rPr>
              <w:t>报告期期末持有的本基金份额占基金总份额比例（</w:t>
            </w:r>
            <w:r w:rsidRPr="004264FD">
              <w:rPr>
                <w:color w:val="000000" w:themeColor="text1"/>
                <w:szCs w:val="21"/>
              </w:rPr>
              <w:t>%</w:t>
            </w:r>
            <w:r w:rsidRPr="004264FD">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kern w:val="0"/>
                <w:szCs w:val="21"/>
              </w:rPr>
            </w:pPr>
            <w:r w:rsidRPr="004264FD">
              <w:rPr>
                <w:rFonts w:eastAsiaTheme="minorEastAsia"/>
                <w:color w:val="000000" w:themeColor="text1"/>
                <w:szCs w:val="21"/>
              </w:rPr>
              <w:t>99.97</w:t>
            </w:r>
          </w:p>
        </w:tc>
        <w:tc>
          <w:tcPr>
            <w:tcW w:w="2693" w:type="dxa"/>
            <w:tcBorders>
              <w:top w:val="single" w:sz="8" w:space="0" w:color="000000"/>
              <w:left w:val="single" w:sz="8" w:space="0" w:color="000000"/>
              <w:bottom w:val="single" w:sz="8" w:space="0" w:color="000000"/>
              <w:right w:val="single" w:sz="8" w:space="0" w:color="000000"/>
            </w:tcBorders>
            <w:vAlign w:val="center"/>
          </w:tcPr>
          <w:p w:rsidR="00F96087" w:rsidRPr="004264FD" w:rsidRDefault="00F96087" w:rsidP="00B9328B">
            <w:pPr>
              <w:jc w:val="right"/>
              <w:rPr>
                <w:rFonts w:eastAsiaTheme="minorEastAsia"/>
                <w:color w:val="000000" w:themeColor="text1"/>
                <w:kern w:val="0"/>
                <w:szCs w:val="21"/>
              </w:rPr>
            </w:pPr>
            <w:r w:rsidRPr="004264FD">
              <w:rPr>
                <w:rFonts w:eastAsiaTheme="minorEastAsia"/>
                <w:color w:val="000000" w:themeColor="text1"/>
                <w:szCs w:val="21"/>
              </w:rPr>
              <w:t>-</w:t>
            </w:r>
          </w:p>
        </w:tc>
      </w:tr>
    </w:tbl>
    <w:p w:rsidR="00935FB1" w:rsidRPr="004264FD" w:rsidRDefault="00935FB1" w:rsidP="00AE2F3C">
      <w:pPr>
        <w:spacing w:beforeLines="100" w:line="360" w:lineRule="auto"/>
        <w:jc w:val="left"/>
        <w:rPr>
          <w:color w:val="000000" w:themeColor="text1"/>
          <w:szCs w:val="21"/>
        </w:rPr>
      </w:pPr>
      <w:r w:rsidRPr="004264FD">
        <w:rPr>
          <w:b/>
          <w:color w:val="000000" w:themeColor="text1"/>
          <w:szCs w:val="21"/>
        </w:rPr>
        <w:t>7.2</w:t>
      </w:r>
      <w:r w:rsidR="00090834" w:rsidRPr="00C15AEF">
        <w:rPr>
          <w:rFonts w:hint="eastAsia"/>
          <w:b/>
          <w:color w:val="000000"/>
          <w:szCs w:val="21"/>
          <w:shd w:val="clear" w:color="auto" w:fill="FFFFFF"/>
        </w:rPr>
        <w:t>基金管理人运用固有资金投资本基金交易明细</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1851"/>
        <w:gridCol w:w="1370"/>
        <w:gridCol w:w="1701"/>
        <w:gridCol w:w="1842"/>
        <w:gridCol w:w="1397"/>
      </w:tblGrid>
      <w:tr w:rsidR="004264FD" w:rsidRPr="004264FD" w:rsidTr="003C3C8C">
        <w:trPr>
          <w:trHeight w:val="340"/>
        </w:trPr>
        <w:tc>
          <w:tcPr>
            <w:tcW w:w="1070" w:type="dxa"/>
            <w:vAlign w:val="center"/>
          </w:tcPr>
          <w:p w:rsidR="00935FB1" w:rsidRPr="004264FD" w:rsidRDefault="00935FB1" w:rsidP="003F7026">
            <w:pPr>
              <w:pStyle w:val="ac"/>
              <w:adjustRightInd w:val="0"/>
              <w:snapToGrid w:val="0"/>
              <w:spacing w:line="360" w:lineRule="exact"/>
              <w:jc w:val="center"/>
              <w:rPr>
                <w:color w:val="000000" w:themeColor="text1"/>
                <w:kern w:val="0"/>
                <w:sz w:val="21"/>
                <w:szCs w:val="21"/>
              </w:rPr>
            </w:pPr>
            <w:r w:rsidRPr="004264FD">
              <w:rPr>
                <w:color w:val="000000" w:themeColor="text1"/>
                <w:kern w:val="0"/>
                <w:sz w:val="21"/>
                <w:szCs w:val="21"/>
              </w:rPr>
              <w:t>序号</w:t>
            </w:r>
          </w:p>
        </w:tc>
        <w:tc>
          <w:tcPr>
            <w:tcW w:w="1851" w:type="dxa"/>
            <w:vAlign w:val="center"/>
          </w:tcPr>
          <w:p w:rsidR="00935FB1" w:rsidRPr="004264FD" w:rsidRDefault="00935FB1" w:rsidP="003F7026">
            <w:pPr>
              <w:adjustRightInd w:val="0"/>
              <w:snapToGrid w:val="0"/>
              <w:spacing w:line="360" w:lineRule="exact"/>
              <w:jc w:val="center"/>
              <w:rPr>
                <w:color w:val="000000" w:themeColor="text1"/>
                <w:kern w:val="0"/>
                <w:szCs w:val="21"/>
              </w:rPr>
            </w:pPr>
            <w:r w:rsidRPr="004264FD">
              <w:rPr>
                <w:color w:val="000000" w:themeColor="text1"/>
                <w:kern w:val="0"/>
                <w:szCs w:val="21"/>
              </w:rPr>
              <w:t>交易方式</w:t>
            </w:r>
          </w:p>
        </w:tc>
        <w:tc>
          <w:tcPr>
            <w:tcW w:w="1370" w:type="dxa"/>
            <w:vAlign w:val="center"/>
          </w:tcPr>
          <w:p w:rsidR="00935FB1" w:rsidRPr="004264FD" w:rsidRDefault="00935FB1" w:rsidP="003F7026">
            <w:pPr>
              <w:adjustRightInd w:val="0"/>
              <w:snapToGrid w:val="0"/>
              <w:spacing w:line="360" w:lineRule="exact"/>
              <w:jc w:val="center"/>
              <w:rPr>
                <w:color w:val="000000" w:themeColor="text1"/>
                <w:kern w:val="0"/>
                <w:szCs w:val="21"/>
              </w:rPr>
            </w:pPr>
            <w:r w:rsidRPr="004264FD">
              <w:rPr>
                <w:color w:val="000000" w:themeColor="text1"/>
                <w:kern w:val="0"/>
                <w:szCs w:val="21"/>
              </w:rPr>
              <w:t>交易日期</w:t>
            </w:r>
          </w:p>
        </w:tc>
        <w:tc>
          <w:tcPr>
            <w:tcW w:w="1701" w:type="dxa"/>
            <w:vAlign w:val="center"/>
          </w:tcPr>
          <w:p w:rsidR="00935FB1" w:rsidRPr="004264FD" w:rsidRDefault="00935FB1" w:rsidP="003F7026">
            <w:pPr>
              <w:adjustRightInd w:val="0"/>
              <w:snapToGrid w:val="0"/>
              <w:spacing w:line="360" w:lineRule="exact"/>
              <w:jc w:val="center"/>
              <w:rPr>
                <w:color w:val="000000" w:themeColor="text1"/>
                <w:kern w:val="0"/>
                <w:szCs w:val="21"/>
              </w:rPr>
            </w:pPr>
            <w:r w:rsidRPr="004264FD">
              <w:rPr>
                <w:color w:val="000000" w:themeColor="text1"/>
                <w:kern w:val="0"/>
                <w:szCs w:val="21"/>
              </w:rPr>
              <w:t>交易份额（份）</w:t>
            </w:r>
          </w:p>
        </w:tc>
        <w:tc>
          <w:tcPr>
            <w:tcW w:w="1842" w:type="dxa"/>
            <w:vAlign w:val="center"/>
          </w:tcPr>
          <w:p w:rsidR="00935FB1" w:rsidRPr="004264FD" w:rsidRDefault="00935FB1" w:rsidP="003F7026">
            <w:pPr>
              <w:adjustRightInd w:val="0"/>
              <w:snapToGrid w:val="0"/>
              <w:spacing w:line="360" w:lineRule="exact"/>
              <w:jc w:val="center"/>
              <w:rPr>
                <w:color w:val="000000" w:themeColor="text1"/>
                <w:kern w:val="0"/>
                <w:szCs w:val="21"/>
              </w:rPr>
            </w:pPr>
            <w:r w:rsidRPr="004264FD">
              <w:rPr>
                <w:color w:val="000000" w:themeColor="text1"/>
                <w:kern w:val="0"/>
                <w:szCs w:val="21"/>
              </w:rPr>
              <w:t>交易金额（元）</w:t>
            </w:r>
          </w:p>
        </w:tc>
        <w:tc>
          <w:tcPr>
            <w:tcW w:w="1397" w:type="dxa"/>
            <w:vAlign w:val="center"/>
          </w:tcPr>
          <w:p w:rsidR="00935FB1" w:rsidRPr="004264FD" w:rsidRDefault="00935FB1" w:rsidP="003F7026">
            <w:pPr>
              <w:adjustRightInd w:val="0"/>
              <w:snapToGrid w:val="0"/>
              <w:spacing w:line="360" w:lineRule="exact"/>
              <w:jc w:val="center"/>
              <w:rPr>
                <w:color w:val="000000" w:themeColor="text1"/>
                <w:kern w:val="0"/>
                <w:szCs w:val="21"/>
              </w:rPr>
            </w:pPr>
            <w:r w:rsidRPr="004264FD">
              <w:rPr>
                <w:color w:val="000000" w:themeColor="text1"/>
                <w:kern w:val="0"/>
                <w:szCs w:val="21"/>
              </w:rPr>
              <w:t>适用费率</w:t>
            </w:r>
          </w:p>
        </w:tc>
      </w:tr>
      <w:tr w:rsidR="00122EAB">
        <w:tc>
          <w:tcPr>
            <w:tcW w:w="1070" w:type="dxa"/>
            <w:vAlign w:val="center"/>
          </w:tcPr>
          <w:p w:rsidR="00122EAB" w:rsidRDefault="007C5C16">
            <w:pPr>
              <w:jc w:val="center"/>
            </w:pPr>
            <w:r>
              <w:rPr>
                <w:rFonts w:eastAsiaTheme="minorEastAsia"/>
                <w:color w:val="000000" w:themeColor="text1"/>
                <w:szCs w:val="21"/>
              </w:rPr>
              <w:t>1</w:t>
            </w:r>
          </w:p>
        </w:tc>
        <w:tc>
          <w:tcPr>
            <w:tcW w:w="1851" w:type="dxa"/>
            <w:vAlign w:val="center"/>
          </w:tcPr>
          <w:p w:rsidR="00122EAB" w:rsidRDefault="007C5C16">
            <w:pPr>
              <w:jc w:val="center"/>
            </w:pPr>
            <w:r>
              <w:rPr>
                <w:rFonts w:eastAsiaTheme="minorEastAsia"/>
                <w:color w:val="000000" w:themeColor="text1"/>
                <w:szCs w:val="21"/>
              </w:rPr>
              <w:t>基金转换入</w:t>
            </w:r>
          </w:p>
        </w:tc>
        <w:tc>
          <w:tcPr>
            <w:tcW w:w="1370" w:type="dxa"/>
            <w:vAlign w:val="center"/>
          </w:tcPr>
          <w:p w:rsidR="00122EAB" w:rsidRDefault="007C5C16">
            <w:pPr>
              <w:jc w:val="center"/>
            </w:pPr>
            <w:r>
              <w:rPr>
                <w:rFonts w:eastAsiaTheme="minorEastAsia"/>
                <w:color w:val="000000" w:themeColor="text1"/>
                <w:szCs w:val="21"/>
              </w:rPr>
              <w:t>2018-02-01</w:t>
            </w:r>
          </w:p>
        </w:tc>
        <w:tc>
          <w:tcPr>
            <w:tcW w:w="1701" w:type="dxa"/>
            <w:vAlign w:val="center"/>
          </w:tcPr>
          <w:p w:rsidR="00122EAB" w:rsidRDefault="007C5C16">
            <w:pPr>
              <w:jc w:val="right"/>
            </w:pPr>
            <w:r>
              <w:rPr>
                <w:rFonts w:eastAsiaTheme="minorEastAsia"/>
                <w:color w:val="000000" w:themeColor="text1"/>
                <w:szCs w:val="21"/>
              </w:rPr>
              <w:t>496,524.33</w:t>
            </w:r>
          </w:p>
        </w:tc>
        <w:tc>
          <w:tcPr>
            <w:tcW w:w="1842" w:type="dxa"/>
            <w:vAlign w:val="center"/>
          </w:tcPr>
          <w:p w:rsidR="00122EAB" w:rsidRDefault="007C5C16">
            <w:pPr>
              <w:jc w:val="right"/>
            </w:pPr>
            <w:r>
              <w:rPr>
                <w:rFonts w:eastAsiaTheme="minorEastAsia"/>
                <w:color w:val="000000" w:themeColor="text1"/>
                <w:szCs w:val="21"/>
              </w:rPr>
              <w:t>496,524.33</w:t>
            </w:r>
          </w:p>
        </w:tc>
        <w:tc>
          <w:tcPr>
            <w:tcW w:w="1397" w:type="dxa"/>
            <w:vAlign w:val="center"/>
          </w:tcPr>
          <w:p w:rsidR="00122EAB" w:rsidRDefault="007C5C16">
            <w:pPr>
              <w:jc w:val="right"/>
            </w:pPr>
            <w:r>
              <w:rPr>
                <w:rFonts w:eastAsiaTheme="minorEastAsia"/>
                <w:color w:val="000000" w:themeColor="text1"/>
                <w:szCs w:val="21"/>
              </w:rPr>
              <w:t>0.70%</w:t>
            </w:r>
          </w:p>
        </w:tc>
      </w:tr>
      <w:tr w:rsidR="00122EAB">
        <w:tc>
          <w:tcPr>
            <w:tcW w:w="1070" w:type="dxa"/>
            <w:vAlign w:val="center"/>
          </w:tcPr>
          <w:p w:rsidR="00122EAB" w:rsidRDefault="007C5C16">
            <w:pPr>
              <w:jc w:val="center"/>
            </w:pPr>
            <w:r>
              <w:rPr>
                <w:rFonts w:eastAsiaTheme="minorEastAsia"/>
                <w:color w:val="000000" w:themeColor="text1"/>
                <w:szCs w:val="21"/>
              </w:rPr>
              <w:t>2</w:t>
            </w:r>
          </w:p>
        </w:tc>
        <w:tc>
          <w:tcPr>
            <w:tcW w:w="1851" w:type="dxa"/>
            <w:vAlign w:val="center"/>
          </w:tcPr>
          <w:p w:rsidR="00122EAB" w:rsidRDefault="007C5C16">
            <w:pPr>
              <w:jc w:val="center"/>
            </w:pPr>
            <w:r>
              <w:rPr>
                <w:rFonts w:eastAsiaTheme="minorEastAsia"/>
                <w:color w:val="000000" w:themeColor="text1"/>
                <w:szCs w:val="21"/>
              </w:rPr>
              <w:t>基金转换入</w:t>
            </w:r>
          </w:p>
        </w:tc>
        <w:tc>
          <w:tcPr>
            <w:tcW w:w="1370" w:type="dxa"/>
            <w:vAlign w:val="center"/>
          </w:tcPr>
          <w:p w:rsidR="00122EAB" w:rsidRDefault="007C5C16">
            <w:pPr>
              <w:jc w:val="center"/>
            </w:pPr>
            <w:r>
              <w:rPr>
                <w:rFonts w:eastAsiaTheme="minorEastAsia"/>
                <w:color w:val="000000" w:themeColor="text1"/>
                <w:szCs w:val="21"/>
              </w:rPr>
              <w:t>2018-01-31</w:t>
            </w:r>
          </w:p>
        </w:tc>
        <w:tc>
          <w:tcPr>
            <w:tcW w:w="1701" w:type="dxa"/>
            <w:vAlign w:val="center"/>
          </w:tcPr>
          <w:p w:rsidR="00122EAB" w:rsidRDefault="007C5C16">
            <w:pPr>
              <w:jc w:val="right"/>
            </w:pPr>
            <w:r>
              <w:rPr>
                <w:rFonts w:eastAsiaTheme="minorEastAsia"/>
                <w:color w:val="000000" w:themeColor="text1"/>
                <w:szCs w:val="21"/>
              </w:rPr>
              <w:t>994,925.39</w:t>
            </w:r>
          </w:p>
        </w:tc>
        <w:tc>
          <w:tcPr>
            <w:tcW w:w="1842" w:type="dxa"/>
            <w:vAlign w:val="center"/>
          </w:tcPr>
          <w:p w:rsidR="00122EAB" w:rsidRDefault="007C5C16">
            <w:pPr>
              <w:jc w:val="right"/>
            </w:pPr>
            <w:r>
              <w:rPr>
                <w:rFonts w:eastAsiaTheme="minorEastAsia"/>
                <w:color w:val="000000" w:themeColor="text1"/>
                <w:szCs w:val="21"/>
              </w:rPr>
              <w:t>995,024.88</w:t>
            </w:r>
          </w:p>
        </w:tc>
        <w:tc>
          <w:tcPr>
            <w:tcW w:w="1397" w:type="dxa"/>
            <w:vAlign w:val="center"/>
          </w:tcPr>
          <w:p w:rsidR="00122EAB" w:rsidRDefault="007C5C16">
            <w:pPr>
              <w:jc w:val="right"/>
            </w:pPr>
            <w:r>
              <w:rPr>
                <w:rFonts w:eastAsiaTheme="minorEastAsia"/>
                <w:color w:val="000000" w:themeColor="text1"/>
                <w:szCs w:val="21"/>
              </w:rPr>
              <w:t>0.50%</w:t>
            </w:r>
          </w:p>
        </w:tc>
      </w:tr>
      <w:tr w:rsidR="004264FD" w:rsidRPr="004264FD" w:rsidTr="003C3C8C">
        <w:trPr>
          <w:trHeight w:val="340"/>
        </w:trPr>
        <w:tc>
          <w:tcPr>
            <w:tcW w:w="1070" w:type="dxa"/>
            <w:vAlign w:val="center"/>
          </w:tcPr>
          <w:p w:rsidR="00935FB1" w:rsidRPr="004264FD" w:rsidRDefault="00935FB1" w:rsidP="00022662">
            <w:pPr>
              <w:pStyle w:val="ac"/>
              <w:adjustRightInd w:val="0"/>
              <w:snapToGrid w:val="0"/>
              <w:spacing w:line="360" w:lineRule="exact"/>
              <w:jc w:val="center"/>
              <w:rPr>
                <w:color w:val="000000" w:themeColor="text1"/>
                <w:kern w:val="0"/>
                <w:sz w:val="21"/>
                <w:szCs w:val="21"/>
              </w:rPr>
            </w:pPr>
            <w:r w:rsidRPr="004264FD">
              <w:rPr>
                <w:color w:val="000000" w:themeColor="text1"/>
                <w:kern w:val="0"/>
                <w:sz w:val="21"/>
                <w:szCs w:val="21"/>
              </w:rPr>
              <w:t>合计</w:t>
            </w:r>
          </w:p>
        </w:tc>
        <w:tc>
          <w:tcPr>
            <w:tcW w:w="1851" w:type="dxa"/>
            <w:vAlign w:val="center"/>
          </w:tcPr>
          <w:p w:rsidR="00935FB1" w:rsidRPr="004264FD" w:rsidRDefault="00935FB1" w:rsidP="003F7026">
            <w:pPr>
              <w:adjustRightInd w:val="0"/>
              <w:snapToGrid w:val="0"/>
              <w:spacing w:line="360" w:lineRule="exact"/>
              <w:jc w:val="right"/>
              <w:rPr>
                <w:color w:val="000000" w:themeColor="text1"/>
                <w:kern w:val="0"/>
                <w:szCs w:val="21"/>
              </w:rPr>
            </w:pPr>
          </w:p>
        </w:tc>
        <w:tc>
          <w:tcPr>
            <w:tcW w:w="1370" w:type="dxa"/>
            <w:vAlign w:val="center"/>
          </w:tcPr>
          <w:p w:rsidR="00935FB1" w:rsidRPr="004264FD" w:rsidRDefault="00935FB1" w:rsidP="003F7026">
            <w:pPr>
              <w:adjustRightInd w:val="0"/>
              <w:snapToGrid w:val="0"/>
              <w:spacing w:line="360" w:lineRule="exact"/>
              <w:jc w:val="right"/>
              <w:rPr>
                <w:color w:val="000000" w:themeColor="text1"/>
                <w:kern w:val="0"/>
                <w:szCs w:val="21"/>
              </w:rPr>
            </w:pPr>
          </w:p>
        </w:tc>
        <w:tc>
          <w:tcPr>
            <w:tcW w:w="1701" w:type="dxa"/>
            <w:vAlign w:val="center"/>
          </w:tcPr>
          <w:p w:rsidR="00935FB1" w:rsidRPr="004264FD" w:rsidRDefault="00935FB1" w:rsidP="003F7026">
            <w:pPr>
              <w:adjustRightInd w:val="0"/>
              <w:snapToGrid w:val="0"/>
              <w:spacing w:line="360" w:lineRule="exact"/>
              <w:jc w:val="right"/>
              <w:rPr>
                <w:rFonts w:eastAsiaTheme="minorEastAsia"/>
                <w:color w:val="000000" w:themeColor="text1"/>
                <w:szCs w:val="21"/>
              </w:rPr>
            </w:pPr>
            <w:r w:rsidRPr="004264FD">
              <w:rPr>
                <w:rFonts w:eastAsiaTheme="minorEastAsia"/>
                <w:color w:val="000000" w:themeColor="text1"/>
                <w:szCs w:val="21"/>
              </w:rPr>
              <w:t>1,491,449.72</w:t>
            </w:r>
          </w:p>
        </w:tc>
        <w:tc>
          <w:tcPr>
            <w:tcW w:w="1842" w:type="dxa"/>
            <w:vAlign w:val="center"/>
          </w:tcPr>
          <w:p w:rsidR="00935FB1" w:rsidRPr="004264FD" w:rsidRDefault="00935FB1" w:rsidP="003F7026">
            <w:pPr>
              <w:adjustRightInd w:val="0"/>
              <w:snapToGrid w:val="0"/>
              <w:spacing w:line="360" w:lineRule="exact"/>
              <w:jc w:val="right"/>
              <w:rPr>
                <w:rFonts w:eastAsiaTheme="minorEastAsia"/>
                <w:color w:val="000000" w:themeColor="text1"/>
                <w:szCs w:val="21"/>
              </w:rPr>
            </w:pPr>
            <w:r w:rsidRPr="004264FD">
              <w:rPr>
                <w:rFonts w:eastAsiaTheme="minorEastAsia"/>
                <w:color w:val="000000" w:themeColor="text1"/>
                <w:szCs w:val="21"/>
              </w:rPr>
              <w:t>1,491,549.21</w:t>
            </w:r>
          </w:p>
        </w:tc>
        <w:tc>
          <w:tcPr>
            <w:tcW w:w="1397" w:type="dxa"/>
            <w:vAlign w:val="center"/>
          </w:tcPr>
          <w:p w:rsidR="00935FB1" w:rsidRPr="004264FD" w:rsidRDefault="00935FB1" w:rsidP="003F7026">
            <w:pPr>
              <w:adjustRightInd w:val="0"/>
              <w:snapToGrid w:val="0"/>
              <w:spacing w:line="360" w:lineRule="exact"/>
              <w:jc w:val="right"/>
              <w:rPr>
                <w:color w:val="000000" w:themeColor="text1"/>
                <w:kern w:val="0"/>
                <w:szCs w:val="21"/>
              </w:rPr>
            </w:pPr>
          </w:p>
        </w:tc>
      </w:tr>
    </w:tbl>
    <w:p w:rsidR="00935FB1" w:rsidRPr="004264FD" w:rsidRDefault="00935FB1" w:rsidP="003C3C8C">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注：交易日期为确认日期，交易金额为确认金额。</w:t>
      </w:r>
    </w:p>
    <w:p w:rsidR="00276366" w:rsidRDefault="00276366" w:rsidP="00AE2F3C">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276366" w:rsidRDefault="00276366" w:rsidP="0027636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1"/>
        <w:gridCol w:w="1843"/>
        <w:gridCol w:w="851"/>
        <w:gridCol w:w="850"/>
        <w:gridCol w:w="1134"/>
        <w:gridCol w:w="1419"/>
        <w:gridCol w:w="1130"/>
      </w:tblGrid>
      <w:tr w:rsidR="00276366" w:rsidTr="0027636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276366" w:rsidTr="00276366">
        <w:tc>
          <w:tcPr>
            <w:tcW w:w="993" w:type="dxa"/>
            <w:vMerge/>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122EAB">
        <w:tc>
          <w:tcPr>
            <w:tcW w:w="992" w:type="dxa"/>
            <w:vMerge w:val="restart"/>
          </w:tcPr>
          <w:p w:rsidR="00122EAB" w:rsidRDefault="00122EAB"/>
          <w:p w:rsidR="00122EAB" w:rsidRDefault="007C5C16">
            <w:r>
              <w:rPr>
                <w:rFonts w:ascii="宋体" w:hAnsi="宋体" w:hint="eastAsia"/>
                <w:bCs/>
                <w:color w:val="000000"/>
                <w:kern w:val="0"/>
                <w:szCs w:val="21"/>
              </w:rPr>
              <w:t>机构</w:t>
            </w:r>
          </w:p>
        </w:tc>
        <w:tc>
          <w:tcPr>
            <w:tcW w:w="991" w:type="dxa"/>
            <w:vAlign w:val="center"/>
          </w:tcPr>
          <w:p w:rsidR="00122EAB" w:rsidRDefault="007C5C16">
            <w:pPr>
              <w:jc w:val="center"/>
            </w:pPr>
            <w:r>
              <w:rPr>
                <w:rFonts w:ascii="宋体" w:hAnsi="宋体" w:hint="eastAsia"/>
                <w:color w:val="000000"/>
                <w:kern w:val="0"/>
                <w:szCs w:val="21"/>
              </w:rPr>
              <w:t>1</w:t>
            </w:r>
          </w:p>
        </w:tc>
        <w:tc>
          <w:tcPr>
            <w:tcW w:w="1843" w:type="dxa"/>
            <w:vAlign w:val="center"/>
          </w:tcPr>
          <w:p w:rsidR="00122EAB" w:rsidRDefault="007C5C16">
            <w:pPr>
              <w:jc w:val="center"/>
            </w:pPr>
            <w:r>
              <w:rPr>
                <w:rFonts w:ascii="宋体" w:hAnsi="宋体" w:hint="eastAsia"/>
                <w:color w:val="000000"/>
                <w:kern w:val="0"/>
                <w:szCs w:val="21"/>
              </w:rPr>
              <w:t>2018年1月1日至2018年1月31日</w:t>
            </w:r>
          </w:p>
        </w:tc>
        <w:tc>
          <w:tcPr>
            <w:tcW w:w="851" w:type="dxa"/>
            <w:vAlign w:val="center"/>
          </w:tcPr>
          <w:p w:rsidR="00122EAB" w:rsidRDefault="007C5C16">
            <w:pPr>
              <w:jc w:val="center"/>
            </w:pPr>
            <w:r>
              <w:rPr>
                <w:rFonts w:ascii="宋体" w:hAnsi="宋体" w:hint="eastAsia"/>
                <w:color w:val="000000"/>
                <w:kern w:val="0"/>
                <w:szCs w:val="21"/>
              </w:rPr>
              <w:t>200,166,223.84</w:t>
            </w:r>
          </w:p>
        </w:tc>
        <w:tc>
          <w:tcPr>
            <w:tcW w:w="850" w:type="dxa"/>
            <w:vAlign w:val="center"/>
          </w:tcPr>
          <w:p w:rsidR="00122EAB" w:rsidRDefault="007C5C16">
            <w:pPr>
              <w:jc w:val="center"/>
            </w:pPr>
            <w:r>
              <w:rPr>
                <w:rFonts w:ascii="宋体" w:hAnsi="宋体" w:hint="eastAsia"/>
                <w:color w:val="000000"/>
                <w:kern w:val="0"/>
                <w:szCs w:val="21"/>
              </w:rPr>
              <w:t>-</w:t>
            </w:r>
          </w:p>
        </w:tc>
        <w:tc>
          <w:tcPr>
            <w:tcW w:w="1134" w:type="dxa"/>
            <w:vAlign w:val="center"/>
          </w:tcPr>
          <w:p w:rsidR="00122EAB" w:rsidRDefault="007C5C16">
            <w:pPr>
              <w:jc w:val="center"/>
            </w:pPr>
            <w:r>
              <w:rPr>
                <w:rFonts w:ascii="宋体" w:hAnsi="宋体" w:hint="eastAsia"/>
                <w:color w:val="000000"/>
                <w:kern w:val="0"/>
                <w:szCs w:val="21"/>
              </w:rPr>
              <w:t>200,166,223.84</w:t>
            </w:r>
          </w:p>
        </w:tc>
        <w:tc>
          <w:tcPr>
            <w:tcW w:w="1419" w:type="dxa"/>
            <w:vAlign w:val="center"/>
          </w:tcPr>
          <w:p w:rsidR="00122EAB" w:rsidRDefault="007C5C16">
            <w:pPr>
              <w:jc w:val="center"/>
            </w:pPr>
            <w:r>
              <w:rPr>
                <w:rFonts w:ascii="宋体" w:hAnsi="宋体" w:hint="eastAsia"/>
                <w:color w:val="000000"/>
                <w:kern w:val="0"/>
                <w:szCs w:val="21"/>
              </w:rPr>
              <w:t>0.00</w:t>
            </w:r>
          </w:p>
        </w:tc>
        <w:tc>
          <w:tcPr>
            <w:tcW w:w="1130" w:type="dxa"/>
            <w:vAlign w:val="center"/>
          </w:tcPr>
          <w:p w:rsidR="00122EAB" w:rsidRDefault="007C5C16">
            <w:pPr>
              <w:jc w:val="center"/>
            </w:pPr>
            <w:r>
              <w:rPr>
                <w:rFonts w:ascii="宋体" w:hAnsi="宋体" w:hint="eastAsia"/>
                <w:color w:val="000000"/>
                <w:kern w:val="0"/>
                <w:szCs w:val="21"/>
              </w:rPr>
              <w:t>-</w:t>
            </w:r>
          </w:p>
        </w:tc>
      </w:tr>
      <w:tr w:rsidR="00122EAB">
        <w:tc>
          <w:tcPr>
            <w:tcW w:w="992" w:type="dxa"/>
            <w:vMerge/>
          </w:tcPr>
          <w:p w:rsidR="00122EAB" w:rsidRDefault="00122EAB"/>
        </w:tc>
        <w:tc>
          <w:tcPr>
            <w:tcW w:w="991" w:type="dxa"/>
            <w:vAlign w:val="center"/>
          </w:tcPr>
          <w:p w:rsidR="00122EAB" w:rsidRDefault="007C5C16">
            <w:pPr>
              <w:jc w:val="center"/>
            </w:pPr>
            <w:r>
              <w:rPr>
                <w:rFonts w:ascii="宋体" w:hAnsi="宋体" w:hint="eastAsia"/>
                <w:color w:val="000000"/>
                <w:kern w:val="0"/>
                <w:szCs w:val="21"/>
              </w:rPr>
              <w:t>2</w:t>
            </w:r>
          </w:p>
        </w:tc>
        <w:tc>
          <w:tcPr>
            <w:tcW w:w="1843" w:type="dxa"/>
            <w:vAlign w:val="center"/>
          </w:tcPr>
          <w:p w:rsidR="00122EAB" w:rsidRDefault="007C5C16">
            <w:pPr>
              <w:jc w:val="center"/>
            </w:pPr>
            <w:r>
              <w:rPr>
                <w:rFonts w:ascii="宋体" w:hAnsi="宋体" w:hint="eastAsia"/>
                <w:color w:val="000000"/>
                <w:kern w:val="0"/>
                <w:szCs w:val="21"/>
              </w:rPr>
              <w:t>2018年2月1日至2018年3月31日</w:t>
            </w:r>
          </w:p>
        </w:tc>
        <w:tc>
          <w:tcPr>
            <w:tcW w:w="851" w:type="dxa"/>
            <w:vAlign w:val="center"/>
          </w:tcPr>
          <w:p w:rsidR="00122EAB" w:rsidRDefault="007C5C16">
            <w:pPr>
              <w:jc w:val="center"/>
            </w:pPr>
            <w:r>
              <w:rPr>
                <w:rFonts w:ascii="宋体" w:hAnsi="宋体" w:hint="eastAsia"/>
                <w:color w:val="000000"/>
                <w:kern w:val="0"/>
                <w:szCs w:val="21"/>
              </w:rPr>
              <w:t>-</w:t>
            </w:r>
          </w:p>
        </w:tc>
        <w:tc>
          <w:tcPr>
            <w:tcW w:w="850" w:type="dxa"/>
            <w:vAlign w:val="center"/>
          </w:tcPr>
          <w:p w:rsidR="00122EAB" w:rsidRDefault="007C5C16">
            <w:pPr>
              <w:jc w:val="center"/>
            </w:pPr>
            <w:r>
              <w:rPr>
                <w:rFonts w:ascii="宋体" w:hAnsi="宋体" w:hint="eastAsia"/>
                <w:color w:val="000000"/>
                <w:kern w:val="0"/>
                <w:szCs w:val="21"/>
              </w:rPr>
              <w:t>1,491,449.72</w:t>
            </w:r>
          </w:p>
        </w:tc>
        <w:tc>
          <w:tcPr>
            <w:tcW w:w="1134" w:type="dxa"/>
            <w:vAlign w:val="center"/>
          </w:tcPr>
          <w:p w:rsidR="00122EAB" w:rsidRDefault="007C5C16">
            <w:pPr>
              <w:jc w:val="center"/>
            </w:pPr>
            <w:r>
              <w:rPr>
                <w:rFonts w:ascii="宋体" w:hAnsi="宋体" w:hint="eastAsia"/>
                <w:color w:val="000000"/>
                <w:kern w:val="0"/>
                <w:szCs w:val="21"/>
              </w:rPr>
              <w:t>-</w:t>
            </w:r>
          </w:p>
        </w:tc>
        <w:tc>
          <w:tcPr>
            <w:tcW w:w="1419" w:type="dxa"/>
            <w:vAlign w:val="center"/>
          </w:tcPr>
          <w:p w:rsidR="00122EAB" w:rsidRDefault="007C5C16">
            <w:pPr>
              <w:jc w:val="center"/>
            </w:pPr>
            <w:r>
              <w:rPr>
                <w:rFonts w:ascii="宋体" w:hAnsi="宋体" w:hint="eastAsia"/>
                <w:color w:val="000000"/>
                <w:kern w:val="0"/>
                <w:szCs w:val="21"/>
              </w:rPr>
              <w:t>1,491,449.72</w:t>
            </w:r>
          </w:p>
        </w:tc>
        <w:tc>
          <w:tcPr>
            <w:tcW w:w="1130" w:type="dxa"/>
            <w:vAlign w:val="center"/>
          </w:tcPr>
          <w:p w:rsidR="00122EAB" w:rsidRDefault="007C5C16">
            <w:pPr>
              <w:jc w:val="center"/>
            </w:pPr>
            <w:r>
              <w:rPr>
                <w:rFonts w:ascii="宋体" w:hAnsi="宋体" w:hint="eastAsia"/>
                <w:color w:val="000000"/>
                <w:kern w:val="0"/>
                <w:szCs w:val="21"/>
              </w:rPr>
              <w:t>99.81%</w:t>
            </w:r>
          </w:p>
        </w:tc>
      </w:tr>
      <w:tr w:rsidR="00276366" w:rsidTr="0027636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276366" w:rsidTr="0027636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122EAB" w:rsidRDefault="007C5C16">
            <w:pPr>
              <w:autoSpaceDE w:val="0"/>
              <w:autoSpaceDN w:val="0"/>
              <w:adjustRightInd w:val="0"/>
              <w:jc w:val="left"/>
              <w:rPr>
                <w:rFonts w:ascii="宋体" w:hAnsi="宋体"/>
                <w:kern w:val="0"/>
                <w:szCs w:val="21"/>
              </w:rPr>
            </w:pPr>
            <w:r>
              <w:rPr>
                <w:rFonts w:ascii="宋体" w:hAnsi="宋体" w:hint="eastAsia"/>
                <w:kern w:val="0"/>
                <w:szCs w:val="21"/>
              </w:rPr>
              <w:t>（1）持有份额比例较高的投资者（“高比例投资者”）大额赎回时易使本基金发生巨额赎回或连续巨额赎回，中小投资者可能面临赎回申请需要与高比例投资者按同比例部分延期办理的风险，赎回款项延期获得。</w:t>
            </w:r>
          </w:p>
          <w:p w:rsidR="00122EAB" w:rsidRDefault="007C5C16">
            <w:pPr>
              <w:autoSpaceDE w:val="0"/>
              <w:autoSpaceDN w:val="0"/>
              <w:adjustRightInd w:val="0"/>
              <w:jc w:val="left"/>
              <w:rPr>
                <w:rFonts w:ascii="宋体" w:hAnsi="宋体"/>
                <w:kern w:val="0"/>
                <w:szCs w:val="21"/>
              </w:rPr>
            </w:pPr>
            <w:r>
              <w:rPr>
                <w:rFonts w:ascii="宋体" w:hAnsi="宋体" w:hint="eastAsia"/>
                <w:kern w:val="0"/>
                <w:szCs w:val="21"/>
              </w:rPr>
              <w:t>（2）基金净值大幅波动的风险</w:t>
            </w:r>
          </w:p>
          <w:p w:rsidR="00122EAB" w:rsidRDefault="007C5C16">
            <w:pPr>
              <w:autoSpaceDE w:val="0"/>
              <w:autoSpaceDN w:val="0"/>
              <w:adjustRightInd w:val="0"/>
              <w:jc w:val="left"/>
              <w:rPr>
                <w:rFonts w:ascii="宋体" w:hAnsi="宋体"/>
                <w:kern w:val="0"/>
                <w:szCs w:val="21"/>
              </w:rPr>
            </w:pPr>
            <w:r>
              <w:rPr>
                <w:rFonts w:ascii="宋体" w:hAnsi="宋体" w:hint="eastAsia"/>
                <w:kern w:val="0"/>
                <w:szCs w:val="21"/>
              </w:rPr>
              <w:t>高比例投资者大额赎回时，基金管理人进行基金财产变现可能会对基金资产净值造成较大波动；若高比例投资者赎回的基金份额收取赎回费，相应的赎回费用按约定将部分或全部归入基金资产，可能对基金资产净值造成较大波动。</w:t>
            </w:r>
          </w:p>
          <w:p w:rsidR="00122EAB" w:rsidRDefault="007C5C16">
            <w:pPr>
              <w:autoSpaceDE w:val="0"/>
              <w:autoSpaceDN w:val="0"/>
              <w:adjustRightInd w:val="0"/>
              <w:jc w:val="left"/>
              <w:rPr>
                <w:rFonts w:ascii="宋体" w:hAnsi="宋体"/>
                <w:kern w:val="0"/>
                <w:szCs w:val="21"/>
              </w:rPr>
            </w:pPr>
            <w:r>
              <w:rPr>
                <w:rFonts w:ascii="宋体" w:hAnsi="宋体" w:hint="eastAsia"/>
                <w:kern w:val="0"/>
                <w:szCs w:val="21"/>
              </w:rPr>
              <w:t>（3）基金规模较小导致的风险</w:t>
            </w:r>
          </w:p>
          <w:p w:rsidR="00122EAB" w:rsidRDefault="007C5C16">
            <w:pPr>
              <w:autoSpaceDE w:val="0"/>
              <w:autoSpaceDN w:val="0"/>
              <w:adjustRightInd w:val="0"/>
              <w:jc w:val="left"/>
              <w:rPr>
                <w:rFonts w:ascii="宋体" w:hAnsi="宋体"/>
                <w:kern w:val="0"/>
                <w:szCs w:val="21"/>
              </w:rPr>
            </w:pPr>
            <w:r>
              <w:rPr>
                <w:rFonts w:ascii="宋体" w:hAnsi="宋体" w:hint="eastAsia"/>
                <w:kern w:val="0"/>
                <w:szCs w:val="21"/>
              </w:rPr>
              <w:t>高比例投资者赎回后，可能导致基金规模较小，从而使得基金投资及运作管理的难度增加。本基金管理人将继续勤勉尽责，执行相关投资策略，力争实现投资目标。</w:t>
            </w:r>
          </w:p>
          <w:p w:rsidR="00122EAB" w:rsidRDefault="007C5C16">
            <w:pPr>
              <w:autoSpaceDE w:val="0"/>
              <w:autoSpaceDN w:val="0"/>
              <w:adjustRightInd w:val="0"/>
              <w:jc w:val="left"/>
              <w:rPr>
                <w:rFonts w:ascii="宋体" w:hAnsi="宋体"/>
                <w:kern w:val="0"/>
                <w:szCs w:val="21"/>
              </w:rPr>
            </w:pPr>
            <w:r>
              <w:rPr>
                <w:rFonts w:ascii="宋体" w:hAnsi="宋体" w:hint="eastAsia"/>
                <w:kern w:val="0"/>
                <w:szCs w:val="21"/>
              </w:rPr>
              <w:t>（4）提前终止基金合同的风险</w:t>
            </w:r>
          </w:p>
          <w:p w:rsidR="00276366" w:rsidRDefault="00276366" w:rsidP="004E555A">
            <w:pPr>
              <w:autoSpaceDE w:val="0"/>
              <w:autoSpaceDN w:val="0"/>
              <w:adjustRightInd w:val="0"/>
              <w:jc w:val="left"/>
              <w:rPr>
                <w:rFonts w:ascii="宋体" w:hAnsi="宋体"/>
                <w:kern w:val="0"/>
                <w:szCs w:val="21"/>
              </w:rPr>
            </w:pPr>
            <w:r>
              <w:rPr>
                <w:rFonts w:ascii="宋体" w:hAnsi="宋体" w:hint="eastAsia"/>
                <w:kern w:val="0"/>
                <w:szCs w:val="21"/>
              </w:rPr>
              <w:t>多名高比例投资者赎回后，可能出现基金资产净值低于5000万元的情形，根据本基金合同约定，若连续60个工作日出现基金资产净值低于5000 万元情形的，本基金应当根据基金合同的约定进入清算程序并终止，无需召开基金份额持有人大会审议。</w:t>
            </w:r>
          </w:p>
        </w:tc>
      </w:tr>
    </w:tbl>
    <w:p w:rsidR="00276366" w:rsidRDefault="00276366" w:rsidP="0027636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276366" w:rsidRDefault="00276366" w:rsidP="00276366">
      <w:pPr>
        <w:spacing w:line="360" w:lineRule="auto"/>
        <w:ind w:firstLineChars="200" w:firstLine="420"/>
        <w:rPr>
          <w:rFonts w:ascii="宋体" w:hAnsi="宋体"/>
          <w:color w:val="000000"/>
          <w:szCs w:val="21"/>
        </w:rPr>
      </w:pPr>
      <w:r>
        <w:rPr>
          <w:rFonts w:ascii="宋体" w:hAnsi="宋体" w:hint="eastAsia"/>
          <w:color w:val="000000"/>
          <w:szCs w:val="21"/>
        </w:rPr>
        <w:t>本基金管理人于2018年3月28日收到中国证监会《关于核准国联安基金管理有限公司变更股权的批复》（证监许可[2018]557号），核准本基金管理人的股东国泰君安证券股份有限公司将其持有的本基金管理人51%股权转让给太平洋资产管理有限责任公司。截至本报告出具日，上述股权转让事项尚未全部完成。</w:t>
      </w:r>
    </w:p>
    <w:p w:rsidR="009238DB" w:rsidRPr="004264FD" w:rsidRDefault="009238DB" w:rsidP="00AE2F3C">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A14399" w:rsidRPr="004264FD">
        <w:rPr>
          <w:rFonts w:eastAsiaTheme="minorEastAsia"/>
          <w:color w:val="000000" w:themeColor="text1"/>
          <w:kern w:val="0"/>
          <w:sz w:val="21"/>
          <w:szCs w:val="21"/>
        </w:rPr>
        <w:t>9</w:t>
      </w:r>
      <w:r w:rsidRPr="004264FD">
        <w:rPr>
          <w:rFonts w:eastAsiaTheme="minorEastAsia"/>
          <w:color w:val="000000" w:themeColor="text1"/>
          <w:kern w:val="0"/>
          <w:sz w:val="21"/>
          <w:szCs w:val="21"/>
        </w:rPr>
        <w:t>备查文件目录</w:t>
      </w:r>
    </w:p>
    <w:p w:rsidR="00FB3C94" w:rsidRPr="004264FD"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w:t>
      </w:r>
      <w:r w:rsidR="00D13A01" w:rsidRPr="004264FD">
        <w:rPr>
          <w:rFonts w:eastAsiaTheme="minorEastAsia"/>
          <w:b/>
          <w:bCs/>
          <w:color w:val="000000" w:themeColor="text1"/>
          <w:kern w:val="0"/>
          <w:szCs w:val="21"/>
        </w:rPr>
        <w:t>1</w:t>
      </w:r>
      <w:r w:rsidR="00FB3C94" w:rsidRPr="004264FD">
        <w:rPr>
          <w:rFonts w:eastAsiaTheme="minorEastAsia"/>
          <w:b/>
          <w:bCs/>
          <w:color w:val="000000" w:themeColor="text1"/>
          <w:kern w:val="0"/>
          <w:szCs w:val="21"/>
        </w:rPr>
        <w:t>备查文件目录</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、中国证监会批准国联安鑫盛混合型证券投资基金发行及募集的文件</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、《国联安鑫盛混合型证券投资基金基金合同》</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、《国联安鑫盛混合型证券投资基金招募说明书》</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、《国联安鑫盛混合型证券投资基金托管协议》</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、基金管理人业务资格批件和营业执照</w:t>
      </w:r>
    </w:p>
    <w:p w:rsidR="00122EAB" w:rsidRDefault="007C5C16">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7</w:t>
      </w:r>
      <w:r w:rsidRPr="004264FD">
        <w:rPr>
          <w:rFonts w:eastAsiaTheme="minorEastAsia"/>
          <w:color w:val="000000" w:themeColor="text1"/>
          <w:szCs w:val="21"/>
        </w:rPr>
        <w:t>、中国证监会要求的其他文件</w:t>
      </w:r>
    </w:p>
    <w:p w:rsidR="00FB3C94" w:rsidRPr="004264FD" w:rsidRDefault="00D13A01" w:rsidP="00AE2F3C">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9.2</w:t>
      </w:r>
      <w:r w:rsidR="00FB3C94" w:rsidRPr="004264FD">
        <w:rPr>
          <w:rFonts w:eastAsiaTheme="minorEastAsia"/>
          <w:b/>
          <w:bCs/>
          <w:color w:val="000000" w:themeColor="text1"/>
          <w:kern w:val="0"/>
          <w:szCs w:val="21"/>
        </w:rPr>
        <w:t>存放地点</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中国（上海）自由贸易试验区陆家嘴环路</w:t>
      </w:r>
      <w:r w:rsidRPr="004264FD">
        <w:rPr>
          <w:rFonts w:eastAsiaTheme="minorEastAsia"/>
          <w:color w:val="000000" w:themeColor="text1"/>
          <w:szCs w:val="21"/>
        </w:rPr>
        <w:t>1318</w:t>
      </w:r>
      <w:r w:rsidRPr="004264FD">
        <w:rPr>
          <w:rFonts w:eastAsiaTheme="minorEastAsia"/>
          <w:color w:val="000000" w:themeColor="text1"/>
          <w:szCs w:val="21"/>
        </w:rPr>
        <w:t>号</w:t>
      </w:r>
      <w:r w:rsidRPr="004264FD">
        <w:rPr>
          <w:rFonts w:eastAsiaTheme="minorEastAsia"/>
          <w:color w:val="000000" w:themeColor="text1"/>
          <w:szCs w:val="21"/>
        </w:rPr>
        <w:t>9</w:t>
      </w:r>
      <w:r w:rsidRPr="004264FD">
        <w:rPr>
          <w:rFonts w:eastAsiaTheme="minorEastAsia"/>
          <w:color w:val="000000" w:themeColor="text1"/>
          <w:szCs w:val="21"/>
        </w:rPr>
        <w:t>楼</w:t>
      </w:r>
    </w:p>
    <w:p w:rsidR="00FB3C94" w:rsidRPr="004264FD" w:rsidRDefault="00D13A01" w:rsidP="00AE2F3C">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9.3</w:t>
      </w:r>
      <w:r w:rsidR="00FB3C94" w:rsidRPr="004264FD">
        <w:rPr>
          <w:rFonts w:eastAsiaTheme="minorEastAsia"/>
          <w:b/>
          <w:bCs/>
          <w:color w:val="000000" w:themeColor="text1"/>
          <w:kern w:val="0"/>
          <w:szCs w:val="21"/>
        </w:rPr>
        <w:t>查阅方式</w:t>
      </w:r>
    </w:p>
    <w:p w:rsidR="00FB3C94" w:rsidRPr="004264FD" w:rsidRDefault="00FB3C94"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网址：</w:t>
      </w:r>
      <w:r w:rsidRPr="004264FD">
        <w:rPr>
          <w:rFonts w:eastAsiaTheme="minorEastAsia"/>
          <w:color w:val="000000" w:themeColor="text1"/>
          <w:szCs w:val="21"/>
        </w:rPr>
        <w:t>www.gtja-allianz.com</w:t>
      </w:r>
    </w:p>
    <w:p w:rsidR="00FB3C94" w:rsidRPr="004264FD" w:rsidRDefault="00FB3C94" w:rsidP="00FB3C94">
      <w:pPr>
        <w:spacing w:line="360" w:lineRule="auto"/>
        <w:ind w:left="840"/>
        <w:jc w:val="right"/>
        <w:rPr>
          <w:rFonts w:eastAsiaTheme="minorEastAsia"/>
          <w:color w:val="000000" w:themeColor="text1"/>
          <w:szCs w:val="21"/>
        </w:rPr>
      </w:pPr>
    </w:p>
    <w:p w:rsidR="00AF3AF9" w:rsidRPr="004264FD" w:rsidRDefault="00AF3AF9" w:rsidP="00053FFD">
      <w:pPr>
        <w:spacing w:line="360" w:lineRule="auto"/>
        <w:ind w:left="840"/>
        <w:jc w:val="center"/>
        <w:rPr>
          <w:rFonts w:eastAsiaTheme="minorEastAsia"/>
          <w:b/>
          <w:color w:val="000000" w:themeColor="text1"/>
          <w:szCs w:val="21"/>
        </w:rPr>
      </w:pPr>
    </w:p>
    <w:p w:rsidR="00FB3C94" w:rsidRPr="004264FD" w:rsidRDefault="00FB3C94"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国联安基金管理有限公司</w:t>
      </w:r>
    </w:p>
    <w:p w:rsidR="009238DB" w:rsidRPr="004264FD" w:rsidRDefault="00D04410"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二〇一八年四月二十日</w:t>
      </w:r>
    </w:p>
    <w:sectPr w:rsidR="009238DB" w:rsidRPr="004264FD"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04" w:rsidRDefault="00904A04">
      <w:r>
        <w:separator/>
      </w:r>
    </w:p>
  </w:endnote>
  <w:endnote w:type="continuationSeparator" w:id="1">
    <w:p w:rsidR="00904A04" w:rsidRDefault="00904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1D0DB0" w:rsidRDefault="00B22511" w:rsidP="00F7094A">
    <w:pPr>
      <w:pStyle w:val="a6"/>
      <w:jc w:val="center"/>
    </w:pPr>
    <w:r>
      <w:rPr>
        <w:rFonts w:hint="eastAsia"/>
        <w:kern w:val="0"/>
        <w:szCs w:val="21"/>
      </w:rPr>
      <w:t>第</w:t>
    </w:r>
    <w:r w:rsidR="00DA76D6">
      <w:rPr>
        <w:kern w:val="0"/>
        <w:szCs w:val="21"/>
      </w:rPr>
      <w:fldChar w:fldCharType="begin"/>
    </w:r>
    <w:r>
      <w:rPr>
        <w:kern w:val="0"/>
        <w:szCs w:val="21"/>
      </w:rPr>
      <w:instrText xml:space="preserve"> PAGE </w:instrText>
    </w:r>
    <w:r w:rsidR="00DA76D6">
      <w:rPr>
        <w:kern w:val="0"/>
        <w:szCs w:val="21"/>
      </w:rPr>
      <w:fldChar w:fldCharType="separate"/>
    </w:r>
    <w:r w:rsidR="00AE2F3C">
      <w:rPr>
        <w:noProof/>
        <w:kern w:val="0"/>
        <w:szCs w:val="21"/>
      </w:rPr>
      <w:t>1</w:t>
    </w:r>
    <w:r w:rsidR="00DA76D6">
      <w:rPr>
        <w:kern w:val="0"/>
        <w:szCs w:val="21"/>
      </w:rPr>
      <w:fldChar w:fldCharType="end"/>
    </w:r>
    <w:r>
      <w:rPr>
        <w:rFonts w:hint="eastAsia"/>
        <w:kern w:val="0"/>
        <w:szCs w:val="21"/>
      </w:rPr>
      <w:t>页共</w:t>
    </w:r>
    <w:r w:rsidR="00DA76D6">
      <w:rPr>
        <w:kern w:val="0"/>
        <w:szCs w:val="21"/>
      </w:rPr>
      <w:fldChar w:fldCharType="begin"/>
    </w:r>
    <w:r>
      <w:rPr>
        <w:kern w:val="0"/>
        <w:szCs w:val="21"/>
      </w:rPr>
      <w:instrText xml:space="preserve"> NUMPAGES </w:instrText>
    </w:r>
    <w:r w:rsidR="00DA76D6">
      <w:rPr>
        <w:kern w:val="0"/>
        <w:szCs w:val="21"/>
      </w:rPr>
      <w:fldChar w:fldCharType="separate"/>
    </w:r>
    <w:r w:rsidR="00AE2F3C">
      <w:rPr>
        <w:noProof/>
        <w:kern w:val="0"/>
        <w:szCs w:val="21"/>
      </w:rPr>
      <w:t>4</w:t>
    </w:r>
    <w:r w:rsidR="00DA76D6">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DA76D6">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end"/>
    </w:r>
  </w:p>
  <w:p w:rsidR="00B22511" w:rsidRDefault="00B225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DA76D6">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separate"/>
    </w:r>
    <w:r w:rsidR="00AE2F3C">
      <w:rPr>
        <w:rStyle w:val="a7"/>
        <w:noProof/>
      </w:rPr>
      <w:t>3</w:t>
    </w:r>
    <w:r>
      <w:rPr>
        <w:rStyle w:val="a7"/>
      </w:rPr>
      <w:fldChar w:fldCharType="end"/>
    </w:r>
  </w:p>
  <w:p w:rsidR="00B22511" w:rsidRDefault="00B22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04" w:rsidRDefault="00904A04">
      <w:r>
        <w:separator/>
      </w:r>
    </w:p>
  </w:footnote>
  <w:footnote w:type="continuationSeparator" w:id="1">
    <w:p w:rsidR="00904A04" w:rsidRDefault="00904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63693D" w:rsidRDefault="00B22511" w:rsidP="001207F2">
    <w:pPr>
      <w:pStyle w:val="a9"/>
      <w:pBdr>
        <w:bottom w:val="single" w:sz="6" w:space="0" w:color="auto"/>
      </w:pBdr>
      <w:jc w:val="right"/>
    </w:pPr>
    <w:r w:rsidRPr="0063693D">
      <w:t>国联安鑫盛混合型证券投资基金</w:t>
    </w:r>
    <w:r w:rsidRPr="0063693D">
      <w:t>2018</w:t>
    </w:r>
    <w:r w:rsidRPr="0063693D">
      <w:t>年第</w:t>
    </w:r>
    <w:r w:rsidRPr="0063693D">
      <w:t>1</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5F93"/>
    <w:rsid w:val="00117465"/>
    <w:rsid w:val="00117F22"/>
    <w:rsid w:val="00120280"/>
    <w:rsid w:val="001207F2"/>
    <w:rsid w:val="00121533"/>
    <w:rsid w:val="00122EAB"/>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76366"/>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65E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242"/>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44F9"/>
    <w:rsid w:val="003968CD"/>
    <w:rsid w:val="00397960"/>
    <w:rsid w:val="00397F75"/>
    <w:rsid w:val="003A2008"/>
    <w:rsid w:val="003A3BC4"/>
    <w:rsid w:val="003A4AA3"/>
    <w:rsid w:val="003B405E"/>
    <w:rsid w:val="003B40B4"/>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0D3C"/>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555A"/>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43A6"/>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D5B44"/>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387D"/>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A8"/>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5C16"/>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A04"/>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2F3C"/>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4CA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44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A76D6"/>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3B6"/>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5F36"/>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1"/>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2">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1918054659">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426E-87A0-493A-A786-25FC2DA7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1516</Words>
  <Characters>8642</Characters>
  <Application>Microsoft Office Word</Application>
  <DocSecurity>4</DocSecurity>
  <Lines>72</Lines>
  <Paragraphs>20</Paragraphs>
  <ScaleCrop>false</ScaleCrop>
  <Company>TRT. Ltd. Co.</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2018-04-19T17:33:00Z</dcterms:created>
  <dcterms:modified xsi:type="dcterms:W3CDTF">2018-04-19T17:33:00Z</dcterms:modified>
</cp:coreProperties>
</file>