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CF9" w:rsidRDefault="00117CF9" w:rsidP="00117CF9">
      <w:pPr>
        <w:pStyle w:val="a5"/>
        <w:adjustRightInd w:val="0"/>
        <w:snapToGrid w:val="0"/>
        <w:spacing w:line="500" w:lineRule="exact"/>
        <w:ind w:firstLineChars="200" w:firstLine="602"/>
        <w:jc w:val="center"/>
        <w:rPr>
          <w:rFonts w:ascii="Times New Roman" w:eastAsia="黑体" w:hAnsi="Times New Roman" w:cs="Times New Roman"/>
          <w:b/>
          <w:bCs/>
          <w:color w:val="000000"/>
          <w:sz w:val="30"/>
          <w:szCs w:val="30"/>
        </w:rPr>
      </w:pPr>
      <w:r w:rsidRPr="00117CF9">
        <w:rPr>
          <w:rFonts w:ascii="Times New Roman" w:eastAsia="黑体" w:hAnsi="Times New Roman" w:cs="Times New Roman" w:hint="eastAsia"/>
          <w:b/>
          <w:bCs/>
          <w:color w:val="000000"/>
          <w:sz w:val="30"/>
          <w:szCs w:val="30"/>
        </w:rPr>
        <w:t>关于天弘</w:t>
      </w:r>
      <w:r w:rsidR="0013621A">
        <w:rPr>
          <w:rFonts w:ascii="Times New Roman" w:eastAsia="黑体" w:hAnsi="Times New Roman" w:cs="Times New Roman" w:hint="eastAsia"/>
          <w:b/>
          <w:bCs/>
          <w:color w:val="000000"/>
          <w:sz w:val="30"/>
          <w:szCs w:val="30"/>
        </w:rPr>
        <w:t>天盈</w:t>
      </w:r>
      <w:r w:rsidRPr="00117CF9">
        <w:rPr>
          <w:rFonts w:ascii="Times New Roman" w:eastAsia="黑体" w:hAnsi="Times New Roman" w:cs="Times New Roman" w:hint="eastAsia"/>
          <w:b/>
          <w:bCs/>
          <w:color w:val="000000"/>
          <w:sz w:val="30"/>
          <w:szCs w:val="30"/>
        </w:rPr>
        <w:t>灵活配置混合型证券投资基金</w:t>
      </w:r>
      <w:r w:rsidR="00E87F12">
        <w:rPr>
          <w:rFonts w:ascii="Times New Roman" w:eastAsia="黑体" w:hAnsi="Times New Roman" w:cs="Times New Roman" w:hint="eastAsia"/>
          <w:b/>
          <w:bCs/>
          <w:color w:val="000000"/>
          <w:sz w:val="30"/>
          <w:szCs w:val="30"/>
        </w:rPr>
        <w:t>可能</w:t>
      </w:r>
      <w:r w:rsidR="00E87F12">
        <w:rPr>
          <w:rFonts w:ascii="Times New Roman" w:eastAsia="黑体" w:hAnsi="Times New Roman" w:cs="Times New Roman"/>
          <w:b/>
          <w:bCs/>
          <w:color w:val="000000"/>
          <w:sz w:val="30"/>
          <w:szCs w:val="30"/>
        </w:rPr>
        <w:t>触发</w:t>
      </w:r>
      <w:r w:rsidRPr="00117CF9">
        <w:rPr>
          <w:rFonts w:ascii="Times New Roman" w:eastAsia="黑体" w:hAnsi="Times New Roman" w:cs="Times New Roman" w:hint="eastAsia"/>
          <w:b/>
          <w:bCs/>
          <w:color w:val="000000"/>
          <w:sz w:val="30"/>
          <w:szCs w:val="30"/>
        </w:rPr>
        <w:t>基金合同终止</w:t>
      </w:r>
      <w:r w:rsidR="00E87F12">
        <w:rPr>
          <w:rFonts w:ascii="Times New Roman" w:eastAsia="黑体" w:hAnsi="Times New Roman" w:cs="Times New Roman" w:hint="eastAsia"/>
          <w:b/>
          <w:bCs/>
          <w:color w:val="000000"/>
          <w:sz w:val="30"/>
          <w:szCs w:val="30"/>
        </w:rPr>
        <w:t>情形的</w:t>
      </w:r>
      <w:r w:rsidR="00CD7E30">
        <w:rPr>
          <w:rFonts w:ascii="Times New Roman" w:eastAsia="黑体" w:hAnsi="Times New Roman" w:cs="Times New Roman"/>
          <w:b/>
          <w:bCs/>
          <w:color w:val="000000"/>
          <w:sz w:val="30"/>
          <w:szCs w:val="30"/>
        </w:rPr>
        <w:t>第</w:t>
      </w:r>
      <w:r w:rsidR="00CD7E30">
        <w:rPr>
          <w:rFonts w:ascii="Times New Roman" w:eastAsia="黑体" w:hAnsi="Times New Roman" w:cs="Times New Roman" w:hint="eastAsia"/>
          <w:b/>
          <w:bCs/>
          <w:color w:val="000000"/>
          <w:sz w:val="30"/>
          <w:szCs w:val="30"/>
        </w:rPr>
        <w:t>二</w:t>
      </w:r>
      <w:r w:rsidR="00E87F12">
        <w:rPr>
          <w:rFonts w:ascii="Times New Roman" w:eastAsia="黑体" w:hAnsi="Times New Roman" w:cs="Times New Roman"/>
          <w:b/>
          <w:bCs/>
          <w:color w:val="000000"/>
          <w:sz w:val="30"/>
          <w:szCs w:val="30"/>
        </w:rPr>
        <w:t>次提示性公告</w:t>
      </w:r>
    </w:p>
    <w:p w:rsidR="00117CF9" w:rsidRDefault="00117CF9" w:rsidP="00582C8E">
      <w:pPr>
        <w:pStyle w:val="a5"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Theme="minorEastAsia"/>
          <w:sz w:val="24"/>
          <w:szCs w:val="24"/>
        </w:rPr>
      </w:pPr>
    </w:p>
    <w:p w:rsidR="00AD3089" w:rsidRDefault="00AB0A20">
      <w:pPr>
        <w:pStyle w:val="a5"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 w:rsidRPr="00F21198">
        <w:rPr>
          <w:rFonts w:ascii="仿宋_GB2312" w:eastAsia="仿宋_GB2312" w:hAnsiTheme="minorEastAsia" w:hint="eastAsia"/>
          <w:sz w:val="24"/>
          <w:szCs w:val="24"/>
        </w:rPr>
        <w:t>根据《中华人民共和国证券投资基金法》、《</w:t>
      </w:r>
      <w:r w:rsidR="002B76C3">
        <w:rPr>
          <w:rFonts w:ascii="仿宋_GB2312" w:eastAsia="仿宋_GB2312" w:hAnsiTheme="minorEastAsia" w:hint="eastAsia"/>
          <w:sz w:val="24"/>
          <w:szCs w:val="24"/>
        </w:rPr>
        <w:t>公开</w:t>
      </w:r>
      <w:r w:rsidR="002B76C3">
        <w:rPr>
          <w:rFonts w:ascii="仿宋_GB2312" w:eastAsia="仿宋_GB2312" w:hAnsiTheme="minorEastAsia"/>
          <w:sz w:val="24"/>
          <w:szCs w:val="24"/>
        </w:rPr>
        <w:t>募集</w:t>
      </w:r>
      <w:r w:rsidRPr="00F21198">
        <w:rPr>
          <w:rFonts w:ascii="仿宋_GB2312" w:eastAsia="仿宋_GB2312" w:hAnsiTheme="minorEastAsia" w:hint="eastAsia"/>
          <w:sz w:val="24"/>
          <w:szCs w:val="24"/>
        </w:rPr>
        <w:t>证券投资基金运作管理办法》、《天弘</w:t>
      </w:r>
      <w:r w:rsidR="0013621A">
        <w:rPr>
          <w:rFonts w:ascii="仿宋_GB2312" w:eastAsia="仿宋_GB2312" w:hAnsiTheme="minorEastAsia" w:hint="eastAsia"/>
          <w:sz w:val="24"/>
          <w:szCs w:val="24"/>
        </w:rPr>
        <w:t>天盈</w:t>
      </w:r>
      <w:r w:rsidRPr="00F21198">
        <w:rPr>
          <w:rFonts w:ascii="仿宋_GB2312" w:eastAsia="仿宋_GB2312" w:hAnsiTheme="minorEastAsia" w:hint="eastAsia"/>
          <w:sz w:val="24"/>
          <w:szCs w:val="24"/>
        </w:rPr>
        <w:t>灵活配置混合型证券投资基金基金合同》（以下简称“《基金合同》”）的有关规定，</w:t>
      </w:r>
      <w:r w:rsidR="00731D99">
        <w:rPr>
          <w:rFonts w:ascii="仿宋_GB2312" w:eastAsia="仿宋_GB2312" w:hAnsiTheme="minorEastAsia" w:hint="eastAsia"/>
          <w:sz w:val="24"/>
          <w:szCs w:val="24"/>
        </w:rPr>
        <w:t>结合</w:t>
      </w:r>
      <w:r w:rsidR="00731D99">
        <w:rPr>
          <w:rFonts w:ascii="仿宋_GB2312" w:eastAsia="仿宋_GB2312" w:hAnsiTheme="minorEastAsia"/>
          <w:sz w:val="24"/>
          <w:szCs w:val="24"/>
        </w:rPr>
        <w:t>天弘</w:t>
      </w:r>
      <w:r w:rsidR="00731D99">
        <w:rPr>
          <w:rFonts w:ascii="仿宋_GB2312" w:eastAsia="仿宋_GB2312" w:hAnsiTheme="minorEastAsia" w:hint="eastAsia"/>
          <w:sz w:val="24"/>
          <w:szCs w:val="24"/>
        </w:rPr>
        <w:t>天盈</w:t>
      </w:r>
      <w:r w:rsidR="00731D99" w:rsidRPr="00F21198">
        <w:rPr>
          <w:rFonts w:ascii="仿宋_GB2312" w:eastAsia="仿宋_GB2312" w:hAnsiTheme="minorEastAsia" w:hint="eastAsia"/>
          <w:sz w:val="24"/>
          <w:szCs w:val="24"/>
        </w:rPr>
        <w:t>灵活配置混合型证券投资基金</w:t>
      </w:r>
      <w:r w:rsidR="00731D99">
        <w:rPr>
          <w:rFonts w:ascii="仿宋_GB2312" w:eastAsia="仿宋_GB2312" w:hAnsiTheme="minorEastAsia" w:hint="eastAsia"/>
          <w:sz w:val="24"/>
          <w:szCs w:val="24"/>
        </w:rPr>
        <w:t>（以下</w:t>
      </w:r>
      <w:r w:rsidR="00731D99">
        <w:rPr>
          <w:rFonts w:ascii="仿宋_GB2312" w:eastAsia="仿宋_GB2312" w:hAnsiTheme="minorEastAsia"/>
          <w:sz w:val="24"/>
          <w:szCs w:val="24"/>
        </w:rPr>
        <w:t>简称</w:t>
      </w:r>
      <w:r w:rsidR="00731D99">
        <w:rPr>
          <w:rFonts w:ascii="仿宋_GB2312" w:eastAsia="仿宋_GB2312" w:hAnsiTheme="minorEastAsia"/>
          <w:sz w:val="24"/>
          <w:szCs w:val="24"/>
        </w:rPr>
        <w:t>“</w:t>
      </w:r>
      <w:r w:rsidR="00731D99">
        <w:rPr>
          <w:rFonts w:ascii="仿宋_GB2312" w:eastAsia="仿宋_GB2312" w:hAnsiTheme="minorEastAsia" w:hint="eastAsia"/>
          <w:sz w:val="24"/>
          <w:szCs w:val="24"/>
        </w:rPr>
        <w:t>本基金</w:t>
      </w:r>
      <w:r w:rsidR="00731D99">
        <w:rPr>
          <w:rFonts w:ascii="仿宋_GB2312" w:eastAsia="仿宋_GB2312" w:hAnsiTheme="minorEastAsia"/>
          <w:sz w:val="24"/>
          <w:szCs w:val="24"/>
        </w:rPr>
        <w:t>”</w:t>
      </w:r>
      <w:r w:rsidR="00731D99">
        <w:rPr>
          <w:rFonts w:ascii="仿宋_GB2312" w:eastAsia="仿宋_GB2312" w:hAnsiTheme="minorEastAsia" w:hint="eastAsia"/>
          <w:sz w:val="24"/>
          <w:szCs w:val="24"/>
        </w:rPr>
        <w:t>）的</w:t>
      </w:r>
      <w:r w:rsidR="00731D99">
        <w:rPr>
          <w:rFonts w:ascii="仿宋_GB2312" w:eastAsia="仿宋_GB2312" w:hAnsiTheme="minorEastAsia"/>
          <w:sz w:val="24"/>
          <w:szCs w:val="24"/>
        </w:rPr>
        <w:t>资产</w:t>
      </w:r>
      <w:r w:rsidR="00731D99" w:rsidRPr="00731D99">
        <w:rPr>
          <w:rFonts w:ascii="仿宋_GB2312" w:eastAsia="仿宋_GB2312" w:hAnsiTheme="minorEastAsia" w:hint="eastAsia"/>
          <w:sz w:val="24"/>
          <w:szCs w:val="24"/>
        </w:rPr>
        <w:t>规模状况，本基金可能在2018年</w:t>
      </w:r>
      <w:r w:rsidR="00731D99">
        <w:rPr>
          <w:rFonts w:ascii="仿宋_GB2312" w:eastAsia="仿宋_GB2312" w:hAnsiTheme="minorEastAsia" w:hint="eastAsia"/>
          <w:sz w:val="24"/>
          <w:szCs w:val="24"/>
        </w:rPr>
        <w:t>4</w:t>
      </w:r>
      <w:r w:rsidR="00731D99" w:rsidRPr="00731D99">
        <w:rPr>
          <w:rFonts w:ascii="仿宋_GB2312" w:eastAsia="仿宋_GB2312" w:hAnsiTheme="minorEastAsia" w:hint="eastAsia"/>
          <w:sz w:val="24"/>
          <w:szCs w:val="24"/>
        </w:rPr>
        <w:t>月</w:t>
      </w:r>
      <w:r w:rsidR="00731D99">
        <w:rPr>
          <w:rFonts w:ascii="仿宋_GB2312" w:eastAsia="仿宋_GB2312" w:hAnsiTheme="minorEastAsia" w:hint="eastAsia"/>
          <w:sz w:val="24"/>
          <w:szCs w:val="24"/>
        </w:rPr>
        <w:t>20</w:t>
      </w:r>
      <w:r w:rsidR="00731D99" w:rsidRPr="00731D99">
        <w:rPr>
          <w:rFonts w:ascii="仿宋_GB2312" w:eastAsia="仿宋_GB2312" w:hAnsiTheme="minorEastAsia" w:hint="eastAsia"/>
          <w:sz w:val="24"/>
          <w:szCs w:val="24"/>
        </w:rPr>
        <w:t>日日终出现触发</w:t>
      </w:r>
      <w:r w:rsidR="00946841">
        <w:rPr>
          <w:rFonts w:ascii="仿宋_GB2312" w:eastAsia="仿宋_GB2312" w:hAnsiTheme="minorEastAsia" w:hint="eastAsia"/>
          <w:sz w:val="24"/>
          <w:szCs w:val="24"/>
        </w:rPr>
        <w:t>《</w:t>
      </w:r>
      <w:r w:rsidR="00731D99" w:rsidRPr="00731D99">
        <w:rPr>
          <w:rFonts w:ascii="仿宋_GB2312" w:eastAsia="仿宋_GB2312" w:hAnsiTheme="minorEastAsia" w:hint="eastAsia"/>
          <w:sz w:val="24"/>
          <w:szCs w:val="24"/>
        </w:rPr>
        <w:t>基金合同</w:t>
      </w:r>
      <w:r w:rsidR="00946841">
        <w:rPr>
          <w:rFonts w:ascii="仿宋_GB2312" w:eastAsia="仿宋_GB2312" w:hAnsiTheme="minorEastAsia" w:hint="eastAsia"/>
          <w:sz w:val="24"/>
          <w:szCs w:val="24"/>
        </w:rPr>
        <w:t>》</w:t>
      </w:r>
      <w:r w:rsidR="00731D99" w:rsidRPr="00731D99">
        <w:rPr>
          <w:rFonts w:ascii="仿宋_GB2312" w:eastAsia="仿宋_GB2312" w:hAnsiTheme="minorEastAsia" w:hint="eastAsia"/>
          <w:sz w:val="24"/>
          <w:szCs w:val="24"/>
        </w:rPr>
        <w:t>终止的情形。</w:t>
      </w:r>
    </w:p>
    <w:p w:rsidR="00AB0A20" w:rsidRPr="00F21198" w:rsidRDefault="00AD3089" w:rsidP="00AD3089">
      <w:pPr>
        <w:pStyle w:val="a5"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 w:rsidRPr="00F21198">
        <w:rPr>
          <w:rFonts w:ascii="仿宋_GB2312" w:eastAsia="仿宋_GB2312" w:hAnsiTheme="minorEastAsia" w:hint="eastAsia"/>
          <w:sz w:val="24"/>
          <w:szCs w:val="24"/>
        </w:rPr>
        <w:t>天弘基金管理有限公司（以下简称“本基金管理人”）</w:t>
      </w:r>
      <w:r>
        <w:rPr>
          <w:rFonts w:ascii="仿宋_GB2312" w:eastAsia="仿宋_GB2312" w:hAnsiTheme="minorEastAsia" w:hint="eastAsia"/>
          <w:sz w:val="24"/>
          <w:szCs w:val="24"/>
        </w:rPr>
        <w:t>已</w:t>
      </w:r>
      <w:r>
        <w:rPr>
          <w:rFonts w:ascii="仿宋_GB2312" w:eastAsia="仿宋_GB2312" w:hAnsiTheme="minorEastAsia"/>
          <w:sz w:val="24"/>
          <w:szCs w:val="24"/>
        </w:rPr>
        <w:t>于</w:t>
      </w:r>
      <w:r>
        <w:rPr>
          <w:rFonts w:ascii="仿宋_GB2312" w:eastAsia="仿宋_GB2312" w:hAnsiTheme="minorEastAsia" w:hint="eastAsia"/>
          <w:sz w:val="24"/>
          <w:szCs w:val="24"/>
        </w:rPr>
        <w:t>2018年</w:t>
      </w:r>
      <w:r w:rsidR="001054C9">
        <w:rPr>
          <w:rFonts w:ascii="仿宋_GB2312" w:eastAsia="仿宋_GB2312" w:hAnsiTheme="minorEastAsia" w:hint="eastAsia"/>
          <w:sz w:val="24"/>
          <w:szCs w:val="24"/>
        </w:rPr>
        <w:t>4</w:t>
      </w:r>
      <w:r>
        <w:rPr>
          <w:rFonts w:ascii="仿宋_GB2312" w:eastAsia="仿宋_GB2312" w:hAnsiTheme="minorEastAsia" w:hint="eastAsia"/>
          <w:sz w:val="24"/>
          <w:szCs w:val="24"/>
        </w:rPr>
        <w:t>月</w:t>
      </w:r>
      <w:r w:rsidR="001054C9">
        <w:rPr>
          <w:rFonts w:ascii="仿宋_GB2312" w:eastAsia="仿宋_GB2312" w:hAnsiTheme="minorEastAsia"/>
          <w:sz w:val="24"/>
          <w:szCs w:val="24"/>
        </w:rPr>
        <w:t>16</w:t>
      </w:r>
      <w:r>
        <w:rPr>
          <w:rFonts w:ascii="仿宋_GB2312" w:eastAsia="仿宋_GB2312" w:hAnsiTheme="minorEastAsia"/>
          <w:sz w:val="24"/>
          <w:szCs w:val="24"/>
        </w:rPr>
        <w:t>日在</w:t>
      </w:r>
      <w:r w:rsidRPr="00722251">
        <w:rPr>
          <w:rFonts w:ascii="仿宋_GB2312" w:eastAsia="仿宋_GB2312" w:hAnsiTheme="minorEastAsia" w:hint="eastAsia"/>
          <w:sz w:val="24"/>
          <w:szCs w:val="24"/>
        </w:rPr>
        <w:t>《中国证券报》、《上海证券报》、《证券时报》及公司</w:t>
      </w:r>
      <w:r w:rsidR="00946841">
        <w:rPr>
          <w:rFonts w:ascii="仿宋_GB2312" w:eastAsia="仿宋_GB2312" w:hAnsiTheme="minorEastAsia" w:hint="eastAsia"/>
          <w:sz w:val="24"/>
          <w:szCs w:val="24"/>
        </w:rPr>
        <w:t>官方</w:t>
      </w:r>
      <w:r w:rsidRPr="00722251">
        <w:rPr>
          <w:rFonts w:ascii="仿宋_GB2312" w:eastAsia="仿宋_GB2312" w:hAnsiTheme="minorEastAsia" w:hint="eastAsia"/>
          <w:sz w:val="24"/>
          <w:szCs w:val="24"/>
        </w:rPr>
        <w:t>网站刊登了</w:t>
      </w:r>
      <w:r>
        <w:rPr>
          <w:rFonts w:ascii="仿宋_GB2312" w:eastAsia="仿宋_GB2312" w:hAnsiTheme="minorEastAsia" w:hint="eastAsia"/>
          <w:sz w:val="24"/>
          <w:szCs w:val="24"/>
        </w:rPr>
        <w:t>《</w:t>
      </w:r>
      <w:r w:rsidRPr="00722251">
        <w:rPr>
          <w:rFonts w:ascii="仿宋_GB2312" w:eastAsia="仿宋_GB2312" w:hAnsiTheme="minorEastAsia" w:hint="eastAsia"/>
          <w:sz w:val="24"/>
          <w:szCs w:val="24"/>
        </w:rPr>
        <w:t>关于</w:t>
      </w:r>
      <w:r w:rsidR="00514FFE" w:rsidRPr="00514FFE">
        <w:rPr>
          <w:rFonts w:ascii="仿宋_GB2312" w:eastAsia="仿宋_GB2312" w:hAnsiTheme="minorEastAsia" w:hint="eastAsia"/>
          <w:sz w:val="24"/>
          <w:szCs w:val="24"/>
        </w:rPr>
        <w:t>天弘天盈灵活配置混合型证券投资基金</w:t>
      </w:r>
      <w:r>
        <w:rPr>
          <w:rFonts w:ascii="仿宋_GB2312" w:eastAsia="仿宋_GB2312" w:hAnsiTheme="minorEastAsia" w:hint="eastAsia"/>
          <w:sz w:val="24"/>
          <w:szCs w:val="24"/>
        </w:rPr>
        <w:t>可能触发基金合同终止情形的第一</w:t>
      </w:r>
      <w:r w:rsidRPr="00722251">
        <w:rPr>
          <w:rFonts w:ascii="仿宋_GB2312" w:eastAsia="仿宋_GB2312" w:hAnsiTheme="minorEastAsia" w:hint="eastAsia"/>
          <w:sz w:val="24"/>
          <w:szCs w:val="24"/>
        </w:rPr>
        <w:t>次提示性公告</w:t>
      </w:r>
      <w:r>
        <w:rPr>
          <w:rFonts w:ascii="仿宋_GB2312" w:eastAsia="仿宋_GB2312" w:hAnsiTheme="minorEastAsia" w:hint="eastAsia"/>
          <w:sz w:val="24"/>
          <w:szCs w:val="24"/>
        </w:rPr>
        <w:t>》。</w:t>
      </w:r>
      <w:r w:rsidR="00731D99" w:rsidRPr="00731D99">
        <w:rPr>
          <w:rFonts w:ascii="仿宋_GB2312" w:eastAsia="仿宋_GB2312" w:hAnsiTheme="minorEastAsia" w:hint="eastAsia"/>
          <w:sz w:val="24"/>
          <w:szCs w:val="24"/>
        </w:rPr>
        <w:t>为保护基金份额持有人利益，</w:t>
      </w:r>
      <w:r>
        <w:rPr>
          <w:rFonts w:ascii="仿宋_GB2312" w:eastAsia="仿宋_GB2312" w:hAnsiTheme="minorEastAsia" w:hint="eastAsia"/>
          <w:sz w:val="24"/>
          <w:szCs w:val="24"/>
        </w:rPr>
        <w:t>本</w:t>
      </w:r>
      <w:r>
        <w:rPr>
          <w:rFonts w:ascii="仿宋_GB2312" w:eastAsia="仿宋_GB2312" w:hAnsiTheme="minorEastAsia"/>
          <w:sz w:val="24"/>
          <w:szCs w:val="24"/>
        </w:rPr>
        <w:t>基金管理人</w:t>
      </w:r>
      <w:r w:rsidR="00731D99" w:rsidRPr="00731D99">
        <w:rPr>
          <w:rFonts w:ascii="仿宋_GB2312" w:eastAsia="仿宋_GB2312" w:hAnsiTheme="minorEastAsia" w:hint="eastAsia"/>
          <w:sz w:val="24"/>
          <w:szCs w:val="24"/>
        </w:rPr>
        <w:t>特将本基金相关情况及风险提示如下：</w:t>
      </w:r>
    </w:p>
    <w:p w:rsidR="00AB0A20" w:rsidRPr="00CB47FC" w:rsidRDefault="00AB0A20" w:rsidP="00AB0A20">
      <w:pPr>
        <w:pStyle w:val="a5"/>
        <w:adjustRightInd w:val="0"/>
        <w:snapToGrid w:val="0"/>
        <w:spacing w:line="500" w:lineRule="exact"/>
        <w:ind w:firstLineChars="200" w:firstLine="482"/>
        <w:rPr>
          <w:rFonts w:ascii="仿宋_GB2312" w:eastAsia="仿宋_GB2312" w:hAnsiTheme="minorEastAsia"/>
          <w:b/>
          <w:sz w:val="24"/>
          <w:szCs w:val="24"/>
        </w:rPr>
      </w:pPr>
      <w:r w:rsidRPr="00CB47FC">
        <w:rPr>
          <w:rFonts w:ascii="仿宋_GB2312" w:eastAsia="仿宋_GB2312" w:hAnsiTheme="minorEastAsia" w:hint="eastAsia"/>
          <w:b/>
          <w:sz w:val="24"/>
          <w:szCs w:val="24"/>
        </w:rPr>
        <w:t>一、本基金基本信息</w:t>
      </w:r>
    </w:p>
    <w:p w:rsidR="00AB0A20" w:rsidRPr="00F21198" w:rsidRDefault="00AB0A20" w:rsidP="00AB0A20">
      <w:pPr>
        <w:pStyle w:val="a5"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 w:rsidRPr="00F21198">
        <w:rPr>
          <w:rFonts w:ascii="仿宋_GB2312" w:eastAsia="仿宋_GB2312" w:hAnsiTheme="minorEastAsia" w:hint="eastAsia"/>
          <w:sz w:val="24"/>
          <w:szCs w:val="24"/>
        </w:rPr>
        <w:t>基金名称：天弘</w:t>
      </w:r>
      <w:r w:rsidR="0013621A">
        <w:rPr>
          <w:rFonts w:ascii="仿宋_GB2312" w:eastAsia="仿宋_GB2312" w:hAnsiTheme="minorEastAsia" w:hint="eastAsia"/>
          <w:sz w:val="24"/>
          <w:szCs w:val="24"/>
        </w:rPr>
        <w:t>天盈</w:t>
      </w:r>
      <w:r w:rsidRPr="00F21198">
        <w:rPr>
          <w:rFonts w:ascii="仿宋_GB2312" w:eastAsia="仿宋_GB2312" w:hAnsiTheme="minorEastAsia" w:hint="eastAsia"/>
          <w:sz w:val="24"/>
          <w:szCs w:val="24"/>
        </w:rPr>
        <w:t>灵活配置混合型证券投资基金</w:t>
      </w:r>
    </w:p>
    <w:p w:rsidR="00AB0A20" w:rsidRPr="00F21198" w:rsidRDefault="00AB0A20" w:rsidP="00AB0A20">
      <w:pPr>
        <w:pStyle w:val="a5"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 w:rsidRPr="00F21198">
        <w:rPr>
          <w:rFonts w:ascii="仿宋_GB2312" w:eastAsia="仿宋_GB2312" w:hAnsiTheme="minorEastAsia" w:hint="eastAsia"/>
          <w:sz w:val="24"/>
          <w:szCs w:val="24"/>
        </w:rPr>
        <w:t>简称：天弘</w:t>
      </w:r>
      <w:r w:rsidR="0013621A">
        <w:rPr>
          <w:rFonts w:ascii="仿宋_GB2312" w:eastAsia="仿宋_GB2312" w:hAnsiTheme="minorEastAsia" w:hint="eastAsia"/>
          <w:sz w:val="24"/>
          <w:szCs w:val="24"/>
        </w:rPr>
        <w:t>天盈</w:t>
      </w:r>
    </w:p>
    <w:p w:rsidR="00AB0A20" w:rsidRPr="00F21198" w:rsidRDefault="00AB0A20" w:rsidP="00AB0A20">
      <w:pPr>
        <w:pStyle w:val="a5"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 w:rsidRPr="00F21198">
        <w:rPr>
          <w:rFonts w:ascii="仿宋_GB2312" w:eastAsia="仿宋_GB2312" w:hAnsiTheme="minorEastAsia" w:hint="eastAsia"/>
          <w:sz w:val="24"/>
          <w:szCs w:val="24"/>
        </w:rPr>
        <w:t>基金代码：</w:t>
      </w:r>
      <w:r w:rsidR="0013621A">
        <w:rPr>
          <w:rFonts w:ascii="仿宋_GB2312" w:eastAsia="仿宋_GB2312" w:hAnsiTheme="minorEastAsia" w:hint="eastAsia"/>
          <w:sz w:val="24"/>
          <w:szCs w:val="24"/>
        </w:rPr>
        <w:t>004595</w:t>
      </w:r>
    </w:p>
    <w:p w:rsidR="00AB0A20" w:rsidRPr="00F21198" w:rsidRDefault="00AB0A20" w:rsidP="00AB0A20">
      <w:pPr>
        <w:pStyle w:val="a5"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 w:rsidRPr="00F21198">
        <w:rPr>
          <w:rFonts w:ascii="仿宋_GB2312" w:eastAsia="仿宋_GB2312" w:hAnsiTheme="minorEastAsia" w:hint="eastAsia"/>
          <w:sz w:val="24"/>
          <w:szCs w:val="24"/>
        </w:rPr>
        <w:t>基金运作方式：契约型开放式</w:t>
      </w:r>
    </w:p>
    <w:p w:rsidR="00AB0A20" w:rsidRDefault="00AB0A20" w:rsidP="00AB0A20">
      <w:pPr>
        <w:pStyle w:val="a5"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 w:rsidRPr="00F21198">
        <w:rPr>
          <w:rFonts w:ascii="仿宋_GB2312" w:eastAsia="仿宋_GB2312" w:hAnsiTheme="minorEastAsia" w:hint="eastAsia"/>
          <w:sz w:val="24"/>
          <w:szCs w:val="24"/>
        </w:rPr>
        <w:t>基金合同生效日：</w:t>
      </w:r>
      <w:r w:rsidR="0013621A">
        <w:rPr>
          <w:rFonts w:ascii="仿宋_GB2312" w:eastAsia="仿宋_GB2312" w:hAnsiTheme="minorEastAsia" w:hint="eastAsia"/>
          <w:sz w:val="24"/>
          <w:szCs w:val="24"/>
        </w:rPr>
        <w:t>2017</w:t>
      </w:r>
      <w:r w:rsidRPr="00F21198">
        <w:rPr>
          <w:rFonts w:ascii="仿宋_GB2312" w:eastAsia="仿宋_GB2312" w:hAnsiTheme="minorEastAsia" w:hint="eastAsia"/>
          <w:sz w:val="24"/>
          <w:szCs w:val="24"/>
        </w:rPr>
        <w:t>年</w:t>
      </w:r>
      <w:r w:rsidR="0013621A">
        <w:rPr>
          <w:rFonts w:ascii="仿宋_GB2312" w:eastAsia="仿宋_GB2312" w:hAnsiTheme="minorEastAsia" w:hint="eastAsia"/>
          <w:sz w:val="24"/>
          <w:szCs w:val="24"/>
        </w:rPr>
        <w:t>5</w:t>
      </w:r>
      <w:r w:rsidRPr="00F21198">
        <w:rPr>
          <w:rFonts w:ascii="仿宋_GB2312" w:eastAsia="仿宋_GB2312" w:hAnsiTheme="minorEastAsia" w:hint="eastAsia"/>
          <w:sz w:val="24"/>
          <w:szCs w:val="24"/>
        </w:rPr>
        <w:t>月</w:t>
      </w:r>
      <w:r w:rsidR="0013621A">
        <w:rPr>
          <w:rFonts w:ascii="仿宋_GB2312" w:eastAsia="仿宋_GB2312" w:hAnsiTheme="minorEastAsia" w:hint="eastAsia"/>
          <w:sz w:val="24"/>
          <w:szCs w:val="24"/>
        </w:rPr>
        <w:t>18</w:t>
      </w:r>
      <w:r w:rsidRPr="00F21198">
        <w:rPr>
          <w:rFonts w:ascii="仿宋_GB2312" w:eastAsia="仿宋_GB2312" w:hAnsiTheme="minorEastAsia" w:hint="eastAsia"/>
          <w:sz w:val="24"/>
          <w:szCs w:val="24"/>
        </w:rPr>
        <w:t>日</w:t>
      </w:r>
    </w:p>
    <w:p w:rsidR="00627E65" w:rsidRDefault="00627E65" w:rsidP="00AB0A20">
      <w:pPr>
        <w:pStyle w:val="a5"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基金</w:t>
      </w:r>
      <w:r>
        <w:rPr>
          <w:rFonts w:ascii="仿宋_GB2312" w:eastAsia="仿宋_GB2312" w:hAnsiTheme="minorEastAsia"/>
          <w:sz w:val="24"/>
          <w:szCs w:val="24"/>
        </w:rPr>
        <w:t>管理人名称：</w:t>
      </w:r>
      <w:r w:rsidRPr="00627E65">
        <w:rPr>
          <w:rFonts w:ascii="仿宋_GB2312" w:eastAsia="仿宋_GB2312" w:hAnsiTheme="minorEastAsia" w:hint="eastAsia"/>
          <w:sz w:val="24"/>
          <w:szCs w:val="24"/>
        </w:rPr>
        <w:t>天弘基金管理有限公司</w:t>
      </w:r>
    </w:p>
    <w:p w:rsidR="00627E65" w:rsidRPr="00F21198" w:rsidRDefault="00627E65" w:rsidP="00AB0A20">
      <w:pPr>
        <w:pStyle w:val="a5"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基金托管人</w:t>
      </w:r>
      <w:r>
        <w:rPr>
          <w:rFonts w:ascii="仿宋_GB2312" w:eastAsia="仿宋_GB2312" w:hAnsiTheme="minorEastAsia"/>
          <w:sz w:val="24"/>
          <w:szCs w:val="24"/>
        </w:rPr>
        <w:t>名称：</w:t>
      </w:r>
      <w:r w:rsidR="0013621A">
        <w:rPr>
          <w:rFonts w:ascii="仿宋_GB2312" w:eastAsia="仿宋_GB2312" w:hAnsiTheme="minorEastAsia" w:hint="eastAsia"/>
          <w:sz w:val="24"/>
          <w:szCs w:val="24"/>
        </w:rPr>
        <w:t>平安</w:t>
      </w:r>
      <w:r w:rsidRPr="00627E65">
        <w:rPr>
          <w:rFonts w:ascii="仿宋_GB2312" w:eastAsia="仿宋_GB2312" w:hAnsiTheme="minorEastAsia" w:hint="eastAsia"/>
          <w:sz w:val="24"/>
          <w:szCs w:val="24"/>
        </w:rPr>
        <w:t>银行股份有限公司</w:t>
      </w:r>
    </w:p>
    <w:p w:rsidR="00AB0A20" w:rsidRPr="00CB47FC" w:rsidRDefault="00AB0A20" w:rsidP="00AB0A20">
      <w:pPr>
        <w:pStyle w:val="a5"/>
        <w:adjustRightInd w:val="0"/>
        <w:snapToGrid w:val="0"/>
        <w:spacing w:line="500" w:lineRule="exact"/>
        <w:ind w:firstLineChars="200" w:firstLine="482"/>
        <w:rPr>
          <w:rFonts w:ascii="仿宋_GB2312" w:eastAsia="仿宋_GB2312" w:hAnsiTheme="minorEastAsia"/>
          <w:b/>
          <w:sz w:val="24"/>
          <w:szCs w:val="24"/>
        </w:rPr>
      </w:pPr>
      <w:r w:rsidRPr="00CB47FC">
        <w:rPr>
          <w:rFonts w:ascii="仿宋_GB2312" w:eastAsia="仿宋_GB2312" w:hAnsiTheme="minorEastAsia" w:hint="eastAsia"/>
          <w:b/>
          <w:sz w:val="24"/>
          <w:szCs w:val="24"/>
        </w:rPr>
        <w:t>二、基金合同终止情形</w:t>
      </w:r>
    </w:p>
    <w:p w:rsidR="00AB0A20" w:rsidRPr="00F21198" w:rsidRDefault="00AB0A20" w:rsidP="00AB0A20">
      <w:pPr>
        <w:pStyle w:val="a5"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 w:rsidRPr="00F21198">
        <w:rPr>
          <w:rFonts w:ascii="仿宋_GB2312" w:eastAsia="仿宋_GB2312" w:hAnsiTheme="minorEastAsia" w:hint="eastAsia"/>
          <w:sz w:val="24"/>
          <w:szCs w:val="24"/>
        </w:rPr>
        <w:t>《基金合同》“第五部分 基金备案”中“三、基金存续期内的基金份额持有人数量和资产规模”规定：</w:t>
      </w:r>
    </w:p>
    <w:p w:rsidR="00AB0A20" w:rsidRPr="00F21198" w:rsidRDefault="00AB0A20" w:rsidP="00AB0A20">
      <w:pPr>
        <w:pStyle w:val="a5"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 w:rsidRPr="00F21198">
        <w:rPr>
          <w:rFonts w:ascii="仿宋_GB2312" w:eastAsia="仿宋_GB2312" w:hAnsiTheme="minorEastAsia" w:hint="eastAsia"/>
          <w:sz w:val="24"/>
          <w:szCs w:val="24"/>
        </w:rPr>
        <w:t>“《基金合同》生效后，连续20个工作日出现基金份额持有人数量不满200人或者基金资产净值低于5000万元的，基金管理人应当在定期报告中予以披露；连续60个工作日出现前述情形的，本基金合同应当终止，并按照本基金合同的</w:t>
      </w:r>
      <w:r w:rsidRPr="00F21198">
        <w:rPr>
          <w:rFonts w:ascii="仿宋_GB2312" w:eastAsia="仿宋_GB2312" w:hAnsiTheme="minorEastAsia" w:hint="eastAsia"/>
          <w:sz w:val="24"/>
          <w:szCs w:val="24"/>
        </w:rPr>
        <w:lastRenderedPageBreak/>
        <w:t>约定程序进行清算，无需召开基金份额持有人大会。</w:t>
      </w:r>
    </w:p>
    <w:p w:rsidR="00AB0A20" w:rsidRPr="00F21198" w:rsidRDefault="00AB0A20" w:rsidP="00AB0A20">
      <w:pPr>
        <w:pStyle w:val="a5"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 w:rsidRPr="00F21198">
        <w:rPr>
          <w:rFonts w:ascii="仿宋_GB2312" w:eastAsia="仿宋_GB2312" w:hAnsiTheme="minorEastAsia" w:hint="eastAsia"/>
          <w:sz w:val="24"/>
          <w:szCs w:val="24"/>
        </w:rPr>
        <w:t>法律法规另有规定时，从其规定。”</w:t>
      </w:r>
    </w:p>
    <w:p w:rsidR="00AB0A20" w:rsidRPr="00F21198" w:rsidRDefault="00862948" w:rsidP="00AB0A20">
      <w:pPr>
        <w:pStyle w:val="a5"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若</w:t>
      </w:r>
      <w:r w:rsidR="00AB0A20" w:rsidRPr="00F21198">
        <w:rPr>
          <w:rFonts w:ascii="仿宋_GB2312" w:eastAsia="仿宋_GB2312" w:hAnsiTheme="minorEastAsia" w:hint="eastAsia"/>
          <w:sz w:val="24"/>
          <w:szCs w:val="24"/>
        </w:rPr>
        <w:t>截至2018年</w:t>
      </w:r>
      <w:r w:rsidR="0013621A">
        <w:rPr>
          <w:rFonts w:ascii="仿宋_GB2312" w:eastAsia="仿宋_GB2312" w:hAnsiTheme="minorEastAsia" w:hint="eastAsia"/>
          <w:sz w:val="24"/>
          <w:szCs w:val="24"/>
        </w:rPr>
        <w:t>4</w:t>
      </w:r>
      <w:r w:rsidR="00AB0A20" w:rsidRPr="00F21198">
        <w:rPr>
          <w:rFonts w:ascii="仿宋_GB2312" w:eastAsia="仿宋_GB2312" w:hAnsiTheme="minorEastAsia" w:hint="eastAsia"/>
          <w:sz w:val="24"/>
          <w:szCs w:val="24"/>
        </w:rPr>
        <w:t>月</w:t>
      </w:r>
      <w:r w:rsidR="0013621A">
        <w:rPr>
          <w:rFonts w:ascii="仿宋_GB2312" w:eastAsia="仿宋_GB2312" w:hAnsiTheme="minorEastAsia" w:hint="eastAsia"/>
          <w:sz w:val="24"/>
          <w:szCs w:val="24"/>
        </w:rPr>
        <w:t>20</w:t>
      </w:r>
      <w:r w:rsidR="00AB0A20" w:rsidRPr="00F21198">
        <w:rPr>
          <w:rFonts w:ascii="仿宋_GB2312" w:eastAsia="仿宋_GB2312" w:hAnsiTheme="minorEastAsia" w:hint="eastAsia"/>
          <w:sz w:val="24"/>
          <w:szCs w:val="24"/>
        </w:rPr>
        <w:t>日日终，天弘</w:t>
      </w:r>
      <w:r w:rsidR="0013621A">
        <w:rPr>
          <w:rFonts w:ascii="仿宋_GB2312" w:eastAsia="仿宋_GB2312" w:hAnsiTheme="minorEastAsia" w:hint="eastAsia"/>
          <w:sz w:val="24"/>
          <w:szCs w:val="24"/>
        </w:rPr>
        <w:t>天盈</w:t>
      </w:r>
      <w:r w:rsidR="00AB0A20" w:rsidRPr="00F21198">
        <w:rPr>
          <w:rFonts w:ascii="仿宋_GB2312" w:eastAsia="仿宋_GB2312" w:hAnsiTheme="minorEastAsia" w:hint="eastAsia"/>
          <w:sz w:val="24"/>
          <w:szCs w:val="24"/>
        </w:rPr>
        <w:t>灵活配置混合型证券投资基金的基金资产净值持续低于5000万元，即本基金已连续60个工作日基金资产净值低于5000</w:t>
      </w:r>
      <w:r w:rsidR="00627E65">
        <w:rPr>
          <w:rFonts w:ascii="仿宋_GB2312" w:eastAsia="仿宋_GB2312" w:hAnsiTheme="minorEastAsia" w:hint="eastAsia"/>
          <w:sz w:val="24"/>
          <w:szCs w:val="24"/>
        </w:rPr>
        <w:t>万元。</w:t>
      </w:r>
      <w:r w:rsidR="00AB0A20" w:rsidRPr="00F21198">
        <w:rPr>
          <w:rFonts w:ascii="仿宋_GB2312" w:eastAsia="仿宋_GB2312" w:hAnsiTheme="minorEastAsia" w:hint="eastAsia"/>
          <w:sz w:val="24"/>
          <w:szCs w:val="24"/>
        </w:rPr>
        <w:t>根据</w:t>
      </w:r>
      <w:r w:rsidR="00627E65">
        <w:rPr>
          <w:rFonts w:ascii="仿宋_GB2312" w:eastAsia="仿宋_GB2312" w:hAnsiTheme="minorEastAsia" w:hint="eastAsia"/>
          <w:sz w:val="24"/>
          <w:szCs w:val="24"/>
        </w:rPr>
        <w:t>《</w:t>
      </w:r>
      <w:r w:rsidR="00AB0A20" w:rsidRPr="00F21198">
        <w:rPr>
          <w:rFonts w:ascii="仿宋_GB2312" w:eastAsia="仿宋_GB2312" w:hAnsiTheme="minorEastAsia" w:hint="eastAsia"/>
          <w:sz w:val="24"/>
          <w:szCs w:val="24"/>
        </w:rPr>
        <w:t>基金合同</w:t>
      </w:r>
      <w:r w:rsidR="00627E65">
        <w:rPr>
          <w:rFonts w:ascii="仿宋_GB2312" w:eastAsia="仿宋_GB2312" w:hAnsiTheme="minorEastAsia" w:hint="eastAsia"/>
          <w:sz w:val="24"/>
          <w:szCs w:val="24"/>
        </w:rPr>
        <w:t>》</w:t>
      </w:r>
      <w:r w:rsidR="00AB0A20" w:rsidRPr="00F21198">
        <w:rPr>
          <w:rFonts w:ascii="仿宋_GB2312" w:eastAsia="仿宋_GB2312" w:hAnsiTheme="minorEastAsia" w:hint="eastAsia"/>
          <w:sz w:val="24"/>
          <w:szCs w:val="24"/>
        </w:rPr>
        <w:t>约定，本基金将依法进入基金财产清算程序，无需召开基金份额持有人大会审议。</w:t>
      </w:r>
    </w:p>
    <w:p w:rsidR="00AB0A20" w:rsidRPr="00CB47FC" w:rsidRDefault="00C21456" w:rsidP="00AB0A20">
      <w:pPr>
        <w:pStyle w:val="a5"/>
        <w:adjustRightInd w:val="0"/>
        <w:snapToGrid w:val="0"/>
        <w:spacing w:line="500" w:lineRule="exact"/>
        <w:ind w:firstLineChars="200" w:firstLine="482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ascii="仿宋_GB2312" w:eastAsia="仿宋_GB2312" w:hAnsiTheme="minorEastAsia" w:hint="eastAsia"/>
          <w:b/>
          <w:sz w:val="24"/>
          <w:szCs w:val="24"/>
        </w:rPr>
        <w:t>三</w:t>
      </w:r>
      <w:r w:rsidR="00300221" w:rsidRPr="00CB47FC">
        <w:rPr>
          <w:rFonts w:ascii="仿宋_GB2312" w:eastAsia="仿宋_GB2312" w:hAnsiTheme="minorEastAsia"/>
          <w:b/>
          <w:sz w:val="24"/>
          <w:szCs w:val="24"/>
        </w:rPr>
        <w:t>、</w:t>
      </w:r>
      <w:r w:rsidR="00AB0A20" w:rsidRPr="00CB47FC">
        <w:rPr>
          <w:rFonts w:ascii="仿宋_GB2312" w:eastAsia="仿宋_GB2312" w:hAnsiTheme="minorEastAsia" w:hint="eastAsia"/>
          <w:b/>
          <w:sz w:val="24"/>
          <w:szCs w:val="24"/>
        </w:rPr>
        <w:t>风险提示</w:t>
      </w:r>
    </w:p>
    <w:p w:rsidR="009B05DC" w:rsidRDefault="00AB0A20" w:rsidP="00AB0A20">
      <w:pPr>
        <w:pStyle w:val="a5"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 w:rsidRPr="00F21198">
        <w:rPr>
          <w:rFonts w:ascii="仿宋_GB2312" w:eastAsia="仿宋_GB2312" w:hAnsiTheme="minorEastAsia" w:hint="eastAsia"/>
          <w:sz w:val="24"/>
          <w:szCs w:val="24"/>
        </w:rPr>
        <w:t>1、</w:t>
      </w:r>
      <w:r w:rsidR="009B05DC" w:rsidRPr="00F21198">
        <w:rPr>
          <w:rFonts w:ascii="仿宋_GB2312" w:eastAsia="仿宋_GB2312" w:hAnsiTheme="minorEastAsia" w:hint="eastAsia"/>
          <w:sz w:val="24"/>
          <w:szCs w:val="24"/>
        </w:rPr>
        <w:t>若</w:t>
      </w:r>
      <w:r w:rsidR="004354A7">
        <w:rPr>
          <w:rFonts w:ascii="仿宋_GB2312" w:eastAsia="仿宋_GB2312" w:hAnsiTheme="minorEastAsia" w:hint="eastAsia"/>
          <w:sz w:val="24"/>
          <w:szCs w:val="24"/>
        </w:rPr>
        <w:t>届时</w:t>
      </w:r>
      <w:r w:rsidR="009B05DC" w:rsidRPr="00F21198">
        <w:rPr>
          <w:rFonts w:ascii="仿宋_GB2312" w:eastAsia="仿宋_GB2312" w:hAnsiTheme="minorEastAsia" w:hint="eastAsia"/>
          <w:sz w:val="24"/>
          <w:szCs w:val="24"/>
        </w:rPr>
        <w:t>出现</w:t>
      </w:r>
      <w:r w:rsidR="004354A7">
        <w:rPr>
          <w:rFonts w:ascii="仿宋_GB2312" w:eastAsia="仿宋_GB2312" w:hAnsiTheme="minorEastAsia" w:hint="eastAsia"/>
          <w:sz w:val="24"/>
          <w:szCs w:val="24"/>
        </w:rPr>
        <w:t>上述</w:t>
      </w:r>
      <w:r w:rsidR="009B05DC" w:rsidRPr="00F21198">
        <w:rPr>
          <w:rFonts w:ascii="仿宋_GB2312" w:eastAsia="仿宋_GB2312" w:hAnsiTheme="minorEastAsia" w:hint="eastAsia"/>
          <w:sz w:val="24"/>
          <w:szCs w:val="24"/>
        </w:rPr>
        <w:t>触发基金合同终止的情形，基金管理人将根据相关法律法规、《基金合同》等规定成立基金财产清算小组，履行基金财产清算程序。</w:t>
      </w:r>
    </w:p>
    <w:p w:rsidR="009B05DC" w:rsidRPr="009B05DC" w:rsidRDefault="009B05DC" w:rsidP="00AB0A20">
      <w:pPr>
        <w:pStyle w:val="a5"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/>
          <w:sz w:val="24"/>
          <w:szCs w:val="24"/>
        </w:rPr>
        <w:t>2</w:t>
      </w:r>
      <w:r>
        <w:rPr>
          <w:rFonts w:ascii="仿宋_GB2312" w:eastAsia="仿宋_GB2312" w:hAnsiTheme="minorEastAsia" w:hint="eastAsia"/>
          <w:sz w:val="24"/>
          <w:szCs w:val="24"/>
        </w:rPr>
        <w:t>、</w:t>
      </w:r>
      <w:r w:rsidR="007521B1" w:rsidRPr="007521B1">
        <w:rPr>
          <w:rFonts w:ascii="仿宋_GB2312" w:eastAsia="仿宋_GB2312" w:hAnsiTheme="minorEastAsia" w:hint="eastAsia"/>
          <w:sz w:val="24"/>
          <w:szCs w:val="24"/>
        </w:rPr>
        <w:t>本基金正式进入清算程序后，投资者将无法办理本基金的申购、赎回等业务</w:t>
      </w:r>
      <w:r w:rsidR="007521B1">
        <w:rPr>
          <w:rFonts w:ascii="仿宋_GB2312" w:eastAsia="仿宋_GB2312" w:hAnsiTheme="minorEastAsia" w:hint="eastAsia"/>
          <w:sz w:val="24"/>
          <w:szCs w:val="24"/>
        </w:rPr>
        <w:t>；本基金</w:t>
      </w:r>
      <w:r w:rsidR="007521B1">
        <w:rPr>
          <w:rFonts w:ascii="仿宋_GB2312" w:eastAsia="仿宋_GB2312" w:hAnsiTheme="minorEastAsia"/>
          <w:sz w:val="24"/>
          <w:szCs w:val="24"/>
        </w:rPr>
        <w:t>正式</w:t>
      </w:r>
      <w:r w:rsidR="007521B1" w:rsidRPr="009027C6">
        <w:rPr>
          <w:rFonts w:ascii="仿宋_GB2312" w:eastAsia="仿宋_GB2312" w:hAnsiTheme="minorEastAsia" w:hint="eastAsia"/>
          <w:sz w:val="24"/>
          <w:szCs w:val="24"/>
        </w:rPr>
        <w:t>进入清算程序前，仍然正常开放赎回</w:t>
      </w:r>
      <w:r w:rsidR="007521B1">
        <w:rPr>
          <w:rFonts w:ascii="仿宋_GB2312" w:eastAsia="仿宋_GB2312" w:hAnsiTheme="minorEastAsia" w:hint="eastAsia"/>
          <w:sz w:val="24"/>
          <w:szCs w:val="24"/>
        </w:rPr>
        <w:t>及</w:t>
      </w:r>
      <w:r w:rsidR="007521B1">
        <w:rPr>
          <w:rFonts w:ascii="仿宋_GB2312" w:eastAsia="仿宋_GB2312" w:hAnsiTheme="minorEastAsia"/>
          <w:sz w:val="24"/>
          <w:szCs w:val="24"/>
        </w:rPr>
        <w:t>转换转</w:t>
      </w:r>
      <w:r w:rsidR="007521B1">
        <w:rPr>
          <w:rFonts w:ascii="仿宋_GB2312" w:eastAsia="仿宋_GB2312" w:hAnsiTheme="minorEastAsia" w:hint="eastAsia"/>
          <w:sz w:val="24"/>
          <w:szCs w:val="24"/>
        </w:rPr>
        <w:t>出</w:t>
      </w:r>
      <w:r w:rsidR="007521B1" w:rsidRPr="009027C6">
        <w:rPr>
          <w:rFonts w:ascii="仿宋_GB2312" w:eastAsia="仿宋_GB2312" w:hAnsiTheme="minorEastAsia" w:hint="eastAsia"/>
          <w:sz w:val="24"/>
          <w:szCs w:val="24"/>
        </w:rPr>
        <w:t>业务，</w:t>
      </w:r>
      <w:r w:rsidR="009027C6" w:rsidRPr="009027C6">
        <w:rPr>
          <w:rFonts w:ascii="仿宋_GB2312" w:eastAsia="仿宋_GB2312" w:hAnsiTheme="minorEastAsia" w:hint="eastAsia"/>
          <w:sz w:val="24"/>
          <w:szCs w:val="24"/>
        </w:rPr>
        <w:t>敬请投资者注意</w:t>
      </w:r>
      <w:r w:rsidR="004354A7">
        <w:rPr>
          <w:rFonts w:ascii="仿宋_GB2312" w:eastAsia="仿宋_GB2312" w:hAnsiTheme="minorEastAsia" w:hint="eastAsia"/>
          <w:sz w:val="24"/>
          <w:szCs w:val="24"/>
        </w:rPr>
        <w:t>相关</w:t>
      </w:r>
      <w:r w:rsidR="004354A7">
        <w:rPr>
          <w:rFonts w:ascii="仿宋_GB2312" w:eastAsia="仿宋_GB2312" w:hAnsiTheme="minorEastAsia"/>
          <w:sz w:val="24"/>
          <w:szCs w:val="24"/>
        </w:rPr>
        <w:t>公告及</w:t>
      </w:r>
      <w:r w:rsidR="009027C6" w:rsidRPr="009027C6">
        <w:rPr>
          <w:rFonts w:ascii="仿宋_GB2312" w:eastAsia="仿宋_GB2312" w:hAnsiTheme="minorEastAsia" w:hint="eastAsia"/>
          <w:sz w:val="24"/>
          <w:szCs w:val="24"/>
        </w:rPr>
        <w:t>投资风险，妥善做好投资安排。</w:t>
      </w:r>
    </w:p>
    <w:p w:rsidR="00AB0A20" w:rsidRDefault="009B05DC" w:rsidP="00AB0A20">
      <w:pPr>
        <w:pStyle w:val="a5"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/>
          <w:sz w:val="24"/>
          <w:szCs w:val="24"/>
        </w:rPr>
        <w:t>3</w:t>
      </w:r>
      <w:r w:rsidR="00AB0A20" w:rsidRPr="00F21198">
        <w:rPr>
          <w:rFonts w:ascii="仿宋_GB2312" w:eastAsia="仿宋_GB2312" w:hAnsiTheme="minorEastAsia" w:hint="eastAsia"/>
          <w:sz w:val="24"/>
          <w:szCs w:val="24"/>
        </w:rPr>
        <w:t>、本公告的解释权归天弘基金管理有限公司所有。投资者可登陆本公司官方网站（www.thfund.com.cn）或拨打本公司客户服务热线（95046）进行详细咨询。</w:t>
      </w:r>
    </w:p>
    <w:p w:rsidR="00AB0A20" w:rsidRPr="00F21198" w:rsidRDefault="00AB0A20" w:rsidP="00AB0A20">
      <w:pPr>
        <w:pStyle w:val="a5"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Theme="minorEastAsia"/>
          <w:sz w:val="24"/>
          <w:szCs w:val="24"/>
        </w:rPr>
      </w:pPr>
    </w:p>
    <w:p w:rsidR="00AB0A20" w:rsidRPr="00F21198" w:rsidRDefault="00AB0A20" w:rsidP="00AB0A20">
      <w:pPr>
        <w:pStyle w:val="a5"/>
        <w:adjustRightInd w:val="0"/>
        <w:snapToGrid w:val="0"/>
        <w:spacing w:line="500" w:lineRule="exact"/>
        <w:ind w:firstLineChars="200" w:firstLine="480"/>
        <w:jc w:val="right"/>
        <w:rPr>
          <w:rFonts w:ascii="仿宋_GB2312" w:eastAsia="仿宋_GB2312" w:hAnsiTheme="minorEastAsia"/>
          <w:sz w:val="24"/>
          <w:szCs w:val="24"/>
        </w:rPr>
      </w:pPr>
      <w:r w:rsidRPr="00F21198">
        <w:rPr>
          <w:rFonts w:ascii="仿宋_GB2312" w:eastAsia="仿宋_GB2312" w:hAnsiTheme="minorEastAsia" w:hint="eastAsia"/>
          <w:sz w:val="24"/>
          <w:szCs w:val="24"/>
        </w:rPr>
        <w:t>天弘基金管理有限公司</w:t>
      </w:r>
    </w:p>
    <w:p w:rsidR="00AB0A20" w:rsidRPr="00F21198" w:rsidRDefault="00AB0A20" w:rsidP="00AB0A20">
      <w:pPr>
        <w:pStyle w:val="a5"/>
        <w:adjustRightInd w:val="0"/>
        <w:snapToGrid w:val="0"/>
        <w:spacing w:line="500" w:lineRule="exact"/>
        <w:ind w:firstLineChars="200" w:firstLine="480"/>
        <w:jc w:val="right"/>
        <w:rPr>
          <w:rFonts w:ascii="仿宋_GB2312" w:eastAsia="仿宋_GB2312" w:hAnsiTheme="minorEastAsia"/>
          <w:sz w:val="24"/>
          <w:szCs w:val="24"/>
        </w:rPr>
      </w:pPr>
      <w:r w:rsidRPr="00F21198">
        <w:rPr>
          <w:rFonts w:ascii="仿宋_GB2312" w:eastAsia="仿宋_GB2312" w:hAnsiTheme="minorEastAsia" w:hint="eastAsia"/>
          <w:sz w:val="24"/>
          <w:szCs w:val="24"/>
        </w:rPr>
        <w:t>二</w:t>
      </w:r>
      <w:r w:rsidRPr="00F21198">
        <w:rPr>
          <w:rFonts w:ascii="微软雅黑" w:eastAsia="微软雅黑" w:hAnsi="微软雅黑" w:cs="微软雅黑" w:hint="eastAsia"/>
          <w:sz w:val="24"/>
          <w:szCs w:val="24"/>
        </w:rPr>
        <w:t>〇</w:t>
      </w:r>
      <w:r w:rsidRPr="00F21198">
        <w:rPr>
          <w:rFonts w:ascii="仿宋_GB2312" w:eastAsia="仿宋_GB2312" w:hAnsi="仿宋_GB2312" w:cs="仿宋_GB2312" w:hint="eastAsia"/>
          <w:sz w:val="24"/>
          <w:szCs w:val="24"/>
        </w:rPr>
        <w:t>一</w:t>
      </w:r>
      <w:r w:rsidR="0013621A">
        <w:rPr>
          <w:rFonts w:ascii="仿宋_GB2312" w:eastAsia="仿宋_GB2312" w:hAnsiTheme="minorEastAsia" w:hint="eastAsia"/>
          <w:sz w:val="24"/>
          <w:szCs w:val="24"/>
        </w:rPr>
        <w:t>八年四月</w:t>
      </w:r>
      <w:r w:rsidR="0047262D">
        <w:rPr>
          <w:rFonts w:ascii="仿宋_GB2312" w:eastAsia="仿宋_GB2312" w:hAnsiTheme="minorEastAsia" w:hint="eastAsia"/>
          <w:sz w:val="24"/>
          <w:szCs w:val="24"/>
        </w:rPr>
        <w:t>十九</w:t>
      </w:r>
      <w:bookmarkStart w:id="0" w:name="_GoBack"/>
      <w:bookmarkEnd w:id="0"/>
      <w:r w:rsidRPr="00F21198">
        <w:rPr>
          <w:rFonts w:ascii="仿宋_GB2312" w:eastAsia="仿宋_GB2312" w:hAnsiTheme="minorEastAsia" w:hint="eastAsia"/>
          <w:sz w:val="24"/>
          <w:szCs w:val="24"/>
        </w:rPr>
        <w:t>日</w:t>
      </w:r>
    </w:p>
    <w:p w:rsidR="00792D37" w:rsidRPr="00AB0A20" w:rsidRDefault="00792D37"/>
    <w:sectPr w:rsidR="00792D37" w:rsidRPr="00AB0A20" w:rsidSect="00A44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933" w:rsidRDefault="00D16933" w:rsidP="0061288C">
      <w:r>
        <w:separator/>
      </w:r>
    </w:p>
  </w:endnote>
  <w:endnote w:type="continuationSeparator" w:id="1">
    <w:p w:rsidR="00D16933" w:rsidRDefault="00D16933" w:rsidP="00612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933" w:rsidRDefault="00D16933" w:rsidP="0061288C">
      <w:r>
        <w:separator/>
      </w:r>
    </w:p>
  </w:footnote>
  <w:footnote w:type="continuationSeparator" w:id="1">
    <w:p w:rsidR="00D16933" w:rsidRDefault="00D16933" w:rsidP="006128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0157"/>
    <w:rsid w:val="00071357"/>
    <w:rsid w:val="000739A5"/>
    <w:rsid w:val="000B3DAA"/>
    <w:rsid w:val="001054C9"/>
    <w:rsid w:val="00117CF9"/>
    <w:rsid w:val="0013621A"/>
    <w:rsid w:val="00136DCC"/>
    <w:rsid w:val="00143E5C"/>
    <w:rsid w:val="00147C7B"/>
    <w:rsid w:val="001A0B09"/>
    <w:rsid w:val="001A3355"/>
    <w:rsid w:val="001B2ACD"/>
    <w:rsid w:val="001F253A"/>
    <w:rsid w:val="00207914"/>
    <w:rsid w:val="002135DA"/>
    <w:rsid w:val="00216514"/>
    <w:rsid w:val="0024169D"/>
    <w:rsid w:val="002512FC"/>
    <w:rsid w:val="00272CBF"/>
    <w:rsid w:val="002A79EB"/>
    <w:rsid w:val="002B76C3"/>
    <w:rsid w:val="00300221"/>
    <w:rsid w:val="00383CB9"/>
    <w:rsid w:val="003A137B"/>
    <w:rsid w:val="003B0A93"/>
    <w:rsid w:val="00420D3A"/>
    <w:rsid w:val="004354A7"/>
    <w:rsid w:val="0047262D"/>
    <w:rsid w:val="0048312D"/>
    <w:rsid w:val="004A4C1E"/>
    <w:rsid w:val="004C2A3E"/>
    <w:rsid w:val="004C68B1"/>
    <w:rsid w:val="004E1B6E"/>
    <w:rsid w:val="004F2299"/>
    <w:rsid w:val="004F3B02"/>
    <w:rsid w:val="00514FFE"/>
    <w:rsid w:val="00554804"/>
    <w:rsid w:val="00582C8E"/>
    <w:rsid w:val="005A1CEF"/>
    <w:rsid w:val="005A2E39"/>
    <w:rsid w:val="005D21E8"/>
    <w:rsid w:val="005E5690"/>
    <w:rsid w:val="0061288C"/>
    <w:rsid w:val="0062659A"/>
    <w:rsid w:val="00627E65"/>
    <w:rsid w:val="006825A6"/>
    <w:rsid w:val="006952D1"/>
    <w:rsid w:val="006C7160"/>
    <w:rsid w:val="00724F3D"/>
    <w:rsid w:val="00731D99"/>
    <w:rsid w:val="007521B1"/>
    <w:rsid w:val="007522F9"/>
    <w:rsid w:val="0076081E"/>
    <w:rsid w:val="00775FB0"/>
    <w:rsid w:val="00792D37"/>
    <w:rsid w:val="00840434"/>
    <w:rsid w:val="00862948"/>
    <w:rsid w:val="009027C6"/>
    <w:rsid w:val="009159E3"/>
    <w:rsid w:val="00946841"/>
    <w:rsid w:val="00962FBB"/>
    <w:rsid w:val="009B05DC"/>
    <w:rsid w:val="009B41A0"/>
    <w:rsid w:val="009E56AB"/>
    <w:rsid w:val="00A00A3F"/>
    <w:rsid w:val="00A10157"/>
    <w:rsid w:val="00A4441E"/>
    <w:rsid w:val="00A66B96"/>
    <w:rsid w:val="00A77844"/>
    <w:rsid w:val="00A96DAA"/>
    <w:rsid w:val="00AB0A20"/>
    <w:rsid w:val="00AC54AD"/>
    <w:rsid w:val="00AD3089"/>
    <w:rsid w:val="00AE1C48"/>
    <w:rsid w:val="00AE4F17"/>
    <w:rsid w:val="00AF2D3F"/>
    <w:rsid w:val="00B203A5"/>
    <w:rsid w:val="00B20D6F"/>
    <w:rsid w:val="00B905B6"/>
    <w:rsid w:val="00BE4A3D"/>
    <w:rsid w:val="00C21456"/>
    <w:rsid w:val="00C4263F"/>
    <w:rsid w:val="00C67EDD"/>
    <w:rsid w:val="00C84E84"/>
    <w:rsid w:val="00CB47FC"/>
    <w:rsid w:val="00CC71B7"/>
    <w:rsid w:val="00CD609F"/>
    <w:rsid w:val="00CD7E30"/>
    <w:rsid w:val="00D16933"/>
    <w:rsid w:val="00D37C9F"/>
    <w:rsid w:val="00D67DBD"/>
    <w:rsid w:val="00DA2719"/>
    <w:rsid w:val="00DD1458"/>
    <w:rsid w:val="00DD790B"/>
    <w:rsid w:val="00E63777"/>
    <w:rsid w:val="00E73247"/>
    <w:rsid w:val="00E87F12"/>
    <w:rsid w:val="00EB0944"/>
    <w:rsid w:val="00EC065B"/>
    <w:rsid w:val="00ED24C4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8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2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28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2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288C"/>
    <w:rPr>
      <w:sz w:val="18"/>
      <w:szCs w:val="18"/>
    </w:rPr>
  </w:style>
  <w:style w:type="paragraph" w:styleId="a5">
    <w:name w:val="No Spacing"/>
    <w:uiPriority w:val="1"/>
    <w:qFormat/>
    <w:rsid w:val="00AB0A20"/>
    <w:pPr>
      <w:widowControl w:val="0"/>
      <w:jc w:val="both"/>
    </w:pPr>
  </w:style>
  <w:style w:type="character" w:styleId="a6">
    <w:name w:val="annotation reference"/>
    <w:basedOn w:val="a0"/>
    <w:uiPriority w:val="99"/>
    <w:semiHidden/>
    <w:unhideWhenUsed/>
    <w:rsid w:val="00BE4A3D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BE4A3D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BE4A3D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BE4A3D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BE4A3D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BE4A3D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E4A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912</Characters>
  <Application>Microsoft Office Word</Application>
  <DocSecurity>4</DocSecurity>
  <Lines>7</Lines>
  <Paragraphs>2</Paragraphs>
  <ScaleCrop>false</ScaleCrop>
  <Company>Microsoft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焦国娟</dc:creator>
  <cp:keywords/>
  <dc:description/>
  <cp:lastModifiedBy>ZHONGM</cp:lastModifiedBy>
  <cp:revision>2</cp:revision>
  <dcterms:created xsi:type="dcterms:W3CDTF">2018-04-18T16:36:00Z</dcterms:created>
  <dcterms:modified xsi:type="dcterms:W3CDTF">2018-04-18T16:36:00Z</dcterms:modified>
</cp:coreProperties>
</file>