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83" w:rsidRDefault="00583F83">
      <w:pPr>
        <w:spacing w:after="0" w:line="358" w:lineRule="auto"/>
        <w:ind w:left="4526" w:right="4446" w:firstLine="0"/>
        <w:jc w:val="center"/>
      </w:pPr>
    </w:p>
    <w:p w:rsidR="00583F83" w:rsidRDefault="00583F83">
      <w:pPr>
        <w:spacing w:after="0" w:line="358" w:lineRule="auto"/>
        <w:ind w:left="4526" w:right="4446" w:firstLine="0"/>
        <w:jc w:val="center"/>
      </w:pPr>
    </w:p>
    <w:p w:rsidR="00583F83" w:rsidRDefault="00583F83">
      <w:pPr>
        <w:spacing w:after="246"/>
        <w:ind w:left="80" w:firstLine="0"/>
        <w:jc w:val="center"/>
      </w:pPr>
    </w:p>
    <w:p w:rsidR="005363C0" w:rsidRDefault="002201AA" w:rsidP="002201AA">
      <w:pPr>
        <w:spacing w:after="0" w:line="420" w:lineRule="auto"/>
        <w:ind w:left="510" w:right="493" w:firstLine="0"/>
        <w:jc w:val="center"/>
        <w:rPr>
          <w:sz w:val="32"/>
        </w:rPr>
      </w:pPr>
      <w:r>
        <w:rPr>
          <w:rFonts w:hint="eastAsia"/>
          <w:sz w:val="32"/>
        </w:rPr>
        <w:t>泰达宏利</w:t>
      </w:r>
      <w:r w:rsidR="00277593">
        <w:rPr>
          <w:rFonts w:hint="eastAsia"/>
          <w:sz w:val="32"/>
        </w:rPr>
        <w:t>增利灵活</w:t>
      </w:r>
      <w:r w:rsidR="00277593">
        <w:rPr>
          <w:sz w:val="32"/>
        </w:rPr>
        <w:t>配置定期开放</w:t>
      </w:r>
      <w:r w:rsidR="00575A40">
        <w:rPr>
          <w:rFonts w:hint="eastAsia"/>
          <w:sz w:val="32"/>
        </w:rPr>
        <w:t>混合</w:t>
      </w:r>
      <w:r>
        <w:rPr>
          <w:sz w:val="32"/>
        </w:rPr>
        <w:t>型</w:t>
      </w:r>
      <w:r w:rsidR="00E22DB5">
        <w:rPr>
          <w:sz w:val="32"/>
        </w:rPr>
        <w:t>证券投资基金</w:t>
      </w:r>
    </w:p>
    <w:p w:rsidR="00583F83" w:rsidRDefault="00E22DB5" w:rsidP="002201AA">
      <w:pPr>
        <w:spacing w:after="0" w:line="420" w:lineRule="auto"/>
        <w:ind w:left="510" w:right="493" w:firstLine="0"/>
        <w:jc w:val="center"/>
      </w:pPr>
      <w:r>
        <w:rPr>
          <w:sz w:val="32"/>
        </w:rPr>
        <w:t>清算报告</w:t>
      </w: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E22DB5">
      <w:pPr>
        <w:spacing w:after="0" w:line="378" w:lineRule="auto"/>
        <w:ind w:left="1987" w:firstLine="0"/>
        <w:rPr>
          <w:sz w:val="28"/>
        </w:rPr>
      </w:pPr>
      <w:r>
        <w:rPr>
          <w:sz w:val="28"/>
        </w:rPr>
        <w:t>基金管理人：</w:t>
      </w:r>
      <w:r w:rsidR="002201AA">
        <w:rPr>
          <w:rFonts w:hint="eastAsia"/>
          <w:sz w:val="28"/>
        </w:rPr>
        <w:t>泰达宏利</w:t>
      </w:r>
      <w:r>
        <w:rPr>
          <w:sz w:val="28"/>
        </w:rPr>
        <w:t>基金管理有限公司</w:t>
      </w:r>
    </w:p>
    <w:p w:rsidR="009E2C1E" w:rsidRDefault="00E22DB5">
      <w:pPr>
        <w:spacing w:after="0" w:line="378" w:lineRule="auto"/>
        <w:ind w:left="1987" w:firstLine="0"/>
        <w:rPr>
          <w:sz w:val="28"/>
        </w:rPr>
      </w:pPr>
      <w:r>
        <w:rPr>
          <w:sz w:val="28"/>
        </w:rPr>
        <w:t>基金托管人：中国银行股份有限公司</w:t>
      </w:r>
    </w:p>
    <w:p w:rsidR="000468B4" w:rsidRDefault="00E22DB5">
      <w:pPr>
        <w:spacing w:after="0" w:line="378" w:lineRule="auto"/>
        <w:ind w:left="1987" w:firstLine="0"/>
        <w:rPr>
          <w:sz w:val="28"/>
        </w:rPr>
      </w:pPr>
      <w:r>
        <w:rPr>
          <w:sz w:val="28"/>
        </w:rPr>
        <w:t>清算报告出具日：</w:t>
      </w:r>
      <w:r w:rsidR="00277593">
        <w:rPr>
          <w:rFonts w:ascii="Times New Roman" w:eastAsia="Times New Roman" w:hAnsi="Times New Roman" w:cs="Times New Roman"/>
          <w:sz w:val="28"/>
        </w:rPr>
        <w:t>2018</w:t>
      </w:r>
      <w:r w:rsidR="00277593">
        <w:rPr>
          <w:rFonts w:ascii="Times New Roman" w:eastAsiaTheme="minorEastAsia" w:hAnsi="Times New Roman" w:cs="Times New Roman" w:hint="eastAsia"/>
          <w:sz w:val="28"/>
        </w:rPr>
        <w:t>年</w:t>
      </w:r>
      <w:r w:rsidR="00994A7A">
        <w:rPr>
          <w:rFonts w:ascii="Times New Roman" w:eastAsiaTheme="minorEastAsia" w:hAnsi="Times New Roman" w:cs="Times New Roman"/>
          <w:sz w:val="28"/>
        </w:rPr>
        <w:t>3</w:t>
      </w:r>
      <w:r w:rsidR="00407EBF">
        <w:rPr>
          <w:rFonts w:hint="eastAsia"/>
          <w:sz w:val="28"/>
        </w:rPr>
        <w:t>月</w:t>
      </w:r>
      <w:r w:rsidR="00994A7A">
        <w:rPr>
          <w:rFonts w:ascii="Times New Roman" w:eastAsiaTheme="minorEastAsia" w:hAnsi="Times New Roman" w:cs="Times New Roman"/>
          <w:sz w:val="28"/>
        </w:rPr>
        <w:t>5</w:t>
      </w:r>
      <w:r w:rsidR="00277593">
        <w:rPr>
          <w:rFonts w:ascii="Times New Roman" w:eastAsiaTheme="minorEastAsia" w:hAnsi="Times New Roman" w:cs="Times New Roman" w:hint="eastAsia"/>
          <w:sz w:val="28"/>
        </w:rPr>
        <w:t>日</w:t>
      </w:r>
    </w:p>
    <w:p w:rsidR="00583F83" w:rsidRDefault="00E22DB5">
      <w:pPr>
        <w:spacing w:after="0" w:line="378" w:lineRule="auto"/>
        <w:ind w:left="1987" w:firstLine="0"/>
      </w:pPr>
      <w:r>
        <w:rPr>
          <w:sz w:val="28"/>
        </w:rPr>
        <w:t>清算报告公告日：</w:t>
      </w:r>
      <w:r w:rsidR="008E7891">
        <w:rPr>
          <w:rFonts w:hint="eastAsia"/>
          <w:sz w:val="28"/>
        </w:rPr>
        <w:t>2018</w:t>
      </w:r>
      <w:r>
        <w:rPr>
          <w:sz w:val="28"/>
        </w:rPr>
        <w:t>年</w:t>
      </w:r>
      <w:r w:rsidR="008E7891">
        <w:rPr>
          <w:rFonts w:hint="eastAsia"/>
          <w:sz w:val="28"/>
        </w:rPr>
        <w:t>4</w:t>
      </w:r>
      <w:r>
        <w:rPr>
          <w:sz w:val="28"/>
        </w:rPr>
        <w:t>月</w:t>
      </w:r>
      <w:r w:rsidR="008E7891">
        <w:rPr>
          <w:rFonts w:hint="eastAsia"/>
          <w:sz w:val="28"/>
        </w:rPr>
        <w:t>18</w:t>
      </w:r>
      <w:bookmarkStart w:id="0" w:name="_GoBack"/>
      <w:bookmarkEnd w:id="0"/>
      <w:r>
        <w:rPr>
          <w:sz w:val="28"/>
        </w:rPr>
        <w:t>日</w:t>
      </w:r>
    </w:p>
    <w:p w:rsidR="009E2C1E" w:rsidRPr="007A2602" w:rsidRDefault="009E2C1E">
      <w:pPr>
        <w:pStyle w:val="2"/>
        <w:spacing w:after="364"/>
        <w:ind w:left="10" w:right="60"/>
      </w:pPr>
    </w:p>
    <w:p w:rsidR="00583F83" w:rsidRDefault="00E22DB5">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583F83" w:rsidRDefault="00CE6830">
          <w:pPr>
            <w:pStyle w:val="10"/>
            <w:tabs>
              <w:tab w:val="right" w:leader="dot" w:pos="9113"/>
            </w:tabs>
          </w:pPr>
          <w:r w:rsidRPr="00CE6830">
            <w:fldChar w:fldCharType="begin"/>
          </w:r>
          <w:r w:rsidR="00E22DB5">
            <w:instrText xml:space="preserve"> TOC \o "1-1" \h \z \u </w:instrText>
          </w:r>
          <w:r w:rsidRPr="00CE6830">
            <w:fldChar w:fldCharType="separate"/>
          </w:r>
          <w:hyperlink w:anchor="_Toc12455">
            <w:r w:rsidR="00E22DB5">
              <w:rPr>
                <w:rFonts w:ascii="宋体" w:eastAsia="宋体" w:hAnsi="宋体" w:cs="宋体"/>
              </w:rPr>
              <w:t>重要提示</w:t>
            </w:r>
            <w:r w:rsidR="00E22DB5">
              <w:tab/>
            </w:r>
            <w:r w:rsidR="004118C9">
              <w:t>3</w:t>
            </w:r>
          </w:hyperlink>
        </w:p>
        <w:p w:rsidR="00583F83" w:rsidRDefault="00CE6830">
          <w:pPr>
            <w:pStyle w:val="10"/>
            <w:tabs>
              <w:tab w:val="right" w:leader="dot" w:pos="9113"/>
            </w:tabs>
          </w:pPr>
          <w:hyperlink w:anchor="_Toc12456">
            <w:r w:rsidR="00E22DB5">
              <w:rPr>
                <w:rFonts w:ascii="宋体" w:eastAsia="宋体" w:hAnsi="宋体" w:cs="宋体"/>
              </w:rPr>
              <w:t>一、基金概况</w:t>
            </w:r>
            <w:r w:rsidR="00E22DB5">
              <w:tab/>
            </w:r>
            <w:r w:rsidR="0072662D">
              <w:t>3</w:t>
            </w:r>
          </w:hyperlink>
        </w:p>
        <w:p w:rsidR="00583F83" w:rsidRDefault="00CE6830">
          <w:pPr>
            <w:pStyle w:val="10"/>
            <w:tabs>
              <w:tab w:val="right" w:leader="dot" w:pos="9113"/>
            </w:tabs>
          </w:pPr>
          <w:hyperlink w:anchor="_Toc12457">
            <w:r w:rsidR="00E22DB5">
              <w:rPr>
                <w:rFonts w:ascii="宋体" w:eastAsia="宋体" w:hAnsi="宋体" w:cs="宋体"/>
              </w:rPr>
              <w:t>二、基金运作情况</w:t>
            </w:r>
            <w:r w:rsidR="00E22DB5">
              <w:tab/>
            </w:r>
            <w:r w:rsidR="004118C9">
              <w:t>4</w:t>
            </w:r>
          </w:hyperlink>
        </w:p>
        <w:p w:rsidR="00583F83" w:rsidRDefault="00CE6830">
          <w:pPr>
            <w:pStyle w:val="10"/>
            <w:tabs>
              <w:tab w:val="right" w:leader="dot" w:pos="9113"/>
            </w:tabs>
          </w:pPr>
          <w:hyperlink w:anchor="_Toc12458">
            <w:r w:rsidR="00E22DB5">
              <w:rPr>
                <w:rFonts w:ascii="宋体" w:eastAsia="宋体" w:hAnsi="宋体" w:cs="宋体"/>
              </w:rPr>
              <w:t>三、财务会计报告</w:t>
            </w:r>
            <w:r w:rsidR="00E22DB5">
              <w:tab/>
            </w:r>
            <w:r w:rsidR="001E02D9">
              <w:t>5</w:t>
            </w:r>
          </w:hyperlink>
        </w:p>
        <w:p w:rsidR="00583F83" w:rsidRDefault="00CE6830">
          <w:pPr>
            <w:pStyle w:val="10"/>
            <w:tabs>
              <w:tab w:val="right" w:leader="dot" w:pos="9113"/>
            </w:tabs>
          </w:pPr>
          <w:hyperlink w:anchor="_Toc12459">
            <w:r w:rsidR="00E22DB5">
              <w:rPr>
                <w:rFonts w:ascii="宋体" w:eastAsia="宋体" w:hAnsi="宋体" w:cs="宋体"/>
              </w:rPr>
              <w:t>四、清算情况</w:t>
            </w:r>
            <w:r w:rsidR="00E22DB5">
              <w:tab/>
            </w:r>
            <w:r w:rsidR="004118C9">
              <w:t>5</w:t>
            </w:r>
          </w:hyperlink>
        </w:p>
        <w:p w:rsidR="00583F83" w:rsidRDefault="00CE6830">
          <w:pPr>
            <w:pStyle w:val="10"/>
            <w:tabs>
              <w:tab w:val="right" w:leader="dot" w:pos="9113"/>
            </w:tabs>
          </w:pPr>
          <w:hyperlink w:anchor="_Toc12460">
            <w:r w:rsidR="00E22DB5">
              <w:rPr>
                <w:rFonts w:ascii="宋体" w:eastAsia="宋体" w:hAnsi="宋体" w:cs="宋体"/>
              </w:rPr>
              <w:t>五、备查文件</w:t>
            </w:r>
            <w:r w:rsidR="00E22DB5">
              <w:tab/>
            </w:r>
            <w:r w:rsidR="004118C9">
              <w:t>9</w:t>
            </w:r>
          </w:hyperlink>
        </w:p>
        <w:p w:rsidR="00583F83" w:rsidRDefault="00CE6830">
          <w:r>
            <w:fldChar w:fldCharType="end"/>
          </w:r>
        </w:p>
      </w:sdtContent>
    </w:sdt>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E22DB5">
      <w:pPr>
        <w:spacing w:after="0"/>
        <w:ind w:left="0" w:firstLine="0"/>
      </w:pPr>
      <w:r>
        <w:br w:type="page"/>
      </w:r>
    </w:p>
    <w:p w:rsidR="002F7911" w:rsidRDefault="00E22DB5" w:rsidP="002F7911">
      <w:pPr>
        <w:pStyle w:val="1"/>
        <w:spacing w:after="434"/>
        <w:ind w:left="10" w:right="62"/>
        <w:rPr>
          <w:rFonts w:ascii="Times New Roman" w:eastAsiaTheme="minorEastAsia" w:hAnsi="Times New Roman" w:cs="Times New Roman"/>
          <w:b/>
        </w:rPr>
      </w:pPr>
      <w:bookmarkStart w:id="1" w:name="_Toc12455"/>
      <w:r>
        <w:lastRenderedPageBreak/>
        <w:t>重要提示</w:t>
      </w:r>
      <w:bookmarkEnd w:id="1"/>
    </w:p>
    <w:p w:rsidR="005363C0" w:rsidRDefault="005363C0" w:rsidP="00FB01D6">
      <w:pPr>
        <w:spacing w:after="131" w:line="360" w:lineRule="auto"/>
        <w:ind w:left="0" w:firstLineChars="200" w:firstLine="480"/>
      </w:pPr>
      <w:r>
        <w:rPr>
          <w:rFonts w:hint="eastAsia"/>
        </w:rPr>
        <w:t>泰达宏利增利</w:t>
      </w:r>
      <w:r>
        <w:t>灵活配置定期开放</w:t>
      </w:r>
      <w:r>
        <w:rPr>
          <w:rFonts w:hint="eastAsia"/>
        </w:rPr>
        <w:t>混合</w:t>
      </w:r>
      <w:r>
        <w:t>型证券投资基金(以下简称“本基金”)经中国证监会证监许可[2015]945号予以注册，于2016年6月30日成立并正式运作。</w:t>
      </w:r>
    </w:p>
    <w:p w:rsidR="000272CC" w:rsidRDefault="005363C0" w:rsidP="00AA153C">
      <w:pPr>
        <w:spacing w:line="360" w:lineRule="auto"/>
        <w:ind w:firstLineChars="200" w:firstLine="480"/>
      </w:pPr>
      <w:r>
        <w:t>根据《中华人民共和国证券投资基金法》、《公开募集证券投资基金运作管理办法》 和《</w:t>
      </w:r>
      <w:r>
        <w:rPr>
          <w:rFonts w:hint="eastAsia"/>
        </w:rPr>
        <w:t>泰达宏利增利</w:t>
      </w:r>
      <w:r>
        <w:t>灵活配置定期开放</w:t>
      </w:r>
      <w:r>
        <w:rPr>
          <w:rFonts w:hint="eastAsia"/>
        </w:rPr>
        <w:t>混合</w:t>
      </w:r>
      <w:r>
        <w:t>型证券投资基金基金合同》（以下简称“基金合同”） 等有关规定，</w:t>
      </w:r>
      <w:r w:rsidR="006D04F5">
        <w:rPr>
          <w:rFonts w:hint="eastAsia"/>
        </w:rPr>
        <w:t>“</w:t>
      </w:r>
      <w:r w:rsidR="00AA153C" w:rsidRPr="00FA5295">
        <w:rPr>
          <w:rFonts w:asciiTheme="minorEastAsia" w:hAnsiTheme="minorEastAsia" w:hint="eastAsia"/>
        </w:rPr>
        <w:t>自基金合同生效日起，出现如下情形之一的，基金合同应当终止并根据基金合同第十九部分的约定进行基金财产清算，而无需召开基金份额持有人大会：</w:t>
      </w:r>
      <w:r w:rsidR="00AA153C" w:rsidRPr="001F6B50">
        <w:rPr>
          <w:rFonts w:asciiTheme="minorEastAsia" w:hAnsiTheme="minorEastAsia" w:cs="Times New Roman" w:hint="eastAsia"/>
          <w:szCs w:val="24"/>
        </w:rPr>
        <w:t>1</w:t>
      </w:r>
      <w:r w:rsidR="00AA153C" w:rsidRPr="001F6B50">
        <w:rPr>
          <w:rFonts w:asciiTheme="minorEastAsia" w:hAnsiTheme="minorEastAsia" w:cs="Times New Roman" w:hint="eastAsia"/>
          <w:szCs w:val="24"/>
        </w:rPr>
        <w:t>、本基金任一封闭期内连续</w:t>
      </w:r>
      <w:r w:rsidR="00AA153C" w:rsidRPr="001F6B50">
        <w:rPr>
          <w:rFonts w:asciiTheme="minorEastAsia" w:hAnsiTheme="minorEastAsia" w:cs="Times New Roman" w:hint="eastAsia"/>
          <w:szCs w:val="24"/>
        </w:rPr>
        <w:t>60</w:t>
      </w:r>
      <w:r w:rsidR="00AA153C" w:rsidRPr="001F6B50">
        <w:rPr>
          <w:rFonts w:asciiTheme="minorEastAsia" w:hAnsiTheme="minorEastAsia" w:cs="Times New Roman" w:hint="eastAsia"/>
          <w:szCs w:val="24"/>
        </w:rPr>
        <w:t>个工作日，基金资产净值低于</w:t>
      </w:r>
      <w:r w:rsidR="00AA153C" w:rsidRPr="001F6B50">
        <w:rPr>
          <w:rFonts w:asciiTheme="minorEastAsia" w:hAnsiTheme="minorEastAsia" w:cs="Times New Roman" w:hint="eastAsia"/>
          <w:szCs w:val="24"/>
        </w:rPr>
        <w:t>5000</w:t>
      </w:r>
      <w:r w:rsidR="00AA153C" w:rsidRPr="001F6B50">
        <w:rPr>
          <w:rFonts w:asciiTheme="minorEastAsia" w:hAnsiTheme="minorEastAsia" w:cs="Times New Roman" w:hint="eastAsia"/>
          <w:szCs w:val="24"/>
        </w:rPr>
        <w:t>万元；</w:t>
      </w:r>
      <w:r w:rsidR="00AA153C" w:rsidRPr="001F6B50">
        <w:rPr>
          <w:rFonts w:asciiTheme="minorEastAsia" w:hAnsiTheme="minorEastAsia" w:cs="Times New Roman" w:hint="eastAsia"/>
          <w:szCs w:val="24"/>
        </w:rPr>
        <w:t>2</w:t>
      </w:r>
      <w:r w:rsidR="00AA153C" w:rsidRPr="001F6B50">
        <w:rPr>
          <w:rFonts w:asciiTheme="minorEastAsia" w:hAnsiTheme="minorEastAsia" w:cs="Times New Roman" w:hint="eastAsia"/>
          <w:szCs w:val="24"/>
        </w:rPr>
        <w:t>、本基金任一开放期最后一日日终，基金资产净值低于</w:t>
      </w:r>
      <w:r w:rsidR="00AA153C" w:rsidRPr="001F6B50">
        <w:rPr>
          <w:rFonts w:asciiTheme="minorEastAsia" w:hAnsiTheme="minorEastAsia" w:cs="Times New Roman" w:hint="eastAsia"/>
          <w:szCs w:val="24"/>
        </w:rPr>
        <w:t>2</w:t>
      </w:r>
      <w:r w:rsidR="00AA153C" w:rsidRPr="001F6B50">
        <w:rPr>
          <w:rFonts w:asciiTheme="minorEastAsia" w:hAnsiTheme="minorEastAsia" w:cs="Times New Roman" w:hint="eastAsia"/>
          <w:szCs w:val="24"/>
        </w:rPr>
        <w:t>亿元；</w:t>
      </w:r>
      <w:r w:rsidR="00AA153C" w:rsidRPr="001F6B50">
        <w:rPr>
          <w:rFonts w:asciiTheme="minorEastAsia" w:hAnsiTheme="minorEastAsia" w:cs="Times New Roman" w:hint="eastAsia"/>
          <w:szCs w:val="24"/>
        </w:rPr>
        <w:t>3</w:t>
      </w:r>
      <w:r w:rsidR="00AA153C" w:rsidRPr="001F6B50">
        <w:rPr>
          <w:rFonts w:asciiTheme="minorEastAsia" w:hAnsiTheme="minorEastAsia" w:cs="Times New Roman" w:hint="eastAsia"/>
          <w:szCs w:val="24"/>
        </w:rPr>
        <w:t>、本基金任一开放期最后一日日终，有效申请确认后基金份额持有人数量少于</w:t>
      </w:r>
      <w:r w:rsidR="00AA153C" w:rsidRPr="001F6B50">
        <w:rPr>
          <w:rFonts w:asciiTheme="minorEastAsia" w:hAnsiTheme="minorEastAsia" w:cs="Times New Roman" w:hint="eastAsia"/>
          <w:szCs w:val="24"/>
        </w:rPr>
        <w:t>200</w:t>
      </w:r>
      <w:r w:rsidR="00AA153C" w:rsidRPr="001F6B50">
        <w:rPr>
          <w:rFonts w:asciiTheme="minorEastAsia" w:hAnsiTheme="minorEastAsia" w:cs="Times New Roman" w:hint="eastAsia"/>
          <w:szCs w:val="24"/>
        </w:rPr>
        <w:t>人</w:t>
      </w:r>
      <w:r>
        <w:t>。</w:t>
      </w:r>
      <w:r w:rsidR="006D04F5">
        <w:rPr>
          <w:rFonts w:hint="eastAsia"/>
        </w:rPr>
        <w:t>”</w:t>
      </w:r>
      <w:r>
        <w:t xml:space="preserve">本基金最近一个开放期为 2017 年 </w:t>
      </w:r>
      <w:r w:rsidR="00AA153C">
        <w:t xml:space="preserve">12 </w:t>
      </w:r>
      <w:r>
        <w:t xml:space="preserve">月 </w:t>
      </w:r>
      <w:r w:rsidR="00AA153C">
        <w:t xml:space="preserve">25 </w:t>
      </w:r>
      <w:r>
        <w:t>日</w:t>
      </w:r>
      <w:r w:rsidR="00AA153C">
        <w:rPr>
          <w:rFonts w:hint="eastAsia"/>
        </w:rPr>
        <w:t>至</w:t>
      </w:r>
      <w:r>
        <w:t xml:space="preserve">2017 年 </w:t>
      </w:r>
      <w:r w:rsidR="00AA153C">
        <w:t xml:space="preserve">12 </w:t>
      </w:r>
      <w:r>
        <w:t xml:space="preserve">月 </w:t>
      </w:r>
      <w:r w:rsidR="00AA153C">
        <w:t>29</w:t>
      </w:r>
      <w:r>
        <w:t>日</w:t>
      </w:r>
      <w:r w:rsidR="00AA153C">
        <w:rPr>
          <w:rFonts w:hint="eastAsia"/>
        </w:rPr>
        <w:t>，</w:t>
      </w:r>
      <w:r w:rsidR="00AA153C">
        <w:t>截至开放期最后一日</w:t>
      </w:r>
      <w:r>
        <w:t>日终</w:t>
      </w:r>
      <w:r w:rsidR="00AA153C">
        <w:rPr>
          <w:rFonts w:hint="eastAsia"/>
        </w:rPr>
        <w:t>，泰达宏利增利</w:t>
      </w:r>
      <w:r w:rsidR="00AA153C">
        <w:t>灵活配置</w:t>
      </w:r>
      <w:r>
        <w:t>定期开放</w:t>
      </w:r>
      <w:r w:rsidR="00AA153C">
        <w:rPr>
          <w:rFonts w:hint="eastAsia"/>
        </w:rPr>
        <w:t>混合</w:t>
      </w:r>
      <w:r>
        <w:t>型证券投资基金的资产净值低于2亿元，触发上述基金合同终止情形，基金合同自动终止</w:t>
      </w:r>
      <w:r w:rsidR="00AA153C">
        <w:rPr>
          <w:rFonts w:hint="eastAsia"/>
        </w:rPr>
        <w:t>且无需召开基金份额持有人</w:t>
      </w:r>
      <w:r w:rsidR="00AA153C">
        <w:t>大会</w:t>
      </w:r>
      <w:r w:rsidR="00AA153C">
        <w:rPr>
          <w:rFonts w:hint="eastAsia"/>
        </w:rPr>
        <w:t>。</w:t>
      </w:r>
    </w:p>
    <w:p w:rsidR="00FB01D6" w:rsidRPr="00FB01D6" w:rsidRDefault="00FB01D6" w:rsidP="000272CC">
      <w:pPr>
        <w:spacing w:after="131" w:line="360" w:lineRule="auto"/>
        <w:ind w:left="0" w:firstLineChars="200" w:firstLine="480"/>
      </w:pPr>
      <w:r>
        <w:t xml:space="preserve">本基金于 2017 年 </w:t>
      </w:r>
      <w:r w:rsidR="00AA153C">
        <w:rPr>
          <w:rFonts w:hint="eastAsia"/>
        </w:rPr>
        <w:t>1</w:t>
      </w:r>
      <w:r w:rsidR="00AA153C">
        <w:t xml:space="preserve">2 </w:t>
      </w:r>
      <w:r>
        <w:t xml:space="preserve">月 </w:t>
      </w:r>
      <w:r w:rsidR="00AA153C">
        <w:t xml:space="preserve">30 </w:t>
      </w:r>
      <w:r>
        <w:t>日起进入清算期，由基金管理人</w:t>
      </w:r>
      <w:r w:rsidR="00BB27AF">
        <w:rPr>
          <w:rFonts w:hint="eastAsia"/>
        </w:rPr>
        <w:t>泰达宏利</w:t>
      </w:r>
      <w:r>
        <w:t>基金管理有限公司、基金托管人</w:t>
      </w:r>
      <w:r w:rsidR="00BB27AF">
        <w:rPr>
          <w:rFonts w:hint="eastAsia"/>
        </w:rPr>
        <w:t>中国</w:t>
      </w:r>
      <w:r>
        <w:t>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2F7911" w:rsidRDefault="002F7911" w:rsidP="002F7911">
      <w:pPr>
        <w:ind w:left="0" w:firstLine="0"/>
      </w:pPr>
    </w:p>
    <w:p w:rsidR="002F7911" w:rsidRPr="002F7911" w:rsidRDefault="002F7911" w:rsidP="002F7911"/>
    <w:p w:rsidR="00583F83" w:rsidRDefault="00E22DB5" w:rsidP="00C067CB">
      <w:pPr>
        <w:pStyle w:val="1"/>
        <w:numPr>
          <w:ilvl w:val="0"/>
          <w:numId w:val="9"/>
        </w:numPr>
        <w:spacing w:after="116"/>
        <w:ind w:right="62"/>
        <w:rPr>
          <w:rFonts w:ascii="Times New Roman" w:eastAsia="Times New Roman" w:hAnsi="Times New Roman" w:cs="Times New Roman"/>
          <w:b/>
        </w:rPr>
      </w:pPr>
      <w:bookmarkStart w:id="2" w:name="_Toc12456"/>
      <w:r>
        <w:t>基金概况</w:t>
      </w:r>
      <w:bookmarkEnd w:id="2"/>
    </w:p>
    <w:p w:rsidR="00C067CB" w:rsidRDefault="00C067CB" w:rsidP="00C067CB"/>
    <w:tbl>
      <w:tblPr>
        <w:tblStyle w:val="a5"/>
        <w:tblW w:w="9454" w:type="dxa"/>
        <w:tblInd w:w="10" w:type="dxa"/>
        <w:tblLook w:val="04A0"/>
      </w:tblPr>
      <w:tblGrid>
        <w:gridCol w:w="3075"/>
        <w:gridCol w:w="6379"/>
      </w:tblGrid>
      <w:tr w:rsidR="00BB27AF" w:rsidTr="007174A8">
        <w:tc>
          <w:tcPr>
            <w:tcW w:w="3075" w:type="dxa"/>
            <w:vAlign w:val="center"/>
          </w:tcPr>
          <w:p w:rsidR="00BB27AF" w:rsidRPr="008F5F32" w:rsidRDefault="00BB27AF"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基金名称</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泰达宏利</w:t>
            </w:r>
            <w:r w:rsidR="005363C0">
              <w:rPr>
                <w:rFonts w:hAnsi="Times New Roman"/>
                <w:color w:val="auto"/>
                <w:kern w:val="0"/>
                <w:sz w:val="23"/>
                <w:szCs w:val="23"/>
              </w:rPr>
              <w:t>增利灵活配置定期开放</w:t>
            </w:r>
            <w:r w:rsidR="00FC7095">
              <w:rPr>
                <w:rFonts w:hAnsi="Times New Roman"/>
                <w:color w:val="auto"/>
                <w:kern w:val="0"/>
                <w:sz w:val="23"/>
                <w:szCs w:val="23"/>
              </w:rPr>
              <w:t>混合</w:t>
            </w:r>
            <w:r w:rsidRPr="008F5F32">
              <w:rPr>
                <w:rFonts w:hAnsi="Times New Roman"/>
                <w:color w:val="auto"/>
                <w:kern w:val="0"/>
                <w:sz w:val="23"/>
                <w:szCs w:val="23"/>
              </w:rPr>
              <w:t>型证券投资基金</w:t>
            </w:r>
          </w:p>
        </w:tc>
      </w:tr>
      <w:tr w:rsidR="00BB27AF" w:rsidTr="007174A8">
        <w:tc>
          <w:tcPr>
            <w:tcW w:w="3075" w:type="dxa"/>
            <w:vAlign w:val="center"/>
          </w:tcPr>
          <w:p w:rsidR="00BB27AF" w:rsidRPr="008F5F32" w:rsidRDefault="00BB27AF"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基金简称</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泰达宏利</w:t>
            </w:r>
            <w:r w:rsidR="005363C0">
              <w:rPr>
                <w:rFonts w:hAnsi="Times New Roman" w:hint="eastAsia"/>
                <w:color w:val="auto"/>
                <w:kern w:val="0"/>
                <w:sz w:val="23"/>
                <w:szCs w:val="23"/>
              </w:rPr>
              <w:t>增利</w:t>
            </w:r>
            <w:r w:rsidR="00265CA5">
              <w:rPr>
                <w:rFonts w:hAnsi="Times New Roman" w:hint="eastAsia"/>
                <w:color w:val="auto"/>
                <w:kern w:val="0"/>
                <w:sz w:val="23"/>
                <w:szCs w:val="23"/>
              </w:rPr>
              <w:t>混合</w:t>
            </w:r>
          </w:p>
        </w:tc>
      </w:tr>
      <w:tr w:rsidR="00BB27AF" w:rsidTr="007174A8">
        <w:tc>
          <w:tcPr>
            <w:tcW w:w="3075" w:type="dxa"/>
            <w:vAlign w:val="center"/>
          </w:tcPr>
          <w:p w:rsidR="00BB27AF" w:rsidRPr="008F5F32" w:rsidRDefault="00BB27AF"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w:t>
            </w:r>
            <w:r w:rsidR="007174A8" w:rsidRPr="008F5F32">
              <w:rPr>
                <w:rFonts w:hAnsi="Times New Roman" w:hint="eastAsia"/>
                <w:color w:val="auto"/>
                <w:kern w:val="0"/>
                <w:sz w:val="23"/>
                <w:szCs w:val="23"/>
              </w:rPr>
              <w:t>主</w:t>
            </w:r>
            <w:r w:rsidRPr="008F5F32">
              <w:rPr>
                <w:rFonts w:hAnsi="Times New Roman" w:hint="eastAsia"/>
                <w:color w:val="auto"/>
                <w:kern w:val="0"/>
                <w:sz w:val="23"/>
                <w:szCs w:val="23"/>
              </w:rPr>
              <w:t>代码</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00</w:t>
            </w:r>
            <w:r w:rsidR="00265CA5">
              <w:rPr>
                <w:rFonts w:hAnsi="Times New Roman"/>
                <w:color w:val="auto"/>
                <w:kern w:val="0"/>
                <w:sz w:val="23"/>
                <w:szCs w:val="23"/>
              </w:rPr>
              <w:t>1568</w:t>
            </w:r>
          </w:p>
        </w:tc>
      </w:tr>
      <w:tr w:rsidR="00BB27AF" w:rsidTr="007174A8">
        <w:tc>
          <w:tcPr>
            <w:tcW w:w="3075" w:type="dxa"/>
            <w:vAlign w:val="center"/>
          </w:tcPr>
          <w:p w:rsidR="00BB27AF"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基金运作方式</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color w:val="auto"/>
                <w:kern w:val="0"/>
                <w:sz w:val="23"/>
                <w:szCs w:val="23"/>
              </w:rPr>
              <w:t>契约型开放式</w:t>
            </w:r>
          </w:p>
        </w:tc>
      </w:tr>
      <w:tr w:rsidR="00BB27AF" w:rsidTr="007174A8">
        <w:tc>
          <w:tcPr>
            <w:tcW w:w="3075" w:type="dxa"/>
            <w:vAlign w:val="center"/>
          </w:tcPr>
          <w:p w:rsidR="00BB27AF"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基金合同生效日</w:t>
            </w:r>
          </w:p>
        </w:tc>
        <w:tc>
          <w:tcPr>
            <w:tcW w:w="6379" w:type="dxa"/>
            <w:vAlign w:val="center"/>
          </w:tcPr>
          <w:p w:rsidR="00BB27AF" w:rsidRPr="008F5F32" w:rsidRDefault="00265CA5"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201</w:t>
            </w:r>
            <w:r>
              <w:rPr>
                <w:rFonts w:hAnsi="Times New Roman"/>
                <w:color w:val="auto"/>
                <w:kern w:val="0"/>
                <w:sz w:val="23"/>
                <w:szCs w:val="23"/>
              </w:rPr>
              <w:t>6</w:t>
            </w:r>
            <w:r w:rsidR="007174A8" w:rsidRPr="008F5F32">
              <w:rPr>
                <w:rFonts w:hAnsi="Times New Roman" w:hint="eastAsia"/>
                <w:color w:val="auto"/>
                <w:kern w:val="0"/>
                <w:sz w:val="23"/>
                <w:szCs w:val="23"/>
              </w:rPr>
              <w:t>年</w:t>
            </w:r>
            <w:r>
              <w:rPr>
                <w:rFonts w:hAnsi="Times New Roman"/>
                <w:color w:val="auto"/>
                <w:kern w:val="0"/>
                <w:sz w:val="23"/>
                <w:szCs w:val="23"/>
              </w:rPr>
              <w:t>6</w:t>
            </w:r>
            <w:r w:rsidR="007174A8" w:rsidRPr="008F5F32">
              <w:rPr>
                <w:rFonts w:hAnsi="Times New Roman" w:hint="eastAsia"/>
                <w:color w:val="auto"/>
                <w:kern w:val="0"/>
                <w:sz w:val="23"/>
                <w:szCs w:val="23"/>
              </w:rPr>
              <w:t>月</w:t>
            </w:r>
            <w:r>
              <w:rPr>
                <w:rFonts w:hAnsi="Times New Roman"/>
                <w:color w:val="auto"/>
                <w:kern w:val="0"/>
                <w:sz w:val="23"/>
                <w:szCs w:val="23"/>
              </w:rPr>
              <w:t>30</w:t>
            </w:r>
            <w:r w:rsidR="007174A8" w:rsidRPr="008F5F32">
              <w:rPr>
                <w:rFonts w:hAnsi="Times New Roman" w:hint="eastAsia"/>
                <w:color w:val="auto"/>
                <w:kern w:val="0"/>
                <w:sz w:val="23"/>
                <w:szCs w:val="23"/>
              </w:rPr>
              <w:t>日</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基金管理人</w:t>
            </w:r>
          </w:p>
        </w:tc>
        <w:tc>
          <w:tcPr>
            <w:tcW w:w="6379" w:type="dxa"/>
            <w:vAlign w:val="center"/>
          </w:tcPr>
          <w:p w:rsidR="007174A8"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泰达宏利基金管理有限公司</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基金托管人</w:t>
            </w:r>
          </w:p>
        </w:tc>
        <w:tc>
          <w:tcPr>
            <w:tcW w:w="6379" w:type="dxa"/>
            <w:vAlign w:val="center"/>
          </w:tcPr>
          <w:p w:rsidR="007174A8"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中国银行股份有限公司</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最后运作日</w:t>
            </w:r>
          </w:p>
        </w:tc>
        <w:tc>
          <w:tcPr>
            <w:tcW w:w="6379" w:type="dxa"/>
            <w:vAlign w:val="center"/>
          </w:tcPr>
          <w:p w:rsidR="007174A8" w:rsidRPr="008F5F32" w:rsidRDefault="00265CA5"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2017年</w:t>
            </w:r>
            <w:r>
              <w:rPr>
                <w:rFonts w:hAnsi="Times New Roman"/>
                <w:color w:val="auto"/>
                <w:kern w:val="0"/>
                <w:sz w:val="23"/>
                <w:szCs w:val="23"/>
              </w:rPr>
              <w:t>12</w:t>
            </w:r>
            <w:r w:rsidR="007174A8" w:rsidRPr="008F5F32">
              <w:rPr>
                <w:rFonts w:hAnsi="Times New Roman" w:hint="eastAsia"/>
                <w:color w:val="auto"/>
                <w:kern w:val="0"/>
                <w:sz w:val="23"/>
                <w:szCs w:val="23"/>
              </w:rPr>
              <w:t>月</w:t>
            </w:r>
            <w:r>
              <w:rPr>
                <w:rFonts w:hAnsi="Times New Roman"/>
                <w:color w:val="auto"/>
                <w:kern w:val="0"/>
                <w:sz w:val="23"/>
                <w:szCs w:val="23"/>
              </w:rPr>
              <w:t>29</w:t>
            </w:r>
            <w:r w:rsidR="007174A8" w:rsidRPr="008F5F32">
              <w:rPr>
                <w:rFonts w:hAnsi="Times New Roman" w:hint="eastAsia"/>
                <w:color w:val="auto"/>
                <w:kern w:val="0"/>
                <w:sz w:val="23"/>
                <w:szCs w:val="23"/>
              </w:rPr>
              <w:t>日</w:t>
            </w:r>
          </w:p>
        </w:tc>
      </w:tr>
      <w:tr w:rsidR="00BB27AF" w:rsidTr="007174A8">
        <w:tc>
          <w:tcPr>
            <w:tcW w:w="3075" w:type="dxa"/>
            <w:vAlign w:val="center"/>
          </w:tcPr>
          <w:p w:rsidR="00BB27AF" w:rsidRPr="009638E0" w:rsidRDefault="007174A8" w:rsidP="00A720E3">
            <w:pPr>
              <w:ind w:left="0" w:firstLine="0"/>
              <w:jc w:val="both"/>
              <w:rPr>
                <w:rFonts w:hAnsi="Times New Roman"/>
                <w:color w:val="auto"/>
                <w:kern w:val="0"/>
                <w:sz w:val="23"/>
                <w:szCs w:val="23"/>
              </w:rPr>
            </w:pPr>
            <w:r w:rsidRPr="009638E0">
              <w:rPr>
                <w:rFonts w:hAnsi="Times New Roman" w:hint="eastAsia"/>
                <w:color w:val="auto"/>
                <w:kern w:val="0"/>
                <w:sz w:val="23"/>
                <w:szCs w:val="23"/>
              </w:rPr>
              <w:t>最后运作日基金份额总额</w:t>
            </w:r>
          </w:p>
        </w:tc>
        <w:tc>
          <w:tcPr>
            <w:tcW w:w="6379" w:type="dxa"/>
            <w:vAlign w:val="center"/>
          </w:tcPr>
          <w:p w:rsidR="00BB27AF" w:rsidRPr="006D04F5" w:rsidRDefault="00B217C4" w:rsidP="00A720E3">
            <w:pPr>
              <w:ind w:left="0" w:firstLine="0"/>
              <w:jc w:val="both"/>
              <w:rPr>
                <w:rFonts w:hAnsi="Times New Roman"/>
                <w:color w:val="auto"/>
                <w:kern w:val="0"/>
                <w:sz w:val="23"/>
                <w:szCs w:val="23"/>
                <w:highlight w:val="yellow"/>
              </w:rPr>
            </w:pPr>
            <w:r w:rsidRPr="00D52848">
              <w:rPr>
                <w:rFonts w:hAnsi="Times New Roman"/>
                <w:color w:val="auto"/>
                <w:kern w:val="0"/>
                <w:sz w:val="23"/>
                <w:szCs w:val="23"/>
              </w:rPr>
              <w:t>81,105,954.26</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lastRenderedPageBreak/>
              <w:t>投资目标</w:t>
            </w:r>
          </w:p>
        </w:tc>
        <w:tc>
          <w:tcPr>
            <w:tcW w:w="6379" w:type="dxa"/>
            <w:vAlign w:val="center"/>
          </w:tcPr>
          <w:p w:rsidR="007174A8" w:rsidRPr="008F5F32" w:rsidRDefault="00265CA5" w:rsidP="006D04F5">
            <w:pPr>
              <w:ind w:left="0" w:firstLineChars="200" w:firstLine="460"/>
              <w:jc w:val="both"/>
              <w:rPr>
                <w:rFonts w:hAnsi="Times New Roman"/>
                <w:color w:val="auto"/>
                <w:kern w:val="0"/>
                <w:sz w:val="23"/>
                <w:szCs w:val="23"/>
              </w:rPr>
            </w:pPr>
            <w:r w:rsidRPr="005363C0">
              <w:rPr>
                <w:rFonts w:hAnsi="Times New Roman" w:hint="eastAsia"/>
                <w:color w:val="auto"/>
                <w:kern w:val="0"/>
                <w:sz w:val="23"/>
                <w:szCs w:val="23"/>
              </w:rPr>
              <w:t>在严格控制风险及保持流动性基础上，力求实现基金财产持续稳定增值的目标。</w:t>
            </w:r>
          </w:p>
        </w:tc>
      </w:tr>
      <w:tr w:rsidR="00C51B87" w:rsidTr="007174A8">
        <w:tc>
          <w:tcPr>
            <w:tcW w:w="3075" w:type="dxa"/>
            <w:vAlign w:val="center"/>
          </w:tcPr>
          <w:p w:rsidR="00C51B87" w:rsidRPr="008F5F32" w:rsidRDefault="00C51B87" w:rsidP="00C51B87">
            <w:pPr>
              <w:ind w:left="0" w:firstLine="0"/>
              <w:jc w:val="both"/>
              <w:rPr>
                <w:rFonts w:hAnsi="Times New Roman"/>
                <w:color w:val="auto"/>
                <w:kern w:val="0"/>
                <w:sz w:val="23"/>
                <w:szCs w:val="23"/>
              </w:rPr>
            </w:pPr>
            <w:r w:rsidRPr="008F5F32">
              <w:rPr>
                <w:rFonts w:hAnsi="Times New Roman" w:hint="eastAsia"/>
                <w:color w:val="auto"/>
                <w:kern w:val="0"/>
                <w:sz w:val="23"/>
                <w:szCs w:val="23"/>
              </w:rPr>
              <w:t>投资策略</w:t>
            </w:r>
          </w:p>
        </w:tc>
        <w:tc>
          <w:tcPr>
            <w:tcW w:w="6379" w:type="dxa"/>
            <w:vAlign w:val="center"/>
          </w:tcPr>
          <w:p w:rsidR="00C51B87" w:rsidRPr="008B154C" w:rsidRDefault="00535260" w:rsidP="006D04F5">
            <w:pPr>
              <w:ind w:left="0" w:firstLineChars="200" w:firstLine="460"/>
              <w:jc w:val="both"/>
              <w:rPr>
                <w:rFonts w:hAnsi="Times New Roman"/>
                <w:color w:val="auto"/>
                <w:kern w:val="0"/>
                <w:sz w:val="23"/>
                <w:szCs w:val="23"/>
              </w:rPr>
            </w:pPr>
            <w:r>
              <w:rPr>
                <w:rFonts w:hAnsi="Times New Roman" w:hint="eastAsia"/>
                <w:color w:val="auto"/>
                <w:kern w:val="0"/>
                <w:sz w:val="23"/>
                <w:szCs w:val="23"/>
              </w:rPr>
              <w:t>本基金将采取</w:t>
            </w:r>
            <w:r>
              <w:rPr>
                <w:rFonts w:hAnsi="Times New Roman"/>
                <w:color w:val="auto"/>
                <w:kern w:val="0"/>
                <w:sz w:val="23"/>
                <w:szCs w:val="23"/>
              </w:rPr>
              <w:t>主动的资产配置策略，注重风险与收益的平衡。本基金将精选具有较高投资价值的股票和债券</w:t>
            </w:r>
            <w:r w:rsidR="00175D28">
              <w:rPr>
                <w:rFonts w:hAnsi="Times New Roman" w:hint="eastAsia"/>
                <w:color w:val="auto"/>
                <w:kern w:val="0"/>
                <w:sz w:val="23"/>
                <w:szCs w:val="23"/>
              </w:rPr>
              <w:t>，</w:t>
            </w:r>
            <w:r w:rsidR="00175D28">
              <w:rPr>
                <w:rFonts w:hAnsi="Times New Roman"/>
                <w:color w:val="auto"/>
                <w:kern w:val="0"/>
                <w:sz w:val="23"/>
                <w:szCs w:val="23"/>
              </w:rPr>
              <w:t>力求实现基金资产的长期稳定增长。</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业绩比较基准</w:t>
            </w:r>
          </w:p>
        </w:tc>
        <w:tc>
          <w:tcPr>
            <w:tcW w:w="6379" w:type="dxa"/>
            <w:vAlign w:val="center"/>
          </w:tcPr>
          <w:p w:rsidR="007174A8" w:rsidRPr="008F5F32" w:rsidRDefault="00175D28" w:rsidP="006D04F5">
            <w:pPr>
              <w:ind w:left="0" w:firstLineChars="200" w:firstLine="460"/>
              <w:jc w:val="both"/>
              <w:rPr>
                <w:rFonts w:hAnsi="Times New Roman"/>
                <w:color w:val="auto"/>
                <w:kern w:val="0"/>
                <w:sz w:val="23"/>
                <w:szCs w:val="23"/>
              </w:rPr>
            </w:pPr>
            <w:r>
              <w:rPr>
                <w:rFonts w:hAnsi="Times New Roman" w:hint="eastAsia"/>
                <w:color w:val="auto"/>
                <w:kern w:val="0"/>
                <w:sz w:val="23"/>
                <w:szCs w:val="23"/>
              </w:rPr>
              <w:t>本基金</w:t>
            </w:r>
            <w:r>
              <w:rPr>
                <w:rFonts w:hAnsi="Times New Roman"/>
                <w:color w:val="auto"/>
                <w:kern w:val="0"/>
                <w:sz w:val="23"/>
                <w:szCs w:val="23"/>
              </w:rPr>
              <w:t>业绩比较基准：</w:t>
            </w:r>
            <w:r>
              <w:rPr>
                <w:rFonts w:hAnsi="Times New Roman" w:hint="eastAsia"/>
                <w:color w:val="auto"/>
                <w:kern w:val="0"/>
                <w:sz w:val="23"/>
                <w:szCs w:val="23"/>
              </w:rPr>
              <w:t>50</w:t>
            </w:r>
            <w:r>
              <w:rPr>
                <w:rFonts w:hAnsi="Times New Roman"/>
                <w:color w:val="auto"/>
                <w:kern w:val="0"/>
                <w:sz w:val="23"/>
                <w:szCs w:val="23"/>
              </w:rPr>
              <w:t>%</w:t>
            </w:r>
            <w:r>
              <w:rPr>
                <w:rFonts w:hint="eastAsia"/>
                <w:color w:val="auto"/>
                <w:kern w:val="0"/>
                <w:sz w:val="23"/>
                <w:szCs w:val="23"/>
              </w:rPr>
              <w:t>﹡</w:t>
            </w:r>
            <w:r>
              <w:rPr>
                <w:rFonts w:hAnsi="Times New Roman"/>
                <w:color w:val="auto"/>
                <w:kern w:val="0"/>
                <w:sz w:val="23"/>
                <w:szCs w:val="23"/>
              </w:rPr>
              <w:t>沪深</w:t>
            </w:r>
            <w:r>
              <w:rPr>
                <w:rFonts w:hAnsi="Times New Roman" w:hint="eastAsia"/>
                <w:color w:val="auto"/>
                <w:kern w:val="0"/>
                <w:sz w:val="23"/>
                <w:szCs w:val="23"/>
              </w:rPr>
              <w:t>300指数</w:t>
            </w:r>
            <w:r>
              <w:rPr>
                <w:rFonts w:hAnsi="Times New Roman"/>
                <w:color w:val="auto"/>
                <w:kern w:val="0"/>
                <w:sz w:val="23"/>
                <w:szCs w:val="23"/>
              </w:rPr>
              <w:t>收益率+50%</w:t>
            </w:r>
            <w:r>
              <w:rPr>
                <w:rFonts w:hint="eastAsia"/>
                <w:color w:val="auto"/>
                <w:kern w:val="0"/>
                <w:sz w:val="23"/>
                <w:szCs w:val="23"/>
              </w:rPr>
              <w:t>﹡中证</w:t>
            </w:r>
            <w:r>
              <w:rPr>
                <w:color w:val="auto"/>
                <w:kern w:val="0"/>
                <w:sz w:val="23"/>
                <w:szCs w:val="23"/>
              </w:rPr>
              <w:t>综合债</w:t>
            </w:r>
            <w:r>
              <w:rPr>
                <w:rFonts w:hint="eastAsia"/>
                <w:color w:val="auto"/>
                <w:kern w:val="0"/>
                <w:sz w:val="23"/>
                <w:szCs w:val="23"/>
              </w:rPr>
              <w:t>指数收益率</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风险收益特征</w:t>
            </w:r>
          </w:p>
        </w:tc>
        <w:tc>
          <w:tcPr>
            <w:tcW w:w="6379" w:type="dxa"/>
            <w:vAlign w:val="center"/>
          </w:tcPr>
          <w:p w:rsidR="007174A8" w:rsidRPr="008F5F32" w:rsidRDefault="00175D28" w:rsidP="006D04F5">
            <w:pPr>
              <w:ind w:left="0" w:firstLineChars="200" w:firstLine="460"/>
              <w:jc w:val="both"/>
              <w:rPr>
                <w:rFonts w:hAnsi="Times New Roman"/>
                <w:color w:val="auto"/>
                <w:kern w:val="0"/>
                <w:sz w:val="23"/>
                <w:szCs w:val="23"/>
              </w:rPr>
            </w:pPr>
            <w:r>
              <w:rPr>
                <w:rFonts w:hAnsi="Times New Roman" w:hint="eastAsia"/>
                <w:color w:val="auto"/>
                <w:kern w:val="0"/>
                <w:sz w:val="23"/>
                <w:szCs w:val="23"/>
              </w:rPr>
              <w:t>本基金</w:t>
            </w:r>
            <w:r>
              <w:rPr>
                <w:rFonts w:hAnsi="Times New Roman"/>
                <w:color w:val="auto"/>
                <w:kern w:val="0"/>
                <w:sz w:val="23"/>
                <w:szCs w:val="23"/>
              </w:rPr>
              <w:t>为混合型基金，具有较高</w:t>
            </w:r>
            <w:r>
              <w:rPr>
                <w:rFonts w:hAnsi="Times New Roman" w:hint="eastAsia"/>
                <w:color w:val="auto"/>
                <w:kern w:val="0"/>
                <w:sz w:val="23"/>
                <w:szCs w:val="23"/>
              </w:rPr>
              <w:t>预期风险</w:t>
            </w:r>
            <w:r>
              <w:rPr>
                <w:rFonts w:hAnsi="Times New Roman"/>
                <w:color w:val="auto"/>
                <w:kern w:val="0"/>
                <w:sz w:val="23"/>
                <w:szCs w:val="23"/>
              </w:rPr>
              <w:t>、较高预期收益的特征</w:t>
            </w:r>
            <w:r>
              <w:rPr>
                <w:rFonts w:hAnsi="Times New Roman" w:hint="eastAsia"/>
                <w:color w:val="auto"/>
                <w:kern w:val="0"/>
                <w:sz w:val="23"/>
                <w:szCs w:val="23"/>
              </w:rPr>
              <w:t>，</w:t>
            </w:r>
            <w:r>
              <w:rPr>
                <w:rFonts w:hAnsi="Times New Roman"/>
                <w:color w:val="auto"/>
                <w:kern w:val="0"/>
                <w:sz w:val="23"/>
                <w:szCs w:val="23"/>
              </w:rPr>
              <w:t>其预期</w:t>
            </w:r>
            <w:r>
              <w:rPr>
                <w:rFonts w:hAnsi="Times New Roman" w:hint="eastAsia"/>
                <w:color w:val="auto"/>
                <w:kern w:val="0"/>
                <w:sz w:val="23"/>
                <w:szCs w:val="23"/>
              </w:rPr>
              <w:t>风险和</w:t>
            </w:r>
            <w:r>
              <w:rPr>
                <w:rFonts w:hAnsi="Times New Roman"/>
                <w:color w:val="auto"/>
                <w:kern w:val="0"/>
                <w:sz w:val="23"/>
                <w:szCs w:val="23"/>
              </w:rPr>
              <w:t>收益</w:t>
            </w:r>
            <w:r>
              <w:rPr>
                <w:rFonts w:hAnsi="Times New Roman" w:hint="eastAsia"/>
                <w:color w:val="auto"/>
                <w:kern w:val="0"/>
                <w:sz w:val="23"/>
                <w:szCs w:val="23"/>
              </w:rPr>
              <w:t>低于</w:t>
            </w:r>
            <w:r>
              <w:rPr>
                <w:rFonts w:hAnsi="Times New Roman"/>
                <w:color w:val="auto"/>
                <w:kern w:val="0"/>
                <w:sz w:val="23"/>
                <w:szCs w:val="23"/>
              </w:rPr>
              <w:t>股票型基金、高于债券型基金和货币市场</w:t>
            </w:r>
            <w:r>
              <w:rPr>
                <w:rFonts w:hAnsi="Times New Roman" w:hint="eastAsia"/>
                <w:color w:val="auto"/>
                <w:kern w:val="0"/>
                <w:sz w:val="23"/>
                <w:szCs w:val="23"/>
              </w:rPr>
              <w:t>基金</w:t>
            </w:r>
            <w:r>
              <w:rPr>
                <w:rFonts w:hAnsi="Times New Roman"/>
                <w:color w:val="auto"/>
                <w:kern w:val="0"/>
                <w:sz w:val="23"/>
                <w:szCs w:val="23"/>
              </w:rPr>
              <w:t>。</w:t>
            </w:r>
          </w:p>
        </w:tc>
      </w:tr>
    </w:tbl>
    <w:p w:rsidR="00C067CB" w:rsidRDefault="00C067CB" w:rsidP="00C067CB"/>
    <w:p w:rsidR="00C067CB" w:rsidRPr="00C067CB" w:rsidRDefault="00C067CB" w:rsidP="00C067CB"/>
    <w:p w:rsidR="00583F83" w:rsidRDefault="00E22DB5">
      <w:pPr>
        <w:pStyle w:val="1"/>
        <w:ind w:left="10" w:right="62"/>
      </w:pPr>
      <w:bookmarkStart w:id="3" w:name="_Toc12457"/>
      <w:r>
        <w:t>二、基金运作情况</w:t>
      </w:r>
      <w:bookmarkEnd w:id="3"/>
    </w:p>
    <w:p w:rsidR="0051230B" w:rsidRDefault="00175D28" w:rsidP="0051230B">
      <w:pPr>
        <w:spacing w:after="131" w:line="360" w:lineRule="auto"/>
        <w:ind w:left="-5" w:firstLineChars="200" w:firstLine="480"/>
        <w:rPr>
          <w:szCs w:val="24"/>
        </w:rPr>
      </w:pPr>
      <w:bookmarkStart w:id="4" w:name="_Toc12458"/>
      <w:r w:rsidRPr="00175D28">
        <w:rPr>
          <w:szCs w:val="24"/>
        </w:rPr>
        <w:t>本基金经中国证券监督管理委员会(以下简称“中国证监会”)证监许[2015]</w:t>
      </w:r>
      <w:r w:rsidR="00C9044D">
        <w:rPr>
          <w:szCs w:val="24"/>
        </w:rPr>
        <w:t>945</w:t>
      </w:r>
      <w:r w:rsidRPr="00175D28">
        <w:rPr>
          <w:szCs w:val="24"/>
        </w:rPr>
        <w:t>号</w:t>
      </w:r>
      <w:r w:rsidR="00C9044D" w:rsidRPr="00175D28">
        <w:rPr>
          <w:szCs w:val="24"/>
        </w:rPr>
        <w:t>《关于准予</w:t>
      </w:r>
      <w:r w:rsidR="00C9044D">
        <w:rPr>
          <w:rFonts w:hint="eastAsia"/>
          <w:szCs w:val="24"/>
        </w:rPr>
        <w:t>泰达宏利增利灵活配置</w:t>
      </w:r>
      <w:r w:rsidR="00C9044D">
        <w:rPr>
          <w:szCs w:val="24"/>
        </w:rPr>
        <w:t>定期开放</w:t>
      </w:r>
      <w:r w:rsidR="00C9044D">
        <w:rPr>
          <w:rFonts w:hint="eastAsia"/>
          <w:szCs w:val="24"/>
        </w:rPr>
        <w:t>混合</w:t>
      </w:r>
      <w:r w:rsidR="00C9044D" w:rsidRPr="00175D28">
        <w:rPr>
          <w:szCs w:val="24"/>
        </w:rPr>
        <w:t>型证券投资基金注册的批复》</w:t>
      </w:r>
      <w:r w:rsidRPr="00175D28">
        <w:rPr>
          <w:szCs w:val="24"/>
        </w:rPr>
        <w:t>注册</w:t>
      </w:r>
      <w:r w:rsidR="00C9044D">
        <w:rPr>
          <w:rFonts w:hint="eastAsia"/>
          <w:szCs w:val="24"/>
        </w:rPr>
        <w:t>，</w:t>
      </w:r>
      <w:r w:rsidRPr="00175D28">
        <w:rPr>
          <w:szCs w:val="24"/>
        </w:rPr>
        <w:t>由</w:t>
      </w:r>
      <w:r w:rsidR="00C9044D">
        <w:rPr>
          <w:rFonts w:hint="eastAsia"/>
          <w:szCs w:val="24"/>
        </w:rPr>
        <w:t>泰达宏利</w:t>
      </w:r>
      <w:r w:rsidRPr="00175D28">
        <w:rPr>
          <w:szCs w:val="24"/>
        </w:rPr>
        <w:t xml:space="preserve">基金管理有限公司于 </w:t>
      </w:r>
      <w:r w:rsidR="00C9044D" w:rsidRPr="00175D28">
        <w:rPr>
          <w:szCs w:val="24"/>
        </w:rPr>
        <w:t>201</w:t>
      </w:r>
      <w:r w:rsidR="00C9044D">
        <w:rPr>
          <w:szCs w:val="24"/>
        </w:rPr>
        <w:t>6</w:t>
      </w:r>
      <w:r w:rsidRPr="00175D28">
        <w:rPr>
          <w:szCs w:val="24"/>
        </w:rPr>
        <w:t>年</w:t>
      </w:r>
      <w:r w:rsidR="00C9044D">
        <w:rPr>
          <w:szCs w:val="24"/>
        </w:rPr>
        <w:t>5</w:t>
      </w:r>
      <w:r w:rsidRPr="00175D28">
        <w:rPr>
          <w:szCs w:val="24"/>
        </w:rPr>
        <w:t>月</w:t>
      </w:r>
      <w:r w:rsidR="00C9044D">
        <w:rPr>
          <w:rFonts w:hint="eastAsia"/>
          <w:szCs w:val="24"/>
        </w:rPr>
        <w:t>30</w:t>
      </w:r>
      <w:r w:rsidRPr="00175D28">
        <w:rPr>
          <w:szCs w:val="24"/>
        </w:rPr>
        <w:t>日至 2016 年</w:t>
      </w:r>
      <w:r w:rsidR="00C9044D">
        <w:rPr>
          <w:szCs w:val="24"/>
        </w:rPr>
        <w:t>6</w:t>
      </w:r>
      <w:r w:rsidRPr="00175D28">
        <w:rPr>
          <w:szCs w:val="24"/>
        </w:rPr>
        <w:t>月2</w:t>
      </w:r>
      <w:r w:rsidR="00C9044D">
        <w:rPr>
          <w:szCs w:val="24"/>
        </w:rPr>
        <w:t>7</w:t>
      </w:r>
      <w:r w:rsidRPr="00175D28">
        <w:rPr>
          <w:szCs w:val="24"/>
        </w:rPr>
        <w:t xml:space="preserve">日向社会公开发行募集，基金合同于 2016 年 </w:t>
      </w:r>
      <w:r w:rsidR="00C9044D">
        <w:rPr>
          <w:szCs w:val="24"/>
        </w:rPr>
        <w:t>6</w:t>
      </w:r>
      <w:r w:rsidRPr="00175D28">
        <w:rPr>
          <w:szCs w:val="24"/>
        </w:rPr>
        <w:t xml:space="preserve">月 </w:t>
      </w:r>
      <w:r w:rsidR="00C9044D">
        <w:rPr>
          <w:szCs w:val="24"/>
        </w:rPr>
        <w:t>30</w:t>
      </w:r>
      <w:r w:rsidRPr="00175D28">
        <w:rPr>
          <w:szCs w:val="24"/>
        </w:rPr>
        <w:t>日正式生效，</w:t>
      </w:r>
      <w:r w:rsidRPr="00D52848">
        <w:rPr>
          <w:szCs w:val="24"/>
        </w:rPr>
        <w:t>募集规模为</w:t>
      </w:r>
      <w:r w:rsidR="00AD385D" w:rsidRPr="00D52848">
        <w:rPr>
          <w:szCs w:val="24"/>
        </w:rPr>
        <w:t>364,476,184.13</w:t>
      </w:r>
      <w:r w:rsidRPr="00D52848">
        <w:rPr>
          <w:szCs w:val="24"/>
        </w:rPr>
        <w:t>份</w:t>
      </w:r>
      <w:r w:rsidRPr="00175D28">
        <w:rPr>
          <w:szCs w:val="24"/>
        </w:rPr>
        <w:t>基金份额。 自2016年</w:t>
      </w:r>
      <w:r w:rsidR="00C9044D">
        <w:rPr>
          <w:szCs w:val="24"/>
        </w:rPr>
        <w:t>6</w:t>
      </w:r>
      <w:r w:rsidRPr="00175D28">
        <w:rPr>
          <w:szCs w:val="24"/>
        </w:rPr>
        <w:t>月</w:t>
      </w:r>
      <w:r w:rsidR="00C9044D">
        <w:rPr>
          <w:szCs w:val="24"/>
        </w:rPr>
        <w:t>30</w:t>
      </w:r>
      <w:r w:rsidRPr="00175D28">
        <w:rPr>
          <w:szCs w:val="24"/>
        </w:rPr>
        <w:t>日至2017年</w:t>
      </w:r>
      <w:r w:rsidR="00C9044D">
        <w:rPr>
          <w:szCs w:val="24"/>
        </w:rPr>
        <w:t>12</w:t>
      </w:r>
      <w:r w:rsidRPr="00175D28">
        <w:rPr>
          <w:szCs w:val="24"/>
        </w:rPr>
        <w:t>月</w:t>
      </w:r>
      <w:r w:rsidR="00C9044D">
        <w:rPr>
          <w:szCs w:val="24"/>
        </w:rPr>
        <w:t>29</w:t>
      </w:r>
      <w:r w:rsidRPr="00175D28">
        <w:rPr>
          <w:szCs w:val="24"/>
        </w:rPr>
        <w:t>日期间，本基金按基金合同正常运作。根据《中华人民共和国证券投资基金法》、《公开募集证券投资基金运作管理办法》 和</w:t>
      </w:r>
      <w:r w:rsidR="00C9044D" w:rsidRPr="00175D28">
        <w:rPr>
          <w:szCs w:val="24"/>
        </w:rPr>
        <w:t>《</w:t>
      </w:r>
      <w:r w:rsidR="00C9044D">
        <w:rPr>
          <w:rFonts w:hint="eastAsia"/>
          <w:szCs w:val="24"/>
        </w:rPr>
        <w:t>泰达宏利增利灵活配置</w:t>
      </w:r>
      <w:r w:rsidR="00C9044D">
        <w:rPr>
          <w:szCs w:val="24"/>
        </w:rPr>
        <w:t>定期开放</w:t>
      </w:r>
      <w:r w:rsidR="00C9044D">
        <w:rPr>
          <w:rFonts w:hint="eastAsia"/>
          <w:szCs w:val="24"/>
        </w:rPr>
        <w:t>混合</w:t>
      </w:r>
      <w:r w:rsidR="00C9044D" w:rsidRPr="00175D28">
        <w:rPr>
          <w:szCs w:val="24"/>
        </w:rPr>
        <w:t>型证券投资基金基金合同》</w:t>
      </w:r>
      <w:r w:rsidRPr="00175D28">
        <w:rPr>
          <w:szCs w:val="24"/>
        </w:rPr>
        <w:t>等有关规定，</w:t>
      </w:r>
      <w:r w:rsidR="00C9044D" w:rsidRPr="00FA5295">
        <w:rPr>
          <w:rFonts w:asciiTheme="minorEastAsia" w:hAnsiTheme="minorEastAsia" w:hint="eastAsia"/>
        </w:rPr>
        <w:t>自基金合同生效日起，出现如下情形之一的，基金合同应当终止并根据基金合同第十九部分的约定进行基金财产清算，而无需召开基金份额持有人大会：</w:t>
      </w:r>
      <w:r w:rsidR="00C9044D" w:rsidRPr="001F6B50">
        <w:rPr>
          <w:rFonts w:asciiTheme="minorEastAsia" w:hAnsiTheme="minorEastAsia" w:cs="Times New Roman" w:hint="eastAsia"/>
          <w:szCs w:val="24"/>
        </w:rPr>
        <w:t>1</w:t>
      </w:r>
      <w:r w:rsidR="00C9044D" w:rsidRPr="001F6B50">
        <w:rPr>
          <w:rFonts w:asciiTheme="minorEastAsia" w:hAnsiTheme="minorEastAsia" w:cs="Times New Roman" w:hint="eastAsia"/>
          <w:szCs w:val="24"/>
        </w:rPr>
        <w:t>、本基金任一封闭期内连续</w:t>
      </w:r>
      <w:r w:rsidR="00C9044D" w:rsidRPr="001F6B50">
        <w:rPr>
          <w:rFonts w:asciiTheme="minorEastAsia" w:hAnsiTheme="minorEastAsia" w:cs="Times New Roman" w:hint="eastAsia"/>
          <w:szCs w:val="24"/>
        </w:rPr>
        <w:t>60</w:t>
      </w:r>
      <w:r w:rsidR="00C9044D" w:rsidRPr="001F6B50">
        <w:rPr>
          <w:rFonts w:asciiTheme="minorEastAsia" w:hAnsiTheme="minorEastAsia" w:cs="Times New Roman" w:hint="eastAsia"/>
          <w:szCs w:val="24"/>
        </w:rPr>
        <w:t>个工作日，基金资产净值低于</w:t>
      </w:r>
      <w:r w:rsidR="00C9044D" w:rsidRPr="001F6B50">
        <w:rPr>
          <w:rFonts w:asciiTheme="minorEastAsia" w:hAnsiTheme="minorEastAsia" w:cs="Times New Roman" w:hint="eastAsia"/>
          <w:szCs w:val="24"/>
        </w:rPr>
        <w:t>5000</w:t>
      </w:r>
      <w:r w:rsidR="00C9044D" w:rsidRPr="001F6B50">
        <w:rPr>
          <w:rFonts w:asciiTheme="minorEastAsia" w:hAnsiTheme="minorEastAsia" w:cs="Times New Roman" w:hint="eastAsia"/>
          <w:szCs w:val="24"/>
        </w:rPr>
        <w:t>万元；</w:t>
      </w:r>
      <w:r w:rsidR="00C9044D" w:rsidRPr="001F6B50">
        <w:rPr>
          <w:rFonts w:asciiTheme="minorEastAsia" w:hAnsiTheme="minorEastAsia" w:cs="Times New Roman" w:hint="eastAsia"/>
          <w:szCs w:val="24"/>
        </w:rPr>
        <w:t>2</w:t>
      </w:r>
      <w:r w:rsidR="00C9044D" w:rsidRPr="001F6B50">
        <w:rPr>
          <w:rFonts w:asciiTheme="minorEastAsia" w:hAnsiTheme="minorEastAsia" w:cs="Times New Roman" w:hint="eastAsia"/>
          <w:szCs w:val="24"/>
        </w:rPr>
        <w:t>、本基金任一开放期最后一日日终，基金资产净值低于</w:t>
      </w:r>
      <w:r w:rsidR="00C9044D" w:rsidRPr="001F6B50">
        <w:rPr>
          <w:rFonts w:asciiTheme="minorEastAsia" w:hAnsiTheme="minorEastAsia" w:cs="Times New Roman" w:hint="eastAsia"/>
          <w:szCs w:val="24"/>
        </w:rPr>
        <w:t>2</w:t>
      </w:r>
      <w:r w:rsidR="00C9044D" w:rsidRPr="001F6B50">
        <w:rPr>
          <w:rFonts w:asciiTheme="minorEastAsia" w:hAnsiTheme="minorEastAsia" w:cs="Times New Roman" w:hint="eastAsia"/>
          <w:szCs w:val="24"/>
        </w:rPr>
        <w:t>亿元；</w:t>
      </w:r>
      <w:r w:rsidR="00C9044D" w:rsidRPr="001F6B50">
        <w:rPr>
          <w:rFonts w:asciiTheme="minorEastAsia" w:hAnsiTheme="minorEastAsia" w:cs="Times New Roman" w:hint="eastAsia"/>
          <w:szCs w:val="24"/>
        </w:rPr>
        <w:t>3</w:t>
      </w:r>
      <w:r w:rsidR="00C9044D" w:rsidRPr="001F6B50">
        <w:rPr>
          <w:rFonts w:asciiTheme="minorEastAsia" w:hAnsiTheme="minorEastAsia" w:cs="Times New Roman" w:hint="eastAsia"/>
          <w:szCs w:val="24"/>
        </w:rPr>
        <w:t>、本基金任一开放期最后一日日终，有效申请确认后基金份额持有人数量少于</w:t>
      </w:r>
      <w:r w:rsidR="00C9044D" w:rsidRPr="001F6B50">
        <w:rPr>
          <w:rFonts w:asciiTheme="minorEastAsia" w:hAnsiTheme="minorEastAsia" w:cs="Times New Roman" w:hint="eastAsia"/>
          <w:szCs w:val="24"/>
        </w:rPr>
        <w:t>200</w:t>
      </w:r>
      <w:r w:rsidR="00C9044D" w:rsidRPr="001F6B50">
        <w:rPr>
          <w:rFonts w:asciiTheme="minorEastAsia" w:hAnsiTheme="minorEastAsia" w:cs="Times New Roman" w:hint="eastAsia"/>
          <w:szCs w:val="24"/>
        </w:rPr>
        <w:t>人</w:t>
      </w:r>
      <w:r w:rsidRPr="00175D28">
        <w:rPr>
          <w:szCs w:val="24"/>
        </w:rPr>
        <w:t>。本基金的最近的一个开放期为2017年</w:t>
      </w:r>
      <w:r w:rsidR="00C9044D">
        <w:rPr>
          <w:szCs w:val="24"/>
        </w:rPr>
        <w:t>12</w:t>
      </w:r>
      <w:r w:rsidRPr="00175D28">
        <w:rPr>
          <w:szCs w:val="24"/>
        </w:rPr>
        <w:t>月</w:t>
      </w:r>
      <w:r w:rsidR="00C9044D">
        <w:rPr>
          <w:rFonts w:hint="eastAsia"/>
          <w:szCs w:val="24"/>
        </w:rPr>
        <w:t>2</w:t>
      </w:r>
      <w:r w:rsidR="00C9044D">
        <w:rPr>
          <w:szCs w:val="24"/>
        </w:rPr>
        <w:t>5</w:t>
      </w:r>
      <w:r w:rsidR="00C9044D">
        <w:rPr>
          <w:rFonts w:hint="eastAsia"/>
          <w:szCs w:val="24"/>
        </w:rPr>
        <w:t>日</w:t>
      </w:r>
      <w:r w:rsidR="00C9044D">
        <w:rPr>
          <w:szCs w:val="24"/>
        </w:rPr>
        <w:t>至</w:t>
      </w:r>
      <w:r w:rsidR="00C9044D">
        <w:rPr>
          <w:rFonts w:hint="eastAsia"/>
          <w:szCs w:val="24"/>
        </w:rPr>
        <w:t>2017年12月2</w:t>
      </w:r>
      <w:r w:rsidRPr="00175D28">
        <w:rPr>
          <w:szCs w:val="24"/>
        </w:rPr>
        <w:t>9日，</w:t>
      </w:r>
      <w:r w:rsidR="00C9044D">
        <w:rPr>
          <w:rFonts w:hint="eastAsia"/>
          <w:szCs w:val="24"/>
        </w:rPr>
        <w:t>截至</w:t>
      </w:r>
      <w:r w:rsidR="00C9044D">
        <w:rPr>
          <w:szCs w:val="24"/>
        </w:rPr>
        <w:t>开放期最后一日日终</w:t>
      </w:r>
      <w:r w:rsidR="00C9044D">
        <w:rPr>
          <w:rFonts w:hint="eastAsia"/>
          <w:szCs w:val="24"/>
        </w:rPr>
        <w:t>泰达宏利增利灵活配置</w:t>
      </w:r>
      <w:r w:rsidRPr="00175D28">
        <w:rPr>
          <w:szCs w:val="24"/>
        </w:rPr>
        <w:t>定期开放</w:t>
      </w:r>
      <w:r w:rsidR="00C9044D">
        <w:rPr>
          <w:rFonts w:hint="eastAsia"/>
          <w:szCs w:val="24"/>
        </w:rPr>
        <w:t>混合</w:t>
      </w:r>
      <w:r w:rsidRPr="00175D28">
        <w:rPr>
          <w:szCs w:val="24"/>
        </w:rPr>
        <w:t>型证券投资基金的资产净值</w:t>
      </w:r>
      <w:r w:rsidRPr="00D52848">
        <w:rPr>
          <w:szCs w:val="24"/>
        </w:rPr>
        <w:t>为</w:t>
      </w:r>
      <w:r w:rsidR="00AD385D" w:rsidRPr="00D52848">
        <w:rPr>
          <w:szCs w:val="24"/>
        </w:rPr>
        <w:t>78,515,880.60</w:t>
      </w:r>
      <w:r w:rsidRPr="00D52848">
        <w:rPr>
          <w:szCs w:val="24"/>
        </w:rPr>
        <w:t>元</w:t>
      </w:r>
      <w:r w:rsidRPr="00175D28">
        <w:rPr>
          <w:szCs w:val="24"/>
        </w:rPr>
        <w:t>，低于2亿元</w:t>
      </w:r>
      <w:r w:rsidR="0051230B">
        <w:rPr>
          <w:rFonts w:hint="eastAsia"/>
          <w:szCs w:val="24"/>
        </w:rPr>
        <w:t>。</w:t>
      </w:r>
    </w:p>
    <w:p w:rsidR="00081CD4" w:rsidRDefault="008F5F32" w:rsidP="0051230B">
      <w:pPr>
        <w:spacing w:after="131" w:line="360" w:lineRule="auto"/>
        <w:ind w:left="-5" w:firstLineChars="200" w:firstLine="480"/>
      </w:pPr>
      <w:r>
        <w:rPr>
          <w:rFonts w:hint="eastAsia"/>
        </w:rPr>
        <w:t>为</w:t>
      </w:r>
      <w:r w:rsidR="0051230B">
        <w:rPr>
          <w:rFonts w:hint="eastAsia"/>
        </w:rPr>
        <w:t>更好</w:t>
      </w:r>
      <w:r>
        <w:rPr>
          <w:rFonts w:hint="eastAsia"/>
        </w:rPr>
        <w:t>维护基金份额持有人的利益，按照</w:t>
      </w:r>
      <w:r w:rsidRPr="002A0899">
        <w:rPr>
          <w:rFonts w:hint="eastAsia"/>
          <w:szCs w:val="24"/>
        </w:rPr>
        <w:t>《中华人民共和国证券投资基金法》、《公开募集证券投资基金运作管理办法》和《泰达宏利</w:t>
      </w:r>
      <w:r w:rsidR="005363C0">
        <w:rPr>
          <w:rFonts w:hint="eastAsia"/>
          <w:szCs w:val="24"/>
        </w:rPr>
        <w:t>增利灵活配置定期开放</w:t>
      </w:r>
      <w:r w:rsidR="00FC7095">
        <w:rPr>
          <w:rFonts w:hint="eastAsia"/>
          <w:szCs w:val="24"/>
        </w:rPr>
        <w:t>混合</w:t>
      </w:r>
      <w:r w:rsidRPr="002A0899">
        <w:rPr>
          <w:szCs w:val="24"/>
        </w:rPr>
        <w:t>型</w:t>
      </w:r>
      <w:r>
        <w:rPr>
          <w:rFonts w:hint="eastAsia"/>
          <w:szCs w:val="24"/>
        </w:rPr>
        <w:t>证券投资基金基金合同》</w:t>
      </w:r>
      <w:r w:rsidRPr="00BB27AF">
        <w:rPr>
          <w:rFonts w:hint="eastAsia"/>
        </w:rPr>
        <w:t>的有关规定</w:t>
      </w:r>
      <w:r w:rsidRPr="00BB27AF">
        <w:t>终止</w:t>
      </w:r>
      <w:r>
        <w:rPr>
          <w:rFonts w:hint="eastAsia"/>
        </w:rPr>
        <w:t>本基金</w:t>
      </w:r>
      <w:r w:rsidRPr="00BB27AF">
        <w:rPr>
          <w:rFonts w:hint="eastAsia"/>
        </w:rPr>
        <w:t>《</w:t>
      </w:r>
      <w:r w:rsidRPr="00BB27AF">
        <w:t>基金合同</w:t>
      </w:r>
      <w:r w:rsidRPr="00BB27AF">
        <w:rPr>
          <w:rFonts w:hint="eastAsia"/>
        </w:rPr>
        <w:t>》并</w:t>
      </w:r>
      <w:r w:rsidRPr="00BB27AF">
        <w:t>进行基金财产清算，无需召开基金份额持有人大会</w:t>
      </w:r>
      <w:r w:rsidRPr="00BB27AF">
        <w:rPr>
          <w:rFonts w:hint="eastAsia"/>
        </w:rPr>
        <w:t>。</w:t>
      </w:r>
      <w:r>
        <w:rPr>
          <w:rFonts w:hint="eastAsia"/>
        </w:rPr>
        <w:t>本基金自2017年</w:t>
      </w:r>
      <w:r w:rsidR="0051230B">
        <w:rPr>
          <w:rFonts w:hint="eastAsia"/>
        </w:rPr>
        <w:t>1</w:t>
      </w:r>
      <w:r w:rsidR="0051230B">
        <w:t>2</w:t>
      </w:r>
      <w:r>
        <w:rPr>
          <w:rFonts w:hint="eastAsia"/>
        </w:rPr>
        <w:t>月</w:t>
      </w:r>
      <w:r w:rsidR="0051230B">
        <w:t>30</w:t>
      </w:r>
      <w:r>
        <w:rPr>
          <w:rFonts w:hint="eastAsia"/>
        </w:rPr>
        <w:t>日起进入清算期。</w:t>
      </w:r>
    </w:p>
    <w:p w:rsidR="00081CD4" w:rsidRDefault="00081CD4" w:rsidP="00081CD4">
      <w:pPr>
        <w:spacing w:after="131"/>
        <w:ind w:left="-5"/>
      </w:pPr>
    </w:p>
    <w:p w:rsidR="00583F83" w:rsidRDefault="00E22DB5">
      <w:pPr>
        <w:pStyle w:val="1"/>
        <w:spacing w:after="435"/>
        <w:ind w:left="10" w:right="62"/>
      </w:pPr>
      <w:r>
        <w:t>三、财务会计报告</w:t>
      </w:r>
      <w:bookmarkEnd w:id="4"/>
    </w:p>
    <w:p w:rsidR="00583F83" w:rsidRDefault="00E22DB5">
      <w:pPr>
        <w:spacing w:after="131"/>
        <w:ind w:left="-5"/>
      </w:pPr>
      <w:r>
        <w:t xml:space="preserve">（一）基金最后运作日资产负债表（已经审计） </w:t>
      </w:r>
    </w:p>
    <w:p w:rsidR="003756AC" w:rsidRDefault="00E22DB5" w:rsidP="003756AC">
      <w:pPr>
        <w:ind w:right="945"/>
      </w:pPr>
      <w:r>
        <w:t>会计主体：</w:t>
      </w:r>
      <w:r w:rsidR="00C067CB">
        <w:rPr>
          <w:rFonts w:hint="eastAsia"/>
        </w:rPr>
        <w:t>泰达宏利</w:t>
      </w:r>
      <w:r w:rsidR="005363C0">
        <w:rPr>
          <w:rFonts w:hint="eastAsia"/>
        </w:rPr>
        <w:t>增利灵活配置定期开放</w:t>
      </w:r>
      <w:r w:rsidR="00FC7095">
        <w:rPr>
          <w:rFonts w:hint="eastAsia"/>
        </w:rPr>
        <w:t>混合</w:t>
      </w:r>
      <w:r w:rsidR="00C067CB">
        <w:t>型</w:t>
      </w:r>
      <w:r>
        <w:t>证券投资</w:t>
      </w:r>
      <w:r w:rsidR="003756AC">
        <w:rPr>
          <w:rFonts w:hint="eastAsia"/>
        </w:rPr>
        <w:t>基金</w:t>
      </w:r>
    </w:p>
    <w:p w:rsidR="00C067CB" w:rsidRDefault="00E22DB5" w:rsidP="003756AC">
      <w:pPr>
        <w:ind w:right="945"/>
      </w:pPr>
      <w:r>
        <w:t>报告截止日：</w:t>
      </w:r>
      <w:r w:rsidR="009638E0">
        <w:rPr>
          <w:rFonts w:asciiTheme="minorEastAsia" w:eastAsiaTheme="minorEastAsia" w:hAnsiTheme="minorEastAsia" w:cs="Times New Roman" w:hint="eastAsia"/>
        </w:rPr>
        <w:t>2017</w:t>
      </w:r>
      <w:r>
        <w:t>年</w:t>
      </w:r>
      <w:r w:rsidR="00AD385D">
        <w:rPr>
          <w:rFonts w:asciiTheme="minorEastAsia" w:eastAsiaTheme="minorEastAsia" w:hAnsiTheme="minorEastAsia" w:cs="Times New Roman"/>
        </w:rPr>
        <w:t>12</w:t>
      </w:r>
      <w:r>
        <w:t>月</w:t>
      </w:r>
      <w:r w:rsidR="00AD385D">
        <w:rPr>
          <w:rFonts w:asciiTheme="minorEastAsia" w:eastAsiaTheme="minorEastAsia" w:hAnsiTheme="minorEastAsia" w:cs="Times New Roman"/>
        </w:rPr>
        <w:t>29</w:t>
      </w:r>
      <w:r>
        <w:t>日</w:t>
      </w:r>
    </w:p>
    <w:p w:rsidR="00583F83" w:rsidRDefault="00E22DB5" w:rsidP="003756AC">
      <w:pPr>
        <w:ind w:right="205"/>
        <w:jc w:val="right"/>
      </w:pPr>
      <w:r>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583F83">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583F83" w:rsidRDefault="00583F83">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6D0F9A" w:rsidRPr="006D0F9A" w:rsidRDefault="00E22DB5" w:rsidP="006D0F9A">
            <w:pPr>
              <w:pStyle w:val="a3"/>
              <w:spacing w:before="0" w:beforeAutospacing="0" w:after="0" w:afterAutospacing="0"/>
              <w:ind w:left="-110" w:right="23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最后运作日</w:t>
            </w:r>
          </w:p>
          <w:p w:rsidR="00583F83" w:rsidRPr="006D0F9A" w:rsidRDefault="00C067CB" w:rsidP="006D0F9A">
            <w:pPr>
              <w:pStyle w:val="a3"/>
              <w:spacing w:before="0" w:beforeAutospacing="0" w:after="0" w:afterAutospacing="0"/>
              <w:ind w:left="-110" w:right="2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2017</w:t>
            </w:r>
            <w:r w:rsidR="00E22DB5" w:rsidRPr="006D0F9A">
              <w:rPr>
                <w:rFonts w:ascii="Times New Roman" w:eastAsia="宋体" w:hAnsi="Times New Roman" w:cs="Times New Roman"/>
                <w:sz w:val="21"/>
                <w:szCs w:val="21"/>
                <w:lang w:eastAsia="zh-CN"/>
              </w:rPr>
              <w:t>年</w:t>
            </w:r>
            <w:r w:rsidR="00AD385D">
              <w:rPr>
                <w:rFonts w:ascii="Times New Roman" w:eastAsia="宋体" w:hAnsi="Times New Roman" w:cs="Times New Roman"/>
                <w:sz w:val="21"/>
                <w:szCs w:val="21"/>
                <w:lang w:eastAsia="zh-CN"/>
              </w:rPr>
              <w:t>12</w:t>
            </w:r>
            <w:r w:rsidR="00E22DB5" w:rsidRPr="006D0F9A">
              <w:rPr>
                <w:rFonts w:ascii="Times New Roman" w:eastAsia="宋体" w:hAnsi="Times New Roman" w:cs="Times New Roman"/>
                <w:sz w:val="21"/>
                <w:szCs w:val="21"/>
                <w:lang w:eastAsia="zh-CN"/>
              </w:rPr>
              <w:t>月</w:t>
            </w:r>
            <w:r w:rsidR="00AD385D">
              <w:rPr>
                <w:rFonts w:ascii="Times New Roman" w:eastAsia="宋体" w:hAnsi="Times New Roman" w:cs="Times New Roman"/>
                <w:sz w:val="21"/>
                <w:szCs w:val="21"/>
                <w:lang w:eastAsia="zh-CN"/>
              </w:rPr>
              <w:t>29</w:t>
            </w:r>
            <w:r w:rsidR="00E22DB5" w:rsidRPr="006D0F9A">
              <w:rPr>
                <w:rFonts w:ascii="Times New Roman" w:eastAsia="宋体" w:hAnsi="Times New Roman" w:cs="Times New Roman"/>
                <w:sz w:val="21"/>
                <w:szCs w:val="21"/>
                <w:lang w:eastAsia="zh-CN"/>
              </w:rPr>
              <w:t>日</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银行存款</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FF0678" w:rsidP="009638E0">
            <w:pPr>
              <w:jc w:val="right"/>
              <w:rPr>
                <w:sz w:val="22"/>
              </w:rPr>
            </w:pPr>
            <w:r w:rsidRPr="00FF0678">
              <w:rPr>
                <w:sz w:val="22"/>
              </w:rPr>
              <w:t>12</w:t>
            </w:r>
            <w:r>
              <w:rPr>
                <w:sz w:val="22"/>
              </w:rPr>
              <w:t>,</w:t>
            </w:r>
            <w:r w:rsidRPr="00FF0678">
              <w:rPr>
                <w:sz w:val="22"/>
              </w:rPr>
              <w:t>840</w:t>
            </w:r>
            <w:r>
              <w:rPr>
                <w:sz w:val="22"/>
              </w:rPr>
              <w:t>,</w:t>
            </w:r>
            <w:r w:rsidRPr="00FF0678">
              <w:rPr>
                <w:sz w:val="22"/>
              </w:rPr>
              <w:t>061.85</w:t>
            </w:r>
          </w:p>
        </w:tc>
      </w:tr>
      <w:tr w:rsidR="00FF0678">
        <w:trPr>
          <w:trHeight w:val="295"/>
        </w:trPr>
        <w:tc>
          <w:tcPr>
            <w:tcW w:w="5244" w:type="dxa"/>
            <w:tcBorders>
              <w:top w:val="single" w:sz="4" w:space="0" w:color="000000"/>
              <w:left w:val="single" w:sz="4" w:space="0" w:color="000000"/>
              <w:bottom w:val="single" w:sz="4" w:space="0" w:color="000000"/>
              <w:right w:val="single" w:sz="4" w:space="0" w:color="000000"/>
            </w:tcBorders>
          </w:tcPr>
          <w:p w:rsidR="00FF0678" w:rsidRDefault="00FF0678">
            <w:pPr>
              <w:spacing w:after="0"/>
              <w:ind w:left="0" w:firstLine="0"/>
              <w:rPr>
                <w:sz w:val="22"/>
              </w:rPr>
            </w:pPr>
            <w:r>
              <w:rPr>
                <w:rFonts w:hint="eastAsia"/>
                <w:sz w:val="22"/>
              </w:rPr>
              <w:t>结算</w:t>
            </w:r>
            <w:r>
              <w:rPr>
                <w:sz w:val="22"/>
              </w:rPr>
              <w:t>备付金</w:t>
            </w:r>
          </w:p>
        </w:tc>
        <w:tc>
          <w:tcPr>
            <w:tcW w:w="3828" w:type="dxa"/>
            <w:tcBorders>
              <w:top w:val="single" w:sz="4" w:space="0" w:color="000000"/>
              <w:left w:val="single" w:sz="4" w:space="0" w:color="000000"/>
              <w:bottom w:val="single" w:sz="4" w:space="0" w:color="000000"/>
              <w:right w:val="single" w:sz="4" w:space="0" w:color="000000"/>
            </w:tcBorders>
          </w:tcPr>
          <w:p w:rsidR="00FF0678" w:rsidRDefault="00FF0678" w:rsidP="00FF0678">
            <w:pPr>
              <w:jc w:val="right"/>
              <w:rPr>
                <w:sz w:val="22"/>
              </w:rPr>
            </w:pPr>
            <w:r w:rsidRPr="00FF0678">
              <w:rPr>
                <w:rFonts w:hint="eastAsia"/>
                <w:sz w:val="22"/>
              </w:rPr>
              <w:t>848,261.31</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存出保证金</w:t>
            </w:r>
          </w:p>
        </w:tc>
        <w:tc>
          <w:tcPr>
            <w:tcW w:w="3828" w:type="dxa"/>
            <w:tcBorders>
              <w:top w:val="single" w:sz="4" w:space="0" w:color="000000"/>
              <w:left w:val="single" w:sz="4" w:space="0" w:color="000000"/>
              <w:bottom w:val="single" w:sz="4" w:space="0" w:color="000000"/>
              <w:right w:val="single" w:sz="4" w:space="0" w:color="000000"/>
            </w:tcBorders>
          </w:tcPr>
          <w:p w:rsidR="00583F83" w:rsidRPr="00FF0678" w:rsidRDefault="00FF0678" w:rsidP="00FF0678">
            <w:pPr>
              <w:jc w:val="right"/>
              <w:rPr>
                <w:sz w:val="22"/>
              </w:rPr>
            </w:pPr>
            <w:r w:rsidRPr="00FF0678">
              <w:rPr>
                <w:rFonts w:hint="eastAsia"/>
                <w:sz w:val="22"/>
              </w:rPr>
              <w:t>31,962.58</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tcPr>
          <w:p w:rsidR="00583F83" w:rsidRPr="00FF0678" w:rsidRDefault="00FF0678" w:rsidP="00FF0678">
            <w:pPr>
              <w:jc w:val="right"/>
              <w:rPr>
                <w:sz w:val="22"/>
              </w:rPr>
            </w:pPr>
            <w:r w:rsidRPr="00FF0678">
              <w:rPr>
                <w:rFonts w:hint="eastAsia"/>
                <w:sz w:val="22"/>
              </w:rPr>
              <w:t>75,808,950.21</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应收利息</w:t>
            </w:r>
          </w:p>
        </w:tc>
        <w:tc>
          <w:tcPr>
            <w:tcW w:w="3828" w:type="dxa"/>
            <w:tcBorders>
              <w:top w:val="single" w:sz="4" w:space="0" w:color="000000"/>
              <w:left w:val="single" w:sz="4" w:space="0" w:color="000000"/>
              <w:bottom w:val="single" w:sz="4" w:space="0" w:color="000000"/>
              <w:right w:val="single" w:sz="4" w:space="0" w:color="000000"/>
            </w:tcBorders>
          </w:tcPr>
          <w:p w:rsidR="00583F83" w:rsidRPr="00FF0678" w:rsidRDefault="00FF0678" w:rsidP="00FF0678">
            <w:pPr>
              <w:spacing w:after="0" w:line="240" w:lineRule="auto"/>
              <w:ind w:left="0" w:firstLine="0"/>
              <w:jc w:val="right"/>
              <w:rPr>
                <w:sz w:val="22"/>
              </w:rPr>
            </w:pPr>
            <w:r w:rsidRPr="00FF0678">
              <w:rPr>
                <w:rFonts w:hint="eastAsia"/>
                <w:sz w:val="22"/>
              </w:rPr>
              <w:t>9,746.8</w:t>
            </w:r>
            <w:r>
              <w:rPr>
                <w:sz w:val="22"/>
              </w:rPr>
              <w:t>3</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583F83" w:rsidRPr="00FF0678" w:rsidRDefault="00FF0678" w:rsidP="00FF0678">
            <w:pPr>
              <w:jc w:val="right"/>
              <w:rPr>
                <w:sz w:val="22"/>
              </w:rPr>
            </w:pPr>
            <w:r w:rsidRPr="00FF0678">
              <w:rPr>
                <w:rFonts w:hint="eastAsia"/>
                <w:sz w:val="22"/>
              </w:rPr>
              <w:t>89,538,982.78</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9638E0">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Default="009638E0" w:rsidP="009638E0">
            <w:pPr>
              <w:rPr>
                <w:sz w:val="22"/>
              </w:rPr>
            </w:pPr>
            <w:r>
              <w:rPr>
                <w:rFonts w:hint="eastAsia"/>
                <w:sz w:val="22"/>
              </w:rPr>
              <w:t>应付赎回款</w:t>
            </w:r>
          </w:p>
        </w:tc>
        <w:tc>
          <w:tcPr>
            <w:tcW w:w="3828" w:type="dxa"/>
            <w:tcBorders>
              <w:top w:val="single" w:sz="4" w:space="0" w:color="000000"/>
              <w:left w:val="single" w:sz="4" w:space="0" w:color="000000"/>
              <w:bottom w:val="single" w:sz="4" w:space="0" w:color="000000"/>
              <w:right w:val="single" w:sz="4" w:space="0" w:color="000000"/>
            </w:tcBorders>
          </w:tcPr>
          <w:p w:rsidR="009638E0" w:rsidRPr="005F46F3" w:rsidRDefault="005F46F3" w:rsidP="005F46F3">
            <w:pPr>
              <w:jc w:val="right"/>
              <w:rPr>
                <w:sz w:val="22"/>
              </w:rPr>
            </w:pPr>
            <w:r w:rsidRPr="005F46F3">
              <w:rPr>
                <w:rFonts w:hint="eastAsia"/>
                <w:sz w:val="22"/>
              </w:rPr>
              <w:t xml:space="preserve">   9,983,308.58</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tcPr>
          <w:p w:rsidR="00583F83" w:rsidRPr="005F46F3" w:rsidRDefault="005F46F3" w:rsidP="005F46F3">
            <w:pPr>
              <w:jc w:val="right"/>
              <w:rPr>
                <w:sz w:val="22"/>
              </w:rPr>
            </w:pPr>
            <w:r w:rsidRPr="005F46F3">
              <w:rPr>
                <w:rFonts w:hint="eastAsia"/>
                <w:sz w:val="22"/>
              </w:rPr>
              <w:t>384,236.38</w:t>
            </w:r>
          </w:p>
        </w:tc>
      </w:tr>
      <w:tr w:rsidR="00583F83" w:rsidRPr="00C039F9">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tcPr>
          <w:p w:rsidR="00583F83" w:rsidRPr="00C039F9" w:rsidRDefault="00C039F9" w:rsidP="00C039F9">
            <w:pPr>
              <w:jc w:val="right"/>
              <w:rPr>
                <w:sz w:val="22"/>
              </w:rPr>
            </w:pPr>
            <w:r w:rsidRPr="00C039F9">
              <w:rPr>
                <w:rFonts w:hint="eastAsia"/>
                <w:sz w:val="22"/>
              </w:rPr>
              <w:t>64,039.38</w:t>
            </w:r>
          </w:p>
        </w:tc>
      </w:tr>
      <w:tr w:rsidR="009638E0" w:rsidRPr="00C039F9">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Default="009638E0" w:rsidP="009638E0">
            <w:pPr>
              <w:rPr>
                <w:sz w:val="22"/>
              </w:rPr>
            </w:pPr>
            <w:r>
              <w:rPr>
                <w:rFonts w:hint="eastAsia"/>
                <w:sz w:val="22"/>
              </w:rPr>
              <w:t>应付</w:t>
            </w:r>
            <w:r w:rsidR="00C039F9">
              <w:rPr>
                <w:rFonts w:hint="eastAsia"/>
                <w:sz w:val="22"/>
              </w:rPr>
              <w:t>交易</w:t>
            </w:r>
            <w:r w:rsidR="00C039F9">
              <w:rPr>
                <w:sz w:val="22"/>
              </w:rPr>
              <w:t>费用</w:t>
            </w:r>
          </w:p>
        </w:tc>
        <w:tc>
          <w:tcPr>
            <w:tcW w:w="3828" w:type="dxa"/>
            <w:tcBorders>
              <w:top w:val="single" w:sz="4" w:space="0" w:color="000000"/>
              <w:left w:val="single" w:sz="4" w:space="0" w:color="000000"/>
              <w:bottom w:val="single" w:sz="4" w:space="0" w:color="000000"/>
              <w:right w:val="single" w:sz="4" w:space="0" w:color="000000"/>
            </w:tcBorders>
          </w:tcPr>
          <w:p w:rsidR="009638E0" w:rsidRPr="00C039F9" w:rsidRDefault="00C039F9" w:rsidP="00C039F9">
            <w:pPr>
              <w:jc w:val="right"/>
              <w:rPr>
                <w:sz w:val="22"/>
              </w:rPr>
            </w:pPr>
            <w:r w:rsidRPr="00C039F9">
              <w:rPr>
                <w:rFonts w:hint="eastAsia"/>
                <w:sz w:val="22"/>
              </w:rPr>
              <w:t>233,494.57</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其他负债</w:t>
            </w:r>
          </w:p>
        </w:tc>
        <w:tc>
          <w:tcPr>
            <w:tcW w:w="3828" w:type="dxa"/>
            <w:tcBorders>
              <w:top w:val="single" w:sz="4" w:space="0" w:color="000000"/>
              <w:left w:val="single" w:sz="4" w:space="0" w:color="000000"/>
              <w:bottom w:val="single" w:sz="4" w:space="0" w:color="000000"/>
              <w:right w:val="single" w:sz="4" w:space="0" w:color="000000"/>
            </w:tcBorders>
          </w:tcPr>
          <w:p w:rsidR="00583F83" w:rsidRPr="00C039F9" w:rsidRDefault="00C039F9" w:rsidP="00C039F9">
            <w:pPr>
              <w:jc w:val="right"/>
              <w:rPr>
                <w:sz w:val="22"/>
              </w:rPr>
            </w:pPr>
            <w:r w:rsidRPr="00C039F9">
              <w:rPr>
                <w:rFonts w:hint="eastAsia"/>
                <w:sz w:val="22"/>
              </w:rPr>
              <w:t>358,023.27</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负债合计</w:t>
            </w:r>
          </w:p>
        </w:tc>
        <w:tc>
          <w:tcPr>
            <w:tcW w:w="3828" w:type="dxa"/>
            <w:tcBorders>
              <w:top w:val="single" w:sz="4" w:space="0" w:color="000000"/>
              <w:left w:val="single" w:sz="4" w:space="0" w:color="000000"/>
              <w:bottom w:val="single" w:sz="4" w:space="0" w:color="000000"/>
              <w:right w:val="single" w:sz="4" w:space="0" w:color="000000"/>
            </w:tcBorders>
          </w:tcPr>
          <w:p w:rsidR="00583F83" w:rsidRPr="00C039F9" w:rsidRDefault="00C039F9" w:rsidP="00C039F9">
            <w:pPr>
              <w:jc w:val="right"/>
              <w:rPr>
                <w:sz w:val="22"/>
              </w:rPr>
            </w:pPr>
            <w:r w:rsidRPr="00C039F9">
              <w:rPr>
                <w:rFonts w:hint="eastAsia"/>
                <w:sz w:val="22"/>
              </w:rPr>
              <w:t>11,023,102.18</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实收基金</w:t>
            </w:r>
          </w:p>
        </w:tc>
        <w:tc>
          <w:tcPr>
            <w:tcW w:w="3828" w:type="dxa"/>
            <w:tcBorders>
              <w:top w:val="single" w:sz="4" w:space="0" w:color="000000"/>
              <w:left w:val="single" w:sz="4" w:space="0" w:color="000000"/>
              <w:bottom w:val="single" w:sz="4" w:space="0" w:color="000000"/>
              <w:right w:val="single" w:sz="4" w:space="0" w:color="000000"/>
            </w:tcBorders>
          </w:tcPr>
          <w:p w:rsidR="00583F83" w:rsidRPr="00C039F9" w:rsidRDefault="00C039F9" w:rsidP="00C039F9">
            <w:pPr>
              <w:jc w:val="right"/>
              <w:rPr>
                <w:sz w:val="22"/>
              </w:rPr>
            </w:pPr>
            <w:r w:rsidRPr="00C039F9">
              <w:rPr>
                <w:rFonts w:hint="eastAsia"/>
                <w:sz w:val="22"/>
              </w:rPr>
              <w:t>81,105,954.26</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tcPr>
          <w:p w:rsidR="00583F83" w:rsidRPr="00C039F9" w:rsidRDefault="00C039F9" w:rsidP="00C039F9">
            <w:pPr>
              <w:jc w:val="right"/>
              <w:rPr>
                <w:sz w:val="22"/>
              </w:rPr>
            </w:pPr>
            <w:r w:rsidRPr="00C039F9">
              <w:rPr>
                <w:rFonts w:hint="eastAsia"/>
                <w:sz w:val="22"/>
              </w:rPr>
              <w:t>-2,590,073.66</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tcPr>
          <w:p w:rsidR="00583F83" w:rsidRPr="00C039F9" w:rsidRDefault="00C039F9" w:rsidP="00C039F9">
            <w:pPr>
              <w:jc w:val="right"/>
              <w:rPr>
                <w:sz w:val="22"/>
              </w:rPr>
            </w:pPr>
            <w:r w:rsidRPr="00C039F9">
              <w:rPr>
                <w:rFonts w:hint="eastAsia"/>
                <w:sz w:val="22"/>
              </w:rPr>
              <w:t>78,515,880.60</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tcPr>
          <w:p w:rsidR="00583F83" w:rsidRPr="00C039F9" w:rsidRDefault="00C039F9" w:rsidP="00C039F9">
            <w:pPr>
              <w:jc w:val="right"/>
              <w:rPr>
                <w:sz w:val="22"/>
              </w:rPr>
            </w:pPr>
            <w:r w:rsidRPr="00C039F9">
              <w:rPr>
                <w:rFonts w:hint="eastAsia"/>
                <w:sz w:val="22"/>
              </w:rPr>
              <w:t>89,538,982.78</w:t>
            </w:r>
          </w:p>
        </w:tc>
      </w:tr>
    </w:tbl>
    <w:p w:rsidR="003756AC" w:rsidRDefault="003756AC">
      <w:pPr>
        <w:pStyle w:val="1"/>
        <w:ind w:left="10" w:right="62"/>
      </w:pPr>
      <w:bookmarkStart w:id="5" w:name="_Toc12459"/>
    </w:p>
    <w:p w:rsidR="00583F83" w:rsidRDefault="00E22DB5">
      <w:pPr>
        <w:pStyle w:val="1"/>
        <w:ind w:left="10" w:right="62"/>
      </w:pPr>
      <w:r>
        <w:t>四、清算情况</w:t>
      </w:r>
      <w:bookmarkEnd w:id="5"/>
    </w:p>
    <w:p w:rsidR="00583F83" w:rsidRDefault="00E22DB5">
      <w:pPr>
        <w:spacing w:after="37" w:line="383" w:lineRule="auto"/>
        <w:ind w:left="-15" w:right="233" w:firstLine="480"/>
        <w:jc w:val="both"/>
      </w:pPr>
      <w:r>
        <w:t>自</w:t>
      </w:r>
      <w:r w:rsidR="009638E0">
        <w:rPr>
          <w:rFonts w:asciiTheme="minorEastAsia" w:eastAsiaTheme="minorEastAsia" w:hAnsiTheme="minorEastAsia" w:cs="Times New Roman" w:hint="eastAsia"/>
        </w:rPr>
        <w:t>2017</w:t>
      </w:r>
      <w:r>
        <w:t>年</w:t>
      </w:r>
      <w:r w:rsidR="00F95A61">
        <w:rPr>
          <w:rFonts w:asciiTheme="minorEastAsia" w:eastAsiaTheme="minorEastAsia" w:hAnsiTheme="minorEastAsia" w:cs="Times New Roman"/>
        </w:rPr>
        <w:t>12</w:t>
      </w:r>
      <w:r>
        <w:t>月</w:t>
      </w:r>
      <w:r w:rsidR="00C056D9">
        <w:rPr>
          <w:rFonts w:asciiTheme="minorEastAsia" w:eastAsiaTheme="minorEastAsia" w:hAnsiTheme="minorEastAsia" w:cs="Times New Roman"/>
        </w:rPr>
        <w:t>30</w:t>
      </w:r>
      <w:r>
        <w:t>日至</w:t>
      </w:r>
      <w:r w:rsidR="001E1541">
        <w:rPr>
          <w:rFonts w:ascii="Times New Roman" w:eastAsia="Times New Roman" w:hAnsi="Times New Roman" w:cs="Times New Roman"/>
        </w:rPr>
        <w:t>201</w:t>
      </w:r>
      <w:r w:rsidR="00F95A61">
        <w:rPr>
          <w:rFonts w:ascii="Times New Roman" w:eastAsia="Times New Roman" w:hAnsi="Times New Roman" w:cs="Times New Roman"/>
        </w:rPr>
        <w:t>8</w:t>
      </w:r>
      <w:r>
        <w:t>年</w:t>
      </w:r>
      <w:r w:rsidR="00397199">
        <w:rPr>
          <w:rFonts w:asciiTheme="minorEastAsia" w:eastAsiaTheme="minorEastAsia" w:hAnsiTheme="minorEastAsia" w:cs="Times New Roman" w:hint="eastAsia"/>
        </w:rPr>
        <w:t>3</w:t>
      </w:r>
      <w:r>
        <w:t>月</w:t>
      </w:r>
      <w:r w:rsidR="00994A7A">
        <w:rPr>
          <w:rFonts w:ascii="Times New Roman" w:eastAsia="Times New Roman" w:hAnsi="Times New Roman" w:cs="Times New Roman"/>
        </w:rPr>
        <w:t>5</w:t>
      </w:r>
      <w:r>
        <w:t>日止为本次清算期间，基金财产清算组对本基金的基金财产进行清算，全部清算工作按清算原则和清算手续进行。具体清算情况如下：</w:t>
      </w:r>
    </w:p>
    <w:p w:rsidR="00583F83" w:rsidRDefault="00E22DB5">
      <w:pPr>
        <w:numPr>
          <w:ilvl w:val="0"/>
          <w:numId w:val="1"/>
        </w:numPr>
        <w:spacing w:after="167"/>
        <w:ind w:hanging="720"/>
      </w:pPr>
      <w:r>
        <w:t>清算费用</w:t>
      </w:r>
    </w:p>
    <w:p w:rsidR="00A269F9" w:rsidRDefault="00E22DB5" w:rsidP="00A269F9">
      <w:pPr>
        <w:spacing w:after="66" w:line="365" w:lineRule="auto"/>
        <w:ind w:left="-15" w:firstLine="480"/>
      </w:pPr>
      <w:r>
        <w:t>清算费用是指基金财产清算组在进行基金财产清算过程中发生的所有合理费用，包括</w:t>
      </w:r>
      <w:r w:rsidR="00A0264D">
        <w:t>支付给会计师事务所、律师事务所的费用，分配基金剩余财产的手续费</w:t>
      </w:r>
      <w:r>
        <w:t>等，根据基金合同的规定，清算费用由基金财产清算组优先从基金财产中支付。</w:t>
      </w:r>
    </w:p>
    <w:p w:rsidR="00583F83" w:rsidRDefault="00E22DB5">
      <w:pPr>
        <w:numPr>
          <w:ilvl w:val="0"/>
          <w:numId w:val="1"/>
        </w:numPr>
        <w:spacing w:after="199"/>
        <w:ind w:hanging="720"/>
      </w:pPr>
      <w:r>
        <w:t>资产清算情况</w:t>
      </w:r>
    </w:p>
    <w:p w:rsidR="00583F83" w:rsidRDefault="00E22DB5">
      <w:pPr>
        <w:spacing w:after="35" w:line="386" w:lineRule="auto"/>
        <w:ind w:left="-15" w:firstLine="480"/>
      </w:pPr>
      <w:r>
        <w:t>截至本次清算期结束日（</w:t>
      </w:r>
      <w:r w:rsidR="00634ADB">
        <w:rPr>
          <w:rFonts w:ascii="Times New Roman" w:eastAsia="Times New Roman" w:hAnsi="Times New Roman" w:cs="Times New Roman"/>
        </w:rPr>
        <w:t>201</w:t>
      </w:r>
      <w:r w:rsidR="006C0FFC">
        <w:rPr>
          <w:rFonts w:ascii="Times New Roman" w:eastAsia="Times New Roman" w:hAnsi="Times New Roman" w:cs="Times New Roman"/>
        </w:rPr>
        <w:t>8</w:t>
      </w:r>
      <w:r>
        <w:t>年</w:t>
      </w:r>
      <w:r w:rsidR="003B41A3">
        <w:rPr>
          <w:rFonts w:ascii="Times New Roman" w:eastAsia="Times New Roman" w:hAnsi="Times New Roman" w:cs="Times New Roman"/>
        </w:rPr>
        <w:t>3</w:t>
      </w:r>
      <w:r>
        <w:t>月</w:t>
      </w:r>
      <w:r w:rsidR="00994A7A">
        <w:rPr>
          <w:rFonts w:ascii="Times New Roman" w:eastAsia="Times New Roman" w:hAnsi="Times New Roman" w:cs="Times New Roman"/>
        </w:rPr>
        <w:t>5</w:t>
      </w:r>
      <w:r>
        <w:t>日），部分资产尚未收回。各项资产清算情况如下：</w:t>
      </w:r>
    </w:p>
    <w:p w:rsidR="00583F83" w:rsidRDefault="00E22DB5">
      <w:pPr>
        <w:numPr>
          <w:ilvl w:val="0"/>
          <w:numId w:val="2"/>
        </w:numPr>
        <w:spacing w:line="409" w:lineRule="auto"/>
        <w:ind w:firstLine="480"/>
      </w:pPr>
      <w:r>
        <w:t>本基金最后运作日</w:t>
      </w:r>
      <w:r w:rsidR="0031233C">
        <w:rPr>
          <w:rFonts w:hint="eastAsia"/>
        </w:rPr>
        <w:t>结算备付金</w:t>
      </w:r>
      <w:r>
        <w:t>为人民币</w:t>
      </w:r>
      <w:r w:rsidR="0031233C" w:rsidRPr="0031233C">
        <w:rPr>
          <w:rFonts w:hint="eastAsia"/>
        </w:rPr>
        <w:t>848,261.31</w:t>
      </w:r>
      <w:r w:rsidRPr="00867382">
        <w:t>元</w:t>
      </w:r>
      <w:r>
        <w:t>，</w:t>
      </w:r>
      <w:r w:rsidR="00ED05B4">
        <w:t>该款项已于</w:t>
      </w:r>
      <w:r w:rsidR="0031233C">
        <w:rPr>
          <w:rFonts w:ascii="Times New Roman" w:eastAsia="Times New Roman" w:hAnsi="Times New Roman" w:cs="Times New Roman"/>
        </w:rPr>
        <w:t>2018</w:t>
      </w:r>
      <w:r w:rsidR="00ED05B4">
        <w:t>年</w:t>
      </w:r>
      <w:r w:rsidR="00397199">
        <w:rPr>
          <w:rFonts w:asciiTheme="minorEastAsia" w:eastAsiaTheme="minorEastAsia" w:hAnsiTheme="minorEastAsia" w:cs="Times New Roman" w:hint="eastAsia"/>
        </w:rPr>
        <w:t>2</w:t>
      </w:r>
      <w:r w:rsidR="00ED05B4">
        <w:t>月</w:t>
      </w:r>
      <w:r w:rsidR="00397199">
        <w:rPr>
          <w:rFonts w:asciiTheme="minorEastAsia" w:eastAsiaTheme="minorEastAsia" w:hAnsiTheme="minorEastAsia" w:cs="Times New Roman" w:hint="eastAsia"/>
        </w:rPr>
        <w:t>2</w:t>
      </w:r>
      <w:r w:rsidR="00ED05B4">
        <w:t>日</w:t>
      </w:r>
      <w:r w:rsidR="00634ADB">
        <w:rPr>
          <w:rFonts w:hint="eastAsia"/>
        </w:rPr>
        <w:t>划入</w:t>
      </w:r>
      <w:r w:rsidR="00634ADB">
        <w:t>托管账户</w:t>
      </w:r>
      <w:r>
        <w:t>。</w:t>
      </w:r>
    </w:p>
    <w:p w:rsidR="0031233C" w:rsidRDefault="0031233C">
      <w:pPr>
        <w:numPr>
          <w:ilvl w:val="0"/>
          <w:numId w:val="2"/>
        </w:numPr>
        <w:spacing w:line="385" w:lineRule="auto"/>
        <w:ind w:firstLine="480"/>
      </w:pPr>
      <w:r>
        <w:rPr>
          <w:rFonts w:hint="eastAsia"/>
        </w:rPr>
        <w:t>本基金最后</w:t>
      </w:r>
      <w:r>
        <w:t>运作日存出保证金为人民币31</w:t>
      </w:r>
      <w:r w:rsidRPr="00867382">
        <w:rPr>
          <w:rFonts w:hint="eastAsia"/>
        </w:rPr>
        <w:t>,</w:t>
      </w:r>
      <w:r>
        <w:t>962</w:t>
      </w:r>
      <w:r w:rsidRPr="00867382">
        <w:t>.</w:t>
      </w:r>
      <w:r>
        <w:t>58</w:t>
      </w:r>
      <w:r w:rsidRPr="00867382">
        <w:t>元</w:t>
      </w:r>
      <w:r>
        <w:t>，该款项已于</w:t>
      </w:r>
      <w:r>
        <w:rPr>
          <w:rFonts w:ascii="Times New Roman" w:eastAsia="Times New Roman" w:hAnsi="Times New Roman" w:cs="Times New Roman"/>
        </w:rPr>
        <w:t>2018</w:t>
      </w:r>
      <w:r>
        <w:t>年</w:t>
      </w:r>
      <w:r>
        <w:rPr>
          <w:rFonts w:ascii="Times New Roman" w:eastAsia="Times New Roman" w:hAnsi="Times New Roman" w:cs="Times New Roman"/>
        </w:rPr>
        <w:t>1</w:t>
      </w:r>
      <w:r>
        <w:t>月</w:t>
      </w:r>
      <w:r>
        <w:rPr>
          <w:rFonts w:ascii="Times New Roman" w:eastAsia="Times New Roman" w:hAnsi="Times New Roman" w:cs="Times New Roman"/>
        </w:rPr>
        <w:t>3</w:t>
      </w:r>
      <w:r>
        <w:t>日</w:t>
      </w:r>
      <w:r>
        <w:rPr>
          <w:rFonts w:hint="eastAsia"/>
        </w:rPr>
        <w:t>划入</w:t>
      </w:r>
      <w:r>
        <w:t>托管账户。</w:t>
      </w:r>
    </w:p>
    <w:p w:rsidR="00583F83" w:rsidRDefault="00E22DB5">
      <w:pPr>
        <w:numPr>
          <w:ilvl w:val="0"/>
          <w:numId w:val="2"/>
        </w:numPr>
        <w:spacing w:line="385" w:lineRule="auto"/>
        <w:ind w:firstLine="480"/>
      </w:pPr>
      <w:r>
        <w:t>本基金最后运作日应收利息为人民币</w:t>
      </w:r>
      <w:r w:rsidR="0031233C">
        <w:t>9</w:t>
      </w:r>
      <w:r w:rsidR="006C3BBA">
        <w:rPr>
          <w:rFonts w:hint="eastAsia"/>
        </w:rPr>
        <w:t>,</w:t>
      </w:r>
      <w:r w:rsidR="0031233C">
        <w:t>746.83</w:t>
      </w:r>
      <w:r>
        <w:t>元</w:t>
      </w:r>
      <w:r w:rsidR="00F74981">
        <w:rPr>
          <w:rFonts w:hint="eastAsia"/>
        </w:rPr>
        <w:t>。其中</w:t>
      </w:r>
      <w:r w:rsidR="00F74981">
        <w:t>应收活期银行存款利息</w:t>
      </w:r>
      <w:r w:rsidR="00E54B91">
        <w:rPr>
          <w:rFonts w:hint="eastAsia"/>
        </w:rPr>
        <w:t>为</w:t>
      </w:r>
      <w:r w:rsidR="00E54B91">
        <w:t>人民币</w:t>
      </w:r>
      <w:r w:rsidR="0031233C">
        <w:rPr>
          <w:rFonts w:hint="eastAsia"/>
        </w:rPr>
        <w:t>8</w:t>
      </w:r>
      <w:r w:rsidR="00E54B91">
        <w:t>,</w:t>
      </w:r>
      <w:r w:rsidR="0031233C">
        <w:rPr>
          <w:rFonts w:hint="eastAsia"/>
        </w:rPr>
        <w:t>427.0</w:t>
      </w:r>
      <w:r w:rsidR="00E54B91">
        <w:rPr>
          <w:rFonts w:hint="eastAsia"/>
        </w:rPr>
        <w:t>7元</w:t>
      </w:r>
      <w:r w:rsidR="00E54B91">
        <w:t>，应收备付金利息为人民币</w:t>
      </w:r>
      <w:r w:rsidR="0031233C">
        <w:t>308.26</w:t>
      </w:r>
      <w:r w:rsidR="00E54B91">
        <w:rPr>
          <w:rFonts w:hint="eastAsia"/>
        </w:rPr>
        <w:t>元</w:t>
      </w:r>
      <w:r w:rsidR="00E54B91">
        <w:t>，应收保证金利息为人民币</w:t>
      </w:r>
      <w:r w:rsidR="0031233C">
        <w:t>11.52</w:t>
      </w:r>
      <w:r w:rsidR="00E54B91">
        <w:rPr>
          <w:rFonts w:hint="eastAsia"/>
        </w:rPr>
        <w:t>元</w:t>
      </w:r>
      <w:r w:rsidR="0031233C">
        <w:rPr>
          <w:rFonts w:hint="eastAsia"/>
        </w:rPr>
        <w:t>，</w:t>
      </w:r>
      <w:r w:rsidR="0031233C">
        <w:t>应收直销申购款利息为人民币</w:t>
      </w:r>
      <w:r w:rsidR="0031233C">
        <w:rPr>
          <w:rFonts w:hint="eastAsia"/>
        </w:rPr>
        <w:t>999.98元</w:t>
      </w:r>
      <w:r w:rsidR="00015A39">
        <w:rPr>
          <w:rFonts w:hint="eastAsia"/>
        </w:rPr>
        <w:t>。</w:t>
      </w:r>
      <w:r w:rsidR="004F413E">
        <w:t>为加快清算速度，</w:t>
      </w:r>
      <w:r>
        <w:t>基金管理人</w:t>
      </w:r>
      <w:r w:rsidR="004F413E">
        <w:rPr>
          <w:rFonts w:hint="eastAsia"/>
        </w:rPr>
        <w:t>将</w:t>
      </w:r>
      <w:r>
        <w:t xml:space="preserve">以自有资金垫付至托管账户。 </w:t>
      </w:r>
    </w:p>
    <w:p w:rsidR="00583F83" w:rsidRDefault="00E22DB5">
      <w:pPr>
        <w:numPr>
          <w:ilvl w:val="0"/>
          <w:numId w:val="2"/>
        </w:numPr>
        <w:spacing w:after="5" w:line="411" w:lineRule="auto"/>
        <w:ind w:firstLine="480"/>
      </w:pPr>
      <w:r>
        <w:t>本基金最后运作日持有的股票资产为人民币</w:t>
      </w:r>
      <w:r w:rsidR="003D62AB">
        <w:t>75,808,950</w:t>
      </w:r>
      <w:r w:rsidR="003D62AB">
        <w:rPr>
          <w:rFonts w:hint="eastAsia"/>
        </w:rPr>
        <w:t>.21</w:t>
      </w:r>
      <w:r>
        <w:t>元，该金额为</w:t>
      </w:r>
      <w:r w:rsidR="00015A39">
        <w:rPr>
          <w:rFonts w:hint="eastAsia"/>
        </w:rPr>
        <w:t>停牌</w:t>
      </w:r>
      <w:r w:rsidR="00015A39">
        <w:t>股票</w:t>
      </w:r>
      <w:r w:rsidR="002E52BB">
        <w:rPr>
          <w:rFonts w:hint="eastAsia"/>
        </w:rPr>
        <w:t>和</w:t>
      </w:r>
      <w:r w:rsidR="00D47680">
        <w:rPr>
          <w:rFonts w:hint="eastAsia"/>
        </w:rPr>
        <w:t>流通</w:t>
      </w:r>
      <w:r w:rsidR="00D47680">
        <w:t>受限</w:t>
      </w:r>
      <w:r w:rsidR="00B74321">
        <w:t>股票</w:t>
      </w:r>
      <w:r w:rsidR="00B74321">
        <w:rPr>
          <w:rFonts w:hint="eastAsia"/>
        </w:rPr>
        <w:t>的</w:t>
      </w:r>
      <w:r>
        <w:t>最后运作日估值金额</w:t>
      </w:r>
      <w:r w:rsidR="00B74321">
        <w:rPr>
          <w:rFonts w:hint="eastAsia"/>
        </w:rPr>
        <w:t>之和。</w:t>
      </w:r>
      <w:r>
        <w:t>具体情况如下：</w:t>
      </w:r>
    </w:p>
    <w:p w:rsidR="00583F83" w:rsidRDefault="00583F83">
      <w:pPr>
        <w:numPr>
          <w:ilvl w:val="0"/>
          <w:numId w:val="3"/>
        </w:numPr>
        <w:spacing w:after="199"/>
        <w:ind w:hanging="600"/>
      </w:pPr>
    </w:p>
    <w:p w:rsidR="00583F83" w:rsidRDefault="00E22DB5" w:rsidP="00D85E00">
      <w:pPr>
        <w:ind w:left="840" w:firstLine="0"/>
      </w:pPr>
      <w:r>
        <w:t>本基金最后运作日（</w:t>
      </w:r>
      <w:r w:rsidR="00293BD8">
        <w:rPr>
          <w:rFonts w:ascii="Times New Roman" w:eastAsia="Times New Roman" w:hAnsi="Times New Roman" w:cs="Times New Roman"/>
        </w:rPr>
        <w:t>2017</w:t>
      </w:r>
      <w:r>
        <w:t>年</w:t>
      </w:r>
      <w:r w:rsidR="00C056D9">
        <w:rPr>
          <w:rFonts w:ascii="Times New Roman" w:eastAsia="Times New Roman" w:hAnsi="Times New Roman" w:cs="Times New Roman"/>
        </w:rPr>
        <w:t>12</w:t>
      </w:r>
      <w:r>
        <w:t>月</w:t>
      </w:r>
      <w:r w:rsidR="00C056D9">
        <w:rPr>
          <w:rFonts w:ascii="Times New Roman" w:eastAsia="Times New Roman" w:hAnsi="Times New Roman" w:cs="Times New Roman"/>
        </w:rPr>
        <w:t>29</w:t>
      </w:r>
      <w:r>
        <w:t>日）持有的全部股票明细如下：</w:t>
      </w:r>
    </w:p>
    <w:tbl>
      <w:tblPr>
        <w:tblStyle w:val="TableGrid"/>
        <w:tblW w:w="10773" w:type="dxa"/>
        <w:tblInd w:w="-572" w:type="dxa"/>
        <w:tblLayout w:type="fixed"/>
        <w:tblCellMar>
          <w:left w:w="106" w:type="dxa"/>
        </w:tblCellMar>
        <w:tblLook w:val="04A0"/>
      </w:tblPr>
      <w:tblGrid>
        <w:gridCol w:w="709"/>
        <w:gridCol w:w="1134"/>
        <w:gridCol w:w="1134"/>
        <w:gridCol w:w="1418"/>
        <w:gridCol w:w="1275"/>
        <w:gridCol w:w="2410"/>
        <w:gridCol w:w="2693"/>
      </w:tblGrid>
      <w:tr w:rsidR="00A269F9" w:rsidTr="00D52848">
        <w:trPr>
          <w:trHeight w:val="610"/>
        </w:trPr>
        <w:tc>
          <w:tcPr>
            <w:tcW w:w="709" w:type="dxa"/>
            <w:tcBorders>
              <w:top w:val="single" w:sz="4" w:space="0" w:color="000000"/>
              <w:left w:val="single" w:sz="4" w:space="0" w:color="000000"/>
              <w:bottom w:val="single" w:sz="6" w:space="0" w:color="000000"/>
              <w:right w:val="single" w:sz="6" w:space="0" w:color="000000"/>
            </w:tcBorders>
          </w:tcPr>
          <w:p w:rsidR="00EF43BF" w:rsidRDefault="00EF43BF" w:rsidP="00994A7A">
            <w:pPr>
              <w:spacing w:after="0"/>
            </w:pPr>
            <w:r>
              <w:rPr>
                <w:sz w:val="23"/>
              </w:rPr>
              <w:t>序号</w:t>
            </w:r>
          </w:p>
        </w:tc>
        <w:tc>
          <w:tcPr>
            <w:tcW w:w="1134" w:type="dxa"/>
            <w:tcBorders>
              <w:top w:val="single" w:sz="4" w:space="0" w:color="000000"/>
              <w:left w:val="single" w:sz="6" w:space="0" w:color="000000"/>
              <w:bottom w:val="single" w:sz="6" w:space="0" w:color="000000"/>
              <w:right w:val="single" w:sz="6" w:space="0" w:color="000000"/>
            </w:tcBorders>
          </w:tcPr>
          <w:p w:rsidR="00EF43BF" w:rsidRDefault="00EF43BF" w:rsidP="00994A7A">
            <w:pPr>
              <w:spacing w:after="0"/>
            </w:pPr>
            <w:r>
              <w:rPr>
                <w:sz w:val="23"/>
              </w:rPr>
              <w:t>股票代码</w:t>
            </w:r>
          </w:p>
        </w:tc>
        <w:tc>
          <w:tcPr>
            <w:tcW w:w="1134" w:type="dxa"/>
            <w:tcBorders>
              <w:top w:val="single" w:sz="4" w:space="0" w:color="000000"/>
              <w:left w:val="single" w:sz="6" w:space="0" w:color="000000"/>
              <w:bottom w:val="single" w:sz="6" w:space="0" w:color="000000"/>
              <w:right w:val="single" w:sz="6" w:space="0" w:color="000000"/>
            </w:tcBorders>
          </w:tcPr>
          <w:p w:rsidR="00EF43BF" w:rsidRDefault="00EF43BF" w:rsidP="00994A7A">
            <w:pPr>
              <w:spacing w:after="0"/>
              <w:ind w:left="58" w:firstLine="0"/>
            </w:pPr>
            <w:r>
              <w:rPr>
                <w:sz w:val="23"/>
              </w:rPr>
              <w:t>股票名称</w:t>
            </w:r>
          </w:p>
        </w:tc>
        <w:tc>
          <w:tcPr>
            <w:tcW w:w="1418" w:type="dxa"/>
            <w:tcBorders>
              <w:top w:val="single" w:sz="4" w:space="0" w:color="000000"/>
              <w:left w:val="single" w:sz="6" w:space="0" w:color="000000"/>
              <w:bottom w:val="single" w:sz="6" w:space="0" w:color="000000"/>
              <w:right w:val="single" w:sz="6" w:space="0" w:color="000000"/>
            </w:tcBorders>
          </w:tcPr>
          <w:p w:rsidR="00EF43BF" w:rsidRDefault="00EF43BF">
            <w:pPr>
              <w:spacing w:after="0"/>
              <w:ind w:left="0" w:firstLine="0"/>
              <w:jc w:val="center"/>
            </w:pPr>
            <w:r>
              <w:rPr>
                <w:sz w:val="23"/>
              </w:rPr>
              <w:t xml:space="preserve">股票数量（股） </w:t>
            </w:r>
          </w:p>
        </w:tc>
        <w:tc>
          <w:tcPr>
            <w:tcW w:w="1275" w:type="dxa"/>
            <w:tcBorders>
              <w:top w:val="single" w:sz="4" w:space="0" w:color="000000"/>
              <w:left w:val="single" w:sz="6" w:space="0" w:color="000000"/>
              <w:bottom w:val="single" w:sz="6" w:space="0" w:color="000000"/>
              <w:right w:val="single" w:sz="6" w:space="0" w:color="000000"/>
            </w:tcBorders>
          </w:tcPr>
          <w:p w:rsidR="00EF43BF" w:rsidRDefault="00EF43BF">
            <w:pPr>
              <w:spacing w:after="0"/>
              <w:ind w:left="0" w:right="108" w:firstLine="0"/>
              <w:jc w:val="center"/>
            </w:pPr>
            <w:r>
              <w:rPr>
                <w:sz w:val="23"/>
              </w:rPr>
              <w:t xml:space="preserve">停牌价格 </w:t>
            </w:r>
          </w:p>
          <w:p w:rsidR="00EF43BF" w:rsidRDefault="00EF43BF">
            <w:pPr>
              <w:spacing w:after="0"/>
              <w:ind w:left="0" w:right="108" w:firstLine="0"/>
              <w:jc w:val="center"/>
            </w:pPr>
            <w:r>
              <w:rPr>
                <w:sz w:val="23"/>
              </w:rPr>
              <w:t xml:space="preserve">（人民币元） </w:t>
            </w:r>
          </w:p>
        </w:tc>
        <w:tc>
          <w:tcPr>
            <w:tcW w:w="2410" w:type="dxa"/>
            <w:tcBorders>
              <w:top w:val="single" w:sz="4" w:space="0" w:color="000000"/>
              <w:left w:val="single" w:sz="6" w:space="0" w:color="000000"/>
              <w:bottom w:val="single" w:sz="6" w:space="0" w:color="000000"/>
              <w:right w:val="single" w:sz="4" w:space="0" w:color="000000"/>
            </w:tcBorders>
          </w:tcPr>
          <w:p w:rsidR="00EF43BF" w:rsidRDefault="00EF43BF">
            <w:pPr>
              <w:spacing w:after="0"/>
              <w:ind w:left="120" w:firstLine="0"/>
            </w:pPr>
            <w:r>
              <w:rPr>
                <w:sz w:val="23"/>
              </w:rPr>
              <w:t xml:space="preserve">最后运作日估值金额 </w:t>
            </w:r>
          </w:p>
          <w:p w:rsidR="00EF43BF" w:rsidRDefault="00EF43BF">
            <w:pPr>
              <w:spacing w:after="0"/>
              <w:ind w:left="0" w:right="105" w:firstLine="0"/>
              <w:jc w:val="center"/>
            </w:pPr>
            <w:r>
              <w:rPr>
                <w:sz w:val="23"/>
              </w:rPr>
              <w:t xml:space="preserve">（人民币元） </w:t>
            </w:r>
          </w:p>
        </w:tc>
        <w:tc>
          <w:tcPr>
            <w:tcW w:w="2693" w:type="dxa"/>
            <w:tcBorders>
              <w:top w:val="single" w:sz="4" w:space="0" w:color="000000"/>
              <w:left w:val="single" w:sz="6" w:space="0" w:color="000000"/>
              <w:bottom w:val="single" w:sz="6" w:space="0" w:color="000000"/>
              <w:right w:val="single" w:sz="4" w:space="0" w:color="000000"/>
            </w:tcBorders>
          </w:tcPr>
          <w:p w:rsidR="00EF43BF" w:rsidRDefault="00EF43BF" w:rsidP="00EF43BF">
            <w:pPr>
              <w:spacing w:after="0"/>
              <w:ind w:left="0" w:firstLine="0"/>
              <w:jc w:val="center"/>
              <w:rPr>
                <w:sz w:val="23"/>
              </w:rPr>
            </w:pPr>
            <w:r>
              <w:rPr>
                <w:rFonts w:hint="eastAsia"/>
                <w:sz w:val="23"/>
              </w:rPr>
              <w:t>估值</w:t>
            </w:r>
            <w:r>
              <w:rPr>
                <w:sz w:val="23"/>
              </w:rPr>
              <w:t>方法</w:t>
            </w:r>
          </w:p>
        </w:tc>
      </w:tr>
      <w:tr w:rsidR="00A269F9" w:rsidTr="00D52848">
        <w:trPr>
          <w:trHeight w:val="314"/>
        </w:trPr>
        <w:tc>
          <w:tcPr>
            <w:tcW w:w="709" w:type="dxa"/>
            <w:tcBorders>
              <w:top w:val="single" w:sz="6" w:space="0" w:color="000000"/>
              <w:left w:val="single" w:sz="4" w:space="0" w:color="000000"/>
              <w:bottom w:val="single" w:sz="6" w:space="0" w:color="000000"/>
              <w:right w:val="single" w:sz="6" w:space="0" w:color="000000"/>
            </w:tcBorders>
          </w:tcPr>
          <w:p w:rsidR="00EF43BF" w:rsidRDefault="00EF43BF">
            <w:pPr>
              <w:spacing w:after="0"/>
              <w:ind w:left="2" w:firstLine="0"/>
            </w:pPr>
            <w:r>
              <w:rPr>
                <w:rFonts w:ascii="Times New Roman" w:eastAsia="Times New Roman" w:hAnsi="Times New Roman" w:cs="Times New Roman"/>
                <w:sz w:val="23"/>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EF43BF" w:rsidRDefault="00EF43BF">
            <w:pPr>
              <w:spacing w:after="0"/>
              <w:ind w:left="2" w:firstLine="0"/>
            </w:pPr>
            <w:r>
              <w:rPr>
                <w:rFonts w:hint="eastAsia"/>
              </w:rPr>
              <w:t>600579</w:t>
            </w:r>
          </w:p>
        </w:tc>
        <w:tc>
          <w:tcPr>
            <w:tcW w:w="1134" w:type="dxa"/>
            <w:tcBorders>
              <w:top w:val="single" w:sz="6" w:space="0" w:color="000000"/>
              <w:left w:val="single" w:sz="6" w:space="0" w:color="000000"/>
              <w:bottom w:val="single" w:sz="6" w:space="0" w:color="000000"/>
              <w:right w:val="single" w:sz="6" w:space="0" w:color="000000"/>
            </w:tcBorders>
          </w:tcPr>
          <w:p w:rsidR="00EF43BF" w:rsidRDefault="00EF43BF">
            <w:pPr>
              <w:spacing w:after="0"/>
              <w:ind w:left="2" w:firstLine="0"/>
              <w:jc w:val="both"/>
            </w:pPr>
            <w:r>
              <w:rPr>
                <w:rFonts w:hint="eastAsia"/>
              </w:rPr>
              <w:t>天华院</w:t>
            </w:r>
          </w:p>
        </w:tc>
        <w:tc>
          <w:tcPr>
            <w:tcW w:w="1418" w:type="dxa"/>
            <w:tcBorders>
              <w:top w:val="single" w:sz="6" w:space="0" w:color="000000"/>
              <w:left w:val="single" w:sz="6" w:space="0" w:color="000000"/>
              <w:bottom w:val="single" w:sz="6" w:space="0" w:color="000000"/>
              <w:right w:val="single" w:sz="6" w:space="0" w:color="000000"/>
            </w:tcBorders>
          </w:tcPr>
          <w:p w:rsidR="00EF43BF" w:rsidRDefault="00EF43BF" w:rsidP="00A269F9">
            <w:pPr>
              <w:spacing w:after="0"/>
              <w:ind w:left="0" w:right="106" w:firstLine="0"/>
              <w:jc w:val="right"/>
            </w:pPr>
            <w:r>
              <w:rPr>
                <w:rFonts w:hint="eastAsia"/>
              </w:rPr>
              <w:t>1,360,000</w:t>
            </w:r>
          </w:p>
        </w:tc>
        <w:tc>
          <w:tcPr>
            <w:tcW w:w="1275" w:type="dxa"/>
            <w:tcBorders>
              <w:top w:val="single" w:sz="6" w:space="0" w:color="000000"/>
              <w:left w:val="single" w:sz="6" w:space="0" w:color="000000"/>
              <w:bottom w:val="single" w:sz="6" w:space="0" w:color="000000"/>
              <w:right w:val="single" w:sz="6" w:space="0" w:color="000000"/>
            </w:tcBorders>
          </w:tcPr>
          <w:p w:rsidR="00EF43BF" w:rsidRDefault="00EF43BF" w:rsidP="00952C7A">
            <w:pPr>
              <w:spacing w:after="0"/>
              <w:ind w:left="0" w:right="106" w:firstLine="0"/>
              <w:jc w:val="right"/>
            </w:pPr>
            <w:r>
              <w:rPr>
                <w:rFonts w:hint="eastAsia"/>
              </w:rPr>
              <w:t>14.22</w:t>
            </w:r>
          </w:p>
        </w:tc>
        <w:tc>
          <w:tcPr>
            <w:tcW w:w="2410" w:type="dxa"/>
            <w:tcBorders>
              <w:top w:val="single" w:sz="6" w:space="0" w:color="000000"/>
              <w:left w:val="single" w:sz="6" w:space="0" w:color="000000"/>
              <w:bottom w:val="single" w:sz="6" w:space="0" w:color="000000"/>
              <w:right w:val="single" w:sz="4" w:space="0" w:color="000000"/>
            </w:tcBorders>
          </w:tcPr>
          <w:p w:rsidR="00EF43BF" w:rsidRDefault="00EF43BF">
            <w:pPr>
              <w:spacing w:after="0"/>
              <w:ind w:left="0" w:right="106" w:firstLine="0"/>
              <w:jc w:val="right"/>
            </w:pPr>
            <w:r>
              <w:rPr>
                <w:rFonts w:hint="eastAsia"/>
              </w:rPr>
              <w:t>19,339,200.00</w:t>
            </w:r>
          </w:p>
        </w:tc>
        <w:tc>
          <w:tcPr>
            <w:tcW w:w="2693" w:type="dxa"/>
            <w:tcBorders>
              <w:top w:val="single" w:sz="6" w:space="0" w:color="000000"/>
              <w:left w:val="single" w:sz="6" w:space="0" w:color="000000"/>
              <w:bottom w:val="single" w:sz="6" w:space="0" w:color="000000"/>
              <w:right w:val="single" w:sz="4" w:space="0" w:color="000000"/>
            </w:tcBorders>
          </w:tcPr>
          <w:p w:rsidR="00EF43BF" w:rsidRPr="006C3BBA" w:rsidRDefault="00EF43BF">
            <w:pPr>
              <w:spacing w:after="0"/>
              <w:ind w:left="0" w:right="106" w:firstLine="0"/>
              <w:jc w:val="right"/>
            </w:pPr>
            <w:r>
              <w:rPr>
                <w:rFonts w:hint="eastAsia"/>
              </w:rPr>
              <w:t>指数</w:t>
            </w:r>
            <w:r>
              <w:t>收益法</w:t>
            </w:r>
          </w:p>
        </w:tc>
      </w:tr>
      <w:tr w:rsidR="00A269F9"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EF43BF" w:rsidRDefault="00EF43BF">
            <w:pPr>
              <w:spacing w:after="0"/>
              <w:ind w:left="2" w:firstLine="0"/>
              <w:jc w:val="both"/>
              <w:rPr>
                <w:sz w:val="23"/>
              </w:rPr>
            </w:pPr>
            <w:r>
              <w:rPr>
                <w:rFonts w:hint="eastAsia"/>
                <w:sz w:val="23"/>
              </w:rPr>
              <w:t>2</w:t>
            </w:r>
          </w:p>
        </w:tc>
        <w:tc>
          <w:tcPr>
            <w:tcW w:w="1134" w:type="dxa"/>
            <w:tcBorders>
              <w:top w:val="single" w:sz="6" w:space="0" w:color="000000"/>
              <w:left w:val="single" w:sz="6" w:space="0" w:color="000000"/>
              <w:bottom w:val="single" w:sz="4" w:space="0" w:color="000000"/>
              <w:right w:val="single" w:sz="6" w:space="0" w:color="000000"/>
            </w:tcBorders>
          </w:tcPr>
          <w:p w:rsidR="00EF43BF" w:rsidRPr="00EF43BF" w:rsidRDefault="00EF43BF">
            <w:pPr>
              <w:spacing w:after="0"/>
              <w:ind w:left="2" w:firstLine="0"/>
            </w:pPr>
            <w:r w:rsidRPr="00EF43BF">
              <w:rPr>
                <w:rFonts w:hint="eastAsia"/>
              </w:rPr>
              <w:t>000900</w:t>
            </w:r>
          </w:p>
        </w:tc>
        <w:tc>
          <w:tcPr>
            <w:tcW w:w="1134" w:type="dxa"/>
            <w:tcBorders>
              <w:top w:val="single" w:sz="6" w:space="0" w:color="000000"/>
              <w:left w:val="single" w:sz="6" w:space="0" w:color="000000"/>
              <w:bottom w:val="single" w:sz="4" w:space="0" w:color="000000"/>
              <w:right w:val="single" w:sz="6" w:space="0" w:color="000000"/>
            </w:tcBorders>
          </w:tcPr>
          <w:p w:rsidR="00EF43BF" w:rsidRPr="00EF43BF" w:rsidRDefault="00EF43BF">
            <w:pPr>
              <w:spacing w:after="0"/>
              <w:ind w:left="2" w:firstLine="0"/>
            </w:pPr>
            <w:r w:rsidRPr="00EF43BF">
              <w:rPr>
                <w:rFonts w:hint="eastAsia"/>
              </w:rPr>
              <w:t>现代</w:t>
            </w:r>
            <w:r w:rsidRPr="00EF43BF">
              <w:t>投资</w:t>
            </w:r>
          </w:p>
        </w:tc>
        <w:tc>
          <w:tcPr>
            <w:tcW w:w="1418" w:type="dxa"/>
            <w:tcBorders>
              <w:top w:val="single" w:sz="6" w:space="0" w:color="000000"/>
              <w:left w:val="single" w:sz="6" w:space="0" w:color="000000"/>
              <w:bottom w:val="single" w:sz="4" w:space="0" w:color="000000"/>
              <w:right w:val="single" w:sz="6" w:space="0" w:color="000000"/>
            </w:tcBorders>
          </w:tcPr>
          <w:p w:rsidR="00EF43BF" w:rsidRDefault="00EF43BF" w:rsidP="00A269F9">
            <w:pPr>
              <w:spacing w:after="0"/>
              <w:ind w:left="2" w:right="120" w:firstLine="0"/>
              <w:jc w:val="right"/>
            </w:pPr>
            <w:r>
              <w:rPr>
                <w:rFonts w:hint="eastAsia"/>
              </w:rPr>
              <w:t>800,850</w:t>
            </w:r>
          </w:p>
        </w:tc>
        <w:tc>
          <w:tcPr>
            <w:tcW w:w="1275" w:type="dxa"/>
            <w:tcBorders>
              <w:top w:val="single" w:sz="6" w:space="0" w:color="000000"/>
              <w:left w:val="single" w:sz="6" w:space="0" w:color="000000"/>
              <w:bottom w:val="single" w:sz="4" w:space="0" w:color="000000"/>
              <w:right w:val="single" w:sz="6" w:space="0" w:color="000000"/>
            </w:tcBorders>
          </w:tcPr>
          <w:p w:rsidR="00EF43BF" w:rsidRDefault="00EF43BF" w:rsidP="00952C7A">
            <w:pPr>
              <w:spacing w:after="0"/>
              <w:ind w:left="0" w:right="106" w:firstLine="0"/>
              <w:jc w:val="right"/>
            </w:pPr>
            <w:r>
              <w:rPr>
                <w:rFonts w:hint="eastAsia"/>
              </w:rPr>
              <w:t>6.25</w:t>
            </w:r>
          </w:p>
        </w:tc>
        <w:tc>
          <w:tcPr>
            <w:tcW w:w="2410" w:type="dxa"/>
            <w:tcBorders>
              <w:top w:val="single" w:sz="6" w:space="0" w:color="000000"/>
              <w:left w:val="single" w:sz="6" w:space="0" w:color="000000"/>
              <w:bottom w:val="single" w:sz="4" w:space="0" w:color="000000"/>
              <w:right w:val="single" w:sz="4" w:space="0" w:color="000000"/>
            </w:tcBorders>
          </w:tcPr>
          <w:p w:rsidR="00EF43BF" w:rsidRPr="00EF43BF" w:rsidRDefault="00952C7A" w:rsidP="00952C7A">
            <w:pPr>
              <w:spacing w:after="0"/>
              <w:ind w:left="0" w:right="106" w:firstLine="0"/>
              <w:jc w:val="right"/>
            </w:pPr>
            <w:r>
              <w:rPr>
                <w:rFonts w:hint="eastAsia"/>
              </w:rPr>
              <w:t>5,005,312.50</w:t>
            </w:r>
          </w:p>
        </w:tc>
        <w:tc>
          <w:tcPr>
            <w:tcW w:w="2693" w:type="dxa"/>
            <w:tcBorders>
              <w:top w:val="single" w:sz="6" w:space="0" w:color="000000"/>
              <w:left w:val="single" w:sz="6" w:space="0" w:color="000000"/>
              <w:bottom w:val="single" w:sz="4" w:space="0" w:color="000000"/>
              <w:right w:val="single" w:sz="4" w:space="0" w:color="000000"/>
            </w:tcBorders>
          </w:tcPr>
          <w:p w:rsidR="00EF43BF" w:rsidRPr="00EF43BF" w:rsidRDefault="00952C7A">
            <w:pPr>
              <w:spacing w:after="0"/>
              <w:ind w:left="0" w:right="105" w:firstLine="0"/>
              <w:jc w:val="right"/>
            </w:pPr>
            <w:r>
              <w:rPr>
                <w:rFonts w:hint="eastAsia"/>
              </w:rPr>
              <w:t>停牌</w:t>
            </w:r>
            <w:r>
              <w:t>前一日收盘价</w:t>
            </w:r>
          </w:p>
        </w:tc>
      </w:tr>
      <w:tr w:rsidR="00A269F9"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EF43BF" w:rsidRDefault="00EF43BF">
            <w:pPr>
              <w:spacing w:after="0"/>
              <w:ind w:left="2" w:firstLine="0"/>
              <w:jc w:val="both"/>
              <w:rPr>
                <w:sz w:val="23"/>
              </w:rPr>
            </w:pPr>
            <w:r>
              <w:rPr>
                <w:rFonts w:hint="eastAsia"/>
                <w:sz w:val="23"/>
              </w:rPr>
              <w:t>3</w:t>
            </w:r>
          </w:p>
        </w:tc>
        <w:tc>
          <w:tcPr>
            <w:tcW w:w="1134" w:type="dxa"/>
            <w:tcBorders>
              <w:top w:val="single" w:sz="6" w:space="0" w:color="000000"/>
              <w:left w:val="single" w:sz="6" w:space="0" w:color="000000"/>
              <w:bottom w:val="single" w:sz="4" w:space="0" w:color="000000"/>
              <w:right w:val="single" w:sz="6" w:space="0" w:color="000000"/>
            </w:tcBorders>
          </w:tcPr>
          <w:p w:rsidR="00EF43BF" w:rsidRPr="00EF43BF" w:rsidRDefault="00952C7A">
            <w:pPr>
              <w:spacing w:after="0"/>
              <w:ind w:left="2" w:firstLine="0"/>
            </w:pPr>
            <w:r>
              <w:rPr>
                <w:rFonts w:hint="eastAsia"/>
              </w:rPr>
              <w:t>600200</w:t>
            </w:r>
          </w:p>
        </w:tc>
        <w:tc>
          <w:tcPr>
            <w:tcW w:w="1134" w:type="dxa"/>
            <w:tcBorders>
              <w:top w:val="single" w:sz="6" w:space="0" w:color="000000"/>
              <w:left w:val="single" w:sz="6" w:space="0" w:color="000000"/>
              <w:bottom w:val="single" w:sz="4" w:space="0" w:color="000000"/>
              <w:right w:val="single" w:sz="6" w:space="0" w:color="000000"/>
            </w:tcBorders>
          </w:tcPr>
          <w:p w:rsidR="00EF43BF" w:rsidRPr="00EF43BF" w:rsidRDefault="00952C7A">
            <w:pPr>
              <w:spacing w:after="0"/>
              <w:ind w:left="2" w:firstLine="0"/>
            </w:pPr>
            <w:r>
              <w:rPr>
                <w:rFonts w:hint="eastAsia"/>
              </w:rPr>
              <w:t>江苏</w:t>
            </w:r>
            <w:r>
              <w:t>吴中</w:t>
            </w:r>
          </w:p>
        </w:tc>
        <w:tc>
          <w:tcPr>
            <w:tcW w:w="1418" w:type="dxa"/>
            <w:tcBorders>
              <w:top w:val="single" w:sz="6" w:space="0" w:color="000000"/>
              <w:left w:val="single" w:sz="6" w:space="0" w:color="000000"/>
              <w:bottom w:val="single" w:sz="4" w:space="0" w:color="000000"/>
              <w:right w:val="single" w:sz="6" w:space="0" w:color="000000"/>
            </w:tcBorders>
          </w:tcPr>
          <w:p w:rsidR="00EF43BF" w:rsidRDefault="00952C7A" w:rsidP="00A269F9">
            <w:pPr>
              <w:spacing w:after="0"/>
              <w:ind w:left="2" w:right="120" w:firstLine="0"/>
              <w:jc w:val="right"/>
            </w:pPr>
            <w:r>
              <w:rPr>
                <w:rFonts w:hint="eastAsia"/>
              </w:rPr>
              <w:t>393,082</w:t>
            </w:r>
          </w:p>
        </w:tc>
        <w:tc>
          <w:tcPr>
            <w:tcW w:w="1275" w:type="dxa"/>
            <w:tcBorders>
              <w:top w:val="single" w:sz="6" w:space="0" w:color="000000"/>
              <w:left w:val="single" w:sz="6" w:space="0" w:color="000000"/>
              <w:bottom w:val="single" w:sz="4" w:space="0" w:color="000000"/>
              <w:right w:val="single" w:sz="6" w:space="0" w:color="000000"/>
            </w:tcBorders>
          </w:tcPr>
          <w:p w:rsidR="00EF43BF" w:rsidRDefault="00952C7A" w:rsidP="00952C7A">
            <w:pPr>
              <w:spacing w:after="0"/>
              <w:ind w:left="0" w:right="120" w:firstLine="0"/>
              <w:jc w:val="right"/>
            </w:pPr>
            <w:r>
              <w:rPr>
                <w:rFonts w:hint="eastAsia"/>
              </w:rPr>
              <w:t>10.73</w:t>
            </w:r>
          </w:p>
        </w:tc>
        <w:tc>
          <w:tcPr>
            <w:tcW w:w="2410" w:type="dxa"/>
            <w:tcBorders>
              <w:top w:val="single" w:sz="6" w:space="0" w:color="000000"/>
              <w:left w:val="single" w:sz="6" w:space="0" w:color="000000"/>
              <w:bottom w:val="single" w:sz="4" w:space="0" w:color="000000"/>
              <w:right w:val="single" w:sz="4" w:space="0" w:color="000000"/>
            </w:tcBorders>
          </w:tcPr>
          <w:p w:rsidR="00EF43BF" w:rsidRPr="00EF43BF" w:rsidRDefault="00952C7A">
            <w:pPr>
              <w:spacing w:after="0"/>
              <w:ind w:left="0" w:right="105" w:firstLine="0"/>
              <w:jc w:val="right"/>
            </w:pPr>
            <w:r>
              <w:rPr>
                <w:rFonts w:hint="eastAsia"/>
              </w:rPr>
              <w:t>4,217,769.86</w:t>
            </w:r>
          </w:p>
        </w:tc>
        <w:tc>
          <w:tcPr>
            <w:tcW w:w="2693" w:type="dxa"/>
            <w:tcBorders>
              <w:top w:val="single" w:sz="6" w:space="0" w:color="000000"/>
              <w:left w:val="single" w:sz="6" w:space="0" w:color="000000"/>
              <w:bottom w:val="single" w:sz="4" w:space="0" w:color="000000"/>
              <w:right w:val="single" w:sz="4" w:space="0" w:color="000000"/>
            </w:tcBorders>
          </w:tcPr>
          <w:p w:rsidR="00EF43BF" w:rsidRPr="00EF43BF" w:rsidRDefault="00401F1D">
            <w:pPr>
              <w:spacing w:after="0"/>
              <w:ind w:left="0" w:right="105" w:firstLine="0"/>
              <w:jc w:val="right"/>
            </w:pPr>
            <w:r>
              <w:rPr>
                <w:rFonts w:hint="eastAsia"/>
              </w:rPr>
              <w:t>流通</w:t>
            </w:r>
            <w:r>
              <w:t>受限股票</w:t>
            </w:r>
            <w:r w:rsidR="000D3436">
              <w:rPr>
                <w:rFonts w:hint="eastAsia"/>
              </w:rPr>
              <w:t>估值</w:t>
            </w:r>
            <w:r w:rsidR="002E52BB">
              <w:rPr>
                <w:rFonts w:hint="eastAsia"/>
              </w:rPr>
              <w:t>方法</w:t>
            </w:r>
          </w:p>
        </w:tc>
      </w:tr>
      <w:tr w:rsidR="002E52BB"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2E52BB" w:rsidRDefault="002E52BB" w:rsidP="002E52BB">
            <w:pPr>
              <w:spacing w:after="0"/>
              <w:ind w:left="2" w:firstLine="0"/>
              <w:jc w:val="both"/>
              <w:rPr>
                <w:sz w:val="23"/>
              </w:rPr>
            </w:pPr>
            <w:r>
              <w:rPr>
                <w:rFonts w:hint="eastAsia"/>
                <w:sz w:val="23"/>
              </w:rPr>
              <w:t>4</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ind w:left="2" w:firstLine="0"/>
            </w:pPr>
            <w:r>
              <w:rPr>
                <w:rFonts w:hint="eastAsia"/>
              </w:rPr>
              <w:t>600416</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ind w:left="2" w:firstLine="0"/>
            </w:pPr>
            <w:r>
              <w:rPr>
                <w:rFonts w:hint="eastAsia"/>
              </w:rPr>
              <w:t>湘电股份</w:t>
            </w:r>
          </w:p>
        </w:tc>
        <w:tc>
          <w:tcPr>
            <w:tcW w:w="1418"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2" w:right="120" w:firstLine="0"/>
              <w:jc w:val="right"/>
            </w:pPr>
            <w:r>
              <w:rPr>
                <w:rFonts w:hint="eastAsia"/>
              </w:rPr>
              <w:t>1,417,004</w:t>
            </w:r>
          </w:p>
        </w:tc>
        <w:tc>
          <w:tcPr>
            <w:tcW w:w="1275"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0" w:right="120" w:firstLine="0"/>
              <w:jc w:val="right"/>
            </w:pPr>
            <w:r>
              <w:rPr>
                <w:rFonts w:hint="eastAsia"/>
              </w:rPr>
              <w:t>11.58</w:t>
            </w:r>
          </w:p>
        </w:tc>
        <w:tc>
          <w:tcPr>
            <w:tcW w:w="2410"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16,408,906.32</w:t>
            </w:r>
          </w:p>
        </w:tc>
        <w:tc>
          <w:tcPr>
            <w:tcW w:w="2693"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流通</w:t>
            </w:r>
            <w:r>
              <w:t>受限股票</w:t>
            </w:r>
            <w:r>
              <w:rPr>
                <w:rFonts w:hint="eastAsia"/>
              </w:rPr>
              <w:t>估值方法</w:t>
            </w:r>
          </w:p>
        </w:tc>
      </w:tr>
      <w:tr w:rsidR="002E52BB"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2E52BB" w:rsidRDefault="002E52BB" w:rsidP="002E52BB">
            <w:pPr>
              <w:spacing w:after="0"/>
              <w:ind w:left="2" w:firstLine="0"/>
              <w:jc w:val="both"/>
              <w:rPr>
                <w:sz w:val="23"/>
              </w:rPr>
            </w:pPr>
            <w:r>
              <w:rPr>
                <w:rFonts w:hint="eastAsia"/>
                <w:sz w:val="23"/>
              </w:rPr>
              <w:t>5</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ind w:left="2" w:firstLine="0"/>
            </w:pPr>
            <w:r>
              <w:rPr>
                <w:rFonts w:hint="eastAsia"/>
              </w:rPr>
              <w:t>600579</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ind w:left="2" w:firstLine="0"/>
            </w:pPr>
            <w:r>
              <w:rPr>
                <w:rFonts w:hint="eastAsia"/>
              </w:rPr>
              <w:t>天华院</w:t>
            </w:r>
          </w:p>
        </w:tc>
        <w:tc>
          <w:tcPr>
            <w:tcW w:w="1418"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2" w:right="120" w:firstLine="0"/>
              <w:jc w:val="right"/>
            </w:pPr>
            <w:r>
              <w:rPr>
                <w:rFonts w:hint="eastAsia"/>
              </w:rPr>
              <w:t>1,360,000</w:t>
            </w:r>
          </w:p>
        </w:tc>
        <w:tc>
          <w:tcPr>
            <w:tcW w:w="1275"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0" w:right="120" w:firstLine="0"/>
              <w:jc w:val="right"/>
            </w:pPr>
            <w:r>
              <w:rPr>
                <w:rFonts w:hint="eastAsia"/>
              </w:rPr>
              <w:t>13.59</w:t>
            </w:r>
          </w:p>
        </w:tc>
        <w:tc>
          <w:tcPr>
            <w:tcW w:w="2410"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18,482,400.00</w:t>
            </w:r>
          </w:p>
        </w:tc>
        <w:tc>
          <w:tcPr>
            <w:tcW w:w="2693"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流通</w:t>
            </w:r>
            <w:r>
              <w:t>受限股票</w:t>
            </w:r>
            <w:r>
              <w:rPr>
                <w:rFonts w:hint="eastAsia"/>
              </w:rPr>
              <w:t>估值方法</w:t>
            </w:r>
          </w:p>
        </w:tc>
      </w:tr>
      <w:tr w:rsidR="002E52BB"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2E52BB" w:rsidRDefault="002E52BB" w:rsidP="002E52BB">
            <w:pPr>
              <w:spacing w:after="0"/>
              <w:ind w:left="2" w:firstLine="0"/>
              <w:jc w:val="both"/>
              <w:rPr>
                <w:sz w:val="23"/>
              </w:rPr>
            </w:pPr>
            <w:r>
              <w:rPr>
                <w:rFonts w:hint="eastAsia"/>
                <w:sz w:val="23"/>
              </w:rPr>
              <w:t>6</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ind w:left="2" w:firstLine="0"/>
            </w:pPr>
            <w:r>
              <w:rPr>
                <w:rFonts w:hint="eastAsia"/>
              </w:rPr>
              <w:t>002298</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ind w:left="2" w:firstLine="0"/>
            </w:pPr>
            <w:r>
              <w:rPr>
                <w:rFonts w:hint="eastAsia"/>
              </w:rPr>
              <w:t>中电鑫龙</w:t>
            </w:r>
          </w:p>
        </w:tc>
        <w:tc>
          <w:tcPr>
            <w:tcW w:w="1418"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2" w:right="120" w:firstLine="0"/>
              <w:jc w:val="right"/>
            </w:pPr>
            <w:r>
              <w:rPr>
                <w:rFonts w:hint="eastAsia"/>
              </w:rPr>
              <w:t>1,014,885</w:t>
            </w:r>
          </w:p>
        </w:tc>
        <w:tc>
          <w:tcPr>
            <w:tcW w:w="1275"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0" w:right="120" w:firstLine="0"/>
              <w:jc w:val="right"/>
            </w:pPr>
            <w:r>
              <w:rPr>
                <w:rFonts w:hint="eastAsia"/>
              </w:rPr>
              <w:t>8.47</w:t>
            </w:r>
          </w:p>
        </w:tc>
        <w:tc>
          <w:tcPr>
            <w:tcW w:w="2410"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8,596,075.95</w:t>
            </w:r>
          </w:p>
        </w:tc>
        <w:tc>
          <w:tcPr>
            <w:tcW w:w="2693"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流通</w:t>
            </w:r>
            <w:r>
              <w:t>受限股票</w:t>
            </w:r>
            <w:r>
              <w:rPr>
                <w:rFonts w:hint="eastAsia"/>
              </w:rPr>
              <w:t>估值方法</w:t>
            </w:r>
          </w:p>
        </w:tc>
      </w:tr>
      <w:tr w:rsidR="002E52BB"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2E52BB" w:rsidRDefault="002E52BB" w:rsidP="002E52BB">
            <w:pPr>
              <w:spacing w:after="0"/>
              <w:ind w:left="2" w:firstLine="0"/>
              <w:jc w:val="both"/>
              <w:rPr>
                <w:sz w:val="23"/>
              </w:rPr>
            </w:pPr>
            <w:r>
              <w:rPr>
                <w:rFonts w:hint="eastAsia"/>
                <w:sz w:val="23"/>
              </w:rPr>
              <w:t>7</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ind w:left="2" w:firstLine="0"/>
            </w:pPr>
            <w:r>
              <w:rPr>
                <w:rFonts w:hint="eastAsia"/>
              </w:rPr>
              <w:t>002303</w:t>
            </w:r>
          </w:p>
        </w:tc>
        <w:tc>
          <w:tcPr>
            <w:tcW w:w="1134" w:type="dxa"/>
            <w:tcBorders>
              <w:top w:val="single" w:sz="6" w:space="0" w:color="000000"/>
              <w:left w:val="single" w:sz="6" w:space="0" w:color="000000"/>
              <w:bottom w:val="single" w:sz="4" w:space="0" w:color="000000"/>
              <w:right w:val="single" w:sz="6" w:space="0" w:color="000000"/>
            </w:tcBorders>
          </w:tcPr>
          <w:p w:rsidR="002E52BB" w:rsidRPr="00EF43BF" w:rsidRDefault="002E52BB" w:rsidP="002E52BB">
            <w:pPr>
              <w:spacing w:after="0"/>
            </w:pPr>
            <w:r>
              <w:rPr>
                <w:rFonts w:hint="eastAsia"/>
              </w:rPr>
              <w:t>美盈森</w:t>
            </w:r>
          </w:p>
        </w:tc>
        <w:tc>
          <w:tcPr>
            <w:tcW w:w="1418"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2" w:right="120" w:firstLine="0"/>
              <w:jc w:val="right"/>
            </w:pPr>
            <w:r>
              <w:rPr>
                <w:rFonts w:hint="eastAsia"/>
              </w:rPr>
              <w:t>198,728</w:t>
            </w:r>
          </w:p>
        </w:tc>
        <w:tc>
          <w:tcPr>
            <w:tcW w:w="1275"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0" w:right="120" w:firstLine="0"/>
              <w:jc w:val="right"/>
            </w:pPr>
            <w:r>
              <w:rPr>
                <w:rFonts w:hint="eastAsia"/>
              </w:rPr>
              <w:t>6.57</w:t>
            </w:r>
          </w:p>
        </w:tc>
        <w:tc>
          <w:tcPr>
            <w:tcW w:w="2410"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1,305,642.96</w:t>
            </w:r>
          </w:p>
        </w:tc>
        <w:tc>
          <w:tcPr>
            <w:tcW w:w="2693" w:type="dxa"/>
            <w:tcBorders>
              <w:top w:val="single" w:sz="6" w:space="0" w:color="000000"/>
              <w:left w:val="single" w:sz="6" w:space="0" w:color="000000"/>
              <w:bottom w:val="single" w:sz="4" w:space="0" w:color="000000"/>
              <w:right w:val="single" w:sz="4" w:space="0" w:color="000000"/>
            </w:tcBorders>
          </w:tcPr>
          <w:p w:rsidR="002E52BB" w:rsidRPr="00EF43BF" w:rsidRDefault="002E52BB" w:rsidP="002E52BB">
            <w:pPr>
              <w:spacing w:after="0"/>
              <w:ind w:left="0" w:right="105" w:firstLine="0"/>
              <w:jc w:val="right"/>
            </w:pPr>
            <w:r>
              <w:rPr>
                <w:rFonts w:hint="eastAsia"/>
              </w:rPr>
              <w:t>流通</w:t>
            </w:r>
            <w:r>
              <w:t>受限股票</w:t>
            </w:r>
            <w:r>
              <w:rPr>
                <w:rFonts w:hint="eastAsia"/>
              </w:rPr>
              <w:t>估值方法</w:t>
            </w:r>
          </w:p>
        </w:tc>
      </w:tr>
      <w:tr w:rsidR="002E52BB"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2E52BB" w:rsidRDefault="002E52BB" w:rsidP="002E52BB">
            <w:pPr>
              <w:spacing w:after="0"/>
              <w:ind w:left="2" w:firstLine="0"/>
              <w:jc w:val="both"/>
              <w:rPr>
                <w:sz w:val="23"/>
              </w:rPr>
            </w:pPr>
            <w:r>
              <w:rPr>
                <w:rFonts w:hint="eastAsia"/>
                <w:sz w:val="23"/>
              </w:rPr>
              <w:t>8</w:t>
            </w:r>
          </w:p>
        </w:tc>
        <w:tc>
          <w:tcPr>
            <w:tcW w:w="1134"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2" w:firstLine="0"/>
              <w:rPr>
                <w:sz w:val="23"/>
              </w:rPr>
            </w:pPr>
            <w:r>
              <w:rPr>
                <w:rFonts w:hint="eastAsia"/>
                <w:sz w:val="23"/>
              </w:rPr>
              <w:t>002494</w:t>
            </w:r>
          </w:p>
        </w:tc>
        <w:tc>
          <w:tcPr>
            <w:tcW w:w="1134"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rPr>
                <w:sz w:val="23"/>
              </w:rPr>
            </w:pPr>
            <w:r>
              <w:rPr>
                <w:rFonts w:hint="eastAsia"/>
                <w:sz w:val="23"/>
              </w:rPr>
              <w:t>华斯</w:t>
            </w:r>
            <w:r>
              <w:rPr>
                <w:sz w:val="23"/>
              </w:rPr>
              <w:t>股份</w:t>
            </w:r>
          </w:p>
        </w:tc>
        <w:tc>
          <w:tcPr>
            <w:tcW w:w="1418"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2" w:firstLine="0"/>
              <w:jc w:val="center"/>
            </w:pPr>
            <w:r>
              <w:rPr>
                <w:rFonts w:hint="eastAsia"/>
              </w:rPr>
              <w:t>309,023</w:t>
            </w:r>
          </w:p>
        </w:tc>
        <w:tc>
          <w:tcPr>
            <w:tcW w:w="1275" w:type="dxa"/>
            <w:tcBorders>
              <w:top w:val="single" w:sz="6" w:space="0" w:color="000000"/>
              <w:left w:val="single" w:sz="6" w:space="0" w:color="000000"/>
              <w:bottom w:val="single" w:sz="4" w:space="0" w:color="000000"/>
              <w:right w:val="single" w:sz="6" w:space="0" w:color="000000"/>
            </w:tcBorders>
          </w:tcPr>
          <w:p w:rsidR="002E52BB" w:rsidRDefault="002E52BB" w:rsidP="002E52BB">
            <w:pPr>
              <w:spacing w:after="0"/>
              <w:ind w:left="0" w:right="120" w:firstLine="0"/>
              <w:jc w:val="right"/>
            </w:pPr>
            <w:r>
              <w:rPr>
                <w:rFonts w:hint="eastAsia"/>
              </w:rPr>
              <w:t>7.94</w:t>
            </w:r>
          </w:p>
        </w:tc>
        <w:tc>
          <w:tcPr>
            <w:tcW w:w="2410" w:type="dxa"/>
            <w:tcBorders>
              <w:top w:val="single" w:sz="6" w:space="0" w:color="000000"/>
              <w:left w:val="single" w:sz="6" w:space="0" w:color="000000"/>
              <w:bottom w:val="single" w:sz="4" w:space="0" w:color="000000"/>
              <w:right w:val="single" w:sz="4" w:space="0" w:color="000000"/>
            </w:tcBorders>
          </w:tcPr>
          <w:p w:rsidR="002E52BB" w:rsidRPr="00952C7A" w:rsidRDefault="002E52BB" w:rsidP="002E52BB">
            <w:pPr>
              <w:spacing w:after="0"/>
              <w:ind w:left="0" w:right="105" w:firstLine="0"/>
              <w:jc w:val="right"/>
            </w:pPr>
            <w:r w:rsidRPr="00952C7A">
              <w:rPr>
                <w:rFonts w:hint="eastAsia"/>
              </w:rPr>
              <w:t>2,453,642.62</w:t>
            </w:r>
          </w:p>
        </w:tc>
        <w:tc>
          <w:tcPr>
            <w:tcW w:w="2693" w:type="dxa"/>
            <w:tcBorders>
              <w:top w:val="single" w:sz="6" w:space="0" w:color="000000"/>
              <w:left w:val="single" w:sz="6" w:space="0" w:color="000000"/>
              <w:bottom w:val="single" w:sz="4" w:space="0" w:color="000000"/>
              <w:right w:val="single" w:sz="4" w:space="0" w:color="000000"/>
            </w:tcBorders>
          </w:tcPr>
          <w:p w:rsidR="002E52BB" w:rsidRPr="00952C7A" w:rsidRDefault="002E52BB" w:rsidP="002E52BB">
            <w:pPr>
              <w:spacing w:after="0"/>
              <w:ind w:left="0" w:right="105" w:firstLine="0"/>
              <w:jc w:val="right"/>
            </w:pPr>
            <w:r>
              <w:rPr>
                <w:rFonts w:hint="eastAsia"/>
              </w:rPr>
              <w:t>流通</w:t>
            </w:r>
            <w:r>
              <w:t>受限股票</w:t>
            </w:r>
            <w:r>
              <w:rPr>
                <w:rFonts w:hint="eastAsia"/>
              </w:rPr>
              <w:t>估值方法</w:t>
            </w:r>
          </w:p>
        </w:tc>
      </w:tr>
      <w:tr w:rsidR="00A269F9" w:rsidTr="00D52848">
        <w:trPr>
          <w:trHeight w:val="324"/>
        </w:trPr>
        <w:tc>
          <w:tcPr>
            <w:tcW w:w="709" w:type="dxa"/>
            <w:tcBorders>
              <w:top w:val="single" w:sz="6" w:space="0" w:color="000000"/>
              <w:left w:val="single" w:sz="4" w:space="0" w:color="000000"/>
              <w:bottom w:val="single" w:sz="4" w:space="0" w:color="000000"/>
              <w:right w:val="single" w:sz="6" w:space="0" w:color="000000"/>
            </w:tcBorders>
          </w:tcPr>
          <w:p w:rsidR="00EF43BF" w:rsidRDefault="00EF43BF">
            <w:pPr>
              <w:spacing w:after="0"/>
              <w:ind w:left="2" w:firstLine="0"/>
              <w:jc w:val="both"/>
            </w:pPr>
            <w:r>
              <w:rPr>
                <w:sz w:val="23"/>
              </w:rPr>
              <w:t xml:space="preserve">合计  </w:t>
            </w:r>
          </w:p>
        </w:tc>
        <w:tc>
          <w:tcPr>
            <w:tcW w:w="1134" w:type="dxa"/>
            <w:tcBorders>
              <w:top w:val="single" w:sz="6" w:space="0" w:color="000000"/>
              <w:left w:val="single" w:sz="6" w:space="0" w:color="000000"/>
              <w:bottom w:val="single" w:sz="4" w:space="0" w:color="000000"/>
              <w:right w:val="single" w:sz="6" w:space="0" w:color="000000"/>
            </w:tcBorders>
          </w:tcPr>
          <w:p w:rsidR="00EF43BF" w:rsidRDefault="00EF43BF">
            <w:pPr>
              <w:spacing w:after="0"/>
              <w:ind w:left="2" w:firstLine="0"/>
            </w:pPr>
          </w:p>
        </w:tc>
        <w:tc>
          <w:tcPr>
            <w:tcW w:w="1134" w:type="dxa"/>
            <w:tcBorders>
              <w:top w:val="single" w:sz="6" w:space="0" w:color="000000"/>
              <w:left w:val="single" w:sz="6" w:space="0" w:color="000000"/>
              <w:bottom w:val="single" w:sz="4" w:space="0" w:color="000000"/>
              <w:right w:val="single" w:sz="6" w:space="0" w:color="000000"/>
            </w:tcBorders>
          </w:tcPr>
          <w:p w:rsidR="00EF43BF" w:rsidRDefault="00EF43BF">
            <w:pPr>
              <w:spacing w:after="0"/>
              <w:ind w:left="2" w:firstLine="0"/>
            </w:pPr>
          </w:p>
        </w:tc>
        <w:tc>
          <w:tcPr>
            <w:tcW w:w="1418" w:type="dxa"/>
            <w:tcBorders>
              <w:top w:val="single" w:sz="6" w:space="0" w:color="000000"/>
              <w:left w:val="single" w:sz="6" w:space="0" w:color="000000"/>
              <w:bottom w:val="single" w:sz="4" w:space="0" w:color="000000"/>
              <w:right w:val="single" w:sz="6" w:space="0" w:color="000000"/>
            </w:tcBorders>
          </w:tcPr>
          <w:p w:rsidR="00EF43BF" w:rsidRDefault="00EF43BF">
            <w:pPr>
              <w:spacing w:after="0"/>
              <w:ind w:left="2" w:firstLine="0"/>
            </w:pPr>
          </w:p>
        </w:tc>
        <w:tc>
          <w:tcPr>
            <w:tcW w:w="1275" w:type="dxa"/>
            <w:tcBorders>
              <w:top w:val="single" w:sz="6" w:space="0" w:color="000000"/>
              <w:left w:val="single" w:sz="6" w:space="0" w:color="000000"/>
              <w:bottom w:val="single" w:sz="4" w:space="0" w:color="000000"/>
              <w:right w:val="single" w:sz="6" w:space="0" w:color="000000"/>
            </w:tcBorders>
          </w:tcPr>
          <w:p w:rsidR="00EF43BF" w:rsidRDefault="00EF43BF">
            <w:pPr>
              <w:spacing w:after="0"/>
              <w:ind w:left="0" w:firstLine="0"/>
            </w:pPr>
          </w:p>
        </w:tc>
        <w:tc>
          <w:tcPr>
            <w:tcW w:w="2410" w:type="dxa"/>
            <w:tcBorders>
              <w:top w:val="single" w:sz="6" w:space="0" w:color="000000"/>
              <w:left w:val="single" w:sz="6" w:space="0" w:color="000000"/>
              <w:bottom w:val="single" w:sz="4" w:space="0" w:color="000000"/>
              <w:right w:val="single" w:sz="4" w:space="0" w:color="000000"/>
            </w:tcBorders>
          </w:tcPr>
          <w:p w:rsidR="00EF43BF" w:rsidRPr="002F7C15" w:rsidRDefault="00A269F9">
            <w:pPr>
              <w:spacing w:after="0"/>
              <w:ind w:left="0" w:right="105" w:firstLine="0"/>
              <w:jc w:val="right"/>
              <w:rPr>
                <w:b/>
              </w:rPr>
            </w:pPr>
            <w:r>
              <w:rPr>
                <w:b/>
              </w:rPr>
              <w:t>75,808</w:t>
            </w:r>
            <w:r w:rsidR="00EF43BF" w:rsidRPr="002F7C15">
              <w:rPr>
                <w:rFonts w:hint="eastAsia"/>
                <w:b/>
              </w:rPr>
              <w:t>,</w:t>
            </w:r>
            <w:r>
              <w:rPr>
                <w:b/>
              </w:rPr>
              <w:t>950</w:t>
            </w:r>
            <w:r>
              <w:rPr>
                <w:rFonts w:hint="eastAsia"/>
                <w:b/>
              </w:rPr>
              <w:t>.21</w:t>
            </w:r>
          </w:p>
        </w:tc>
        <w:tc>
          <w:tcPr>
            <w:tcW w:w="2693" w:type="dxa"/>
            <w:tcBorders>
              <w:top w:val="single" w:sz="6" w:space="0" w:color="000000"/>
              <w:left w:val="single" w:sz="6" w:space="0" w:color="000000"/>
              <w:bottom w:val="single" w:sz="4" w:space="0" w:color="000000"/>
              <w:right w:val="single" w:sz="4" w:space="0" w:color="000000"/>
            </w:tcBorders>
          </w:tcPr>
          <w:p w:rsidR="00EF43BF" w:rsidRPr="002F7C15" w:rsidRDefault="00EF43BF">
            <w:pPr>
              <w:spacing w:after="0"/>
              <w:ind w:left="0" w:right="105" w:firstLine="0"/>
              <w:jc w:val="right"/>
              <w:rPr>
                <w:b/>
              </w:rPr>
            </w:pPr>
          </w:p>
        </w:tc>
      </w:tr>
    </w:tbl>
    <w:p w:rsidR="00586D78" w:rsidRPr="00266749" w:rsidRDefault="002E52BB" w:rsidP="00D52848">
      <w:pPr>
        <w:spacing w:after="193"/>
        <w:ind w:left="0" w:firstLine="0"/>
      </w:pPr>
      <w:r>
        <w:rPr>
          <w:rFonts w:hint="eastAsia"/>
        </w:rPr>
        <w:t>注:</w:t>
      </w:r>
      <w:r w:rsidR="00CA351F">
        <w:rPr>
          <w:rFonts w:hint="eastAsia"/>
        </w:rPr>
        <w:t>依据中国证券投资基金</w:t>
      </w:r>
      <w:r w:rsidR="00CA351F">
        <w:t>业协会</w:t>
      </w:r>
      <w:r w:rsidR="00CA351F">
        <w:rPr>
          <w:rFonts w:hint="eastAsia"/>
        </w:rPr>
        <w:t>发布</w:t>
      </w:r>
      <w:r w:rsidR="00CA351F">
        <w:t>的</w:t>
      </w:r>
      <w:r w:rsidR="00CA351F">
        <w:rPr>
          <w:rFonts w:hint="eastAsia"/>
        </w:rPr>
        <w:t>《证券投资</w:t>
      </w:r>
      <w:r w:rsidR="00CA351F">
        <w:t>基金</w:t>
      </w:r>
      <w:r w:rsidR="00CA351F">
        <w:rPr>
          <w:rFonts w:hint="eastAsia"/>
        </w:rPr>
        <w:t>投资流通受限股票估值</w:t>
      </w:r>
      <w:r w:rsidR="00CA351F">
        <w:t>指引</w:t>
      </w:r>
      <w:r w:rsidR="00CA351F">
        <w:rPr>
          <w:rFonts w:hint="eastAsia"/>
        </w:rPr>
        <w:t>》的</w:t>
      </w:r>
      <w:r w:rsidR="00CA351F">
        <w:t>通知</w:t>
      </w:r>
      <w:r w:rsidR="00CA351F">
        <w:rPr>
          <w:rFonts w:hint="eastAsia"/>
        </w:rPr>
        <w:t>，本</w:t>
      </w:r>
      <w:r w:rsidR="00CA351F">
        <w:t>基金于</w:t>
      </w:r>
      <w:r w:rsidR="00CA351F">
        <w:rPr>
          <w:rFonts w:hint="eastAsia"/>
        </w:rPr>
        <w:t>2017年12月5日</w:t>
      </w:r>
      <w:r w:rsidR="00CA351F">
        <w:t>起</w:t>
      </w:r>
      <w:r w:rsidR="00CA351F">
        <w:rPr>
          <w:rFonts w:hint="eastAsia"/>
        </w:rPr>
        <w:t>开始</w:t>
      </w:r>
      <w:r w:rsidR="00CA351F">
        <w:t>执行</w:t>
      </w:r>
      <w:r w:rsidR="00CA351F">
        <w:rPr>
          <w:rFonts w:hint="eastAsia"/>
        </w:rPr>
        <w:t>流通</w:t>
      </w:r>
      <w:r w:rsidR="00CA351F">
        <w:t>受限</w:t>
      </w:r>
      <w:r w:rsidR="00CA351F">
        <w:rPr>
          <w:rFonts w:hint="eastAsia"/>
        </w:rPr>
        <w:t>股票</w:t>
      </w:r>
      <w:r w:rsidR="00CA351F">
        <w:t>估值方法</w:t>
      </w:r>
      <w:r w:rsidR="00C96A8F">
        <w:rPr>
          <w:rFonts w:hint="eastAsia"/>
        </w:rPr>
        <w:t>(</w:t>
      </w:r>
      <w:r w:rsidR="00CA351F">
        <w:rPr>
          <w:rFonts w:hint="eastAsia"/>
        </w:rPr>
        <w:t>详见</w:t>
      </w:r>
      <w:r w:rsidR="00CA351F">
        <w:t>我司</w:t>
      </w:r>
      <w:r w:rsidR="00CA351F">
        <w:rPr>
          <w:rFonts w:hint="eastAsia"/>
        </w:rPr>
        <w:t>于2017年12月2日</w:t>
      </w:r>
      <w:r w:rsidR="00266749">
        <w:rPr>
          <w:rFonts w:hint="eastAsia"/>
        </w:rPr>
        <w:t>发布</w:t>
      </w:r>
      <w:r w:rsidR="00266749">
        <w:t>的</w:t>
      </w:r>
      <w:r w:rsidR="00266749" w:rsidRPr="00266749">
        <w:t>《</w:t>
      </w:r>
      <w:r w:rsidR="00266749" w:rsidRPr="00266749">
        <w:rPr>
          <w:rFonts w:hint="eastAsia"/>
        </w:rPr>
        <w:t>泰达宏利基金管理有限公司关于调整旗下证券投资基金持有流通受限股票估值方法的公告》</w:t>
      </w:r>
      <w:r w:rsidR="00C96A8F">
        <w:rPr>
          <w:rFonts w:hint="eastAsia"/>
        </w:rPr>
        <w:t>)</w:t>
      </w:r>
      <w:r w:rsidR="00266749">
        <w:rPr>
          <w:rFonts w:hint="eastAsia"/>
        </w:rPr>
        <w:t>。</w:t>
      </w:r>
    </w:p>
    <w:p w:rsidR="00586D78" w:rsidRDefault="00586D78" w:rsidP="00586D78">
      <w:pPr>
        <w:spacing w:after="193"/>
      </w:pPr>
    </w:p>
    <w:p w:rsidR="00583F83" w:rsidRPr="00575A40" w:rsidRDefault="00C11EC9" w:rsidP="00D85E00">
      <w:pPr>
        <w:spacing w:after="193"/>
        <w:ind w:left="840" w:firstLine="0"/>
      </w:pPr>
      <w:r>
        <w:rPr>
          <w:rFonts w:asciiTheme="minorEastAsia" w:eastAsiaTheme="minorEastAsia" w:hAnsiTheme="minorEastAsia" w:cs="Times New Roman" w:hint="eastAsia"/>
          <w:szCs w:val="24"/>
          <w:highlight w:val="lightGray"/>
          <w:u w:color="000000"/>
        </w:rPr>
        <w:t>(2)</w:t>
      </w:r>
      <w:r w:rsidR="00E22DB5">
        <w:t>本次清算期间（</w:t>
      </w:r>
      <w:r w:rsidR="006C3BBA">
        <w:rPr>
          <w:rFonts w:ascii="Times New Roman" w:eastAsiaTheme="minorEastAsia" w:hAnsi="Times New Roman" w:cs="Times New Roman" w:hint="eastAsia"/>
        </w:rPr>
        <w:t>2017</w:t>
      </w:r>
      <w:r w:rsidR="00E22DB5">
        <w:t>年</w:t>
      </w:r>
      <w:r w:rsidR="00C056D9">
        <w:rPr>
          <w:rFonts w:ascii="Times New Roman" w:eastAsiaTheme="minorEastAsia" w:hAnsi="Times New Roman" w:cs="Times New Roman"/>
        </w:rPr>
        <w:t>12</w:t>
      </w:r>
      <w:r w:rsidR="00E22DB5">
        <w:t>月</w:t>
      </w:r>
      <w:r w:rsidR="00C056D9">
        <w:rPr>
          <w:rFonts w:ascii="Times New Roman" w:eastAsiaTheme="minorEastAsia" w:hAnsi="Times New Roman" w:cs="Times New Roman"/>
        </w:rPr>
        <w:t>30</w:t>
      </w:r>
      <w:r w:rsidR="00E22DB5">
        <w:t>日至</w:t>
      </w:r>
      <w:r w:rsidR="00C653F7">
        <w:rPr>
          <w:rFonts w:ascii="Times New Roman" w:eastAsia="Times New Roman" w:hAnsi="Times New Roman" w:cs="Times New Roman"/>
        </w:rPr>
        <w:t>20</w:t>
      </w:r>
      <w:r w:rsidR="00C056D9">
        <w:rPr>
          <w:rFonts w:ascii="Times New Roman" w:eastAsia="Times New Roman" w:hAnsi="Times New Roman" w:cs="Times New Roman"/>
        </w:rPr>
        <w:t>18</w:t>
      </w:r>
      <w:r w:rsidR="00E22DB5">
        <w:t>年</w:t>
      </w:r>
      <w:r w:rsidR="00994A7A">
        <w:rPr>
          <w:rFonts w:ascii="Times New Roman" w:eastAsia="Times New Roman" w:hAnsi="Times New Roman" w:cs="Times New Roman"/>
        </w:rPr>
        <w:t>3</w:t>
      </w:r>
      <w:r w:rsidR="00E22DB5">
        <w:t>月</w:t>
      </w:r>
      <w:r w:rsidR="00994A7A">
        <w:rPr>
          <w:rFonts w:ascii="Times New Roman" w:eastAsia="Times New Roman" w:hAnsi="Times New Roman" w:cs="Times New Roman"/>
        </w:rPr>
        <w:t>5</w:t>
      </w:r>
      <w:r w:rsidR="00E22DB5">
        <w:t>日）停牌股票复牌及处置情况：</w:t>
      </w:r>
    </w:p>
    <w:p w:rsidR="00F44C80" w:rsidRPr="00424901" w:rsidRDefault="00144FEE" w:rsidP="00D52848">
      <w:pPr>
        <w:spacing w:after="193"/>
        <w:ind w:leftChars="250" w:left="1320" w:hangingChars="300" w:hanging="720"/>
      </w:pPr>
      <w:r>
        <w:rPr>
          <w:rFonts w:hint="eastAsia"/>
        </w:rPr>
        <w:t>（</w:t>
      </w:r>
      <w:r>
        <w:t>a）</w:t>
      </w:r>
      <w:r w:rsidR="00F44C80" w:rsidRPr="00D52848">
        <w:rPr>
          <w:rFonts w:hint="eastAsia"/>
        </w:rPr>
        <w:t>本基金持有的</w:t>
      </w:r>
      <w:r w:rsidR="00E31B95">
        <w:t xml:space="preserve">600579 </w:t>
      </w:r>
      <w:r w:rsidR="00E31B95">
        <w:rPr>
          <w:rFonts w:hint="eastAsia"/>
        </w:rPr>
        <w:t>天华院（非</w:t>
      </w:r>
      <w:r w:rsidR="00E31B95">
        <w:t>流通受限部分）</w:t>
      </w:r>
      <w:r w:rsidR="00F44C80" w:rsidRPr="00D52848">
        <w:rPr>
          <w:rFonts w:hint="eastAsia"/>
        </w:rPr>
        <w:t>已于</w:t>
      </w:r>
      <w:r w:rsidR="00F44C80" w:rsidRPr="00D52848">
        <w:t>201</w:t>
      </w:r>
      <w:r w:rsidR="00E31B95">
        <w:t>8</w:t>
      </w:r>
      <w:r w:rsidR="00F44C80" w:rsidRPr="00D52848">
        <w:rPr>
          <w:rFonts w:hint="eastAsia"/>
        </w:rPr>
        <w:t>年</w:t>
      </w:r>
      <w:r w:rsidR="00E31B95">
        <w:t>1</w:t>
      </w:r>
      <w:r w:rsidR="00F44C80" w:rsidRPr="00D52848">
        <w:rPr>
          <w:rFonts w:hint="eastAsia"/>
        </w:rPr>
        <w:t>月</w:t>
      </w:r>
      <w:r w:rsidR="00F44C80" w:rsidRPr="00D52848">
        <w:t>2</w:t>
      </w:r>
      <w:r w:rsidR="00F44C80" w:rsidRPr="00D52848">
        <w:rPr>
          <w:rFonts w:hint="eastAsia"/>
        </w:rPr>
        <w:t>日复牌，并于</w:t>
      </w:r>
      <w:r w:rsidR="000D3436">
        <w:rPr>
          <w:rFonts w:hint="eastAsia"/>
        </w:rPr>
        <w:t>清算期间</w:t>
      </w:r>
      <w:r w:rsidR="00E31B95">
        <w:t>全部</w:t>
      </w:r>
      <w:r w:rsidR="00F44C80" w:rsidRPr="00D52848">
        <w:rPr>
          <w:rFonts w:hint="eastAsia"/>
        </w:rPr>
        <w:t>卖出，卖出所得金额共计</w:t>
      </w:r>
      <w:r w:rsidR="00994A7A" w:rsidRPr="00D85E00">
        <w:rPr>
          <w:color w:val="auto"/>
        </w:rPr>
        <w:t>16,880,471.46</w:t>
      </w:r>
      <w:r w:rsidR="00F44C80" w:rsidRPr="00D52848">
        <w:rPr>
          <w:rFonts w:hint="eastAsia"/>
        </w:rPr>
        <w:t>元。</w:t>
      </w:r>
    </w:p>
    <w:p w:rsidR="005F4B42" w:rsidRDefault="005F4B42" w:rsidP="005F4B42">
      <w:pPr>
        <w:spacing w:after="164"/>
        <w:ind w:left="490"/>
      </w:pPr>
      <w:r>
        <w:t xml:space="preserve">  (b) 截至本次清算期结束日（</w:t>
      </w:r>
      <w:r>
        <w:rPr>
          <w:rFonts w:ascii="Times New Roman" w:eastAsia="Times New Roman" w:hAnsi="Times New Roman" w:cs="Times New Roman"/>
        </w:rPr>
        <w:t>2018</w:t>
      </w:r>
      <w:r>
        <w:t>年</w:t>
      </w:r>
      <w:r>
        <w:rPr>
          <w:rFonts w:ascii="Times New Roman" w:eastAsia="Times New Roman" w:hAnsi="Times New Roman" w:cs="Times New Roman"/>
        </w:rPr>
        <w:t>3</w:t>
      </w:r>
      <w:r>
        <w:t>月</w:t>
      </w:r>
      <w:r>
        <w:rPr>
          <w:rFonts w:ascii="Times New Roman" w:eastAsia="Times New Roman" w:hAnsi="Times New Roman" w:cs="Times New Roman"/>
        </w:rPr>
        <w:t>5</w:t>
      </w:r>
      <w:r>
        <w:t>日），本基金所持</w:t>
      </w:r>
      <w:r>
        <w:rPr>
          <w:rFonts w:hint="eastAsia"/>
        </w:rPr>
        <w:t>流通受限</w:t>
      </w:r>
      <w:r>
        <w:t>股票均未</w:t>
      </w:r>
      <w:r w:rsidR="00EF595F">
        <w:rPr>
          <w:rFonts w:hint="eastAsia"/>
        </w:rPr>
        <w:t>至</w:t>
      </w:r>
      <w:r w:rsidR="003157B8">
        <w:rPr>
          <w:rFonts w:hint="eastAsia"/>
        </w:rPr>
        <w:t>解除限售日</w:t>
      </w:r>
      <w:r>
        <w:t>。</w:t>
      </w:r>
    </w:p>
    <w:p w:rsidR="00C056D9" w:rsidRPr="005F4B42" w:rsidRDefault="00235CC3" w:rsidP="005F4B42">
      <w:pPr>
        <w:spacing w:line="376" w:lineRule="auto"/>
        <w:ind w:left="-15" w:firstLine="480"/>
      </w:pPr>
      <w:r>
        <w:t>截至本次清算期结束日（</w:t>
      </w:r>
      <w:r>
        <w:rPr>
          <w:rFonts w:ascii="Times New Roman" w:eastAsia="Times New Roman" w:hAnsi="Times New Roman" w:cs="Times New Roman"/>
        </w:rPr>
        <w:t>2018</w:t>
      </w:r>
      <w:r>
        <w:t>年</w:t>
      </w:r>
      <w:r>
        <w:rPr>
          <w:rFonts w:ascii="Times New Roman" w:eastAsia="Times New Roman" w:hAnsi="Times New Roman" w:cs="Times New Roman"/>
        </w:rPr>
        <w:t>3</w:t>
      </w:r>
      <w:r>
        <w:t>月</w:t>
      </w:r>
      <w:r>
        <w:rPr>
          <w:rFonts w:ascii="Times New Roman" w:eastAsia="Times New Roman" w:hAnsi="Times New Roman" w:cs="Times New Roman"/>
        </w:rPr>
        <w:t>5</w:t>
      </w:r>
      <w:r>
        <w:t>日），</w:t>
      </w:r>
      <w:r w:rsidR="00E100EA">
        <w:rPr>
          <w:rFonts w:hint="eastAsia"/>
        </w:rPr>
        <w:t>本基金持有停牌和流通</w:t>
      </w:r>
      <w:r w:rsidR="00E100EA">
        <w:t>受限股票</w:t>
      </w:r>
      <w:r w:rsidR="00E100EA">
        <w:rPr>
          <w:rFonts w:hint="eastAsia"/>
        </w:rPr>
        <w:t>资产人民币合计56,469,750.21元。</w:t>
      </w:r>
      <w:r w:rsidR="00B1356C">
        <w:t>根据基金管理人</w:t>
      </w:r>
      <w:r w:rsidR="00B1356C">
        <w:rPr>
          <w:rFonts w:asciiTheme="minorEastAsia" w:eastAsiaTheme="minorEastAsia" w:hAnsiTheme="minorEastAsia" w:cs="Times New Roman" w:hint="eastAsia"/>
        </w:rPr>
        <w:t>201</w:t>
      </w:r>
      <w:r w:rsidR="00B1356C">
        <w:rPr>
          <w:rFonts w:asciiTheme="minorEastAsia" w:eastAsiaTheme="minorEastAsia" w:hAnsiTheme="minorEastAsia" w:cs="Times New Roman"/>
        </w:rPr>
        <w:t>7</w:t>
      </w:r>
      <w:r w:rsidR="00B1356C">
        <w:t>年</w:t>
      </w:r>
      <w:r w:rsidR="00B1356C">
        <w:rPr>
          <w:rFonts w:hint="eastAsia"/>
        </w:rPr>
        <w:t>12</w:t>
      </w:r>
      <w:r w:rsidR="00B1356C">
        <w:t>月</w:t>
      </w:r>
      <w:r w:rsidR="00B1356C">
        <w:rPr>
          <w:rFonts w:asciiTheme="minorEastAsia" w:eastAsiaTheme="minorEastAsia" w:hAnsiTheme="minorEastAsia" w:cs="Times New Roman" w:hint="eastAsia"/>
        </w:rPr>
        <w:t>30</w:t>
      </w:r>
      <w:r w:rsidR="00B1356C">
        <w:t>日发布的《关于</w:t>
      </w:r>
      <w:r w:rsidR="00B1356C">
        <w:rPr>
          <w:rFonts w:hint="eastAsia"/>
        </w:rPr>
        <w:t>泰达宏利</w:t>
      </w:r>
      <w:r w:rsidR="00B1356C">
        <w:t>增利灵活配置定期开放混合型证券投资基金基金合同终止及财产清算的公告》，</w:t>
      </w:r>
      <w:r w:rsidR="00B1356C">
        <w:rPr>
          <w:rFonts w:hint="eastAsia"/>
        </w:rPr>
        <w:t>从保护基金份额持有人利益的角度出发,本基金优先向除基金管理人以外的其他份额持有人分配剩余资产</w:t>
      </w:r>
      <w:r w:rsidR="00130035">
        <w:rPr>
          <w:rFonts w:hint="eastAsia"/>
        </w:rPr>
        <w:t>,</w:t>
      </w:r>
      <w:r w:rsidR="001C4225">
        <w:rPr>
          <w:rFonts w:hint="eastAsia"/>
        </w:rPr>
        <w:t>剩余</w:t>
      </w:r>
      <w:r w:rsidR="00B1356C">
        <w:rPr>
          <w:rFonts w:hint="eastAsia"/>
        </w:rPr>
        <w:t>不足部分基金管理人以自有资金垫付。</w:t>
      </w:r>
      <w:r w:rsidR="005F4B42">
        <w:t>待</w:t>
      </w:r>
      <w:r w:rsidR="00267DDC">
        <w:rPr>
          <w:rFonts w:hint="eastAsia"/>
        </w:rPr>
        <w:t>剩余</w:t>
      </w:r>
      <w:r w:rsidR="005F4B42">
        <w:t>停牌</w:t>
      </w:r>
      <w:r w:rsidR="00597E07">
        <w:rPr>
          <w:rFonts w:hint="eastAsia"/>
        </w:rPr>
        <w:t>和流通受限</w:t>
      </w:r>
      <w:r w:rsidR="005F4B42">
        <w:t>股票变现后，若本基金</w:t>
      </w:r>
      <w:r w:rsidR="00541750">
        <w:rPr>
          <w:rFonts w:hint="eastAsia"/>
        </w:rPr>
        <w:t>于清算结束日</w:t>
      </w:r>
      <w:r w:rsidR="005F4B42">
        <w:t>所持</w:t>
      </w:r>
      <w:r w:rsidR="00541750">
        <w:rPr>
          <w:rFonts w:hint="eastAsia"/>
        </w:rPr>
        <w:t>有的</w:t>
      </w:r>
      <w:r w:rsidR="00267DDC">
        <w:rPr>
          <w:rFonts w:hint="eastAsia"/>
        </w:rPr>
        <w:t>剩余停牌和流通受限</w:t>
      </w:r>
      <w:r w:rsidR="005F4B42">
        <w:t>股票</w:t>
      </w:r>
      <w:r w:rsidR="00541750">
        <w:rPr>
          <w:rFonts w:hint="eastAsia"/>
        </w:rPr>
        <w:t>恢复流通后的</w:t>
      </w:r>
      <w:r w:rsidR="005F4B42">
        <w:t>整体变现金额高于</w:t>
      </w:r>
      <w:r w:rsidR="00541750">
        <w:rPr>
          <w:rFonts w:hint="eastAsia"/>
        </w:rPr>
        <w:t>该部分股票最后运作日的估值</w:t>
      </w:r>
      <w:r w:rsidR="005F4B42">
        <w:t>金额，则将差额按基金份额持有人持有的基金份额比例分配给基金份额持有人；若本基金</w:t>
      </w:r>
      <w:r w:rsidR="00541750">
        <w:rPr>
          <w:rFonts w:hint="eastAsia"/>
        </w:rPr>
        <w:t>于清算结束日</w:t>
      </w:r>
      <w:r w:rsidR="00541750">
        <w:t>所持</w:t>
      </w:r>
      <w:r w:rsidR="00541750">
        <w:rPr>
          <w:rFonts w:hint="eastAsia"/>
        </w:rPr>
        <w:t>有的剩余停牌和流通受限</w:t>
      </w:r>
      <w:r w:rsidR="00541750">
        <w:t>股票</w:t>
      </w:r>
      <w:r w:rsidR="00541750">
        <w:rPr>
          <w:rFonts w:hint="eastAsia"/>
        </w:rPr>
        <w:t>恢复流通后的</w:t>
      </w:r>
      <w:r w:rsidR="00541750">
        <w:t>整体变现金额</w:t>
      </w:r>
      <w:r w:rsidR="005F4B42">
        <w:t>小于</w:t>
      </w:r>
      <w:r w:rsidR="00541750">
        <w:rPr>
          <w:rFonts w:hint="eastAsia"/>
        </w:rPr>
        <w:t>该部分股票最后运作日的估值</w:t>
      </w:r>
      <w:r w:rsidR="005F4B42">
        <w:t>金额，则由基金管理人承担相应损失。</w:t>
      </w:r>
    </w:p>
    <w:p w:rsidR="00C056D9" w:rsidRPr="00267DDC" w:rsidRDefault="00C056D9" w:rsidP="00DD2C2C">
      <w:pPr>
        <w:spacing w:after="198"/>
        <w:ind w:left="490"/>
      </w:pPr>
    </w:p>
    <w:p w:rsidR="00583F83" w:rsidRDefault="00E22DB5" w:rsidP="00DD2C2C">
      <w:pPr>
        <w:spacing w:after="198"/>
        <w:ind w:left="490"/>
      </w:pPr>
      <w:r>
        <w:t>（三）负债清偿情况</w:t>
      </w:r>
    </w:p>
    <w:p w:rsidR="00583F83" w:rsidRDefault="00E22DB5">
      <w:pPr>
        <w:numPr>
          <w:ilvl w:val="0"/>
          <w:numId w:val="5"/>
        </w:numPr>
        <w:spacing w:line="404" w:lineRule="auto"/>
        <w:ind w:firstLine="480"/>
      </w:pPr>
      <w:r>
        <w:t>本基金最后运作日应付管理人报酬为人民币</w:t>
      </w:r>
      <w:r w:rsidR="008B76DE">
        <w:t>384,236.38</w:t>
      </w:r>
      <w:r>
        <w:t>元，该款项已于</w:t>
      </w:r>
      <w:r w:rsidR="008B76DE">
        <w:rPr>
          <w:rFonts w:ascii="Times New Roman" w:eastAsia="Times New Roman" w:hAnsi="Times New Roman" w:cs="Times New Roman"/>
        </w:rPr>
        <w:t>2018</w:t>
      </w:r>
      <w:r w:rsidR="00CB3F0A">
        <w:t>年</w:t>
      </w:r>
      <w:r w:rsidR="000110AB">
        <w:rPr>
          <w:rFonts w:ascii="Times New Roman" w:eastAsia="Times New Roman" w:hAnsi="Times New Roman" w:cs="Times New Roman"/>
        </w:rPr>
        <w:t>1</w:t>
      </w:r>
      <w:r w:rsidR="00CB3F0A">
        <w:t>月</w:t>
      </w:r>
      <w:r w:rsidR="000110AB">
        <w:rPr>
          <w:rFonts w:ascii="Times New Roman" w:eastAsia="Times New Roman" w:hAnsi="Times New Roman" w:cs="Times New Roman"/>
        </w:rPr>
        <w:t>4</w:t>
      </w:r>
      <w:r>
        <w:t>日支付。</w:t>
      </w:r>
    </w:p>
    <w:p w:rsidR="00583F83" w:rsidRDefault="00E22DB5">
      <w:pPr>
        <w:numPr>
          <w:ilvl w:val="0"/>
          <w:numId w:val="5"/>
        </w:numPr>
        <w:spacing w:line="407" w:lineRule="auto"/>
        <w:ind w:firstLine="480"/>
      </w:pPr>
      <w:r>
        <w:t>本基金最后运作日应付托管费为人民币</w:t>
      </w:r>
      <w:r w:rsidR="007D0BBF">
        <w:t>64,039.38</w:t>
      </w:r>
      <w:r>
        <w:t>元，该款项已于</w:t>
      </w:r>
      <w:r w:rsidR="007D0BBF">
        <w:rPr>
          <w:rFonts w:ascii="Times New Roman" w:eastAsia="Times New Roman" w:hAnsi="Times New Roman" w:cs="Times New Roman"/>
        </w:rPr>
        <w:t>2018</w:t>
      </w:r>
      <w:r w:rsidR="00CB3F0A">
        <w:t>年</w:t>
      </w:r>
      <w:r w:rsidR="000110AB">
        <w:rPr>
          <w:rFonts w:ascii="Times New Roman" w:eastAsia="Times New Roman" w:hAnsi="Times New Roman" w:cs="Times New Roman"/>
        </w:rPr>
        <w:t>1</w:t>
      </w:r>
      <w:r w:rsidR="00CB3F0A">
        <w:t>月</w:t>
      </w:r>
      <w:r w:rsidR="000110AB">
        <w:rPr>
          <w:rFonts w:ascii="Times New Roman" w:eastAsia="Times New Roman" w:hAnsi="Times New Roman" w:cs="Times New Roman"/>
        </w:rPr>
        <w:t>4</w:t>
      </w:r>
      <w:r>
        <w:t>日支付。</w:t>
      </w:r>
    </w:p>
    <w:p w:rsidR="00583F83" w:rsidRPr="007D0BBF" w:rsidRDefault="00E22DB5">
      <w:pPr>
        <w:numPr>
          <w:ilvl w:val="0"/>
          <w:numId w:val="5"/>
        </w:numPr>
        <w:spacing w:line="408" w:lineRule="auto"/>
        <w:ind w:firstLine="480"/>
      </w:pPr>
      <w:r>
        <w:t>本基金最后运作日</w:t>
      </w:r>
      <w:r w:rsidR="004B0F8D" w:rsidRPr="004B0F8D">
        <w:rPr>
          <w:rFonts w:hint="eastAsia"/>
        </w:rPr>
        <w:t>应付赎回款</w:t>
      </w:r>
      <w:r>
        <w:t>为人民币</w:t>
      </w:r>
      <w:r w:rsidR="007D0BBF">
        <w:t>9,983,308.58</w:t>
      </w:r>
      <w:r>
        <w:t>元，该款项</w:t>
      </w:r>
      <w:r w:rsidR="007D0BBF">
        <w:rPr>
          <w:rFonts w:hint="eastAsia"/>
        </w:rPr>
        <w:t>已</w:t>
      </w:r>
      <w:r>
        <w:t>于</w:t>
      </w:r>
      <w:r w:rsidR="004441E9">
        <w:rPr>
          <w:rFonts w:ascii="Times New Roman" w:eastAsia="Times New Roman" w:hAnsi="Times New Roman" w:cs="Times New Roman"/>
        </w:rPr>
        <w:t>201</w:t>
      </w:r>
      <w:r w:rsidR="007D0BBF">
        <w:rPr>
          <w:rFonts w:ascii="Times New Roman" w:eastAsia="Times New Roman" w:hAnsi="Times New Roman" w:cs="Times New Roman"/>
        </w:rPr>
        <w:t>8</w:t>
      </w:r>
      <w:r>
        <w:t>年</w:t>
      </w:r>
      <w:r w:rsidR="007D0BBF">
        <w:rPr>
          <w:rFonts w:ascii="Times New Roman" w:eastAsia="Times New Roman" w:hAnsi="Times New Roman" w:cs="Times New Roman"/>
        </w:rPr>
        <w:t>1</w:t>
      </w:r>
      <w:r>
        <w:t>月</w:t>
      </w:r>
      <w:r w:rsidR="004441E9">
        <w:rPr>
          <w:rFonts w:ascii="Times New Roman" w:eastAsia="Times New Roman" w:hAnsi="Times New Roman" w:cs="Times New Roman"/>
        </w:rPr>
        <w:t>2</w:t>
      </w:r>
      <w:r>
        <w:t>日支付。</w:t>
      </w:r>
    </w:p>
    <w:p w:rsidR="007D0BBF" w:rsidRPr="00F50B4C" w:rsidRDefault="007D0BBF">
      <w:pPr>
        <w:numPr>
          <w:ilvl w:val="0"/>
          <w:numId w:val="5"/>
        </w:numPr>
        <w:spacing w:line="408" w:lineRule="auto"/>
        <w:ind w:firstLine="480"/>
      </w:pPr>
      <w:r w:rsidRPr="007D0BBF">
        <w:rPr>
          <w:rFonts w:hint="eastAsia"/>
        </w:rPr>
        <w:t>本基金最后</w:t>
      </w:r>
      <w:r w:rsidRPr="007D0BBF">
        <w:t>运作日</w:t>
      </w:r>
      <w:r w:rsidRPr="007D0BBF">
        <w:rPr>
          <w:rFonts w:hint="eastAsia"/>
        </w:rPr>
        <w:t>应付</w:t>
      </w:r>
      <w:r w:rsidRPr="007D0BBF">
        <w:t>交易费用为人民币</w:t>
      </w:r>
      <w:r w:rsidRPr="007D0BBF">
        <w:rPr>
          <w:rFonts w:hint="eastAsia"/>
        </w:rPr>
        <w:t>233,494.57元</w:t>
      </w:r>
      <w:r w:rsidRPr="007D0BBF">
        <w:t>，</w:t>
      </w:r>
      <w:r w:rsidR="000110AB">
        <w:rPr>
          <w:rFonts w:hint="eastAsia"/>
        </w:rPr>
        <w:t>包括</w:t>
      </w:r>
      <w:r w:rsidR="000110AB">
        <w:t>应付</w:t>
      </w:r>
      <w:r w:rsidR="000110AB">
        <w:rPr>
          <w:rFonts w:hint="eastAsia"/>
        </w:rPr>
        <w:t>银行间</w:t>
      </w:r>
      <w:r w:rsidR="000110AB">
        <w:t>交易费用和应付佣金。本基金最后运作日</w:t>
      </w:r>
      <w:r w:rsidR="000110AB">
        <w:rPr>
          <w:rFonts w:hint="eastAsia"/>
        </w:rPr>
        <w:t>应付</w:t>
      </w:r>
      <w:r w:rsidR="000110AB">
        <w:t>银行间交易费用为人民币</w:t>
      </w:r>
      <w:r w:rsidR="000110AB">
        <w:rPr>
          <w:rFonts w:hint="eastAsia"/>
        </w:rPr>
        <w:t>3</w:t>
      </w:r>
      <w:r w:rsidR="00963961">
        <w:rPr>
          <w:rFonts w:hint="eastAsia"/>
        </w:rPr>
        <w:t>,988.</w:t>
      </w:r>
      <w:r w:rsidR="000110AB">
        <w:rPr>
          <w:rFonts w:hint="eastAsia"/>
        </w:rPr>
        <w:t>81元</w:t>
      </w:r>
      <w:r w:rsidR="000110AB">
        <w:t>，</w:t>
      </w:r>
      <w:r>
        <w:rPr>
          <w:rFonts w:hint="eastAsia"/>
        </w:rPr>
        <w:t>该</w:t>
      </w:r>
      <w:r>
        <w:t>款项已于</w:t>
      </w:r>
      <w:r>
        <w:rPr>
          <w:rFonts w:hint="eastAsia"/>
        </w:rPr>
        <w:t>2018年</w:t>
      </w:r>
      <w:r w:rsidR="000110AB">
        <w:t>1</w:t>
      </w:r>
      <w:r>
        <w:rPr>
          <w:rFonts w:hint="eastAsia"/>
        </w:rPr>
        <w:t>月</w:t>
      </w:r>
      <w:r w:rsidR="000110AB">
        <w:rPr>
          <w:rFonts w:hint="eastAsia"/>
        </w:rPr>
        <w:t>12</w:t>
      </w:r>
      <w:r>
        <w:rPr>
          <w:rFonts w:hint="eastAsia"/>
        </w:rPr>
        <w:t>日</w:t>
      </w:r>
      <w:r>
        <w:t>支付</w:t>
      </w:r>
      <w:r w:rsidR="00963961">
        <w:rPr>
          <w:rFonts w:hint="eastAsia"/>
        </w:rPr>
        <w:t>；</w:t>
      </w:r>
      <w:r w:rsidR="00963961">
        <w:t>本基金最后运作日应付佣金</w:t>
      </w:r>
      <w:r w:rsidR="00963961">
        <w:rPr>
          <w:rFonts w:hint="eastAsia"/>
        </w:rPr>
        <w:t>为</w:t>
      </w:r>
      <w:r w:rsidR="00963961">
        <w:t>人民币</w:t>
      </w:r>
      <w:r w:rsidR="00963961">
        <w:rPr>
          <w:rFonts w:hint="eastAsia"/>
        </w:rPr>
        <w:t>229,505.76元</w:t>
      </w:r>
      <w:r w:rsidR="00963961">
        <w:t>，</w:t>
      </w:r>
      <w:r w:rsidR="00963961">
        <w:rPr>
          <w:rFonts w:hint="eastAsia"/>
        </w:rPr>
        <w:t>该款项</w:t>
      </w:r>
      <w:r w:rsidR="00963961">
        <w:t>已于2018</w:t>
      </w:r>
      <w:r w:rsidR="00963961">
        <w:rPr>
          <w:rFonts w:hint="eastAsia"/>
        </w:rPr>
        <w:t>年3月5日</w:t>
      </w:r>
      <w:r w:rsidR="00963961">
        <w:t>支付</w:t>
      </w:r>
      <w:r>
        <w:t>。</w:t>
      </w:r>
    </w:p>
    <w:p w:rsidR="00583F83" w:rsidRPr="006D0F9A" w:rsidRDefault="00E22DB5" w:rsidP="002F7911">
      <w:pPr>
        <w:numPr>
          <w:ilvl w:val="0"/>
          <w:numId w:val="5"/>
        </w:numPr>
        <w:spacing w:line="398" w:lineRule="auto"/>
        <w:ind w:firstLine="480"/>
      </w:pPr>
      <w:r>
        <w:t>本基金最后运作日其他负债为人民币</w:t>
      </w:r>
      <w:r w:rsidR="007D0BBF">
        <w:rPr>
          <w:rFonts w:hint="eastAsia"/>
          <w:sz w:val="22"/>
        </w:rPr>
        <w:t>358,023.27</w:t>
      </w:r>
      <w:r>
        <w:rPr>
          <w:sz w:val="22"/>
        </w:rPr>
        <w:t>元，</w:t>
      </w:r>
      <w:r>
        <w:t>包括</w:t>
      </w:r>
      <w:r w:rsidR="00F21053">
        <w:rPr>
          <w:rFonts w:hint="eastAsia"/>
        </w:rPr>
        <w:t>应付</w:t>
      </w:r>
      <w:r w:rsidR="00F21053">
        <w:t>信息披露</w:t>
      </w:r>
      <w:r w:rsidR="00F21053">
        <w:rPr>
          <w:rFonts w:hint="eastAsia"/>
        </w:rPr>
        <w:t>费、</w:t>
      </w:r>
      <w:r>
        <w:t>预提审计费</w:t>
      </w:r>
      <w:r w:rsidR="004B0F8D">
        <w:rPr>
          <w:rFonts w:hint="eastAsia"/>
        </w:rPr>
        <w:t>。</w:t>
      </w:r>
      <w:r>
        <w:t>本基金</w:t>
      </w:r>
      <w:r w:rsidR="00E52913">
        <w:rPr>
          <w:rFonts w:hint="eastAsia"/>
        </w:rPr>
        <w:t>最后</w:t>
      </w:r>
      <w:r w:rsidR="00E52913">
        <w:t>运作日</w:t>
      </w:r>
      <w:r w:rsidR="00F21053">
        <w:rPr>
          <w:rFonts w:hint="eastAsia"/>
        </w:rPr>
        <w:t>应付</w:t>
      </w:r>
      <w:r w:rsidR="00F21053">
        <w:t>信息披露费</w:t>
      </w:r>
      <w:r w:rsidR="00F21053">
        <w:rPr>
          <w:rFonts w:hint="eastAsia"/>
        </w:rPr>
        <w:t>为人民币298,353.33元</w:t>
      </w:r>
      <w:r w:rsidR="00F21053">
        <w:t>，</w:t>
      </w:r>
      <w:r w:rsidR="00F21053">
        <w:rPr>
          <w:rFonts w:hint="eastAsia"/>
        </w:rPr>
        <w:t>该款项已</w:t>
      </w:r>
      <w:r w:rsidR="00F21053">
        <w:t>于</w:t>
      </w:r>
      <w:r w:rsidR="00F21053">
        <w:rPr>
          <w:rFonts w:hint="eastAsia"/>
        </w:rPr>
        <w:t>2018年</w:t>
      </w:r>
      <w:r w:rsidR="003C7E0A">
        <w:t>1</w:t>
      </w:r>
      <w:r w:rsidR="00F21053">
        <w:rPr>
          <w:rFonts w:hint="eastAsia"/>
        </w:rPr>
        <w:t>月</w:t>
      </w:r>
      <w:r w:rsidR="003C7E0A">
        <w:rPr>
          <w:rFonts w:hint="eastAsia"/>
        </w:rPr>
        <w:t>30</w:t>
      </w:r>
      <w:r w:rsidR="00F21053">
        <w:rPr>
          <w:rFonts w:hint="eastAsia"/>
        </w:rPr>
        <w:t>日</w:t>
      </w:r>
      <w:r w:rsidR="00F21053">
        <w:t>支付</w:t>
      </w:r>
      <w:r w:rsidR="00F21053">
        <w:rPr>
          <w:rFonts w:hint="eastAsia"/>
        </w:rPr>
        <w:t>；</w:t>
      </w:r>
      <w:r w:rsidR="00F21053">
        <w:t>本基金最后运作日</w:t>
      </w:r>
      <w:r>
        <w:t>预提审计费为预提的</w:t>
      </w:r>
      <w:r w:rsidR="004B0F8D">
        <w:rPr>
          <w:rFonts w:ascii="Times New Roman" w:eastAsiaTheme="minorEastAsia" w:hAnsi="Times New Roman" w:cs="Times New Roman" w:hint="eastAsia"/>
        </w:rPr>
        <w:t>2017</w:t>
      </w:r>
      <w:r>
        <w:t>年审计费，金额为人民币</w:t>
      </w:r>
      <w:r w:rsidR="00F21053">
        <w:rPr>
          <w:sz w:val="22"/>
        </w:rPr>
        <w:t>59,669.94</w:t>
      </w:r>
      <w:r>
        <w:t>元，该款项已于</w:t>
      </w:r>
      <w:r w:rsidR="00F21053">
        <w:rPr>
          <w:rFonts w:ascii="Times New Roman" w:eastAsia="Times New Roman" w:hAnsi="Times New Roman" w:cs="Times New Roman"/>
        </w:rPr>
        <w:t>2018</w:t>
      </w:r>
      <w:r w:rsidR="00CB3F0A">
        <w:rPr>
          <w:rFonts w:hint="eastAsia"/>
        </w:rPr>
        <w:t>年</w:t>
      </w:r>
      <w:r w:rsidR="003C7E0A">
        <w:t>1</w:t>
      </w:r>
      <w:r w:rsidR="00CB3F0A">
        <w:t>月</w:t>
      </w:r>
      <w:r w:rsidR="003C7E0A">
        <w:rPr>
          <w:rFonts w:hint="eastAsia"/>
        </w:rPr>
        <w:t>23</w:t>
      </w:r>
      <w:r>
        <w:t>日支付。</w:t>
      </w:r>
    </w:p>
    <w:p w:rsidR="006D0F9A" w:rsidRDefault="006D0F9A" w:rsidP="006D0F9A">
      <w:pPr>
        <w:spacing w:line="398" w:lineRule="auto"/>
        <w:ind w:left="0" w:firstLine="0"/>
      </w:pPr>
    </w:p>
    <w:p w:rsidR="00583F83" w:rsidRDefault="00E22DB5">
      <w:pPr>
        <w:spacing w:after="186"/>
        <w:ind w:left="490"/>
      </w:pPr>
      <w:r>
        <w:t>（四）本次清算期间的清算损益情况</w:t>
      </w:r>
    </w:p>
    <w:p w:rsidR="00583F83" w:rsidRDefault="00E22DB5">
      <w:pPr>
        <w:spacing w:after="0"/>
        <w:ind w:right="47"/>
        <w:jc w:val="right"/>
      </w:pPr>
      <w:r>
        <w:rPr>
          <w:sz w:val="22"/>
        </w:rPr>
        <w:t>单位：人民币元</w:t>
      </w:r>
    </w:p>
    <w:tbl>
      <w:tblPr>
        <w:tblStyle w:val="TableGrid"/>
        <w:tblW w:w="8643" w:type="dxa"/>
        <w:tblInd w:w="566" w:type="dxa"/>
        <w:tblCellMar>
          <w:top w:w="13" w:type="dxa"/>
          <w:left w:w="108" w:type="dxa"/>
          <w:right w:w="31" w:type="dxa"/>
        </w:tblCellMar>
        <w:tblLook w:val="04A0"/>
      </w:tblPr>
      <w:tblGrid>
        <w:gridCol w:w="5813"/>
        <w:gridCol w:w="2830"/>
      </w:tblGrid>
      <w:tr w:rsidR="00583F83" w:rsidTr="00F86295">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583F83" w:rsidRDefault="00E22DB5">
            <w:pPr>
              <w:spacing w:after="0"/>
              <w:ind w:left="34" w:firstLine="0"/>
            </w:pPr>
            <w:r>
              <w:rPr>
                <w:sz w:val="21"/>
              </w:rPr>
              <w:t>项目</w:t>
            </w:r>
          </w:p>
        </w:tc>
        <w:tc>
          <w:tcPr>
            <w:tcW w:w="2830" w:type="dxa"/>
            <w:tcBorders>
              <w:top w:val="single" w:sz="4" w:space="0" w:color="000000"/>
              <w:left w:val="single" w:sz="4" w:space="0" w:color="000000"/>
              <w:bottom w:val="single" w:sz="4" w:space="0" w:color="000000"/>
              <w:right w:val="single" w:sz="4" w:space="0" w:color="000000"/>
            </w:tcBorders>
          </w:tcPr>
          <w:p w:rsidR="00583F83" w:rsidRDefault="00E22DB5" w:rsidP="00DF5BC6">
            <w:pPr>
              <w:spacing w:after="0"/>
              <w:ind w:left="0" w:right="74" w:firstLine="0"/>
              <w:jc w:val="right"/>
            </w:pPr>
            <w:r>
              <w:rPr>
                <w:sz w:val="21"/>
              </w:rPr>
              <w:t>自</w:t>
            </w:r>
            <w:r w:rsidR="00DF5BC6">
              <w:rPr>
                <w:rFonts w:ascii="Times New Roman" w:eastAsiaTheme="minorEastAsia" w:hAnsi="Times New Roman" w:cs="Times New Roman" w:hint="eastAsia"/>
                <w:sz w:val="21"/>
              </w:rPr>
              <w:t>2017</w:t>
            </w:r>
            <w:r>
              <w:rPr>
                <w:sz w:val="21"/>
              </w:rPr>
              <w:t>年</w:t>
            </w:r>
            <w:r w:rsidR="004D1AFB">
              <w:rPr>
                <w:rFonts w:ascii="Times New Roman" w:eastAsiaTheme="minorEastAsia" w:hAnsi="Times New Roman" w:cs="Times New Roman"/>
                <w:sz w:val="21"/>
              </w:rPr>
              <w:t>12</w:t>
            </w:r>
            <w:r>
              <w:rPr>
                <w:sz w:val="21"/>
              </w:rPr>
              <w:t>月</w:t>
            </w:r>
            <w:r w:rsidR="004D1AFB">
              <w:rPr>
                <w:rFonts w:ascii="Times New Roman" w:eastAsiaTheme="minorEastAsia" w:hAnsi="Times New Roman" w:cs="Times New Roman"/>
                <w:sz w:val="21"/>
              </w:rPr>
              <w:t>30</w:t>
            </w:r>
            <w:r>
              <w:rPr>
                <w:sz w:val="21"/>
              </w:rPr>
              <w:t>日至</w:t>
            </w:r>
            <w:r w:rsidR="004D1AFB">
              <w:rPr>
                <w:rFonts w:ascii="Times New Roman" w:eastAsia="Times New Roman" w:hAnsi="Times New Roman" w:cs="Times New Roman"/>
                <w:sz w:val="21"/>
              </w:rPr>
              <w:t>2018</w:t>
            </w:r>
            <w:r>
              <w:rPr>
                <w:sz w:val="21"/>
              </w:rPr>
              <w:t>年</w:t>
            </w:r>
            <w:r w:rsidR="000110AB">
              <w:rPr>
                <w:rFonts w:ascii="Times New Roman" w:eastAsia="Times New Roman" w:hAnsi="Times New Roman" w:cs="Times New Roman"/>
                <w:sz w:val="21"/>
              </w:rPr>
              <w:t>3</w:t>
            </w:r>
            <w:r>
              <w:rPr>
                <w:sz w:val="21"/>
              </w:rPr>
              <w:t>月</w:t>
            </w:r>
            <w:r w:rsidR="000110AB">
              <w:rPr>
                <w:rFonts w:ascii="Times New Roman" w:eastAsia="Times New Roman" w:hAnsi="Times New Roman" w:cs="Times New Roman"/>
                <w:sz w:val="21"/>
              </w:rPr>
              <w:t>5</w:t>
            </w:r>
            <w:r>
              <w:rPr>
                <w:sz w:val="21"/>
              </w:rPr>
              <w:t>日止清算期间</w:t>
            </w:r>
          </w:p>
        </w:tc>
      </w:tr>
      <w:tr w:rsidR="00583F83"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34" w:firstLine="0"/>
            </w:pPr>
            <w:r>
              <w:rPr>
                <w:sz w:val="21"/>
              </w:rPr>
              <w:t>一、清算</w:t>
            </w:r>
            <w:r w:rsidR="00853652">
              <w:rPr>
                <w:rFonts w:hint="eastAsia"/>
                <w:sz w:val="21"/>
              </w:rPr>
              <w:t>期间</w:t>
            </w:r>
            <w:r>
              <w:rPr>
                <w:sz w:val="21"/>
              </w:rPr>
              <w:t>收益</w:t>
            </w:r>
          </w:p>
        </w:tc>
        <w:tc>
          <w:tcPr>
            <w:tcW w:w="2830"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right="24" w:firstLine="0"/>
              <w:jc w:val="right"/>
            </w:pPr>
          </w:p>
        </w:tc>
      </w:tr>
      <w:tr w:rsidR="00583F83"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458" w:firstLine="0"/>
            </w:pPr>
            <w:r>
              <w:rPr>
                <w:rFonts w:ascii="Times New Roman" w:eastAsia="Times New Roman" w:hAnsi="Times New Roman" w:cs="Times New Roman"/>
                <w:sz w:val="21"/>
              </w:rPr>
              <w:t>1</w:t>
            </w:r>
            <w:r>
              <w:rPr>
                <w:sz w:val="21"/>
              </w:rPr>
              <w:t>、利息收入（注</w:t>
            </w:r>
            <w:r>
              <w:rPr>
                <w:rFonts w:ascii="Times New Roman" w:eastAsia="Times New Roman" w:hAnsi="Times New Roman" w:cs="Times New Roman"/>
                <w:sz w:val="21"/>
              </w:rPr>
              <w:t>1</w:t>
            </w:r>
            <w:r>
              <w:rPr>
                <w:sz w:val="21"/>
              </w:rPr>
              <w:t>）</w:t>
            </w:r>
          </w:p>
        </w:tc>
        <w:tc>
          <w:tcPr>
            <w:tcW w:w="2830" w:type="dxa"/>
            <w:tcBorders>
              <w:top w:val="single" w:sz="4" w:space="0" w:color="000000"/>
              <w:left w:val="single" w:sz="4" w:space="0" w:color="000000"/>
              <w:bottom w:val="single" w:sz="4" w:space="0" w:color="000000"/>
              <w:right w:val="single" w:sz="4" w:space="0" w:color="000000"/>
            </w:tcBorders>
          </w:tcPr>
          <w:p w:rsidR="00583F83" w:rsidRPr="00853652" w:rsidRDefault="00DC6442" w:rsidP="00853652">
            <w:pPr>
              <w:spacing w:after="0"/>
              <w:ind w:left="0" w:right="60" w:firstLine="0"/>
              <w:jc w:val="right"/>
              <w:rPr>
                <w:sz w:val="22"/>
              </w:rPr>
            </w:pPr>
            <w:r w:rsidRPr="00853652">
              <w:rPr>
                <w:rFonts w:hint="eastAsia"/>
              </w:rPr>
              <w:t>11</w:t>
            </w:r>
            <w:r w:rsidRPr="00853652">
              <w:t>,</w:t>
            </w:r>
            <w:r w:rsidRPr="00853652">
              <w:rPr>
                <w:rFonts w:hint="eastAsia"/>
              </w:rPr>
              <w:t>534.43</w:t>
            </w:r>
          </w:p>
        </w:tc>
      </w:tr>
      <w:tr w:rsidR="00583F83" w:rsidTr="00F86295">
        <w:trPr>
          <w:trHeight w:val="281"/>
        </w:trPr>
        <w:tc>
          <w:tcPr>
            <w:tcW w:w="5813"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458" w:firstLine="0"/>
            </w:pPr>
            <w:r>
              <w:rPr>
                <w:rFonts w:ascii="Times New Roman" w:eastAsia="Times New Roman" w:hAnsi="Times New Roman" w:cs="Times New Roman"/>
                <w:sz w:val="21"/>
              </w:rPr>
              <w:t>2</w:t>
            </w:r>
            <w:r>
              <w:rPr>
                <w:sz w:val="21"/>
              </w:rPr>
              <w:t>、股票变现损益（注</w:t>
            </w:r>
            <w:r>
              <w:rPr>
                <w:rFonts w:ascii="Times New Roman" w:eastAsia="Times New Roman" w:hAnsi="Times New Roman" w:cs="Times New Roman"/>
                <w:sz w:val="21"/>
              </w:rPr>
              <w:t>2</w:t>
            </w:r>
            <w:r>
              <w:rPr>
                <w:sz w:val="21"/>
              </w:rPr>
              <w:t>）</w:t>
            </w:r>
          </w:p>
        </w:tc>
        <w:tc>
          <w:tcPr>
            <w:tcW w:w="2830" w:type="dxa"/>
            <w:tcBorders>
              <w:top w:val="single" w:sz="4" w:space="0" w:color="000000"/>
              <w:left w:val="single" w:sz="4" w:space="0" w:color="000000"/>
              <w:bottom w:val="single" w:sz="4" w:space="0" w:color="000000"/>
              <w:right w:val="single" w:sz="4" w:space="0" w:color="000000"/>
            </w:tcBorders>
          </w:tcPr>
          <w:p w:rsidR="00583F83" w:rsidRDefault="00FB5D06" w:rsidP="00FB5D06">
            <w:pPr>
              <w:spacing w:after="0"/>
              <w:ind w:left="0" w:right="60" w:firstLine="0"/>
              <w:jc w:val="right"/>
            </w:pPr>
            <w:r>
              <w:rPr>
                <w:rFonts w:hint="eastAsia"/>
              </w:rPr>
              <w:t>-</w:t>
            </w:r>
            <w:r w:rsidR="003536A9">
              <w:t>2</w:t>
            </w:r>
            <w:r w:rsidR="009273BF">
              <w:t>,440</w:t>
            </w:r>
            <w:r w:rsidR="003536A9">
              <w:rPr>
                <w:rFonts w:hint="eastAsia"/>
              </w:rPr>
              <w:t>,</w:t>
            </w:r>
            <w:r w:rsidR="009273BF">
              <w:rPr>
                <w:rFonts w:hint="eastAsia"/>
              </w:rPr>
              <w:t>329.58</w:t>
            </w:r>
          </w:p>
        </w:tc>
      </w:tr>
      <w:tr w:rsidR="008C4909"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Default="008C4909">
            <w:pPr>
              <w:spacing w:after="0"/>
              <w:ind w:left="0" w:firstLine="0"/>
              <w:rPr>
                <w:sz w:val="21"/>
              </w:rPr>
            </w:pPr>
            <w:r>
              <w:rPr>
                <w:sz w:val="21"/>
              </w:rPr>
              <w:t>清算</w:t>
            </w:r>
            <w:r w:rsidR="00853652">
              <w:rPr>
                <w:rFonts w:hint="eastAsia"/>
                <w:sz w:val="21"/>
              </w:rPr>
              <w:t>期间</w:t>
            </w:r>
            <w:r>
              <w:rPr>
                <w:sz w:val="21"/>
              </w:rPr>
              <w:t>收入小计</w:t>
            </w:r>
          </w:p>
        </w:tc>
        <w:tc>
          <w:tcPr>
            <w:tcW w:w="2830" w:type="dxa"/>
            <w:tcBorders>
              <w:top w:val="single" w:sz="4" w:space="0" w:color="000000"/>
              <w:left w:val="single" w:sz="4" w:space="0" w:color="000000"/>
              <w:bottom w:val="single" w:sz="4" w:space="0" w:color="000000"/>
              <w:right w:val="single" w:sz="4" w:space="0" w:color="000000"/>
            </w:tcBorders>
          </w:tcPr>
          <w:p w:rsidR="008C4909" w:rsidRDefault="00FB5D06" w:rsidP="00FB5D06">
            <w:pPr>
              <w:spacing w:after="0"/>
              <w:ind w:left="0" w:right="60" w:firstLine="0"/>
              <w:jc w:val="right"/>
            </w:pPr>
            <w:r w:rsidRPr="00FB5D06">
              <w:t>-</w:t>
            </w:r>
            <w:r w:rsidR="00834D20">
              <w:t>2,428</w:t>
            </w:r>
            <w:r>
              <w:t>,</w:t>
            </w:r>
            <w:r w:rsidR="00834D20">
              <w:t>7</w:t>
            </w:r>
            <w:r w:rsidR="00107239">
              <w:t>95</w:t>
            </w:r>
            <w:r w:rsidR="003536A9">
              <w:t>.</w:t>
            </w:r>
            <w:r w:rsidR="00107239">
              <w:t>1</w:t>
            </w:r>
            <w:r w:rsidR="00834D20">
              <w:t>5</w:t>
            </w:r>
          </w:p>
        </w:tc>
      </w:tr>
      <w:tr w:rsidR="008C4909"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Default="008C4909">
            <w:pPr>
              <w:spacing w:after="0"/>
              <w:ind w:left="0" w:firstLine="0"/>
            </w:pPr>
            <w:r>
              <w:rPr>
                <w:sz w:val="21"/>
              </w:rPr>
              <w:t>二、清算</w:t>
            </w:r>
            <w:r w:rsidR="00853652">
              <w:rPr>
                <w:rFonts w:hint="eastAsia"/>
                <w:sz w:val="21"/>
              </w:rPr>
              <w:t>期间</w:t>
            </w:r>
            <w:r>
              <w:rPr>
                <w:sz w:val="21"/>
              </w:rPr>
              <w:t>费用</w:t>
            </w:r>
          </w:p>
        </w:tc>
        <w:tc>
          <w:tcPr>
            <w:tcW w:w="2830" w:type="dxa"/>
            <w:tcBorders>
              <w:top w:val="single" w:sz="4" w:space="0" w:color="000000"/>
              <w:left w:val="single" w:sz="4" w:space="0" w:color="000000"/>
              <w:bottom w:val="single" w:sz="4" w:space="0" w:color="000000"/>
              <w:right w:val="single" w:sz="4" w:space="0" w:color="000000"/>
            </w:tcBorders>
          </w:tcPr>
          <w:p w:rsidR="008C4909" w:rsidRDefault="008C4909">
            <w:pPr>
              <w:spacing w:after="0"/>
              <w:ind w:left="0" w:right="10" w:firstLine="0"/>
              <w:jc w:val="right"/>
            </w:pPr>
          </w:p>
        </w:tc>
      </w:tr>
      <w:tr w:rsidR="008C4909" w:rsidTr="00F86295">
        <w:trPr>
          <w:trHeight w:val="281"/>
        </w:trPr>
        <w:tc>
          <w:tcPr>
            <w:tcW w:w="5813" w:type="dxa"/>
            <w:tcBorders>
              <w:top w:val="single" w:sz="4" w:space="0" w:color="000000"/>
              <w:left w:val="single" w:sz="4" w:space="0" w:color="000000"/>
              <w:bottom w:val="single" w:sz="4" w:space="0" w:color="000000"/>
              <w:right w:val="single" w:sz="4" w:space="0" w:color="000000"/>
            </w:tcBorders>
          </w:tcPr>
          <w:p w:rsidR="008C4909" w:rsidRDefault="008C4909">
            <w:pPr>
              <w:spacing w:after="0"/>
              <w:ind w:left="0" w:firstLine="0"/>
            </w:pPr>
            <w:r>
              <w:rPr>
                <w:sz w:val="21"/>
              </w:rPr>
              <w:t>清算</w:t>
            </w:r>
            <w:r w:rsidR="00853652">
              <w:rPr>
                <w:rFonts w:hint="eastAsia"/>
                <w:sz w:val="21"/>
              </w:rPr>
              <w:t>期间</w:t>
            </w:r>
            <w:r>
              <w:rPr>
                <w:sz w:val="21"/>
              </w:rPr>
              <w:t>费用小计（注</w:t>
            </w:r>
            <w:r w:rsidR="007A2602">
              <w:rPr>
                <w:rFonts w:hint="eastAsia"/>
                <w:sz w:val="21"/>
              </w:rPr>
              <w:t>3</w:t>
            </w:r>
            <w:r>
              <w:rPr>
                <w:sz w:val="21"/>
              </w:rPr>
              <w:t>）</w:t>
            </w:r>
          </w:p>
        </w:tc>
        <w:tc>
          <w:tcPr>
            <w:tcW w:w="2830" w:type="dxa"/>
            <w:tcBorders>
              <w:top w:val="single" w:sz="4" w:space="0" w:color="000000"/>
              <w:left w:val="single" w:sz="4" w:space="0" w:color="000000"/>
              <w:bottom w:val="single" w:sz="4" w:space="0" w:color="000000"/>
              <w:right w:val="single" w:sz="4" w:space="0" w:color="000000"/>
            </w:tcBorders>
          </w:tcPr>
          <w:p w:rsidR="00107239" w:rsidRDefault="00107239" w:rsidP="00107239">
            <w:pPr>
              <w:spacing w:after="0"/>
              <w:ind w:left="0" w:right="62" w:firstLine="0"/>
              <w:jc w:val="right"/>
            </w:pPr>
            <w:r>
              <w:t>43</w:t>
            </w:r>
            <w:r>
              <w:rPr>
                <w:rFonts w:hint="eastAsia"/>
              </w:rPr>
              <w:t>,</w:t>
            </w:r>
            <w:r>
              <w:t>189.49</w:t>
            </w:r>
          </w:p>
        </w:tc>
      </w:tr>
      <w:tr w:rsidR="008C4909" w:rsidRPr="0032210D" w:rsidTr="00F8629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Default="000318CE">
            <w:pPr>
              <w:spacing w:after="0"/>
              <w:ind w:left="0" w:firstLine="0"/>
            </w:pPr>
            <w:r>
              <w:rPr>
                <w:rFonts w:hint="eastAsia"/>
                <w:sz w:val="21"/>
              </w:rPr>
              <w:t>三</w:t>
            </w:r>
            <w:r w:rsidR="008C4909">
              <w:rPr>
                <w:sz w:val="21"/>
              </w:rPr>
              <w:t>、清算</w:t>
            </w:r>
            <w:r w:rsidR="00853652">
              <w:rPr>
                <w:rFonts w:hint="eastAsia"/>
                <w:sz w:val="21"/>
              </w:rPr>
              <w:t>期间</w:t>
            </w:r>
            <w:r w:rsidR="008C4909">
              <w:rPr>
                <w:sz w:val="21"/>
              </w:rPr>
              <w:t>净收益</w:t>
            </w:r>
          </w:p>
        </w:tc>
        <w:tc>
          <w:tcPr>
            <w:tcW w:w="2830" w:type="dxa"/>
            <w:tcBorders>
              <w:top w:val="single" w:sz="4" w:space="0" w:color="000000"/>
              <w:left w:val="single" w:sz="4" w:space="0" w:color="000000"/>
              <w:bottom w:val="single" w:sz="4" w:space="0" w:color="000000"/>
              <w:right w:val="single" w:sz="4" w:space="0" w:color="000000"/>
            </w:tcBorders>
          </w:tcPr>
          <w:p w:rsidR="008C4909" w:rsidRPr="0032210D" w:rsidRDefault="0032210D" w:rsidP="007F489A">
            <w:pPr>
              <w:spacing w:after="0"/>
              <w:ind w:left="0" w:right="62" w:firstLine="0"/>
              <w:jc w:val="right"/>
              <w:rPr>
                <w:rFonts w:ascii="等线" w:eastAsia="等线" w:hAnsi="等线"/>
                <w:sz w:val="22"/>
              </w:rPr>
            </w:pPr>
            <w:r w:rsidRPr="0032210D">
              <w:rPr>
                <w:rFonts w:hint="eastAsia"/>
              </w:rPr>
              <w:t>-</w:t>
            </w:r>
            <w:r w:rsidRPr="0032210D">
              <w:t>2,471</w:t>
            </w:r>
            <w:r w:rsidRPr="0032210D">
              <w:rPr>
                <w:rFonts w:hint="eastAsia"/>
              </w:rPr>
              <w:t>,</w:t>
            </w:r>
            <w:r w:rsidRPr="00FB3E72">
              <w:t>984</w:t>
            </w:r>
            <w:r w:rsidRPr="00FB3E72">
              <w:rPr>
                <w:rFonts w:hint="eastAsia"/>
              </w:rPr>
              <w:t>.</w:t>
            </w:r>
            <w:r w:rsidRPr="00FB3E72">
              <w:t>64</w:t>
            </w:r>
          </w:p>
        </w:tc>
      </w:tr>
    </w:tbl>
    <w:p w:rsidR="00583F83" w:rsidRDefault="00E22DB5">
      <w:pPr>
        <w:spacing w:after="196"/>
        <w:ind w:left="430"/>
      </w:pPr>
      <w:r>
        <w:t>表中相关项目具体说明如下：</w:t>
      </w:r>
    </w:p>
    <w:p w:rsidR="00583F83" w:rsidRDefault="00E22DB5">
      <w:pPr>
        <w:numPr>
          <w:ilvl w:val="0"/>
          <w:numId w:val="6"/>
        </w:numPr>
        <w:spacing w:after="37" w:line="383" w:lineRule="auto"/>
        <w:ind w:firstLine="410"/>
      </w:pPr>
      <w:r>
        <w:t xml:space="preserve">利息收入系以当前适用的利率预估计提的自 </w:t>
      </w:r>
      <w:r w:rsidR="00F50B4C">
        <w:rPr>
          <w:rFonts w:ascii="Times New Roman" w:eastAsiaTheme="minorEastAsia" w:hAnsi="Times New Roman" w:cs="Times New Roman" w:hint="eastAsia"/>
        </w:rPr>
        <w:t>2017</w:t>
      </w:r>
      <w:r>
        <w:t xml:space="preserve">年 </w:t>
      </w:r>
      <w:r w:rsidR="004D1AFB">
        <w:rPr>
          <w:rFonts w:ascii="Times New Roman" w:eastAsiaTheme="minorEastAsia" w:hAnsi="Times New Roman" w:cs="Times New Roman"/>
        </w:rPr>
        <w:t>12</w:t>
      </w:r>
      <w:r>
        <w:t xml:space="preserve">月 </w:t>
      </w:r>
      <w:r w:rsidR="004D1AFB">
        <w:rPr>
          <w:rFonts w:ascii="Times New Roman" w:eastAsia="Times New Roman" w:hAnsi="Times New Roman" w:cs="Times New Roman"/>
        </w:rPr>
        <w:t>30</w:t>
      </w:r>
      <w:r>
        <w:t>日至</w:t>
      </w:r>
      <w:r w:rsidR="004D1AFB">
        <w:rPr>
          <w:rFonts w:ascii="Times New Roman" w:eastAsia="Times New Roman" w:hAnsi="Times New Roman" w:cs="Times New Roman"/>
        </w:rPr>
        <w:t>2018</w:t>
      </w:r>
      <w:r>
        <w:t>年</w:t>
      </w:r>
      <w:r w:rsidR="00CA6703">
        <w:rPr>
          <w:rFonts w:ascii="Times New Roman" w:eastAsiaTheme="minorEastAsia" w:hAnsi="Times New Roman" w:cs="Times New Roman"/>
        </w:rPr>
        <w:t>3</w:t>
      </w:r>
      <w:r>
        <w:t>月</w:t>
      </w:r>
      <w:r w:rsidR="00CA6703">
        <w:rPr>
          <w:rFonts w:ascii="Times New Roman" w:eastAsia="Times New Roman" w:hAnsi="Times New Roman" w:cs="Times New Roman"/>
        </w:rPr>
        <w:t>5</w:t>
      </w:r>
      <w:r w:rsidR="0045457D">
        <w:t>日止清算期间的银行存款</w:t>
      </w:r>
      <w:r w:rsidR="0045457D">
        <w:rPr>
          <w:rFonts w:hint="eastAsia"/>
        </w:rPr>
        <w:t>、</w:t>
      </w:r>
      <w:r w:rsidR="0045457D">
        <w:t>备付金</w:t>
      </w:r>
      <w:r>
        <w:t>及保证金利息。</w:t>
      </w:r>
    </w:p>
    <w:p w:rsidR="00583F83" w:rsidRPr="00575A40" w:rsidRDefault="00E22DB5">
      <w:pPr>
        <w:numPr>
          <w:ilvl w:val="0"/>
          <w:numId w:val="6"/>
        </w:numPr>
        <w:spacing w:line="415" w:lineRule="auto"/>
        <w:ind w:firstLine="410"/>
      </w:pPr>
      <w:r>
        <w:t>股票变现损益为本次清算期间卖出股票</w:t>
      </w:r>
      <w:r w:rsidR="00BD400D">
        <w:rPr>
          <w:rFonts w:hint="eastAsia"/>
        </w:rPr>
        <w:t>金额与其</w:t>
      </w:r>
      <w:r w:rsidR="00BD400D">
        <w:t>最后</w:t>
      </w:r>
      <w:r w:rsidR="00BD400D">
        <w:rPr>
          <w:rFonts w:hint="eastAsia"/>
        </w:rPr>
        <w:t>运</w:t>
      </w:r>
      <w:r w:rsidR="00BD400D">
        <w:t>作日估值金额</w:t>
      </w:r>
      <w:r w:rsidR="00BD400D">
        <w:rPr>
          <w:rFonts w:hint="eastAsia"/>
        </w:rPr>
        <w:t>的</w:t>
      </w:r>
      <w:r w:rsidR="00BD400D">
        <w:t>差额</w:t>
      </w:r>
      <w:r w:rsidR="00BD400D">
        <w:rPr>
          <w:rFonts w:hint="eastAsia"/>
        </w:rPr>
        <w:t>。</w:t>
      </w:r>
    </w:p>
    <w:p w:rsidR="00F50B4C" w:rsidRDefault="00853652">
      <w:pPr>
        <w:numPr>
          <w:ilvl w:val="0"/>
          <w:numId w:val="6"/>
        </w:numPr>
        <w:spacing w:after="180"/>
        <w:ind w:firstLine="410"/>
      </w:pPr>
      <w:r>
        <w:t>本次清算</w:t>
      </w:r>
      <w:r>
        <w:rPr>
          <w:rFonts w:hint="eastAsia"/>
        </w:rPr>
        <w:t>期间</w:t>
      </w:r>
      <w:r w:rsidR="00E22DB5">
        <w:t>费用</w:t>
      </w:r>
      <w:r w:rsidR="008A29B3">
        <w:rPr>
          <w:rFonts w:hint="eastAsia"/>
        </w:rPr>
        <w:t>为</w:t>
      </w:r>
      <w:r w:rsidR="00B520EF">
        <w:rPr>
          <w:rFonts w:hint="eastAsia"/>
        </w:rPr>
        <w:t>银行</w:t>
      </w:r>
      <w:r w:rsidR="008A29B3">
        <w:rPr>
          <w:rFonts w:hint="eastAsia"/>
        </w:rPr>
        <w:t>汇划费</w:t>
      </w:r>
      <w:r>
        <w:rPr>
          <w:rFonts w:hint="eastAsia"/>
        </w:rPr>
        <w:t>、</w:t>
      </w:r>
      <w:r w:rsidR="0045457D">
        <w:t>交易费用</w:t>
      </w:r>
      <w:r>
        <w:rPr>
          <w:rFonts w:hint="eastAsia"/>
        </w:rPr>
        <w:t>等</w:t>
      </w:r>
      <w:r w:rsidR="0045457D">
        <w:rPr>
          <w:rFonts w:hint="eastAsia"/>
        </w:rPr>
        <w:t>。</w:t>
      </w:r>
    </w:p>
    <w:p w:rsidR="00583F83" w:rsidRDefault="00E22DB5" w:rsidP="00F50B4C">
      <w:pPr>
        <w:spacing w:after="180"/>
        <w:ind w:left="613" w:firstLine="0"/>
      </w:pPr>
      <w:r>
        <w:t>（五）截至本次清算期结束日的剩余财产情况</w:t>
      </w:r>
    </w:p>
    <w:p w:rsidR="00583F83" w:rsidRDefault="00E22DB5">
      <w:pPr>
        <w:spacing w:after="0"/>
        <w:ind w:right="47"/>
        <w:jc w:val="right"/>
      </w:pPr>
      <w:r>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583F83">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1"/>
              </w:rPr>
              <w:t>项目</w:t>
            </w:r>
          </w:p>
        </w:tc>
        <w:tc>
          <w:tcPr>
            <w:tcW w:w="3118"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right="50" w:firstLine="0"/>
              <w:jc w:val="right"/>
            </w:pPr>
            <w:r>
              <w:rPr>
                <w:sz w:val="21"/>
              </w:rPr>
              <w:t>金额</w:t>
            </w:r>
          </w:p>
        </w:tc>
      </w:tr>
      <w:tr w:rsidR="00583F83">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1"/>
              </w:rPr>
              <w:t>一、最后运作日</w:t>
            </w:r>
            <w:r w:rsidR="002F7911">
              <w:rPr>
                <w:rFonts w:ascii="Times New Roman" w:eastAsia="Times New Roman" w:hAnsi="Times New Roman" w:cs="Times New Roman"/>
                <w:sz w:val="21"/>
              </w:rPr>
              <w:t>2017</w:t>
            </w:r>
            <w:r>
              <w:rPr>
                <w:sz w:val="21"/>
              </w:rPr>
              <w:t>年</w:t>
            </w:r>
            <w:r w:rsidR="00340368">
              <w:rPr>
                <w:rFonts w:ascii="Times New Roman" w:eastAsia="Times New Roman" w:hAnsi="Times New Roman" w:cs="Times New Roman"/>
                <w:sz w:val="21"/>
              </w:rPr>
              <w:t>12</w:t>
            </w:r>
            <w:r>
              <w:rPr>
                <w:sz w:val="21"/>
              </w:rPr>
              <w:t>月</w:t>
            </w:r>
            <w:r w:rsidR="00340368">
              <w:rPr>
                <w:rFonts w:ascii="Times New Roman" w:eastAsia="Times New Roman" w:hAnsi="Times New Roman" w:cs="Times New Roman"/>
                <w:sz w:val="21"/>
              </w:rPr>
              <w:t>29</w:t>
            </w:r>
            <w:r>
              <w:rPr>
                <w:sz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583F83" w:rsidRDefault="00340368" w:rsidP="00F50B4C">
            <w:pPr>
              <w:jc w:val="right"/>
            </w:pPr>
            <w:r>
              <w:rPr>
                <w:sz w:val="22"/>
              </w:rPr>
              <w:t>78</w:t>
            </w:r>
            <w:r w:rsidR="00F50B4C" w:rsidRPr="00F50B4C">
              <w:rPr>
                <w:rFonts w:hint="eastAsia"/>
                <w:sz w:val="22"/>
              </w:rPr>
              <w:t>,</w:t>
            </w:r>
            <w:r>
              <w:rPr>
                <w:sz w:val="22"/>
              </w:rPr>
              <w:t>515</w:t>
            </w:r>
            <w:r w:rsidR="00F50B4C" w:rsidRPr="00F50B4C">
              <w:rPr>
                <w:rFonts w:hint="eastAsia"/>
                <w:sz w:val="22"/>
              </w:rPr>
              <w:t>,</w:t>
            </w:r>
            <w:r>
              <w:rPr>
                <w:sz w:val="22"/>
              </w:rPr>
              <w:t>880.60</w:t>
            </w:r>
          </w:p>
        </w:tc>
      </w:tr>
      <w:tr w:rsidR="00583F83">
        <w:trPr>
          <w:trHeight w:val="281"/>
        </w:trPr>
        <w:tc>
          <w:tcPr>
            <w:tcW w:w="5388"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583F83" w:rsidRPr="00575A40" w:rsidRDefault="00107239" w:rsidP="00575A40">
            <w:pPr>
              <w:jc w:val="right"/>
              <w:rPr>
                <w:sz w:val="22"/>
              </w:rPr>
            </w:pPr>
            <w:r w:rsidRPr="007F489A">
              <w:rPr>
                <w:rFonts w:hint="eastAsia"/>
              </w:rPr>
              <w:t>-</w:t>
            </w:r>
            <w:r>
              <w:t>2,471</w:t>
            </w:r>
            <w:r>
              <w:rPr>
                <w:rFonts w:hint="eastAsia"/>
              </w:rPr>
              <w:t>,</w:t>
            </w:r>
            <w:r>
              <w:t>984</w:t>
            </w:r>
            <w:r>
              <w:rPr>
                <w:rFonts w:hint="eastAsia"/>
              </w:rPr>
              <w:t>.</w:t>
            </w:r>
            <w:r>
              <w:t>64</w:t>
            </w:r>
          </w:p>
        </w:tc>
      </w:tr>
      <w:tr w:rsidR="00BD400D">
        <w:trPr>
          <w:trHeight w:val="283"/>
        </w:trPr>
        <w:tc>
          <w:tcPr>
            <w:tcW w:w="5388" w:type="dxa"/>
            <w:tcBorders>
              <w:top w:val="single" w:sz="4" w:space="0" w:color="000000"/>
              <w:left w:val="single" w:sz="4" w:space="0" w:color="000000"/>
              <w:bottom w:val="single" w:sz="4" w:space="0" w:color="000000"/>
              <w:right w:val="single" w:sz="4" w:space="0" w:color="000000"/>
            </w:tcBorders>
          </w:tcPr>
          <w:p w:rsidR="00BD400D" w:rsidRDefault="00BD400D" w:rsidP="00BD400D">
            <w:pPr>
              <w:spacing w:after="0"/>
              <w:ind w:left="0" w:firstLine="0"/>
              <w:rPr>
                <w:sz w:val="21"/>
              </w:rPr>
            </w:pPr>
            <w:r>
              <w:rPr>
                <w:rFonts w:hint="eastAsia"/>
                <w:sz w:val="21"/>
              </w:rPr>
              <w:t>减</w:t>
            </w:r>
            <w:r>
              <w:rPr>
                <w:sz w:val="21"/>
              </w:rPr>
              <w:t>：</w:t>
            </w:r>
            <w:r>
              <w:rPr>
                <w:rFonts w:hint="eastAsia"/>
                <w:sz w:val="21"/>
              </w:rPr>
              <w:t>基金</w:t>
            </w:r>
            <w:r>
              <w:rPr>
                <w:sz w:val="21"/>
              </w:rPr>
              <w:t>净赎</w:t>
            </w:r>
            <w:r>
              <w:rPr>
                <w:rFonts w:hint="eastAsia"/>
                <w:sz w:val="21"/>
              </w:rPr>
              <w:t>回</w:t>
            </w:r>
            <w:r>
              <w:rPr>
                <w:sz w:val="21"/>
              </w:rPr>
              <w:t>金额</w:t>
            </w:r>
            <w:r>
              <w:rPr>
                <w:rFonts w:hint="eastAsia"/>
                <w:sz w:val="21"/>
              </w:rPr>
              <w:t>（</w:t>
            </w:r>
            <w:r w:rsidRPr="00BD400D">
              <w:rPr>
                <w:rFonts w:hint="eastAsia"/>
                <w:sz w:val="21"/>
              </w:rPr>
              <w:t>于</w:t>
            </w:r>
            <w:r w:rsidR="00340368">
              <w:rPr>
                <w:sz w:val="21"/>
              </w:rPr>
              <w:t>2018</w:t>
            </w:r>
            <w:r w:rsidRPr="00BD400D">
              <w:rPr>
                <w:rFonts w:hint="eastAsia"/>
                <w:sz w:val="21"/>
              </w:rPr>
              <w:t>年</w:t>
            </w:r>
            <w:r w:rsidR="00340368">
              <w:rPr>
                <w:sz w:val="21"/>
              </w:rPr>
              <w:t>1</w:t>
            </w:r>
            <w:r w:rsidRPr="00BD400D">
              <w:rPr>
                <w:rFonts w:hint="eastAsia"/>
                <w:sz w:val="21"/>
              </w:rPr>
              <w:t>月2日</w:t>
            </w:r>
            <w:r w:rsidRPr="00BD400D">
              <w:rPr>
                <w:sz w:val="21"/>
              </w:rPr>
              <w:t>确认的投资</w:t>
            </w:r>
            <w:r w:rsidRPr="00BD400D">
              <w:rPr>
                <w:rFonts w:hint="eastAsia"/>
                <w:sz w:val="21"/>
              </w:rPr>
              <w:t>者</w:t>
            </w:r>
            <w:r w:rsidR="00FB3E72">
              <w:rPr>
                <w:rFonts w:hint="eastAsia"/>
                <w:sz w:val="21"/>
              </w:rPr>
              <w:t>申购、</w:t>
            </w:r>
            <w:r w:rsidRPr="00BD400D">
              <w:rPr>
                <w:sz w:val="21"/>
              </w:rPr>
              <w:t>赎</w:t>
            </w:r>
            <w:r w:rsidRPr="00BD400D">
              <w:rPr>
                <w:rFonts w:hint="eastAsia"/>
                <w:sz w:val="21"/>
              </w:rPr>
              <w:t>回申</w:t>
            </w:r>
            <w:r w:rsidRPr="00BD400D">
              <w:rPr>
                <w:sz w:val="21"/>
              </w:rPr>
              <w:t>请</w:t>
            </w:r>
            <w:r w:rsidRPr="00BD400D">
              <w:rPr>
                <w:rFonts w:hint="eastAsia"/>
                <w:sz w:val="21"/>
              </w:rPr>
              <w:t>）</w:t>
            </w:r>
          </w:p>
        </w:tc>
        <w:tc>
          <w:tcPr>
            <w:tcW w:w="3118" w:type="dxa"/>
            <w:tcBorders>
              <w:top w:val="single" w:sz="4" w:space="0" w:color="000000"/>
              <w:left w:val="single" w:sz="4" w:space="0" w:color="000000"/>
              <w:bottom w:val="single" w:sz="4" w:space="0" w:color="000000"/>
              <w:right w:val="single" w:sz="4" w:space="0" w:color="000000"/>
            </w:tcBorders>
          </w:tcPr>
          <w:p w:rsidR="00BD400D" w:rsidRDefault="007F489A" w:rsidP="007F489A">
            <w:pPr>
              <w:jc w:val="right"/>
            </w:pPr>
            <w:r>
              <w:rPr>
                <w:rFonts w:hint="eastAsia"/>
              </w:rPr>
              <w:t>7，2</w:t>
            </w:r>
            <w:r w:rsidR="00E9688E">
              <w:t>29</w:t>
            </w:r>
            <w:r>
              <w:t>,</w:t>
            </w:r>
            <w:r w:rsidR="00E9688E">
              <w:t>658</w:t>
            </w:r>
            <w:r>
              <w:rPr>
                <w:rFonts w:hint="eastAsia"/>
              </w:rPr>
              <w:t>.</w:t>
            </w:r>
            <w:r w:rsidR="00E9688E">
              <w:t>04</w:t>
            </w:r>
          </w:p>
        </w:tc>
      </w:tr>
      <w:tr w:rsidR="00BD400D">
        <w:trPr>
          <w:trHeight w:val="283"/>
        </w:trPr>
        <w:tc>
          <w:tcPr>
            <w:tcW w:w="5388" w:type="dxa"/>
            <w:tcBorders>
              <w:top w:val="single" w:sz="4" w:space="0" w:color="000000"/>
              <w:left w:val="single" w:sz="4" w:space="0" w:color="000000"/>
              <w:bottom w:val="single" w:sz="4" w:space="0" w:color="000000"/>
              <w:right w:val="single" w:sz="4" w:space="0" w:color="000000"/>
            </w:tcBorders>
          </w:tcPr>
          <w:p w:rsidR="00BD400D" w:rsidRDefault="00BD400D" w:rsidP="00BD400D">
            <w:pPr>
              <w:spacing w:after="0"/>
              <w:ind w:left="0" w:firstLine="0"/>
            </w:pPr>
            <w:r>
              <w:rPr>
                <w:sz w:val="21"/>
              </w:rPr>
              <w:t>二、</w:t>
            </w:r>
            <w:r>
              <w:rPr>
                <w:rFonts w:ascii="Times New Roman" w:eastAsia="Times New Roman" w:hAnsi="Times New Roman" w:cs="Times New Roman"/>
                <w:sz w:val="21"/>
              </w:rPr>
              <w:t>201</w:t>
            </w:r>
            <w:r w:rsidR="00340368">
              <w:rPr>
                <w:rFonts w:ascii="Times New Roman" w:eastAsia="Times New Roman" w:hAnsi="Times New Roman" w:cs="Times New Roman"/>
                <w:sz w:val="21"/>
              </w:rPr>
              <w:t>8</w:t>
            </w:r>
            <w:r>
              <w:rPr>
                <w:sz w:val="21"/>
              </w:rPr>
              <w:t>年</w:t>
            </w:r>
            <w:r w:rsidR="005833BD">
              <w:rPr>
                <w:rFonts w:ascii="Times New Roman" w:eastAsia="Times New Roman" w:hAnsi="Times New Roman" w:cs="Times New Roman"/>
                <w:sz w:val="21"/>
              </w:rPr>
              <w:t>3</w:t>
            </w:r>
            <w:r>
              <w:rPr>
                <w:sz w:val="21"/>
              </w:rPr>
              <w:t>月</w:t>
            </w:r>
            <w:r w:rsidR="005833BD">
              <w:rPr>
                <w:rFonts w:ascii="Times New Roman" w:eastAsia="Times New Roman" w:hAnsi="Times New Roman" w:cs="Times New Roman"/>
                <w:sz w:val="21"/>
              </w:rPr>
              <w:t>5</w:t>
            </w:r>
            <w:r>
              <w:rPr>
                <w:sz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BD400D" w:rsidRPr="00CC62A4" w:rsidRDefault="00CC62A4" w:rsidP="00CC62A4">
            <w:pPr>
              <w:jc w:val="right"/>
              <w:rPr>
                <w:rFonts w:ascii="等线" w:eastAsia="等线" w:hAnsi="等线"/>
                <w:sz w:val="22"/>
              </w:rPr>
            </w:pPr>
            <w:r w:rsidRPr="00CC62A4">
              <w:rPr>
                <w:rFonts w:hint="eastAsia"/>
              </w:rPr>
              <w:t xml:space="preserve">  68,814,237.92</w:t>
            </w:r>
          </w:p>
        </w:tc>
      </w:tr>
    </w:tbl>
    <w:p w:rsidR="00583F83" w:rsidRDefault="00E22DB5">
      <w:pPr>
        <w:spacing w:after="30" w:line="391" w:lineRule="auto"/>
        <w:ind w:left="574" w:firstLine="480"/>
        <w:rPr>
          <w:rFonts w:ascii="Times New Roman" w:eastAsia="Times New Roman" w:hAnsi="Times New Roman" w:cs="Times New Roman"/>
        </w:rPr>
      </w:pPr>
      <w:r>
        <w:t>截至本次清算期结束日</w:t>
      </w:r>
      <w:r w:rsidR="00CA7858">
        <w:rPr>
          <w:rFonts w:ascii="Times New Roman" w:eastAsia="Times New Roman" w:hAnsi="Times New Roman" w:cs="Times New Roman"/>
        </w:rPr>
        <w:t>2018</w:t>
      </w:r>
      <w:r>
        <w:t xml:space="preserve">年 </w:t>
      </w:r>
      <w:r w:rsidR="005833BD">
        <w:rPr>
          <w:rFonts w:ascii="Times New Roman" w:eastAsia="Times New Roman" w:hAnsi="Times New Roman" w:cs="Times New Roman"/>
        </w:rPr>
        <w:t>3</w:t>
      </w:r>
      <w:r>
        <w:t xml:space="preserve">月 </w:t>
      </w:r>
      <w:r w:rsidR="005833BD">
        <w:rPr>
          <w:rFonts w:ascii="Times New Roman" w:eastAsia="Times New Roman" w:hAnsi="Times New Roman" w:cs="Times New Roman"/>
        </w:rPr>
        <w:t>5</w:t>
      </w:r>
      <w:r w:rsidR="00CC62A4">
        <w:t>日，本基金剩余财产为人民</w:t>
      </w:r>
      <w:r w:rsidR="00CC62A4">
        <w:rPr>
          <w:rFonts w:hint="eastAsia"/>
        </w:rPr>
        <w:t>币68,814,237.92</w:t>
      </w:r>
      <w:r>
        <w:t xml:space="preserve"> 元。自本次清算期结束日次日</w:t>
      </w:r>
      <w:r w:rsidR="00CA7858">
        <w:rPr>
          <w:rFonts w:ascii="Times New Roman" w:eastAsia="Times New Roman" w:hAnsi="Times New Roman" w:cs="Times New Roman"/>
        </w:rPr>
        <w:t>2018</w:t>
      </w:r>
      <w:r>
        <w:t>年</w:t>
      </w:r>
      <w:r w:rsidR="005833BD">
        <w:rPr>
          <w:rFonts w:ascii="Times New Roman" w:eastAsia="Times New Roman" w:hAnsi="Times New Roman" w:cs="Times New Roman"/>
        </w:rPr>
        <w:t>3</w:t>
      </w:r>
      <w:r>
        <w:t>月</w:t>
      </w:r>
      <w:r w:rsidR="005833BD">
        <w:rPr>
          <w:rFonts w:ascii="Times New Roman" w:eastAsia="Times New Roman" w:hAnsi="Times New Roman" w:cs="Times New Roman"/>
        </w:rPr>
        <w:t>6</w:t>
      </w:r>
      <w:r>
        <w:t>日至本次清算款划出前一日的银行存款产生的利息（包括基金管理人垫付资金本金产生的利息）亦归基金份额持有人所有。</w:t>
      </w:r>
    </w:p>
    <w:p w:rsidR="002375C6" w:rsidRDefault="002375C6">
      <w:pPr>
        <w:spacing w:after="30" w:line="391" w:lineRule="auto"/>
        <w:ind w:left="574" w:firstLine="480"/>
      </w:pPr>
      <w:r w:rsidRPr="002375C6">
        <w:rPr>
          <w:rFonts w:hint="eastAsia"/>
        </w:rPr>
        <w:t>本基金所有剩余财产将按基金份额持有人持有的基金份额比例进行分配</w:t>
      </w:r>
      <w:r w:rsidR="002D4DAA">
        <w:rPr>
          <w:rFonts w:hint="eastAsia"/>
        </w:rPr>
        <w:t>,</w:t>
      </w:r>
      <w:r w:rsidR="002D4DAA">
        <w:t>根据基金管理人</w:t>
      </w:r>
      <w:r w:rsidR="002D4DAA">
        <w:rPr>
          <w:rFonts w:asciiTheme="minorEastAsia" w:eastAsiaTheme="minorEastAsia" w:hAnsiTheme="minorEastAsia" w:cs="Times New Roman" w:hint="eastAsia"/>
        </w:rPr>
        <w:t>201</w:t>
      </w:r>
      <w:r w:rsidR="002D4DAA">
        <w:rPr>
          <w:rFonts w:asciiTheme="minorEastAsia" w:eastAsiaTheme="minorEastAsia" w:hAnsiTheme="minorEastAsia" w:cs="Times New Roman"/>
        </w:rPr>
        <w:t>7</w:t>
      </w:r>
      <w:r w:rsidR="002D4DAA">
        <w:t>年</w:t>
      </w:r>
      <w:r w:rsidR="002D4DAA">
        <w:rPr>
          <w:rFonts w:hint="eastAsia"/>
        </w:rPr>
        <w:t>12</w:t>
      </w:r>
      <w:r w:rsidR="002D4DAA">
        <w:t>月</w:t>
      </w:r>
      <w:r w:rsidR="002D4DAA">
        <w:rPr>
          <w:rFonts w:asciiTheme="minorEastAsia" w:eastAsiaTheme="minorEastAsia" w:hAnsiTheme="minorEastAsia" w:cs="Times New Roman" w:hint="eastAsia"/>
        </w:rPr>
        <w:t>30</w:t>
      </w:r>
      <w:r w:rsidR="002D4DAA">
        <w:t>日发布的《关于</w:t>
      </w:r>
      <w:r w:rsidR="002D4DAA">
        <w:rPr>
          <w:rFonts w:hint="eastAsia"/>
        </w:rPr>
        <w:t>泰达宏利</w:t>
      </w:r>
      <w:r w:rsidR="002D4DAA">
        <w:t>增利灵活配置定期开放混合型证券投资基金基金合同终止及财产清算的公告》，</w:t>
      </w:r>
      <w:r w:rsidR="002D4DAA">
        <w:rPr>
          <w:rFonts w:hint="eastAsia"/>
        </w:rPr>
        <w:t>从保护基金份额持有人利益的角度出发,本基金优先向除基金管理人以外的其他份额持有人分配剩余资产,剩余不足部分基金管理人以自有资金垫付</w:t>
      </w:r>
      <w:r w:rsidRPr="002375C6">
        <w:rPr>
          <w:rFonts w:hint="eastAsia"/>
        </w:rPr>
        <w:t>。</w:t>
      </w:r>
    </w:p>
    <w:p w:rsidR="00693A51" w:rsidRDefault="00693A51">
      <w:pPr>
        <w:spacing w:after="30" w:line="391" w:lineRule="auto"/>
        <w:ind w:left="574" w:firstLine="480"/>
      </w:pPr>
    </w:p>
    <w:p w:rsidR="00583F83" w:rsidRDefault="00E22DB5" w:rsidP="006D0F9A">
      <w:pPr>
        <w:spacing w:after="170"/>
        <w:ind w:firstLine="0"/>
      </w:pPr>
      <w:r>
        <w:t>（六）基金清算报告的告知及剩余财产分配安排</w:t>
      </w:r>
    </w:p>
    <w:p w:rsidR="00583F83" w:rsidRDefault="00E22DB5">
      <w:pPr>
        <w:spacing w:after="394" w:line="366" w:lineRule="auto"/>
        <w:ind w:left="574" w:firstLine="480"/>
      </w:pPr>
      <w: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583F83" w:rsidRDefault="00E22DB5">
      <w:pPr>
        <w:pStyle w:val="1"/>
        <w:ind w:left="10" w:right="62"/>
      </w:pPr>
      <w:bookmarkStart w:id="6" w:name="_Toc12460"/>
      <w:r>
        <w:t>五、备查文件</w:t>
      </w:r>
      <w:bookmarkEnd w:id="6"/>
    </w:p>
    <w:p w:rsidR="00583F83" w:rsidRDefault="00E22DB5">
      <w:pPr>
        <w:spacing w:after="201"/>
        <w:ind w:left="1064"/>
      </w:pPr>
      <w:r>
        <w:t>（一）备查文件目录</w:t>
      </w:r>
    </w:p>
    <w:p w:rsidR="00583F83" w:rsidRDefault="00E22DB5">
      <w:pPr>
        <w:numPr>
          <w:ilvl w:val="0"/>
          <w:numId w:val="7"/>
        </w:numPr>
        <w:spacing w:after="204"/>
        <w:ind w:hanging="240"/>
      </w:pPr>
      <w:r>
        <w:t>《</w:t>
      </w:r>
      <w:r w:rsidR="007E7F53">
        <w:rPr>
          <w:rFonts w:hint="eastAsia"/>
        </w:rPr>
        <w:t>泰达宏利</w:t>
      </w:r>
      <w:r w:rsidR="005363C0">
        <w:rPr>
          <w:rFonts w:hint="eastAsia"/>
        </w:rPr>
        <w:t>增利灵活配置定期开放</w:t>
      </w:r>
      <w:r w:rsidR="00FC7095">
        <w:rPr>
          <w:rFonts w:hint="eastAsia"/>
        </w:rPr>
        <w:t>混合</w:t>
      </w:r>
      <w:r w:rsidR="007E7F53">
        <w:t>型</w:t>
      </w:r>
      <w:r>
        <w:t>证券投资基金清算审计报告》</w:t>
      </w:r>
    </w:p>
    <w:p w:rsidR="00583F83" w:rsidRDefault="00E22DB5">
      <w:pPr>
        <w:numPr>
          <w:ilvl w:val="0"/>
          <w:numId w:val="7"/>
        </w:numPr>
        <w:spacing w:after="202"/>
        <w:ind w:hanging="240"/>
      </w:pPr>
      <w:r>
        <w:t>《关于</w:t>
      </w:r>
      <w:r w:rsidR="007E7F53">
        <w:rPr>
          <w:rFonts w:hint="eastAsia"/>
        </w:rPr>
        <w:t>泰达宏利</w:t>
      </w:r>
      <w:r w:rsidR="005363C0">
        <w:rPr>
          <w:rFonts w:hint="eastAsia"/>
        </w:rPr>
        <w:t>增利灵活配置定期开放</w:t>
      </w:r>
      <w:r w:rsidR="00FC7095">
        <w:rPr>
          <w:rFonts w:hint="eastAsia"/>
        </w:rPr>
        <w:t>混合</w:t>
      </w:r>
      <w:r w:rsidR="007E7F53">
        <w:t>型</w:t>
      </w:r>
      <w:r>
        <w:t>证券投资基金清算的法律意见》</w:t>
      </w:r>
    </w:p>
    <w:p w:rsidR="00583F83" w:rsidRDefault="00E22DB5">
      <w:pPr>
        <w:numPr>
          <w:ilvl w:val="0"/>
          <w:numId w:val="8"/>
        </w:numPr>
        <w:spacing w:line="416" w:lineRule="auto"/>
        <w:ind w:right="760" w:hanging="720"/>
      </w:pPr>
      <w:r>
        <w:t>存放地点备查文件存放于基金管理人、基金托管人处。</w:t>
      </w:r>
    </w:p>
    <w:p w:rsidR="00583F83" w:rsidRDefault="00E22DB5">
      <w:pPr>
        <w:numPr>
          <w:ilvl w:val="0"/>
          <w:numId w:val="8"/>
        </w:numPr>
        <w:spacing w:after="204"/>
        <w:ind w:right="760" w:hanging="720"/>
      </w:pPr>
      <w:r>
        <w:t>查阅方式</w:t>
      </w:r>
    </w:p>
    <w:p w:rsidR="00583F83" w:rsidRDefault="00E22DB5">
      <w:pPr>
        <w:spacing w:after="146"/>
        <w:ind w:left="1064"/>
      </w:pPr>
      <w:r>
        <w:t>投资者可在营业时间免费查阅备查文件。</w:t>
      </w:r>
    </w:p>
    <w:p w:rsidR="00583F83" w:rsidRDefault="00583F83">
      <w:pPr>
        <w:spacing w:after="115"/>
        <w:ind w:left="0" w:firstLine="0"/>
        <w:jc w:val="right"/>
        <w:rPr>
          <w:rFonts w:ascii="Times New Roman" w:eastAsia="Times New Roman" w:hAnsi="Times New Roman" w:cs="Times New Roman"/>
        </w:rPr>
      </w:pPr>
    </w:p>
    <w:p w:rsidR="007E7F53" w:rsidRDefault="007E7F53">
      <w:pPr>
        <w:spacing w:after="115"/>
        <w:ind w:left="0" w:firstLine="0"/>
        <w:jc w:val="right"/>
      </w:pPr>
    </w:p>
    <w:p w:rsidR="006D0F9A" w:rsidRDefault="006D0F9A" w:rsidP="00340368">
      <w:pPr>
        <w:spacing w:line="378" w:lineRule="auto"/>
        <w:ind w:left="2343" w:right="225"/>
        <w:jc w:val="right"/>
      </w:pPr>
      <w:r>
        <w:rPr>
          <w:rFonts w:hint="eastAsia"/>
        </w:rPr>
        <w:t>泰达宏利</w:t>
      </w:r>
      <w:r w:rsidR="005363C0">
        <w:rPr>
          <w:rFonts w:hint="eastAsia"/>
        </w:rPr>
        <w:t>增利灵活配置定期开放</w:t>
      </w:r>
      <w:r w:rsidR="00FC7095">
        <w:t>混合</w:t>
      </w:r>
      <w:r>
        <w:rPr>
          <w:rFonts w:hint="eastAsia"/>
        </w:rPr>
        <w:t>型</w:t>
      </w:r>
      <w:r w:rsidR="00E22DB5">
        <w:t>证券投资基金基金财产清算组</w:t>
      </w:r>
    </w:p>
    <w:p w:rsidR="00583F83" w:rsidRDefault="00FC7095">
      <w:pPr>
        <w:spacing w:line="378" w:lineRule="auto"/>
        <w:ind w:left="2343" w:right="-15"/>
        <w:jc w:val="right"/>
      </w:pPr>
      <w:r>
        <w:t>2018</w:t>
      </w:r>
      <w:r w:rsidR="00E22DB5">
        <w:t>年</w:t>
      </w:r>
      <w:r w:rsidR="004316C8">
        <w:t>3</w:t>
      </w:r>
      <w:r w:rsidR="00E22DB5">
        <w:t>月</w:t>
      </w:r>
      <w:r w:rsidR="004316C8">
        <w:t>5</w:t>
      </w:r>
      <w:r w:rsidR="00E22DB5">
        <w:t>日</w:t>
      </w:r>
    </w:p>
    <w:sectPr w:rsidR="00583F83" w:rsidSect="00057108">
      <w:headerReference w:type="even" r:id="rId7"/>
      <w:headerReference w:type="default" r:id="rId8"/>
      <w:footerReference w:type="even" r:id="rId9"/>
      <w:footerReference w:type="default" r:id="rId10"/>
      <w:headerReference w:type="first" r:id="rId11"/>
      <w:footerReference w:type="first" r:id="rId12"/>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6B6" w:rsidRDefault="004C76B6">
      <w:pPr>
        <w:spacing w:after="0" w:line="240" w:lineRule="auto"/>
      </w:pPr>
      <w:r>
        <w:separator/>
      </w:r>
    </w:p>
  </w:endnote>
  <w:endnote w:type="continuationSeparator" w:id="1">
    <w:p w:rsidR="004C76B6" w:rsidRDefault="004C7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CE6830">
    <w:pPr>
      <w:spacing w:after="0"/>
      <w:ind w:left="0" w:right="61" w:firstLine="0"/>
      <w:jc w:val="center"/>
    </w:pPr>
    <w:r w:rsidRPr="00CE6830">
      <w:fldChar w:fldCharType="begin"/>
    </w:r>
    <w:r w:rsidR="00340368">
      <w:instrText xml:space="preserve"> PAGE   \* MERGEFORMAT </w:instrText>
    </w:r>
    <w:r w:rsidRPr="00CE6830">
      <w:fldChar w:fldCharType="separate"/>
    </w:r>
    <w:r w:rsidR="00340368">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340368" w:rsidRDefault="00340368">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CE6830">
    <w:pPr>
      <w:spacing w:after="0"/>
      <w:ind w:left="0" w:right="61" w:firstLine="0"/>
      <w:jc w:val="center"/>
    </w:pPr>
    <w:r w:rsidRPr="00CE6830">
      <w:fldChar w:fldCharType="begin"/>
    </w:r>
    <w:r w:rsidR="00340368">
      <w:instrText xml:space="preserve"> PAGE   \* MERGEFORMAT </w:instrText>
    </w:r>
    <w:r w:rsidRPr="00CE6830">
      <w:fldChar w:fldCharType="separate"/>
    </w:r>
    <w:r w:rsidR="0085075D" w:rsidRPr="0085075D">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340368" w:rsidRDefault="00340368">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340368">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6B6" w:rsidRDefault="004C76B6">
      <w:pPr>
        <w:spacing w:after="0" w:line="240" w:lineRule="auto"/>
      </w:pPr>
      <w:r>
        <w:separator/>
      </w:r>
    </w:p>
  </w:footnote>
  <w:footnote w:type="continuationSeparator" w:id="1">
    <w:p w:rsidR="004C76B6" w:rsidRDefault="004C7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CE6830">
    <w:pPr>
      <w:spacing w:after="0"/>
      <w:ind w:left="0" w:right="60" w:firstLine="0"/>
      <w:jc w:val="right"/>
    </w:pPr>
    <w:r w:rsidRPr="00CE6830">
      <w:rPr>
        <w:rFonts w:ascii="Calibri" w:eastAsia="Calibri" w:hAnsi="Calibri" w:cs="Calibri"/>
        <w:noProof/>
        <w:sz w:val="22"/>
      </w:rPr>
      <w:pict>
        <v:group id="Group 12084" o:spid="_x0000_s4099" style="position:absolute;left:0;text-align:left;margin-left:69.5pt;margin-top:55.2pt;width:455.5pt;height:.5pt;z-index:251658240;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410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340368">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CE6830">
    <w:pPr>
      <w:spacing w:after="0"/>
      <w:ind w:left="0" w:right="60" w:firstLine="0"/>
      <w:jc w:val="right"/>
    </w:pPr>
    <w:r w:rsidRPr="00CE6830">
      <w:rPr>
        <w:rFonts w:ascii="Calibri" w:eastAsia="Calibri" w:hAnsi="Calibri" w:cs="Calibri"/>
        <w:noProof/>
        <w:sz w:val="22"/>
      </w:rPr>
      <w:pict>
        <v:group id="Group 12065" o:spid="_x0000_s4097"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4098"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340368">
      <w:rPr>
        <w:rFonts w:hint="eastAsia"/>
        <w:sz w:val="18"/>
      </w:rPr>
      <w:t>泰达宏利增利灵活配置</w:t>
    </w:r>
    <w:r w:rsidR="00340368">
      <w:rPr>
        <w:sz w:val="18"/>
      </w:rPr>
      <w:t>定期开放</w:t>
    </w:r>
    <w:r w:rsidR="00340368">
      <w:rPr>
        <w:rFonts w:hint="eastAsia"/>
        <w:sz w:val="18"/>
      </w:rPr>
      <w:t>混合</w:t>
    </w:r>
    <w:r w:rsidR="00340368">
      <w:rPr>
        <w:sz w:val="18"/>
      </w:rPr>
      <w:t>型证券投资基金清算报告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68" w:rsidRDefault="00340368">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B44104"/>
    <w:multiLevelType w:val="hybridMultilevel"/>
    <w:tmpl w:val="EB1AF392"/>
    <w:lvl w:ilvl="0" w:tplc="D38E643C">
      <w:start w:val="1"/>
      <w:numFmt w:val="decimal"/>
      <w:lvlText w:val="（%1）"/>
      <w:lvlJc w:val="left"/>
      <w:pPr>
        <w:ind w:left="2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D0C6BD04">
      <w:start w:val="1"/>
      <w:numFmt w:val="lowerLetter"/>
      <w:lvlText w:val="%2"/>
      <w:lvlJc w:val="left"/>
      <w:pPr>
        <w:ind w:left="76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C3E8354">
      <w:start w:val="1"/>
      <w:numFmt w:val="lowerRoman"/>
      <w:lvlText w:val="%3"/>
      <w:lvlJc w:val="left"/>
      <w:pPr>
        <w:ind w:left="14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EF0A91E">
      <w:start w:val="1"/>
      <w:numFmt w:val="decimal"/>
      <w:lvlText w:val="%4"/>
      <w:lvlJc w:val="left"/>
      <w:pPr>
        <w:ind w:left="220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AC6C0CE">
      <w:start w:val="1"/>
      <w:numFmt w:val="lowerLetter"/>
      <w:lvlText w:val="%5"/>
      <w:lvlJc w:val="left"/>
      <w:pPr>
        <w:ind w:left="292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4F6EF9E">
      <w:start w:val="1"/>
      <w:numFmt w:val="lowerRoman"/>
      <w:lvlText w:val="%6"/>
      <w:lvlJc w:val="left"/>
      <w:pPr>
        <w:ind w:left="364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2E2A0D0">
      <w:start w:val="1"/>
      <w:numFmt w:val="decimal"/>
      <w:lvlText w:val="%7"/>
      <w:lvlJc w:val="left"/>
      <w:pPr>
        <w:ind w:left="436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0E8CB5A">
      <w:start w:val="1"/>
      <w:numFmt w:val="lowerLetter"/>
      <w:lvlText w:val="%8"/>
      <w:lvlJc w:val="left"/>
      <w:pPr>
        <w:ind w:left="508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53AF274">
      <w:start w:val="1"/>
      <w:numFmt w:val="lowerRoman"/>
      <w:lvlText w:val="%9"/>
      <w:lvlJc w:val="left"/>
      <w:pPr>
        <w:ind w:left="580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F7521AF"/>
    <w:multiLevelType w:val="hybridMultilevel"/>
    <w:tmpl w:val="E988C7F4"/>
    <w:lvl w:ilvl="0" w:tplc="7ED433B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995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0E89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8AE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8D4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88B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128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E88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C1F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8"/>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seFELayout/>
  </w:compat>
  <w:rsids>
    <w:rsidRoot w:val="00583F83"/>
    <w:rsid w:val="00007F21"/>
    <w:rsid w:val="00010201"/>
    <w:rsid w:val="000110AB"/>
    <w:rsid w:val="000147D7"/>
    <w:rsid w:val="00015A39"/>
    <w:rsid w:val="000272CC"/>
    <w:rsid w:val="000318CE"/>
    <w:rsid w:val="00040E04"/>
    <w:rsid w:val="00041996"/>
    <w:rsid w:val="000468B4"/>
    <w:rsid w:val="00057108"/>
    <w:rsid w:val="000745FE"/>
    <w:rsid w:val="00081CD4"/>
    <w:rsid w:val="000853BB"/>
    <w:rsid w:val="000938D2"/>
    <w:rsid w:val="000C6144"/>
    <w:rsid w:val="000D2498"/>
    <w:rsid w:val="000D3436"/>
    <w:rsid w:val="00107239"/>
    <w:rsid w:val="00130035"/>
    <w:rsid w:val="00136D3C"/>
    <w:rsid w:val="00144FEE"/>
    <w:rsid w:val="00147E14"/>
    <w:rsid w:val="00166889"/>
    <w:rsid w:val="00175D28"/>
    <w:rsid w:val="001B3DF6"/>
    <w:rsid w:val="001B696B"/>
    <w:rsid w:val="001C4225"/>
    <w:rsid w:val="001E02D9"/>
    <w:rsid w:val="001E1541"/>
    <w:rsid w:val="001F57C8"/>
    <w:rsid w:val="001F5CB8"/>
    <w:rsid w:val="002003A8"/>
    <w:rsid w:val="002201AA"/>
    <w:rsid w:val="00235CC3"/>
    <w:rsid w:val="002375C6"/>
    <w:rsid w:val="00237A05"/>
    <w:rsid w:val="00262714"/>
    <w:rsid w:val="00265CA5"/>
    <w:rsid w:val="00266749"/>
    <w:rsid w:val="00267DDC"/>
    <w:rsid w:val="00277593"/>
    <w:rsid w:val="00292227"/>
    <w:rsid w:val="00293BD8"/>
    <w:rsid w:val="002C112B"/>
    <w:rsid w:val="002D4DAA"/>
    <w:rsid w:val="002E52BB"/>
    <w:rsid w:val="002F3404"/>
    <w:rsid w:val="002F7911"/>
    <w:rsid w:val="002F7C15"/>
    <w:rsid w:val="0031233C"/>
    <w:rsid w:val="003157B8"/>
    <w:rsid w:val="0032210D"/>
    <w:rsid w:val="003251A6"/>
    <w:rsid w:val="003262CB"/>
    <w:rsid w:val="00332169"/>
    <w:rsid w:val="00340368"/>
    <w:rsid w:val="0035037E"/>
    <w:rsid w:val="003536A9"/>
    <w:rsid w:val="003662D2"/>
    <w:rsid w:val="003756AC"/>
    <w:rsid w:val="003868D1"/>
    <w:rsid w:val="00397199"/>
    <w:rsid w:val="00397C7F"/>
    <w:rsid w:val="003A3506"/>
    <w:rsid w:val="003A4202"/>
    <w:rsid w:val="003B41A3"/>
    <w:rsid w:val="003C7E0A"/>
    <w:rsid w:val="003D44C7"/>
    <w:rsid w:val="003D62AB"/>
    <w:rsid w:val="003F206A"/>
    <w:rsid w:val="003F771C"/>
    <w:rsid w:val="00401832"/>
    <w:rsid w:val="00401F1D"/>
    <w:rsid w:val="00407EBF"/>
    <w:rsid w:val="004118C9"/>
    <w:rsid w:val="00424901"/>
    <w:rsid w:val="004316C8"/>
    <w:rsid w:val="00443794"/>
    <w:rsid w:val="004441E9"/>
    <w:rsid w:val="0045457D"/>
    <w:rsid w:val="00460EE8"/>
    <w:rsid w:val="0046224B"/>
    <w:rsid w:val="00466925"/>
    <w:rsid w:val="004927A2"/>
    <w:rsid w:val="00493D50"/>
    <w:rsid w:val="00495924"/>
    <w:rsid w:val="004B0F8D"/>
    <w:rsid w:val="004C5FE0"/>
    <w:rsid w:val="004C76B6"/>
    <w:rsid w:val="004D1AFB"/>
    <w:rsid w:val="004D37D4"/>
    <w:rsid w:val="004E07D9"/>
    <w:rsid w:val="004E2859"/>
    <w:rsid w:val="004F413E"/>
    <w:rsid w:val="004F5382"/>
    <w:rsid w:val="0051230B"/>
    <w:rsid w:val="00514129"/>
    <w:rsid w:val="005269B5"/>
    <w:rsid w:val="00535260"/>
    <w:rsid w:val="005363C0"/>
    <w:rsid w:val="00540177"/>
    <w:rsid w:val="00541750"/>
    <w:rsid w:val="00575A40"/>
    <w:rsid w:val="0058043E"/>
    <w:rsid w:val="005833BD"/>
    <w:rsid w:val="00583F83"/>
    <w:rsid w:val="00586D78"/>
    <w:rsid w:val="00597E07"/>
    <w:rsid w:val="005A7EBC"/>
    <w:rsid w:val="005D2965"/>
    <w:rsid w:val="005F46F3"/>
    <w:rsid w:val="005F4B42"/>
    <w:rsid w:val="006022E1"/>
    <w:rsid w:val="006203D0"/>
    <w:rsid w:val="00634ADB"/>
    <w:rsid w:val="00655ECC"/>
    <w:rsid w:val="00693A51"/>
    <w:rsid w:val="006A0E6F"/>
    <w:rsid w:val="006B2401"/>
    <w:rsid w:val="006C0FFC"/>
    <w:rsid w:val="006C3BBA"/>
    <w:rsid w:val="006C4FDC"/>
    <w:rsid w:val="006D04F5"/>
    <w:rsid w:val="006D0F9A"/>
    <w:rsid w:val="006E0D85"/>
    <w:rsid w:val="006E146B"/>
    <w:rsid w:val="006E43C3"/>
    <w:rsid w:val="007004A6"/>
    <w:rsid w:val="00710E91"/>
    <w:rsid w:val="0071283A"/>
    <w:rsid w:val="007174A8"/>
    <w:rsid w:val="0072662D"/>
    <w:rsid w:val="00783016"/>
    <w:rsid w:val="007A2602"/>
    <w:rsid w:val="007A4D74"/>
    <w:rsid w:val="007A5182"/>
    <w:rsid w:val="007C0222"/>
    <w:rsid w:val="007D0BBF"/>
    <w:rsid w:val="007E511A"/>
    <w:rsid w:val="007E7F53"/>
    <w:rsid w:val="007F12EF"/>
    <w:rsid w:val="007F3697"/>
    <w:rsid w:val="007F489A"/>
    <w:rsid w:val="007F60D6"/>
    <w:rsid w:val="00802598"/>
    <w:rsid w:val="00810FBB"/>
    <w:rsid w:val="008160FE"/>
    <w:rsid w:val="00834D20"/>
    <w:rsid w:val="008477AF"/>
    <w:rsid w:val="0085075D"/>
    <w:rsid w:val="00852D7D"/>
    <w:rsid w:val="00853652"/>
    <w:rsid w:val="0085702A"/>
    <w:rsid w:val="00867382"/>
    <w:rsid w:val="008829EE"/>
    <w:rsid w:val="008A29B3"/>
    <w:rsid w:val="008A5FB4"/>
    <w:rsid w:val="008B154C"/>
    <w:rsid w:val="008B46B9"/>
    <w:rsid w:val="008B5F42"/>
    <w:rsid w:val="008B76DE"/>
    <w:rsid w:val="008C4909"/>
    <w:rsid w:val="008E0936"/>
    <w:rsid w:val="008E5D30"/>
    <w:rsid w:val="008E70DB"/>
    <w:rsid w:val="008E7891"/>
    <w:rsid w:val="008F5F32"/>
    <w:rsid w:val="00902294"/>
    <w:rsid w:val="009273BF"/>
    <w:rsid w:val="00934A97"/>
    <w:rsid w:val="00952C7A"/>
    <w:rsid w:val="009638E0"/>
    <w:rsid w:val="00963961"/>
    <w:rsid w:val="009675B5"/>
    <w:rsid w:val="00967C37"/>
    <w:rsid w:val="00994A7A"/>
    <w:rsid w:val="009E2C1E"/>
    <w:rsid w:val="00A0264D"/>
    <w:rsid w:val="00A269F9"/>
    <w:rsid w:val="00A45D14"/>
    <w:rsid w:val="00A50230"/>
    <w:rsid w:val="00A720E3"/>
    <w:rsid w:val="00A97FD0"/>
    <w:rsid w:val="00AA153C"/>
    <w:rsid w:val="00AD2EC6"/>
    <w:rsid w:val="00AD385D"/>
    <w:rsid w:val="00AF4DFB"/>
    <w:rsid w:val="00B1356C"/>
    <w:rsid w:val="00B217C4"/>
    <w:rsid w:val="00B41B7D"/>
    <w:rsid w:val="00B520EF"/>
    <w:rsid w:val="00B63175"/>
    <w:rsid w:val="00B74321"/>
    <w:rsid w:val="00BB27AF"/>
    <w:rsid w:val="00BD400D"/>
    <w:rsid w:val="00BE5FD6"/>
    <w:rsid w:val="00C039F9"/>
    <w:rsid w:val="00C03C74"/>
    <w:rsid w:val="00C03F13"/>
    <w:rsid w:val="00C056D9"/>
    <w:rsid w:val="00C067CB"/>
    <w:rsid w:val="00C11EC9"/>
    <w:rsid w:val="00C410A1"/>
    <w:rsid w:val="00C51B87"/>
    <w:rsid w:val="00C64648"/>
    <w:rsid w:val="00C653F7"/>
    <w:rsid w:val="00C7661B"/>
    <w:rsid w:val="00C86EC0"/>
    <w:rsid w:val="00C9044D"/>
    <w:rsid w:val="00C96A8F"/>
    <w:rsid w:val="00CA351F"/>
    <w:rsid w:val="00CA6703"/>
    <w:rsid w:val="00CA7858"/>
    <w:rsid w:val="00CB2788"/>
    <w:rsid w:val="00CB3F0A"/>
    <w:rsid w:val="00CC62A4"/>
    <w:rsid w:val="00CE6830"/>
    <w:rsid w:val="00CF04F5"/>
    <w:rsid w:val="00D166DE"/>
    <w:rsid w:val="00D17AE8"/>
    <w:rsid w:val="00D41196"/>
    <w:rsid w:val="00D47680"/>
    <w:rsid w:val="00D52848"/>
    <w:rsid w:val="00D772FA"/>
    <w:rsid w:val="00D85E00"/>
    <w:rsid w:val="00DA31D5"/>
    <w:rsid w:val="00DA3710"/>
    <w:rsid w:val="00DC6442"/>
    <w:rsid w:val="00DD0DE9"/>
    <w:rsid w:val="00DD2C2C"/>
    <w:rsid w:val="00DF5BC6"/>
    <w:rsid w:val="00E100EA"/>
    <w:rsid w:val="00E22DB5"/>
    <w:rsid w:val="00E24CE0"/>
    <w:rsid w:val="00E31B95"/>
    <w:rsid w:val="00E37320"/>
    <w:rsid w:val="00E46279"/>
    <w:rsid w:val="00E52913"/>
    <w:rsid w:val="00E54B91"/>
    <w:rsid w:val="00E62A83"/>
    <w:rsid w:val="00E73490"/>
    <w:rsid w:val="00E8399E"/>
    <w:rsid w:val="00E9688E"/>
    <w:rsid w:val="00ED05B4"/>
    <w:rsid w:val="00EE6FA5"/>
    <w:rsid w:val="00EF43BF"/>
    <w:rsid w:val="00EF595F"/>
    <w:rsid w:val="00F02B83"/>
    <w:rsid w:val="00F21053"/>
    <w:rsid w:val="00F44C80"/>
    <w:rsid w:val="00F50B4C"/>
    <w:rsid w:val="00F74981"/>
    <w:rsid w:val="00F86295"/>
    <w:rsid w:val="00F87A77"/>
    <w:rsid w:val="00F95A61"/>
    <w:rsid w:val="00FA7940"/>
    <w:rsid w:val="00FB01D6"/>
    <w:rsid w:val="00FB2651"/>
    <w:rsid w:val="00FB37A5"/>
    <w:rsid w:val="00FB3E72"/>
    <w:rsid w:val="00FB5D06"/>
    <w:rsid w:val="00FC7095"/>
    <w:rsid w:val="00FD085F"/>
    <w:rsid w:val="00FF0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8"/>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057108"/>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057108"/>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57108"/>
    <w:rPr>
      <w:rFonts w:ascii="宋体" w:eastAsia="宋体" w:hAnsi="宋体" w:cs="宋体"/>
      <w:color w:val="000000"/>
      <w:sz w:val="28"/>
    </w:rPr>
  </w:style>
  <w:style w:type="character" w:customStyle="1" w:styleId="1Char">
    <w:name w:val="标题 1 Char"/>
    <w:link w:val="1"/>
    <w:rsid w:val="00057108"/>
    <w:rPr>
      <w:rFonts w:ascii="宋体" w:eastAsia="宋体" w:hAnsi="宋体" w:cs="宋体"/>
      <w:color w:val="000000"/>
      <w:sz w:val="28"/>
    </w:rPr>
  </w:style>
  <w:style w:type="paragraph" w:styleId="10">
    <w:name w:val="toc 1"/>
    <w:hidden/>
    <w:rsid w:val="00057108"/>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057108"/>
    <w:tblPr>
      <w:tblCellMar>
        <w:top w:w="0" w:type="dxa"/>
        <w:left w:w="0" w:type="dxa"/>
        <w:bottom w:w="0" w:type="dxa"/>
        <w:right w:w="0" w:type="dxa"/>
      </w:tblCellMar>
    </w:tblPr>
  </w:style>
  <w:style w:type="paragraph" w:styleId="a3">
    <w:name w:val="Normal (Web)"/>
    <w:basedOn w:val="a"/>
    <w:rsid w:val="006D0F9A"/>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paragraph" w:styleId="a4">
    <w:name w:val="Balloon Text"/>
    <w:basedOn w:val="a"/>
    <w:link w:val="Char"/>
    <w:uiPriority w:val="99"/>
    <w:semiHidden/>
    <w:unhideWhenUsed/>
    <w:rsid w:val="006E146B"/>
    <w:pPr>
      <w:spacing w:after="0" w:line="240" w:lineRule="auto"/>
    </w:pPr>
    <w:rPr>
      <w:sz w:val="18"/>
      <w:szCs w:val="18"/>
    </w:rPr>
  </w:style>
  <w:style w:type="character" w:customStyle="1" w:styleId="Char">
    <w:name w:val="批注框文本 Char"/>
    <w:basedOn w:val="a0"/>
    <w:link w:val="a4"/>
    <w:uiPriority w:val="99"/>
    <w:semiHidden/>
    <w:rsid w:val="006E146B"/>
    <w:rPr>
      <w:rFonts w:ascii="宋体" w:eastAsia="宋体" w:hAnsi="宋体" w:cs="宋体"/>
      <w:color w:val="000000"/>
      <w:sz w:val="18"/>
      <w:szCs w:val="18"/>
    </w:rPr>
  </w:style>
  <w:style w:type="paragraph" w:customStyle="1" w:styleId="Default">
    <w:name w:val="Default"/>
    <w:rsid w:val="00FB01D6"/>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BB2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4C80"/>
    <w:pPr>
      <w:ind w:firstLineChars="200" w:firstLine="420"/>
    </w:pPr>
  </w:style>
</w:styles>
</file>

<file path=word/webSettings.xml><?xml version="1.0" encoding="utf-8"?>
<w:webSettings xmlns:r="http://schemas.openxmlformats.org/officeDocument/2006/relationships" xmlns:w="http://schemas.openxmlformats.org/wordprocessingml/2006/main">
  <w:divs>
    <w:div w:id="1517606">
      <w:bodyDiv w:val="1"/>
      <w:marLeft w:val="0"/>
      <w:marRight w:val="0"/>
      <w:marTop w:val="0"/>
      <w:marBottom w:val="0"/>
      <w:divBdr>
        <w:top w:val="none" w:sz="0" w:space="0" w:color="auto"/>
        <w:left w:val="none" w:sz="0" w:space="0" w:color="auto"/>
        <w:bottom w:val="none" w:sz="0" w:space="0" w:color="auto"/>
        <w:right w:val="none" w:sz="0" w:space="0" w:color="auto"/>
      </w:divBdr>
    </w:div>
    <w:div w:id="81806214">
      <w:bodyDiv w:val="1"/>
      <w:marLeft w:val="0"/>
      <w:marRight w:val="0"/>
      <w:marTop w:val="0"/>
      <w:marBottom w:val="0"/>
      <w:divBdr>
        <w:top w:val="none" w:sz="0" w:space="0" w:color="auto"/>
        <w:left w:val="none" w:sz="0" w:space="0" w:color="auto"/>
        <w:bottom w:val="none" w:sz="0" w:space="0" w:color="auto"/>
        <w:right w:val="none" w:sz="0" w:space="0" w:color="auto"/>
      </w:divBdr>
    </w:div>
    <w:div w:id="106119791">
      <w:bodyDiv w:val="1"/>
      <w:marLeft w:val="0"/>
      <w:marRight w:val="0"/>
      <w:marTop w:val="0"/>
      <w:marBottom w:val="0"/>
      <w:divBdr>
        <w:top w:val="none" w:sz="0" w:space="0" w:color="auto"/>
        <w:left w:val="none" w:sz="0" w:space="0" w:color="auto"/>
        <w:bottom w:val="none" w:sz="0" w:space="0" w:color="auto"/>
        <w:right w:val="none" w:sz="0" w:space="0" w:color="auto"/>
      </w:divBdr>
    </w:div>
    <w:div w:id="108163972">
      <w:bodyDiv w:val="1"/>
      <w:marLeft w:val="0"/>
      <w:marRight w:val="0"/>
      <w:marTop w:val="0"/>
      <w:marBottom w:val="0"/>
      <w:divBdr>
        <w:top w:val="none" w:sz="0" w:space="0" w:color="auto"/>
        <w:left w:val="none" w:sz="0" w:space="0" w:color="auto"/>
        <w:bottom w:val="none" w:sz="0" w:space="0" w:color="auto"/>
        <w:right w:val="none" w:sz="0" w:space="0" w:color="auto"/>
      </w:divBdr>
    </w:div>
    <w:div w:id="128010714">
      <w:bodyDiv w:val="1"/>
      <w:marLeft w:val="0"/>
      <w:marRight w:val="0"/>
      <w:marTop w:val="0"/>
      <w:marBottom w:val="0"/>
      <w:divBdr>
        <w:top w:val="none" w:sz="0" w:space="0" w:color="auto"/>
        <w:left w:val="none" w:sz="0" w:space="0" w:color="auto"/>
        <w:bottom w:val="none" w:sz="0" w:space="0" w:color="auto"/>
        <w:right w:val="none" w:sz="0" w:space="0" w:color="auto"/>
      </w:divBdr>
    </w:div>
    <w:div w:id="159851171">
      <w:bodyDiv w:val="1"/>
      <w:marLeft w:val="0"/>
      <w:marRight w:val="0"/>
      <w:marTop w:val="0"/>
      <w:marBottom w:val="0"/>
      <w:divBdr>
        <w:top w:val="none" w:sz="0" w:space="0" w:color="auto"/>
        <w:left w:val="none" w:sz="0" w:space="0" w:color="auto"/>
        <w:bottom w:val="none" w:sz="0" w:space="0" w:color="auto"/>
        <w:right w:val="none" w:sz="0" w:space="0" w:color="auto"/>
      </w:divBdr>
    </w:div>
    <w:div w:id="164370541">
      <w:bodyDiv w:val="1"/>
      <w:marLeft w:val="0"/>
      <w:marRight w:val="0"/>
      <w:marTop w:val="0"/>
      <w:marBottom w:val="0"/>
      <w:divBdr>
        <w:top w:val="none" w:sz="0" w:space="0" w:color="auto"/>
        <w:left w:val="none" w:sz="0" w:space="0" w:color="auto"/>
        <w:bottom w:val="none" w:sz="0" w:space="0" w:color="auto"/>
        <w:right w:val="none" w:sz="0" w:space="0" w:color="auto"/>
      </w:divBdr>
    </w:div>
    <w:div w:id="261650140">
      <w:bodyDiv w:val="1"/>
      <w:marLeft w:val="0"/>
      <w:marRight w:val="0"/>
      <w:marTop w:val="0"/>
      <w:marBottom w:val="0"/>
      <w:divBdr>
        <w:top w:val="none" w:sz="0" w:space="0" w:color="auto"/>
        <w:left w:val="none" w:sz="0" w:space="0" w:color="auto"/>
        <w:bottom w:val="none" w:sz="0" w:space="0" w:color="auto"/>
        <w:right w:val="none" w:sz="0" w:space="0" w:color="auto"/>
      </w:divBdr>
    </w:div>
    <w:div w:id="322205102">
      <w:bodyDiv w:val="1"/>
      <w:marLeft w:val="0"/>
      <w:marRight w:val="0"/>
      <w:marTop w:val="0"/>
      <w:marBottom w:val="0"/>
      <w:divBdr>
        <w:top w:val="none" w:sz="0" w:space="0" w:color="auto"/>
        <w:left w:val="none" w:sz="0" w:space="0" w:color="auto"/>
        <w:bottom w:val="none" w:sz="0" w:space="0" w:color="auto"/>
        <w:right w:val="none" w:sz="0" w:space="0" w:color="auto"/>
      </w:divBdr>
    </w:div>
    <w:div w:id="322440931">
      <w:bodyDiv w:val="1"/>
      <w:marLeft w:val="0"/>
      <w:marRight w:val="0"/>
      <w:marTop w:val="0"/>
      <w:marBottom w:val="0"/>
      <w:divBdr>
        <w:top w:val="none" w:sz="0" w:space="0" w:color="auto"/>
        <w:left w:val="none" w:sz="0" w:space="0" w:color="auto"/>
        <w:bottom w:val="none" w:sz="0" w:space="0" w:color="auto"/>
        <w:right w:val="none" w:sz="0" w:space="0" w:color="auto"/>
      </w:divBdr>
    </w:div>
    <w:div w:id="358434999">
      <w:bodyDiv w:val="1"/>
      <w:marLeft w:val="0"/>
      <w:marRight w:val="0"/>
      <w:marTop w:val="0"/>
      <w:marBottom w:val="0"/>
      <w:divBdr>
        <w:top w:val="none" w:sz="0" w:space="0" w:color="auto"/>
        <w:left w:val="none" w:sz="0" w:space="0" w:color="auto"/>
        <w:bottom w:val="none" w:sz="0" w:space="0" w:color="auto"/>
        <w:right w:val="none" w:sz="0" w:space="0" w:color="auto"/>
      </w:divBdr>
    </w:div>
    <w:div w:id="361051231">
      <w:bodyDiv w:val="1"/>
      <w:marLeft w:val="0"/>
      <w:marRight w:val="0"/>
      <w:marTop w:val="0"/>
      <w:marBottom w:val="0"/>
      <w:divBdr>
        <w:top w:val="none" w:sz="0" w:space="0" w:color="auto"/>
        <w:left w:val="none" w:sz="0" w:space="0" w:color="auto"/>
        <w:bottom w:val="none" w:sz="0" w:space="0" w:color="auto"/>
        <w:right w:val="none" w:sz="0" w:space="0" w:color="auto"/>
      </w:divBdr>
    </w:div>
    <w:div w:id="478889151">
      <w:bodyDiv w:val="1"/>
      <w:marLeft w:val="0"/>
      <w:marRight w:val="0"/>
      <w:marTop w:val="0"/>
      <w:marBottom w:val="0"/>
      <w:divBdr>
        <w:top w:val="none" w:sz="0" w:space="0" w:color="auto"/>
        <w:left w:val="none" w:sz="0" w:space="0" w:color="auto"/>
        <w:bottom w:val="none" w:sz="0" w:space="0" w:color="auto"/>
        <w:right w:val="none" w:sz="0" w:space="0" w:color="auto"/>
      </w:divBdr>
    </w:div>
    <w:div w:id="535239436">
      <w:bodyDiv w:val="1"/>
      <w:marLeft w:val="0"/>
      <w:marRight w:val="0"/>
      <w:marTop w:val="0"/>
      <w:marBottom w:val="0"/>
      <w:divBdr>
        <w:top w:val="none" w:sz="0" w:space="0" w:color="auto"/>
        <w:left w:val="none" w:sz="0" w:space="0" w:color="auto"/>
        <w:bottom w:val="none" w:sz="0" w:space="0" w:color="auto"/>
        <w:right w:val="none" w:sz="0" w:space="0" w:color="auto"/>
      </w:divBdr>
    </w:div>
    <w:div w:id="564029874">
      <w:bodyDiv w:val="1"/>
      <w:marLeft w:val="0"/>
      <w:marRight w:val="0"/>
      <w:marTop w:val="0"/>
      <w:marBottom w:val="0"/>
      <w:divBdr>
        <w:top w:val="none" w:sz="0" w:space="0" w:color="auto"/>
        <w:left w:val="none" w:sz="0" w:space="0" w:color="auto"/>
        <w:bottom w:val="none" w:sz="0" w:space="0" w:color="auto"/>
        <w:right w:val="none" w:sz="0" w:space="0" w:color="auto"/>
      </w:divBdr>
    </w:div>
    <w:div w:id="568808858">
      <w:bodyDiv w:val="1"/>
      <w:marLeft w:val="0"/>
      <w:marRight w:val="0"/>
      <w:marTop w:val="0"/>
      <w:marBottom w:val="0"/>
      <w:divBdr>
        <w:top w:val="none" w:sz="0" w:space="0" w:color="auto"/>
        <w:left w:val="none" w:sz="0" w:space="0" w:color="auto"/>
        <w:bottom w:val="none" w:sz="0" w:space="0" w:color="auto"/>
        <w:right w:val="none" w:sz="0" w:space="0" w:color="auto"/>
      </w:divBdr>
    </w:div>
    <w:div w:id="591358869">
      <w:bodyDiv w:val="1"/>
      <w:marLeft w:val="0"/>
      <w:marRight w:val="0"/>
      <w:marTop w:val="0"/>
      <w:marBottom w:val="0"/>
      <w:divBdr>
        <w:top w:val="none" w:sz="0" w:space="0" w:color="auto"/>
        <w:left w:val="none" w:sz="0" w:space="0" w:color="auto"/>
        <w:bottom w:val="none" w:sz="0" w:space="0" w:color="auto"/>
        <w:right w:val="none" w:sz="0" w:space="0" w:color="auto"/>
      </w:divBdr>
    </w:div>
    <w:div w:id="630021661">
      <w:bodyDiv w:val="1"/>
      <w:marLeft w:val="0"/>
      <w:marRight w:val="0"/>
      <w:marTop w:val="0"/>
      <w:marBottom w:val="0"/>
      <w:divBdr>
        <w:top w:val="none" w:sz="0" w:space="0" w:color="auto"/>
        <w:left w:val="none" w:sz="0" w:space="0" w:color="auto"/>
        <w:bottom w:val="none" w:sz="0" w:space="0" w:color="auto"/>
        <w:right w:val="none" w:sz="0" w:space="0" w:color="auto"/>
      </w:divBdr>
    </w:div>
    <w:div w:id="640965024">
      <w:bodyDiv w:val="1"/>
      <w:marLeft w:val="0"/>
      <w:marRight w:val="0"/>
      <w:marTop w:val="0"/>
      <w:marBottom w:val="0"/>
      <w:divBdr>
        <w:top w:val="none" w:sz="0" w:space="0" w:color="auto"/>
        <w:left w:val="none" w:sz="0" w:space="0" w:color="auto"/>
        <w:bottom w:val="none" w:sz="0" w:space="0" w:color="auto"/>
        <w:right w:val="none" w:sz="0" w:space="0" w:color="auto"/>
      </w:divBdr>
    </w:div>
    <w:div w:id="865288756">
      <w:bodyDiv w:val="1"/>
      <w:marLeft w:val="0"/>
      <w:marRight w:val="0"/>
      <w:marTop w:val="0"/>
      <w:marBottom w:val="0"/>
      <w:divBdr>
        <w:top w:val="none" w:sz="0" w:space="0" w:color="auto"/>
        <w:left w:val="none" w:sz="0" w:space="0" w:color="auto"/>
        <w:bottom w:val="none" w:sz="0" w:space="0" w:color="auto"/>
        <w:right w:val="none" w:sz="0" w:space="0" w:color="auto"/>
      </w:divBdr>
    </w:div>
    <w:div w:id="915018198">
      <w:bodyDiv w:val="1"/>
      <w:marLeft w:val="0"/>
      <w:marRight w:val="0"/>
      <w:marTop w:val="0"/>
      <w:marBottom w:val="0"/>
      <w:divBdr>
        <w:top w:val="none" w:sz="0" w:space="0" w:color="auto"/>
        <w:left w:val="none" w:sz="0" w:space="0" w:color="auto"/>
        <w:bottom w:val="none" w:sz="0" w:space="0" w:color="auto"/>
        <w:right w:val="none" w:sz="0" w:space="0" w:color="auto"/>
      </w:divBdr>
    </w:div>
    <w:div w:id="919370554">
      <w:bodyDiv w:val="1"/>
      <w:marLeft w:val="0"/>
      <w:marRight w:val="0"/>
      <w:marTop w:val="0"/>
      <w:marBottom w:val="0"/>
      <w:divBdr>
        <w:top w:val="none" w:sz="0" w:space="0" w:color="auto"/>
        <w:left w:val="none" w:sz="0" w:space="0" w:color="auto"/>
        <w:bottom w:val="none" w:sz="0" w:space="0" w:color="auto"/>
        <w:right w:val="none" w:sz="0" w:space="0" w:color="auto"/>
      </w:divBdr>
    </w:div>
    <w:div w:id="1013188597">
      <w:bodyDiv w:val="1"/>
      <w:marLeft w:val="0"/>
      <w:marRight w:val="0"/>
      <w:marTop w:val="0"/>
      <w:marBottom w:val="0"/>
      <w:divBdr>
        <w:top w:val="none" w:sz="0" w:space="0" w:color="auto"/>
        <w:left w:val="none" w:sz="0" w:space="0" w:color="auto"/>
        <w:bottom w:val="none" w:sz="0" w:space="0" w:color="auto"/>
        <w:right w:val="none" w:sz="0" w:space="0" w:color="auto"/>
      </w:divBdr>
    </w:div>
    <w:div w:id="1027025013">
      <w:bodyDiv w:val="1"/>
      <w:marLeft w:val="0"/>
      <w:marRight w:val="0"/>
      <w:marTop w:val="0"/>
      <w:marBottom w:val="0"/>
      <w:divBdr>
        <w:top w:val="none" w:sz="0" w:space="0" w:color="auto"/>
        <w:left w:val="none" w:sz="0" w:space="0" w:color="auto"/>
        <w:bottom w:val="none" w:sz="0" w:space="0" w:color="auto"/>
        <w:right w:val="none" w:sz="0" w:space="0" w:color="auto"/>
      </w:divBdr>
    </w:div>
    <w:div w:id="1083070791">
      <w:bodyDiv w:val="1"/>
      <w:marLeft w:val="0"/>
      <w:marRight w:val="0"/>
      <w:marTop w:val="0"/>
      <w:marBottom w:val="0"/>
      <w:divBdr>
        <w:top w:val="none" w:sz="0" w:space="0" w:color="auto"/>
        <w:left w:val="none" w:sz="0" w:space="0" w:color="auto"/>
        <w:bottom w:val="none" w:sz="0" w:space="0" w:color="auto"/>
        <w:right w:val="none" w:sz="0" w:space="0" w:color="auto"/>
      </w:divBdr>
    </w:div>
    <w:div w:id="1088305085">
      <w:bodyDiv w:val="1"/>
      <w:marLeft w:val="0"/>
      <w:marRight w:val="0"/>
      <w:marTop w:val="0"/>
      <w:marBottom w:val="0"/>
      <w:divBdr>
        <w:top w:val="none" w:sz="0" w:space="0" w:color="auto"/>
        <w:left w:val="none" w:sz="0" w:space="0" w:color="auto"/>
        <w:bottom w:val="none" w:sz="0" w:space="0" w:color="auto"/>
        <w:right w:val="none" w:sz="0" w:space="0" w:color="auto"/>
      </w:divBdr>
    </w:div>
    <w:div w:id="1093626937">
      <w:bodyDiv w:val="1"/>
      <w:marLeft w:val="0"/>
      <w:marRight w:val="0"/>
      <w:marTop w:val="0"/>
      <w:marBottom w:val="0"/>
      <w:divBdr>
        <w:top w:val="none" w:sz="0" w:space="0" w:color="auto"/>
        <w:left w:val="none" w:sz="0" w:space="0" w:color="auto"/>
        <w:bottom w:val="none" w:sz="0" w:space="0" w:color="auto"/>
        <w:right w:val="none" w:sz="0" w:space="0" w:color="auto"/>
      </w:divBdr>
    </w:div>
    <w:div w:id="1138760517">
      <w:bodyDiv w:val="1"/>
      <w:marLeft w:val="0"/>
      <w:marRight w:val="0"/>
      <w:marTop w:val="0"/>
      <w:marBottom w:val="0"/>
      <w:divBdr>
        <w:top w:val="none" w:sz="0" w:space="0" w:color="auto"/>
        <w:left w:val="none" w:sz="0" w:space="0" w:color="auto"/>
        <w:bottom w:val="none" w:sz="0" w:space="0" w:color="auto"/>
        <w:right w:val="none" w:sz="0" w:space="0" w:color="auto"/>
      </w:divBdr>
    </w:div>
    <w:div w:id="1157845521">
      <w:bodyDiv w:val="1"/>
      <w:marLeft w:val="0"/>
      <w:marRight w:val="0"/>
      <w:marTop w:val="0"/>
      <w:marBottom w:val="0"/>
      <w:divBdr>
        <w:top w:val="none" w:sz="0" w:space="0" w:color="auto"/>
        <w:left w:val="none" w:sz="0" w:space="0" w:color="auto"/>
        <w:bottom w:val="none" w:sz="0" w:space="0" w:color="auto"/>
        <w:right w:val="none" w:sz="0" w:space="0" w:color="auto"/>
      </w:divBdr>
    </w:div>
    <w:div w:id="1248347834">
      <w:bodyDiv w:val="1"/>
      <w:marLeft w:val="0"/>
      <w:marRight w:val="0"/>
      <w:marTop w:val="0"/>
      <w:marBottom w:val="0"/>
      <w:divBdr>
        <w:top w:val="none" w:sz="0" w:space="0" w:color="auto"/>
        <w:left w:val="none" w:sz="0" w:space="0" w:color="auto"/>
        <w:bottom w:val="none" w:sz="0" w:space="0" w:color="auto"/>
        <w:right w:val="none" w:sz="0" w:space="0" w:color="auto"/>
      </w:divBdr>
    </w:div>
    <w:div w:id="1381978989">
      <w:bodyDiv w:val="1"/>
      <w:marLeft w:val="0"/>
      <w:marRight w:val="0"/>
      <w:marTop w:val="0"/>
      <w:marBottom w:val="0"/>
      <w:divBdr>
        <w:top w:val="none" w:sz="0" w:space="0" w:color="auto"/>
        <w:left w:val="none" w:sz="0" w:space="0" w:color="auto"/>
        <w:bottom w:val="none" w:sz="0" w:space="0" w:color="auto"/>
        <w:right w:val="none" w:sz="0" w:space="0" w:color="auto"/>
      </w:divBdr>
    </w:div>
    <w:div w:id="1393500324">
      <w:bodyDiv w:val="1"/>
      <w:marLeft w:val="0"/>
      <w:marRight w:val="0"/>
      <w:marTop w:val="0"/>
      <w:marBottom w:val="0"/>
      <w:divBdr>
        <w:top w:val="none" w:sz="0" w:space="0" w:color="auto"/>
        <w:left w:val="none" w:sz="0" w:space="0" w:color="auto"/>
        <w:bottom w:val="none" w:sz="0" w:space="0" w:color="auto"/>
        <w:right w:val="none" w:sz="0" w:space="0" w:color="auto"/>
      </w:divBdr>
    </w:div>
    <w:div w:id="1571114358">
      <w:bodyDiv w:val="1"/>
      <w:marLeft w:val="0"/>
      <w:marRight w:val="0"/>
      <w:marTop w:val="0"/>
      <w:marBottom w:val="0"/>
      <w:divBdr>
        <w:top w:val="none" w:sz="0" w:space="0" w:color="auto"/>
        <w:left w:val="none" w:sz="0" w:space="0" w:color="auto"/>
        <w:bottom w:val="none" w:sz="0" w:space="0" w:color="auto"/>
        <w:right w:val="none" w:sz="0" w:space="0" w:color="auto"/>
      </w:divBdr>
    </w:div>
    <w:div w:id="1622762727">
      <w:bodyDiv w:val="1"/>
      <w:marLeft w:val="0"/>
      <w:marRight w:val="0"/>
      <w:marTop w:val="0"/>
      <w:marBottom w:val="0"/>
      <w:divBdr>
        <w:top w:val="none" w:sz="0" w:space="0" w:color="auto"/>
        <w:left w:val="none" w:sz="0" w:space="0" w:color="auto"/>
        <w:bottom w:val="none" w:sz="0" w:space="0" w:color="auto"/>
        <w:right w:val="none" w:sz="0" w:space="0" w:color="auto"/>
      </w:divBdr>
    </w:div>
    <w:div w:id="1673020383">
      <w:bodyDiv w:val="1"/>
      <w:marLeft w:val="0"/>
      <w:marRight w:val="0"/>
      <w:marTop w:val="0"/>
      <w:marBottom w:val="0"/>
      <w:divBdr>
        <w:top w:val="none" w:sz="0" w:space="0" w:color="auto"/>
        <w:left w:val="none" w:sz="0" w:space="0" w:color="auto"/>
        <w:bottom w:val="none" w:sz="0" w:space="0" w:color="auto"/>
        <w:right w:val="none" w:sz="0" w:space="0" w:color="auto"/>
      </w:divBdr>
    </w:div>
    <w:div w:id="1683627380">
      <w:bodyDiv w:val="1"/>
      <w:marLeft w:val="0"/>
      <w:marRight w:val="0"/>
      <w:marTop w:val="0"/>
      <w:marBottom w:val="0"/>
      <w:divBdr>
        <w:top w:val="none" w:sz="0" w:space="0" w:color="auto"/>
        <w:left w:val="none" w:sz="0" w:space="0" w:color="auto"/>
        <w:bottom w:val="none" w:sz="0" w:space="0" w:color="auto"/>
        <w:right w:val="none" w:sz="0" w:space="0" w:color="auto"/>
      </w:divBdr>
    </w:div>
    <w:div w:id="1877427468">
      <w:bodyDiv w:val="1"/>
      <w:marLeft w:val="0"/>
      <w:marRight w:val="0"/>
      <w:marTop w:val="0"/>
      <w:marBottom w:val="0"/>
      <w:divBdr>
        <w:top w:val="none" w:sz="0" w:space="0" w:color="auto"/>
        <w:left w:val="none" w:sz="0" w:space="0" w:color="auto"/>
        <w:bottom w:val="none" w:sz="0" w:space="0" w:color="auto"/>
        <w:right w:val="none" w:sz="0" w:space="0" w:color="auto"/>
      </w:divBdr>
    </w:div>
    <w:div w:id="2037540455">
      <w:bodyDiv w:val="1"/>
      <w:marLeft w:val="0"/>
      <w:marRight w:val="0"/>
      <w:marTop w:val="0"/>
      <w:marBottom w:val="0"/>
      <w:divBdr>
        <w:top w:val="none" w:sz="0" w:space="0" w:color="auto"/>
        <w:left w:val="none" w:sz="0" w:space="0" w:color="auto"/>
        <w:bottom w:val="none" w:sz="0" w:space="0" w:color="auto"/>
        <w:right w:val="none" w:sz="0" w:space="0" w:color="auto"/>
      </w:divBdr>
    </w:div>
    <w:div w:id="2130659221">
      <w:bodyDiv w:val="1"/>
      <w:marLeft w:val="0"/>
      <w:marRight w:val="0"/>
      <w:marTop w:val="0"/>
      <w:marBottom w:val="0"/>
      <w:divBdr>
        <w:top w:val="none" w:sz="0" w:space="0" w:color="auto"/>
        <w:left w:val="none" w:sz="0" w:space="0" w:color="auto"/>
        <w:bottom w:val="none" w:sz="0" w:space="0" w:color="auto"/>
        <w:right w:val="none" w:sz="0" w:space="0" w:color="auto"/>
      </w:divBdr>
    </w:div>
    <w:div w:id="2132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5069</Characters>
  <Application>Microsoft Office Word</Application>
  <DocSecurity>4</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creator>Celiya Zhang</dc:creator>
  <cp:lastModifiedBy>ZHONGM</cp:lastModifiedBy>
  <cp:revision>2</cp:revision>
  <dcterms:created xsi:type="dcterms:W3CDTF">2018-04-17T16:31:00Z</dcterms:created>
  <dcterms:modified xsi:type="dcterms:W3CDTF">2018-04-17T16:31:00Z</dcterms:modified>
</cp:coreProperties>
</file>