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23" w:rsidRPr="00D80523" w:rsidRDefault="00D80523" w:rsidP="00D80523">
      <w:pPr>
        <w:widowControl/>
        <w:spacing w:before="120" w:after="120"/>
        <w:rPr>
          <w:rFonts w:ascii="Tahoma" w:eastAsia="宋体" w:hAnsi="Tahoma" w:cs="Tahoma"/>
          <w:color w:val="000000"/>
          <w:kern w:val="0"/>
          <w:szCs w:val="21"/>
        </w:rPr>
      </w:pPr>
      <w:r w:rsidRPr="00D80523">
        <w:rPr>
          <w:rFonts w:ascii="Tahoma" w:eastAsia="宋体" w:hAnsi="Tahoma" w:cs="Tahoma"/>
          <w:color w:val="000000"/>
          <w:kern w:val="0"/>
          <w:szCs w:val="21"/>
        </w:rPr>
        <w:t> </w:t>
      </w:r>
    </w:p>
    <w:p w:rsidR="00D80523" w:rsidRPr="00DF2D7B" w:rsidRDefault="00D80523" w:rsidP="00D80523">
      <w:pPr>
        <w:widowControl/>
        <w:jc w:val="center"/>
        <w:rPr>
          <w:rFonts w:ascii="Tahoma" w:eastAsia="宋体" w:hAnsi="Tahoma" w:cs="Tahoma"/>
          <w:kern w:val="0"/>
          <w:szCs w:val="21"/>
        </w:rPr>
      </w:pPr>
      <w:r w:rsidRPr="00DF2D7B">
        <w:rPr>
          <w:rFonts w:ascii="宋体" w:eastAsia="宋体" w:hAnsi="宋体" w:cs="Tahoma" w:hint="eastAsia"/>
          <w:b/>
          <w:bCs/>
          <w:kern w:val="0"/>
          <w:sz w:val="32"/>
          <w:szCs w:val="32"/>
        </w:rPr>
        <w:t>关于</w:t>
      </w:r>
      <w:r w:rsidR="00DF2D7B" w:rsidRPr="00DF2D7B">
        <w:rPr>
          <w:rFonts w:ascii="宋体" w:eastAsia="宋体" w:hAnsi="宋体" w:cs="Tahoma" w:hint="eastAsia"/>
          <w:b/>
          <w:bCs/>
          <w:kern w:val="0"/>
          <w:sz w:val="32"/>
          <w:szCs w:val="32"/>
        </w:rPr>
        <w:t>国投瑞银瑞达混合型证券投资基金</w:t>
      </w:r>
      <w:r w:rsidRPr="00DF2D7B">
        <w:rPr>
          <w:rFonts w:ascii="宋体" w:eastAsia="宋体" w:hAnsi="宋体" w:cs="Tahoma" w:hint="eastAsia"/>
          <w:b/>
          <w:bCs/>
          <w:kern w:val="0"/>
          <w:sz w:val="32"/>
          <w:szCs w:val="32"/>
        </w:rPr>
        <w:t>可能触发基金合同</w:t>
      </w:r>
    </w:p>
    <w:p w:rsidR="00D80523" w:rsidRPr="00DF2D7B" w:rsidRDefault="00D80523" w:rsidP="00D80523">
      <w:pPr>
        <w:widowControl/>
        <w:jc w:val="center"/>
        <w:rPr>
          <w:rFonts w:ascii="Tahoma" w:eastAsia="宋体" w:hAnsi="Tahoma" w:cs="Tahoma"/>
          <w:kern w:val="0"/>
          <w:szCs w:val="21"/>
        </w:rPr>
      </w:pPr>
      <w:r w:rsidRPr="00DF2D7B">
        <w:rPr>
          <w:rFonts w:ascii="宋体" w:eastAsia="宋体" w:hAnsi="宋体" w:cs="Tahoma" w:hint="eastAsia"/>
          <w:b/>
          <w:bCs/>
          <w:kern w:val="0"/>
          <w:sz w:val="32"/>
          <w:szCs w:val="32"/>
        </w:rPr>
        <w:t>终止情形的第</w:t>
      </w:r>
      <w:r w:rsidR="00E553FC">
        <w:rPr>
          <w:rFonts w:ascii="宋体" w:eastAsia="宋体" w:hAnsi="宋体" w:cs="Tahoma" w:hint="eastAsia"/>
          <w:b/>
          <w:bCs/>
          <w:kern w:val="0"/>
          <w:sz w:val="32"/>
          <w:szCs w:val="32"/>
        </w:rPr>
        <w:t>二</w:t>
      </w:r>
      <w:r w:rsidRPr="00DF2D7B">
        <w:rPr>
          <w:rFonts w:ascii="宋体" w:eastAsia="宋体" w:hAnsi="宋体" w:cs="Tahoma" w:hint="eastAsia"/>
          <w:b/>
          <w:bCs/>
          <w:kern w:val="0"/>
          <w:sz w:val="32"/>
          <w:szCs w:val="32"/>
        </w:rPr>
        <w:t>次提示性公告</w:t>
      </w:r>
    </w:p>
    <w:p w:rsidR="00D80523" w:rsidRPr="00DF2D7B" w:rsidRDefault="00D80523" w:rsidP="00D80523">
      <w:pPr>
        <w:widowControl/>
        <w:ind w:firstLine="210"/>
        <w:jc w:val="left"/>
        <w:rPr>
          <w:rFonts w:ascii="Tahoma" w:eastAsia="宋体" w:hAnsi="Tahoma" w:cs="Tahoma"/>
          <w:kern w:val="0"/>
          <w:szCs w:val="21"/>
        </w:rPr>
      </w:pPr>
      <w:r w:rsidRPr="00DF2D7B">
        <w:rPr>
          <w:rFonts w:ascii="Tahoma" w:eastAsia="宋体" w:hAnsi="Tahoma" w:cs="Tahoma"/>
          <w:kern w:val="0"/>
          <w:szCs w:val="21"/>
        </w:rPr>
        <w:t> </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F2D7B">
        <w:rPr>
          <w:rFonts w:ascii="宋体" w:eastAsia="宋体" w:hAnsi="宋体" w:cs="Tahoma" w:hint="eastAsia"/>
          <w:kern w:val="0"/>
          <w:sz w:val="24"/>
          <w:szCs w:val="24"/>
        </w:rPr>
        <w:t>根据《中华人民共和国证券投资基金法》、《</w:t>
      </w:r>
      <w:r w:rsidR="00DF2D7B">
        <w:rPr>
          <w:rFonts w:ascii="宋体" w:eastAsia="宋体" w:hAnsi="宋体" w:cs="Tahoma" w:hint="eastAsia"/>
          <w:kern w:val="0"/>
          <w:sz w:val="24"/>
          <w:szCs w:val="24"/>
        </w:rPr>
        <w:t>公开募集</w:t>
      </w:r>
      <w:r w:rsidRPr="00DF2D7B">
        <w:rPr>
          <w:rFonts w:ascii="宋体" w:eastAsia="宋体" w:hAnsi="宋体" w:cs="Tahoma" w:hint="eastAsia"/>
          <w:kern w:val="0"/>
          <w:sz w:val="24"/>
          <w:szCs w:val="24"/>
        </w:rPr>
        <w:t>证券投资基金运作管理办法》</w:t>
      </w:r>
      <w:r w:rsidRPr="0044408F">
        <w:rPr>
          <w:rFonts w:ascii="宋体" w:eastAsia="宋体" w:hAnsi="宋体" w:cs="Tahoma" w:hint="eastAsia"/>
          <w:color w:val="000000"/>
          <w:kern w:val="0"/>
          <w:sz w:val="24"/>
          <w:szCs w:val="24"/>
        </w:rPr>
        <w:t>、《</w:t>
      </w:r>
      <w:r w:rsidR="00DF2D7B" w:rsidRPr="0044408F">
        <w:rPr>
          <w:rFonts w:ascii="宋体" w:eastAsia="宋体" w:hAnsi="宋体" w:cs="Tahoma" w:hint="eastAsia"/>
          <w:color w:val="000000"/>
          <w:kern w:val="0"/>
          <w:sz w:val="24"/>
          <w:szCs w:val="24"/>
        </w:rPr>
        <w:t>国投瑞银瑞达混合型证券投资基金</w:t>
      </w:r>
      <w:r w:rsidRPr="0044408F">
        <w:rPr>
          <w:rFonts w:ascii="宋体" w:eastAsia="宋体" w:hAnsi="宋体" w:cs="Tahoma" w:hint="eastAsia"/>
          <w:color w:val="000000"/>
          <w:kern w:val="0"/>
          <w:sz w:val="24"/>
          <w:szCs w:val="24"/>
        </w:rPr>
        <w:t>基金合同》（以下简称“《基金合同》”）的有关规定，《基金合同》生效后，</w:t>
      </w:r>
      <w:r w:rsidR="00DF2D7B" w:rsidRPr="0044408F">
        <w:rPr>
          <w:rFonts w:ascii="宋体" w:eastAsia="宋体" w:hAnsi="宋体" w:cs="Tahoma"/>
          <w:color w:val="000000"/>
          <w:kern w:val="0"/>
          <w:sz w:val="24"/>
          <w:szCs w:val="24"/>
        </w:rPr>
        <w:t>连续20个工作日出现基金份额持有人数量不满200人或者基金资产净值低于5000万元情形的，基金管理人应当在定期报告中予以披露；连续60个工作日出现前述情形的，本基金合同将终止并进行基金财产清算，且无需召开持有人大会</w:t>
      </w:r>
      <w:r w:rsidRPr="00D80523">
        <w:rPr>
          <w:rFonts w:ascii="宋体" w:eastAsia="宋体" w:hAnsi="宋体" w:cs="Tahoma" w:hint="eastAsia"/>
          <w:color w:val="000000"/>
          <w:kern w:val="0"/>
          <w:sz w:val="24"/>
          <w:szCs w:val="24"/>
        </w:rPr>
        <w:t>。</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根据</w:t>
      </w:r>
      <w:r w:rsidR="00DF2D7B">
        <w:rPr>
          <w:rFonts w:ascii="宋体" w:eastAsia="宋体" w:hAnsi="宋体" w:cs="Tahoma" w:hint="eastAsia"/>
          <w:color w:val="000000"/>
          <w:kern w:val="0"/>
          <w:sz w:val="24"/>
          <w:szCs w:val="24"/>
        </w:rPr>
        <w:t>国投瑞银瑞达混合型证券投资基金</w:t>
      </w:r>
      <w:r w:rsidRPr="00D80523">
        <w:rPr>
          <w:rFonts w:ascii="宋体" w:eastAsia="宋体" w:hAnsi="宋体" w:cs="Tahoma" w:hint="eastAsia"/>
          <w:color w:val="000000"/>
          <w:kern w:val="0"/>
          <w:sz w:val="24"/>
          <w:szCs w:val="24"/>
        </w:rPr>
        <w:t>（以下简称“本基金”）的资产规模状况，本基金有可能在201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44408F">
        <w:rPr>
          <w:rFonts w:ascii="宋体" w:eastAsia="宋体" w:hAnsi="宋体" w:cs="Tahoma" w:hint="eastAsia"/>
          <w:color w:val="000000"/>
          <w:kern w:val="0"/>
          <w:sz w:val="24"/>
          <w:szCs w:val="24"/>
        </w:rPr>
        <w:t>4</w:t>
      </w:r>
      <w:r w:rsidRPr="00D80523">
        <w:rPr>
          <w:rFonts w:ascii="宋体" w:eastAsia="宋体" w:hAnsi="宋体" w:cs="Tahoma" w:hint="eastAsia"/>
          <w:color w:val="000000"/>
          <w:kern w:val="0"/>
          <w:sz w:val="24"/>
          <w:szCs w:val="24"/>
        </w:rPr>
        <w:t>月</w:t>
      </w:r>
      <w:r w:rsidR="0044408F">
        <w:rPr>
          <w:rFonts w:ascii="宋体" w:eastAsia="宋体" w:hAnsi="宋体" w:cs="Tahoma" w:hint="eastAsia"/>
          <w:color w:val="000000"/>
          <w:kern w:val="0"/>
          <w:sz w:val="24"/>
          <w:szCs w:val="24"/>
        </w:rPr>
        <w:t>4</w:t>
      </w:r>
      <w:r w:rsidRPr="00D80523">
        <w:rPr>
          <w:rFonts w:ascii="宋体" w:eastAsia="宋体" w:hAnsi="宋体" w:cs="Tahoma" w:hint="eastAsia"/>
          <w:color w:val="000000"/>
          <w:kern w:val="0"/>
          <w:sz w:val="24"/>
          <w:szCs w:val="24"/>
        </w:rPr>
        <w:t>日日终出现触发上述基金合同终止的情形。</w:t>
      </w:r>
      <w:r w:rsidR="00E553FC">
        <w:rPr>
          <w:rFonts w:ascii="宋体" w:eastAsia="宋体" w:hAnsi="宋体" w:cs="Tahoma" w:hint="eastAsia"/>
          <w:color w:val="000000"/>
          <w:kern w:val="0"/>
          <w:sz w:val="24"/>
          <w:szCs w:val="24"/>
        </w:rPr>
        <w:t>本公司</w:t>
      </w:r>
      <w:r w:rsidR="00E553FC" w:rsidRPr="00D80523">
        <w:rPr>
          <w:rFonts w:ascii="宋体" w:eastAsia="宋体" w:hAnsi="宋体" w:cs="Tahoma" w:hint="eastAsia"/>
          <w:color w:val="000000"/>
          <w:kern w:val="0"/>
          <w:sz w:val="24"/>
          <w:szCs w:val="24"/>
        </w:rPr>
        <w:t>已于201</w:t>
      </w:r>
      <w:r w:rsidR="00E553FC">
        <w:rPr>
          <w:rFonts w:ascii="宋体" w:eastAsia="宋体" w:hAnsi="宋体" w:cs="Tahoma" w:hint="eastAsia"/>
          <w:color w:val="000000"/>
          <w:kern w:val="0"/>
          <w:sz w:val="24"/>
          <w:szCs w:val="24"/>
        </w:rPr>
        <w:t>8</w:t>
      </w:r>
      <w:r w:rsidR="00E553FC" w:rsidRPr="00D80523">
        <w:rPr>
          <w:rFonts w:ascii="宋体" w:eastAsia="宋体" w:hAnsi="宋体" w:cs="Tahoma" w:hint="eastAsia"/>
          <w:color w:val="000000"/>
          <w:kern w:val="0"/>
          <w:sz w:val="24"/>
          <w:szCs w:val="24"/>
        </w:rPr>
        <w:t>年</w:t>
      </w:r>
      <w:r w:rsidR="00E553FC">
        <w:rPr>
          <w:rFonts w:ascii="宋体" w:eastAsia="宋体" w:hAnsi="宋体" w:cs="Tahoma" w:hint="eastAsia"/>
          <w:color w:val="000000"/>
          <w:kern w:val="0"/>
          <w:sz w:val="24"/>
          <w:szCs w:val="24"/>
        </w:rPr>
        <w:t>3</w:t>
      </w:r>
      <w:r w:rsidR="00E553FC" w:rsidRPr="00D80523">
        <w:rPr>
          <w:rFonts w:ascii="宋体" w:eastAsia="宋体" w:hAnsi="宋体" w:cs="Tahoma" w:hint="eastAsia"/>
          <w:color w:val="000000"/>
          <w:kern w:val="0"/>
          <w:sz w:val="24"/>
          <w:szCs w:val="24"/>
        </w:rPr>
        <w:t>月</w:t>
      </w:r>
      <w:r w:rsidR="00E553FC">
        <w:rPr>
          <w:rFonts w:ascii="宋体" w:eastAsia="宋体" w:hAnsi="宋体" w:cs="Tahoma" w:hint="eastAsia"/>
          <w:color w:val="000000"/>
          <w:kern w:val="0"/>
          <w:sz w:val="24"/>
          <w:szCs w:val="24"/>
        </w:rPr>
        <w:t>23</w:t>
      </w:r>
      <w:r w:rsidR="00E553FC" w:rsidRPr="00D80523">
        <w:rPr>
          <w:rFonts w:ascii="宋体" w:eastAsia="宋体" w:hAnsi="宋体" w:cs="Tahoma" w:hint="eastAsia"/>
          <w:color w:val="000000"/>
          <w:kern w:val="0"/>
          <w:sz w:val="24"/>
          <w:szCs w:val="24"/>
        </w:rPr>
        <w:t>日在《中国证券报》、《上海证券报》、《证券时报》及公司网站刊登了《关于</w:t>
      </w:r>
      <w:r w:rsidR="00E553FC">
        <w:rPr>
          <w:rFonts w:ascii="宋体" w:eastAsia="宋体" w:hAnsi="宋体" w:cs="Tahoma" w:hint="eastAsia"/>
          <w:color w:val="000000"/>
          <w:kern w:val="0"/>
          <w:sz w:val="24"/>
          <w:szCs w:val="24"/>
        </w:rPr>
        <w:t>国投瑞银瑞达混合型</w:t>
      </w:r>
      <w:r w:rsidR="00E553FC" w:rsidRPr="00D80523">
        <w:rPr>
          <w:rFonts w:ascii="宋体" w:eastAsia="宋体" w:hAnsi="宋体" w:cs="Tahoma" w:hint="eastAsia"/>
          <w:color w:val="000000"/>
          <w:kern w:val="0"/>
          <w:sz w:val="24"/>
          <w:szCs w:val="24"/>
        </w:rPr>
        <w:t>证券投资基金可能触发基金合同终止情形的第一次提示性公告》。</w:t>
      </w:r>
      <w:r w:rsidRPr="00D80523">
        <w:rPr>
          <w:rFonts w:ascii="宋体" w:eastAsia="宋体" w:hAnsi="宋体" w:cs="Tahoma" w:hint="eastAsia"/>
          <w:color w:val="000000"/>
          <w:kern w:val="0"/>
          <w:sz w:val="24"/>
          <w:szCs w:val="24"/>
        </w:rPr>
        <w:t>为保护基金份额持有人利益，特将本基金相关情况及风险</w:t>
      </w:r>
      <w:r w:rsidR="00E553FC">
        <w:rPr>
          <w:rFonts w:ascii="宋体" w:eastAsia="宋体" w:hAnsi="宋体" w:cs="Tahoma" w:hint="eastAsia"/>
          <w:color w:val="000000"/>
          <w:kern w:val="0"/>
          <w:sz w:val="24"/>
          <w:szCs w:val="24"/>
        </w:rPr>
        <w:t>再次</w:t>
      </w:r>
      <w:r w:rsidRPr="00D80523">
        <w:rPr>
          <w:rFonts w:ascii="宋体" w:eastAsia="宋体" w:hAnsi="宋体" w:cs="Tahoma" w:hint="eastAsia"/>
          <w:color w:val="000000"/>
          <w:kern w:val="0"/>
          <w:sz w:val="24"/>
          <w:szCs w:val="24"/>
        </w:rPr>
        <w:t>提示如下：</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一、本基金基本信息</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基金名称：</w:t>
      </w:r>
      <w:r w:rsidR="00DF2D7B">
        <w:rPr>
          <w:rFonts w:ascii="宋体" w:eastAsia="宋体" w:hAnsi="宋体" w:cs="Tahoma" w:hint="eastAsia"/>
          <w:color w:val="000000"/>
          <w:kern w:val="0"/>
          <w:sz w:val="24"/>
          <w:szCs w:val="24"/>
        </w:rPr>
        <w:t>国投瑞银瑞达混合型证券投资基金</w:t>
      </w:r>
    </w:p>
    <w:p w:rsidR="00D80523" w:rsidRPr="00D80523" w:rsidRDefault="0044408F" w:rsidP="00DF2D7B">
      <w:pPr>
        <w:widowControl/>
        <w:spacing w:line="360" w:lineRule="auto"/>
        <w:ind w:firstLine="480"/>
        <w:jc w:val="left"/>
        <w:rPr>
          <w:rFonts w:ascii="Tahoma" w:eastAsia="宋体" w:hAnsi="Tahoma" w:cs="Tahoma"/>
          <w:color w:val="000000"/>
          <w:kern w:val="0"/>
          <w:szCs w:val="21"/>
        </w:rPr>
      </w:pPr>
      <w:r>
        <w:rPr>
          <w:rFonts w:ascii="宋体" w:eastAsia="宋体" w:hAnsi="宋体" w:cs="Tahoma" w:hint="eastAsia"/>
          <w:color w:val="000000"/>
          <w:kern w:val="0"/>
          <w:sz w:val="24"/>
          <w:szCs w:val="24"/>
        </w:rPr>
        <w:t>基金</w:t>
      </w:r>
      <w:r w:rsidR="00D80523" w:rsidRPr="00D80523">
        <w:rPr>
          <w:rFonts w:ascii="宋体" w:eastAsia="宋体" w:hAnsi="宋体" w:cs="Tahoma" w:hint="eastAsia"/>
          <w:color w:val="000000"/>
          <w:kern w:val="0"/>
          <w:sz w:val="24"/>
          <w:szCs w:val="24"/>
        </w:rPr>
        <w:t>简称：</w:t>
      </w:r>
      <w:r>
        <w:rPr>
          <w:rFonts w:ascii="宋体" w:eastAsia="宋体" w:hAnsi="宋体" w:cs="Tahoma" w:hint="eastAsia"/>
          <w:color w:val="000000"/>
          <w:kern w:val="0"/>
          <w:sz w:val="24"/>
          <w:szCs w:val="24"/>
        </w:rPr>
        <w:t>国投瑞银瑞达混合</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基金代码：</w:t>
      </w:r>
      <w:r w:rsidR="0044408F">
        <w:rPr>
          <w:rFonts w:ascii="宋体" w:eastAsia="宋体" w:hAnsi="宋体" w:cs="Tahoma" w:hint="eastAsia"/>
          <w:color w:val="000000"/>
          <w:kern w:val="0"/>
          <w:sz w:val="24"/>
          <w:szCs w:val="24"/>
        </w:rPr>
        <w:t>003158</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基金运作方式：契约型开放式</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基金合同生效日：201</w:t>
      </w:r>
      <w:r w:rsidR="0044408F">
        <w:rPr>
          <w:rFonts w:ascii="宋体" w:eastAsia="宋体" w:hAnsi="宋体" w:cs="Tahoma" w:hint="eastAsia"/>
          <w:color w:val="000000"/>
          <w:kern w:val="0"/>
          <w:sz w:val="24"/>
          <w:szCs w:val="24"/>
        </w:rPr>
        <w:t>6</w:t>
      </w:r>
      <w:r w:rsidRPr="00D80523">
        <w:rPr>
          <w:rFonts w:ascii="宋体" w:eastAsia="宋体" w:hAnsi="宋体" w:cs="Tahoma" w:hint="eastAsia"/>
          <w:color w:val="000000"/>
          <w:kern w:val="0"/>
          <w:sz w:val="24"/>
          <w:szCs w:val="24"/>
        </w:rPr>
        <w:t>年</w:t>
      </w:r>
      <w:r w:rsidR="0044408F">
        <w:rPr>
          <w:rFonts w:ascii="宋体" w:eastAsia="宋体" w:hAnsi="宋体" w:cs="Tahoma" w:hint="eastAsia"/>
          <w:color w:val="000000"/>
          <w:kern w:val="0"/>
          <w:sz w:val="24"/>
          <w:szCs w:val="24"/>
        </w:rPr>
        <w:t>9</w:t>
      </w:r>
      <w:r w:rsidRPr="00D80523">
        <w:rPr>
          <w:rFonts w:ascii="宋体" w:eastAsia="宋体" w:hAnsi="宋体" w:cs="Tahoma" w:hint="eastAsia"/>
          <w:color w:val="000000"/>
          <w:kern w:val="0"/>
          <w:sz w:val="24"/>
          <w:szCs w:val="24"/>
        </w:rPr>
        <w:t>月</w:t>
      </w:r>
      <w:r w:rsidR="0044408F">
        <w:rPr>
          <w:rFonts w:ascii="宋体" w:eastAsia="宋体" w:hAnsi="宋体" w:cs="Tahoma" w:hint="eastAsia"/>
          <w:color w:val="000000"/>
          <w:kern w:val="0"/>
          <w:sz w:val="24"/>
          <w:szCs w:val="24"/>
        </w:rPr>
        <w:t>29</w:t>
      </w:r>
      <w:r w:rsidRPr="00D80523">
        <w:rPr>
          <w:rFonts w:ascii="宋体" w:eastAsia="宋体" w:hAnsi="宋体" w:cs="Tahoma" w:hint="eastAsia"/>
          <w:color w:val="000000"/>
          <w:kern w:val="0"/>
          <w:sz w:val="24"/>
          <w:szCs w:val="24"/>
        </w:rPr>
        <w:t>日</w:t>
      </w:r>
    </w:p>
    <w:p w:rsidR="0044408F"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二、基金合同终止情形</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《基金合同》“第五部分 基金备案”中“三、基金存续期内的基金份额持有人数量和资产规模”规定：</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w:t>
      </w:r>
      <w:r w:rsidR="0044408F" w:rsidRPr="0044408F">
        <w:rPr>
          <w:rFonts w:ascii="宋体" w:eastAsia="宋体" w:hAnsi="宋体" w:cs="Tahoma"/>
          <w:color w:val="000000"/>
          <w:kern w:val="0"/>
          <w:sz w:val="24"/>
          <w:szCs w:val="24"/>
        </w:rPr>
        <w:t>《基金合同》生效后，连续20个工作日出现基金份额持有人数量不满200人或者基金资产净值低于5000万元情形的，基金管理人应当在定期报告中予以披露；连续60个工作日出现前述情形的，本基金合同将终止并进行基金财产清</w:t>
      </w:r>
      <w:r w:rsidR="0044408F" w:rsidRPr="0044408F">
        <w:rPr>
          <w:rFonts w:ascii="宋体" w:eastAsia="宋体" w:hAnsi="宋体" w:cs="Tahoma"/>
          <w:color w:val="000000"/>
          <w:kern w:val="0"/>
          <w:sz w:val="24"/>
          <w:szCs w:val="24"/>
        </w:rPr>
        <w:lastRenderedPageBreak/>
        <w:t>算，且无需召开持有人大会，同时基金管理人应履行相关的监管报告和信息披露程序</w:t>
      </w:r>
      <w:r w:rsidRPr="00D80523">
        <w:rPr>
          <w:rFonts w:ascii="宋体" w:eastAsia="宋体" w:hAnsi="宋体" w:cs="Tahoma" w:hint="eastAsia"/>
          <w:color w:val="000000"/>
          <w:kern w:val="0"/>
          <w:sz w:val="24"/>
          <w:szCs w:val="24"/>
        </w:rPr>
        <w:t>。</w:t>
      </w:r>
    </w:p>
    <w:p w:rsidR="00D80523" w:rsidRPr="0044408F" w:rsidRDefault="0044408F" w:rsidP="00DF2D7B">
      <w:pPr>
        <w:widowControl/>
        <w:spacing w:line="360" w:lineRule="auto"/>
        <w:ind w:firstLine="480"/>
        <w:jc w:val="left"/>
        <w:rPr>
          <w:rFonts w:ascii="宋体" w:eastAsia="宋体" w:hAnsi="宋体" w:cs="Tahoma"/>
          <w:color w:val="000000"/>
          <w:kern w:val="0"/>
          <w:sz w:val="24"/>
          <w:szCs w:val="24"/>
        </w:rPr>
      </w:pPr>
      <w:r w:rsidRPr="0044408F">
        <w:rPr>
          <w:rFonts w:ascii="宋体" w:eastAsia="宋体" w:hAnsi="宋体" w:cs="Tahoma"/>
          <w:color w:val="000000"/>
          <w:kern w:val="0"/>
          <w:sz w:val="24"/>
          <w:szCs w:val="24"/>
        </w:rPr>
        <w:t>法律法规或监管部门另有规定时，从其规定</w:t>
      </w:r>
      <w:r w:rsidR="00D80523" w:rsidRPr="00D80523">
        <w:rPr>
          <w:rFonts w:ascii="宋体" w:eastAsia="宋体" w:hAnsi="宋体" w:cs="Tahoma" w:hint="eastAsia"/>
          <w:color w:val="000000"/>
          <w:kern w:val="0"/>
          <w:sz w:val="24"/>
          <w:szCs w:val="24"/>
        </w:rPr>
        <w:t>。”</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若截至201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44408F">
        <w:rPr>
          <w:rFonts w:ascii="宋体" w:eastAsia="宋体" w:hAnsi="宋体" w:cs="Tahoma" w:hint="eastAsia"/>
          <w:color w:val="000000"/>
          <w:kern w:val="0"/>
          <w:sz w:val="24"/>
          <w:szCs w:val="24"/>
        </w:rPr>
        <w:t>4</w:t>
      </w:r>
      <w:r w:rsidRPr="00D80523">
        <w:rPr>
          <w:rFonts w:ascii="宋体" w:eastAsia="宋体" w:hAnsi="宋体" w:cs="Tahoma" w:hint="eastAsia"/>
          <w:color w:val="000000"/>
          <w:kern w:val="0"/>
          <w:sz w:val="24"/>
          <w:szCs w:val="24"/>
        </w:rPr>
        <w:t>月</w:t>
      </w:r>
      <w:r w:rsidR="0044408F">
        <w:rPr>
          <w:rFonts w:ascii="宋体" w:eastAsia="宋体" w:hAnsi="宋体" w:cs="Tahoma" w:hint="eastAsia"/>
          <w:color w:val="000000"/>
          <w:kern w:val="0"/>
          <w:sz w:val="24"/>
          <w:szCs w:val="24"/>
        </w:rPr>
        <w:t>4</w:t>
      </w:r>
      <w:r w:rsidRPr="00D80523">
        <w:rPr>
          <w:rFonts w:ascii="宋体" w:eastAsia="宋体" w:hAnsi="宋体" w:cs="Tahoma" w:hint="eastAsia"/>
          <w:color w:val="000000"/>
          <w:kern w:val="0"/>
          <w:sz w:val="24"/>
          <w:szCs w:val="24"/>
        </w:rPr>
        <w:t>日日终，</w:t>
      </w:r>
      <w:r w:rsidR="0044408F">
        <w:rPr>
          <w:rFonts w:ascii="宋体" w:eastAsia="宋体" w:hAnsi="宋体" w:cs="Tahoma" w:hint="eastAsia"/>
          <w:color w:val="000000"/>
          <w:kern w:val="0"/>
          <w:sz w:val="24"/>
          <w:szCs w:val="24"/>
        </w:rPr>
        <w:t>本</w:t>
      </w:r>
      <w:r w:rsidRPr="00D80523">
        <w:rPr>
          <w:rFonts w:ascii="宋体" w:eastAsia="宋体" w:hAnsi="宋体" w:cs="Tahoma" w:hint="eastAsia"/>
          <w:color w:val="000000"/>
          <w:kern w:val="0"/>
          <w:sz w:val="24"/>
          <w:szCs w:val="24"/>
        </w:rPr>
        <w:t>基金资产净值持续低于5000万元，即本基金已连续60个工作日基金资产净值低于5000万元。为维护基金份额持有人利益，经本基金管理人与基金托管人协商一致</w:t>
      </w:r>
      <w:r w:rsidR="00841E93">
        <w:rPr>
          <w:rFonts w:ascii="宋体" w:eastAsia="宋体" w:hAnsi="宋体" w:cs="Tahoma" w:hint="eastAsia"/>
          <w:color w:val="000000"/>
          <w:kern w:val="0"/>
          <w:sz w:val="24"/>
          <w:szCs w:val="24"/>
        </w:rPr>
        <w:t>后</w:t>
      </w:r>
      <w:r w:rsidRPr="00D80523">
        <w:rPr>
          <w:rFonts w:ascii="宋体" w:eastAsia="宋体" w:hAnsi="宋体" w:cs="Tahoma" w:hint="eastAsia"/>
          <w:color w:val="000000"/>
          <w:kern w:val="0"/>
          <w:sz w:val="24"/>
          <w:szCs w:val="24"/>
        </w:rPr>
        <w:t>，根据</w:t>
      </w:r>
      <w:r w:rsidR="00FC25E3">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FC25E3">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约定，本基金将依法进入基金财产清算程序,无需召开基金份额持有人大会审议。若出现上述情况，则自201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44408F">
        <w:rPr>
          <w:rFonts w:ascii="宋体" w:eastAsia="宋体" w:hAnsi="宋体" w:cs="Tahoma" w:hint="eastAsia"/>
          <w:color w:val="000000"/>
          <w:kern w:val="0"/>
          <w:sz w:val="24"/>
          <w:szCs w:val="24"/>
        </w:rPr>
        <w:t>4</w:t>
      </w:r>
      <w:r w:rsidRPr="00D80523">
        <w:rPr>
          <w:rFonts w:ascii="宋体" w:eastAsia="宋体" w:hAnsi="宋体" w:cs="Tahoma" w:hint="eastAsia"/>
          <w:color w:val="000000"/>
          <w:kern w:val="0"/>
          <w:sz w:val="24"/>
          <w:szCs w:val="24"/>
        </w:rPr>
        <w:t>月</w:t>
      </w:r>
      <w:r w:rsidR="0044408F">
        <w:rPr>
          <w:rFonts w:ascii="宋体" w:eastAsia="宋体" w:hAnsi="宋体" w:cs="Tahoma" w:hint="eastAsia"/>
          <w:color w:val="000000"/>
          <w:kern w:val="0"/>
          <w:sz w:val="24"/>
          <w:szCs w:val="24"/>
        </w:rPr>
        <w:t>5</w:t>
      </w:r>
      <w:r w:rsidRPr="00D80523">
        <w:rPr>
          <w:rFonts w:ascii="宋体" w:eastAsia="宋体" w:hAnsi="宋体" w:cs="Tahoma" w:hint="eastAsia"/>
          <w:color w:val="000000"/>
          <w:kern w:val="0"/>
          <w:sz w:val="24"/>
          <w:szCs w:val="24"/>
        </w:rPr>
        <w:t>日起，本基金进入基金财产清算程序。</w:t>
      </w:r>
      <w:r w:rsidR="00F6504C">
        <w:rPr>
          <w:rFonts w:ascii="宋体" w:eastAsia="宋体" w:hAnsi="宋体" w:cs="Tahoma" w:hint="eastAsia"/>
          <w:color w:val="000000"/>
          <w:kern w:val="0"/>
          <w:sz w:val="24"/>
          <w:szCs w:val="24"/>
        </w:rPr>
        <w:t>同时，</w:t>
      </w:r>
      <w:r w:rsidR="00F6504C" w:rsidRPr="00FD58E1">
        <w:rPr>
          <w:rFonts w:ascii="宋体" w:eastAsia="宋体" w:hAnsi="宋体" w:cs="Tahoma" w:hint="eastAsia"/>
          <w:color w:val="000000"/>
          <w:kern w:val="0"/>
          <w:sz w:val="24"/>
          <w:szCs w:val="24"/>
        </w:rPr>
        <w:t>鉴于本基金已于</w:t>
      </w:r>
      <w:r w:rsidR="00F6504C">
        <w:rPr>
          <w:rFonts w:ascii="宋体" w:eastAsia="宋体" w:hAnsi="宋体" w:cs="Tahoma" w:hint="eastAsia"/>
          <w:color w:val="000000"/>
          <w:kern w:val="0"/>
          <w:sz w:val="24"/>
          <w:szCs w:val="24"/>
        </w:rPr>
        <w:t>2018年3月26日起</w:t>
      </w:r>
      <w:r w:rsidR="00F6504C" w:rsidRPr="00FD58E1">
        <w:rPr>
          <w:rFonts w:ascii="宋体" w:eastAsia="宋体" w:hAnsi="宋体" w:cs="Tahoma" w:hint="eastAsia"/>
          <w:color w:val="000000"/>
          <w:kern w:val="0"/>
          <w:sz w:val="24"/>
          <w:szCs w:val="24"/>
        </w:rPr>
        <w:t>暂停了申购业务</w:t>
      </w:r>
      <w:r w:rsidR="0014773F">
        <w:rPr>
          <w:rFonts w:ascii="宋体" w:eastAsia="宋体" w:hAnsi="宋体" w:cs="Tahoma" w:hint="eastAsia"/>
          <w:color w:val="000000"/>
          <w:kern w:val="0"/>
          <w:sz w:val="24"/>
          <w:szCs w:val="24"/>
        </w:rPr>
        <w:t>（含转换转入、定期定额投资）</w:t>
      </w:r>
      <w:r w:rsidR="00F6504C" w:rsidRPr="00FD58E1">
        <w:rPr>
          <w:rFonts w:ascii="宋体" w:eastAsia="宋体" w:hAnsi="宋体" w:cs="Tahoma" w:hint="eastAsia"/>
          <w:color w:val="000000"/>
          <w:kern w:val="0"/>
          <w:sz w:val="24"/>
          <w:szCs w:val="24"/>
        </w:rPr>
        <w:t>，且根据本基金的资产净值情况，</w:t>
      </w:r>
      <w:r w:rsidR="00F6504C" w:rsidRPr="00FD58E1">
        <w:rPr>
          <w:rFonts w:ascii="宋体" w:eastAsia="宋体" w:hAnsi="宋体" w:cs="Tahoma"/>
          <w:color w:val="000000"/>
          <w:kern w:val="0"/>
          <w:sz w:val="24"/>
          <w:szCs w:val="24"/>
        </w:rPr>
        <w:t>2018</w:t>
      </w:r>
      <w:r w:rsidR="00F6504C" w:rsidRPr="00FD58E1">
        <w:rPr>
          <w:rFonts w:ascii="宋体" w:eastAsia="宋体" w:hAnsi="宋体" w:cs="Tahoma" w:hint="eastAsia"/>
          <w:color w:val="000000"/>
          <w:kern w:val="0"/>
          <w:sz w:val="24"/>
          <w:szCs w:val="24"/>
        </w:rPr>
        <w:t>年</w:t>
      </w:r>
      <w:r w:rsidR="00F6504C" w:rsidRPr="00FD58E1">
        <w:rPr>
          <w:rFonts w:ascii="宋体" w:eastAsia="宋体" w:hAnsi="宋体" w:cs="Tahoma"/>
          <w:color w:val="000000"/>
          <w:kern w:val="0"/>
          <w:sz w:val="24"/>
          <w:szCs w:val="24"/>
        </w:rPr>
        <w:t>4</w:t>
      </w:r>
      <w:r w:rsidR="00F6504C" w:rsidRPr="00FD58E1">
        <w:rPr>
          <w:rFonts w:ascii="宋体" w:eastAsia="宋体" w:hAnsi="宋体" w:cs="Tahoma" w:hint="eastAsia"/>
          <w:color w:val="000000"/>
          <w:kern w:val="0"/>
          <w:sz w:val="24"/>
          <w:szCs w:val="24"/>
        </w:rPr>
        <w:t>月</w:t>
      </w:r>
      <w:r w:rsidR="00F6504C" w:rsidRPr="00FD58E1">
        <w:rPr>
          <w:rFonts w:ascii="宋体" w:eastAsia="宋体" w:hAnsi="宋体" w:cs="Tahoma"/>
          <w:color w:val="000000"/>
          <w:kern w:val="0"/>
          <w:sz w:val="24"/>
          <w:szCs w:val="24"/>
        </w:rPr>
        <w:t>4</w:t>
      </w:r>
      <w:r w:rsidR="00F6504C" w:rsidRPr="00FD58E1">
        <w:rPr>
          <w:rFonts w:ascii="宋体" w:eastAsia="宋体" w:hAnsi="宋体" w:cs="Tahoma" w:hint="eastAsia"/>
          <w:color w:val="000000"/>
          <w:kern w:val="0"/>
          <w:sz w:val="24"/>
          <w:szCs w:val="24"/>
        </w:rPr>
        <w:t>日本基金可能触发</w:t>
      </w:r>
      <w:r w:rsidR="00F6504C">
        <w:rPr>
          <w:rFonts w:ascii="宋体" w:eastAsia="宋体" w:hAnsi="宋体" w:cs="Tahoma" w:hint="eastAsia"/>
          <w:color w:val="000000"/>
          <w:kern w:val="0"/>
          <w:sz w:val="24"/>
          <w:szCs w:val="24"/>
        </w:rPr>
        <w:t>合同</w:t>
      </w:r>
      <w:r w:rsidR="00F6504C" w:rsidRPr="00FD58E1">
        <w:rPr>
          <w:rFonts w:ascii="宋体" w:eastAsia="宋体" w:hAnsi="宋体" w:cs="Tahoma" w:hint="eastAsia"/>
          <w:color w:val="000000"/>
          <w:kern w:val="0"/>
          <w:sz w:val="24"/>
          <w:szCs w:val="24"/>
        </w:rPr>
        <w:t>终止条款，为维护</w:t>
      </w:r>
      <w:r w:rsidR="00F6504C" w:rsidRPr="00D80523">
        <w:rPr>
          <w:rFonts w:ascii="宋体" w:eastAsia="宋体" w:hAnsi="宋体" w:cs="Tahoma" w:hint="eastAsia"/>
          <w:color w:val="000000"/>
          <w:kern w:val="0"/>
          <w:sz w:val="24"/>
          <w:szCs w:val="24"/>
        </w:rPr>
        <w:t>基金</w:t>
      </w:r>
      <w:r w:rsidR="00F6504C">
        <w:rPr>
          <w:rFonts w:ascii="宋体" w:eastAsia="宋体" w:hAnsi="宋体" w:cs="Tahoma" w:hint="eastAsia"/>
          <w:color w:val="000000"/>
          <w:kern w:val="0"/>
          <w:sz w:val="24"/>
          <w:szCs w:val="24"/>
        </w:rPr>
        <w:t>份额</w:t>
      </w:r>
      <w:r w:rsidR="00F6504C" w:rsidRPr="00FD58E1">
        <w:rPr>
          <w:rFonts w:ascii="宋体" w:eastAsia="宋体" w:hAnsi="宋体" w:cs="Tahoma" w:hint="eastAsia"/>
          <w:color w:val="000000"/>
          <w:kern w:val="0"/>
          <w:sz w:val="24"/>
          <w:szCs w:val="24"/>
        </w:rPr>
        <w:t>持有人利益，本基金将自</w:t>
      </w:r>
      <w:r w:rsidR="00F6504C">
        <w:rPr>
          <w:rFonts w:ascii="宋体" w:eastAsia="宋体" w:hAnsi="宋体" w:cs="Tahoma" w:hint="eastAsia"/>
          <w:color w:val="000000"/>
          <w:kern w:val="0"/>
          <w:sz w:val="24"/>
          <w:szCs w:val="24"/>
        </w:rPr>
        <w:t>2018年</w:t>
      </w:r>
      <w:r w:rsidR="00F6504C" w:rsidRPr="00FD58E1">
        <w:rPr>
          <w:rFonts w:ascii="宋体" w:eastAsia="宋体" w:hAnsi="宋体" w:cs="Tahoma"/>
          <w:color w:val="000000"/>
          <w:kern w:val="0"/>
          <w:sz w:val="24"/>
          <w:szCs w:val="24"/>
        </w:rPr>
        <w:t>4</w:t>
      </w:r>
      <w:r w:rsidR="00F6504C" w:rsidRPr="00FD58E1">
        <w:rPr>
          <w:rFonts w:ascii="宋体" w:eastAsia="宋体" w:hAnsi="宋体" w:cs="Tahoma" w:hint="eastAsia"/>
          <w:color w:val="000000"/>
          <w:kern w:val="0"/>
          <w:sz w:val="24"/>
          <w:szCs w:val="24"/>
        </w:rPr>
        <w:t>月</w:t>
      </w:r>
      <w:r w:rsidR="00F6504C" w:rsidRPr="00FD58E1">
        <w:rPr>
          <w:rFonts w:ascii="宋体" w:eastAsia="宋体" w:hAnsi="宋体" w:cs="Tahoma"/>
          <w:color w:val="000000"/>
          <w:kern w:val="0"/>
          <w:sz w:val="24"/>
          <w:szCs w:val="24"/>
        </w:rPr>
        <w:t>4</w:t>
      </w:r>
      <w:r w:rsidR="00F6504C" w:rsidRPr="00FD58E1">
        <w:rPr>
          <w:rFonts w:ascii="宋体" w:eastAsia="宋体" w:hAnsi="宋体" w:cs="Tahoma" w:hint="eastAsia"/>
          <w:color w:val="000000"/>
          <w:kern w:val="0"/>
          <w:sz w:val="24"/>
          <w:szCs w:val="24"/>
        </w:rPr>
        <w:t>日起</w:t>
      </w:r>
      <w:r w:rsidR="00F6504C">
        <w:rPr>
          <w:rFonts w:ascii="宋体" w:eastAsia="宋体" w:hAnsi="宋体" w:cs="Tahoma" w:hint="eastAsia"/>
          <w:color w:val="000000"/>
          <w:kern w:val="0"/>
          <w:sz w:val="24"/>
          <w:szCs w:val="24"/>
        </w:rPr>
        <w:t>暂停</w:t>
      </w:r>
      <w:r w:rsidR="00F6504C" w:rsidRPr="00FD58E1">
        <w:rPr>
          <w:rFonts w:ascii="宋体" w:eastAsia="宋体" w:hAnsi="宋体" w:cs="Tahoma" w:hint="eastAsia"/>
          <w:color w:val="000000"/>
          <w:kern w:val="0"/>
          <w:sz w:val="24"/>
          <w:szCs w:val="24"/>
        </w:rPr>
        <w:t>办理赎回业务</w:t>
      </w:r>
      <w:r w:rsidR="0014773F">
        <w:rPr>
          <w:rFonts w:ascii="宋体" w:eastAsia="宋体" w:hAnsi="宋体" w:cs="Tahoma" w:hint="eastAsia"/>
          <w:color w:val="000000"/>
          <w:kern w:val="0"/>
          <w:sz w:val="24"/>
          <w:szCs w:val="24"/>
        </w:rPr>
        <w:t>（含转换转出）</w:t>
      </w:r>
      <w:r w:rsidR="00F6504C">
        <w:rPr>
          <w:rFonts w:ascii="宋体" w:eastAsia="宋体" w:hAnsi="宋体" w:cs="Tahoma" w:hint="eastAsia"/>
          <w:color w:val="000000"/>
          <w:kern w:val="0"/>
          <w:sz w:val="24"/>
          <w:szCs w:val="24"/>
        </w:rPr>
        <w:t>。</w:t>
      </w:r>
    </w:p>
    <w:p w:rsidR="0044408F"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三、风险提示</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若发生上述基金合同终止情形，本基金管理人将根据相关法律法规、</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等规定成立基金财产清算小组，履行基金财产清算程序。</w:t>
      </w:r>
      <w:r w:rsidR="00B60786" w:rsidRPr="00D80523">
        <w:rPr>
          <w:rFonts w:ascii="宋体" w:eastAsia="宋体" w:hAnsi="宋体" w:cs="Tahoma" w:hint="eastAsia"/>
          <w:color w:val="000000"/>
          <w:kern w:val="0"/>
          <w:sz w:val="24"/>
          <w:szCs w:val="24"/>
        </w:rPr>
        <w:t>本基金正式进入清算程序前，仍然正常开放赎回业务</w:t>
      </w:r>
      <w:r w:rsidR="00B60786">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本基金正式进入清算程序后，投资者将无法办理本基金的申购、赎回等业务，基金财产将在基金财产清算小组履行完毕清算程序后进行分配。</w:t>
      </w:r>
      <w:r w:rsidR="00B60786">
        <w:rPr>
          <w:rFonts w:ascii="宋体" w:eastAsia="宋体" w:hAnsi="宋体" w:cs="Tahoma" w:hint="eastAsia"/>
          <w:color w:val="000000"/>
          <w:kern w:val="0"/>
          <w:sz w:val="24"/>
          <w:szCs w:val="24"/>
        </w:rPr>
        <w:t>根据</w:t>
      </w:r>
      <w:r w:rsidR="001F7709">
        <w:rPr>
          <w:rFonts w:ascii="宋体" w:eastAsia="宋体" w:hAnsi="宋体" w:cs="Tahoma" w:hint="eastAsia"/>
          <w:color w:val="000000"/>
          <w:kern w:val="0"/>
          <w:sz w:val="24"/>
          <w:szCs w:val="24"/>
        </w:rPr>
        <w:t>《</w:t>
      </w:r>
      <w:r w:rsidR="001F7709" w:rsidRPr="00D80523">
        <w:rPr>
          <w:rFonts w:ascii="宋体" w:eastAsia="宋体" w:hAnsi="宋体" w:cs="Tahoma" w:hint="eastAsia"/>
          <w:color w:val="000000"/>
          <w:kern w:val="0"/>
          <w:sz w:val="24"/>
          <w:szCs w:val="24"/>
        </w:rPr>
        <w:t>基金合同</w:t>
      </w:r>
      <w:r w:rsidR="001F7709">
        <w:rPr>
          <w:rFonts w:ascii="宋体" w:eastAsia="宋体" w:hAnsi="宋体" w:cs="Tahoma" w:hint="eastAsia"/>
          <w:color w:val="000000"/>
          <w:kern w:val="0"/>
          <w:sz w:val="24"/>
          <w:szCs w:val="24"/>
        </w:rPr>
        <w:t>》</w:t>
      </w:r>
      <w:r w:rsidR="00B60786">
        <w:rPr>
          <w:rFonts w:ascii="宋体" w:eastAsia="宋体" w:hAnsi="宋体" w:cs="Tahoma" w:hint="eastAsia"/>
          <w:color w:val="000000"/>
          <w:kern w:val="0"/>
          <w:sz w:val="24"/>
          <w:szCs w:val="24"/>
        </w:rPr>
        <w:t>的约定，基金财产清算的期限为6个月（若因本基金所持证券的流动性受到限制而不能及时变现的，清算期限相应顺延）</w:t>
      </w:r>
      <w:r w:rsidR="00B60786" w:rsidRPr="00D80523">
        <w:rPr>
          <w:rFonts w:ascii="宋体" w:eastAsia="宋体" w:hAnsi="宋体" w:cs="Tahoma" w:hint="eastAsia"/>
          <w:color w:val="000000"/>
          <w:kern w:val="0"/>
          <w:sz w:val="24"/>
          <w:szCs w:val="24"/>
        </w:rPr>
        <w:t>。</w:t>
      </w:r>
      <w:r w:rsidR="00B60786" w:rsidRPr="0079012E">
        <w:rPr>
          <w:rFonts w:ascii="宋体" w:eastAsia="宋体" w:hAnsi="宋体" w:cs="Tahoma" w:hint="eastAsia"/>
          <w:b/>
          <w:color w:val="000000"/>
          <w:kern w:val="0"/>
          <w:sz w:val="24"/>
          <w:szCs w:val="24"/>
        </w:rPr>
        <w:t>敬请投资者充分关注基金财产清算期限较长可能带来的流动性风险和投资风险，妥善做好投资安排。</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基金管理人承诺以诚实信用、勤勉尽责的原则管理和运用基金资产，并在履行必要手续后向投资者及时公告基金财产清算等后续安排，敬请投资者关注。</w:t>
      </w:r>
    </w:p>
    <w:p w:rsid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投资者可拨打</w:t>
      </w:r>
      <w:r w:rsidR="00DF2D7B">
        <w:rPr>
          <w:rFonts w:ascii="宋体" w:eastAsia="宋体" w:hAnsi="宋体" w:cs="Tahoma" w:hint="eastAsia"/>
          <w:color w:val="000000"/>
          <w:kern w:val="0"/>
          <w:sz w:val="24"/>
          <w:szCs w:val="24"/>
        </w:rPr>
        <w:t>国投瑞银基金管理有限公司</w:t>
      </w:r>
      <w:r w:rsidRPr="00D80523">
        <w:rPr>
          <w:rFonts w:ascii="宋体" w:eastAsia="宋体" w:hAnsi="宋体" w:cs="Tahoma" w:hint="eastAsia"/>
          <w:color w:val="000000"/>
          <w:kern w:val="0"/>
          <w:sz w:val="24"/>
          <w:szCs w:val="24"/>
        </w:rPr>
        <w:t>客户服务电话</w:t>
      </w:r>
      <w:r w:rsidR="0044408F">
        <w:rPr>
          <w:rFonts w:ascii="宋体" w:eastAsia="宋体" w:hAnsi="宋体" w:cs="Tahoma" w:hint="eastAsia"/>
          <w:color w:val="000000"/>
          <w:kern w:val="0"/>
          <w:sz w:val="24"/>
          <w:szCs w:val="24"/>
        </w:rPr>
        <w:t>400-880-6868</w:t>
      </w:r>
      <w:r w:rsidRPr="00D80523">
        <w:rPr>
          <w:rFonts w:ascii="宋体" w:eastAsia="宋体" w:hAnsi="宋体" w:cs="Tahoma" w:hint="eastAsia"/>
          <w:color w:val="000000"/>
          <w:kern w:val="0"/>
          <w:sz w:val="24"/>
          <w:szCs w:val="24"/>
        </w:rPr>
        <w:t>或登录</w:t>
      </w:r>
      <w:r w:rsidR="00E553FC">
        <w:rPr>
          <w:rFonts w:ascii="宋体" w:eastAsia="宋体" w:hAnsi="宋体" w:cs="Tahoma" w:hint="eastAsia"/>
          <w:color w:val="000000"/>
          <w:kern w:val="0"/>
          <w:sz w:val="24"/>
          <w:szCs w:val="24"/>
        </w:rPr>
        <w:t>公司</w:t>
      </w:r>
      <w:r w:rsidRPr="00D80523">
        <w:rPr>
          <w:rFonts w:ascii="宋体" w:eastAsia="宋体" w:hAnsi="宋体" w:cs="Tahoma" w:hint="eastAsia"/>
          <w:color w:val="000000"/>
          <w:kern w:val="0"/>
          <w:sz w:val="24"/>
          <w:szCs w:val="24"/>
        </w:rPr>
        <w:t>网站</w:t>
      </w:r>
      <w:r w:rsidR="0044408F">
        <w:rPr>
          <w:rFonts w:ascii="宋体" w:eastAsia="宋体" w:hAnsi="宋体" w:cs="Tahoma" w:hint="eastAsia"/>
          <w:color w:val="000000"/>
          <w:kern w:val="0"/>
          <w:sz w:val="24"/>
          <w:szCs w:val="24"/>
        </w:rPr>
        <w:t>www.ubssdic.com</w:t>
      </w:r>
      <w:r w:rsidRPr="00D80523">
        <w:rPr>
          <w:rFonts w:ascii="宋体" w:eastAsia="宋体" w:hAnsi="宋体" w:cs="Tahoma" w:hint="eastAsia"/>
          <w:color w:val="000000"/>
          <w:kern w:val="0"/>
          <w:sz w:val="24"/>
          <w:szCs w:val="24"/>
        </w:rPr>
        <w:t>咨询、了解相关情况。</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特此公告。</w:t>
      </w:r>
    </w:p>
    <w:p w:rsidR="0044408F" w:rsidRDefault="00D80523" w:rsidP="0044408F">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                                 </w:t>
      </w:r>
      <w:bookmarkStart w:id="0" w:name="_GoBack"/>
      <w:bookmarkEnd w:id="0"/>
    </w:p>
    <w:p w:rsidR="0044408F" w:rsidRDefault="0044408F" w:rsidP="0044408F">
      <w:pPr>
        <w:widowControl/>
        <w:spacing w:line="360" w:lineRule="auto"/>
        <w:ind w:firstLine="480"/>
        <w:jc w:val="left"/>
        <w:rPr>
          <w:rFonts w:ascii="宋体" w:eastAsia="宋体" w:hAnsi="宋体" w:cs="Tahoma"/>
          <w:color w:val="000000"/>
          <w:kern w:val="0"/>
          <w:sz w:val="24"/>
          <w:szCs w:val="24"/>
        </w:rPr>
      </w:pPr>
    </w:p>
    <w:p w:rsidR="007C776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lastRenderedPageBreak/>
        <w:t>国投瑞银基金管理有限公司</w:t>
      </w:r>
    </w:p>
    <w:p w:rsidR="0044408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二〇一八年</w:t>
      </w:r>
      <w:r w:rsidR="00841E93">
        <w:rPr>
          <w:rFonts w:ascii="宋体" w:eastAsia="宋体" w:hAnsi="宋体" w:cs="Tahoma" w:hint="eastAsia"/>
          <w:color w:val="000000"/>
          <w:kern w:val="0"/>
          <w:sz w:val="24"/>
          <w:szCs w:val="24"/>
        </w:rPr>
        <w:t>四</w:t>
      </w:r>
      <w:r w:rsidRPr="0044408F">
        <w:rPr>
          <w:rFonts w:ascii="宋体" w:eastAsia="宋体" w:hAnsi="宋体" w:cs="Tahoma" w:hint="eastAsia"/>
          <w:color w:val="000000"/>
          <w:kern w:val="0"/>
          <w:sz w:val="24"/>
          <w:szCs w:val="24"/>
        </w:rPr>
        <w:t>月二日</w:t>
      </w:r>
    </w:p>
    <w:sectPr w:rsidR="0044408F" w:rsidRPr="0044408F" w:rsidSect="008B75CC">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A433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D72" w:rsidRDefault="009C0D72" w:rsidP="00455288">
      <w:r>
        <w:separator/>
      </w:r>
    </w:p>
  </w:endnote>
  <w:endnote w:type="continuationSeparator" w:id="1">
    <w:p w:rsidR="009C0D72" w:rsidRDefault="009C0D72" w:rsidP="004552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D72" w:rsidRDefault="009C0D72" w:rsidP="00455288">
      <w:r>
        <w:separator/>
      </w:r>
    </w:p>
  </w:footnote>
  <w:footnote w:type="continuationSeparator" w:id="1">
    <w:p w:rsidR="009C0D72" w:rsidRDefault="009C0D72" w:rsidP="0045528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Z">
    <w15:presenceInfo w15:providerId="None" w15:userId="Yuantai-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0523"/>
    <w:rsid w:val="0014773F"/>
    <w:rsid w:val="001F7709"/>
    <w:rsid w:val="002B5FDE"/>
    <w:rsid w:val="002D6314"/>
    <w:rsid w:val="00412B4B"/>
    <w:rsid w:val="0044408F"/>
    <w:rsid w:val="00455288"/>
    <w:rsid w:val="007C776F"/>
    <w:rsid w:val="008352DA"/>
    <w:rsid w:val="00841E93"/>
    <w:rsid w:val="008B75CC"/>
    <w:rsid w:val="009860BD"/>
    <w:rsid w:val="009C0D72"/>
    <w:rsid w:val="00B60786"/>
    <w:rsid w:val="00B80DCC"/>
    <w:rsid w:val="00D80523"/>
    <w:rsid w:val="00DF2D7B"/>
    <w:rsid w:val="00E553FC"/>
    <w:rsid w:val="00F6504C"/>
    <w:rsid w:val="00FC25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5CC"/>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4552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55288"/>
    <w:rPr>
      <w:sz w:val="18"/>
      <w:szCs w:val="18"/>
    </w:rPr>
  </w:style>
  <w:style w:type="paragraph" w:styleId="a7">
    <w:name w:val="footer"/>
    <w:basedOn w:val="a"/>
    <w:link w:val="Char1"/>
    <w:uiPriority w:val="99"/>
    <w:unhideWhenUsed/>
    <w:rsid w:val="00455288"/>
    <w:pPr>
      <w:tabs>
        <w:tab w:val="center" w:pos="4153"/>
        <w:tab w:val="right" w:pos="8306"/>
      </w:tabs>
      <w:snapToGrid w:val="0"/>
      <w:jc w:val="left"/>
    </w:pPr>
    <w:rPr>
      <w:sz w:val="18"/>
      <w:szCs w:val="18"/>
    </w:rPr>
  </w:style>
  <w:style w:type="character" w:customStyle="1" w:styleId="Char1">
    <w:name w:val="页脚 Char"/>
    <w:basedOn w:val="a0"/>
    <w:link w:val="a7"/>
    <w:uiPriority w:val="99"/>
    <w:rsid w:val="00455288"/>
    <w:rPr>
      <w:sz w:val="18"/>
      <w:szCs w:val="18"/>
    </w:rPr>
  </w:style>
  <w:style w:type="character" w:styleId="a8">
    <w:name w:val="annotation reference"/>
    <w:basedOn w:val="a0"/>
    <w:uiPriority w:val="99"/>
    <w:semiHidden/>
    <w:unhideWhenUsed/>
    <w:rsid w:val="00455288"/>
    <w:rPr>
      <w:sz w:val="21"/>
      <w:szCs w:val="21"/>
    </w:rPr>
  </w:style>
  <w:style w:type="paragraph" w:styleId="a9">
    <w:name w:val="annotation text"/>
    <w:basedOn w:val="a"/>
    <w:link w:val="Char2"/>
    <w:uiPriority w:val="99"/>
    <w:semiHidden/>
    <w:unhideWhenUsed/>
    <w:rsid w:val="00455288"/>
    <w:pPr>
      <w:jc w:val="left"/>
    </w:pPr>
  </w:style>
  <w:style w:type="character" w:customStyle="1" w:styleId="Char2">
    <w:name w:val="批注文字 Char"/>
    <w:basedOn w:val="a0"/>
    <w:link w:val="a9"/>
    <w:uiPriority w:val="99"/>
    <w:semiHidden/>
    <w:rsid w:val="00455288"/>
  </w:style>
  <w:style w:type="paragraph" w:styleId="aa">
    <w:name w:val="annotation subject"/>
    <w:basedOn w:val="a9"/>
    <w:next w:val="a9"/>
    <w:link w:val="Char3"/>
    <w:uiPriority w:val="99"/>
    <w:semiHidden/>
    <w:unhideWhenUsed/>
    <w:rsid w:val="00455288"/>
    <w:rPr>
      <w:b/>
      <w:bCs/>
    </w:rPr>
  </w:style>
  <w:style w:type="character" w:customStyle="1" w:styleId="Char3">
    <w:name w:val="批注主题 Char"/>
    <w:basedOn w:val="Char2"/>
    <w:link w:val="aa"/>
    <w:uiPriority w:val="99"/>
    <w:semiHidden/>
    <w:rsid w:val="004552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4552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55288"/>
    <w:rPr>
      <w:sz w:val="18"/>
      <w:szCs w:val="18"/>
    </w:rPr>
  </w:style>
  <w:style w:type="paragraph" w:styleId="a7">
    <w:name w:val="footer"/>
    <w:basedOn w:val="a"/>
    <w:link w:val="Char1"/>
    <w:uiPriority w:val="99"/>
    <w:unhideWhenUsed/>
    <w:rsid w:val="00455288"/>
    <w:pPr>
      <w:tabs>
        <w:tab w:val="center" w:pos="4153"/>
        <w:tab w:val="right" w:pos="8306"/>
      </w:tabs>
      <w:snapToGrid w:val="0"/>
      <w:jc w:val="left"/>
    </w:pPr>
    <w:rPr>
      <w:sz w:val="18"/>
      <w:szCs w:val="18"/>
    </w:rPr>
  </w:style>
  <w:style w:type="character" w:customStyle="1" w:styleId="Char1">
    <w:name w:val="页脚 Char"/>
    <w:basedOn w:val="a0"/>
    <w:link w:val="a7"/>
    <w:uiPriority w:val="99"/>
    <w:rsid w:val="00455288"/>
    <w:rPr>
      <w:sz w:val="18"/>
      <w:szCs w:val="18"/>
    </w:rPr>
  </w:style>
  <w:style w:type="character" w:styleId="a8">
    <w:name w:val="annotation reference"/>
    <w:basedOn w:val="a0"/>
    <w:uiPriority w:val="99"/>
    <w:semiHidden/>
    <w:unhideWhenUsed/>
    <w:rsid w:val="00455288"/>
    <w:rPr>
      <w:sz w:val="21"/>
      <w:szCs w:val="21"/>
    </w:rPr>
  </w:style>
  <w:style w:type="paragraph" w:styleId="a9">
    <w:name w:val="annotation text"/>
    <w:basedOn w:val="a"/>
    <w:link w:val="Char2"/>
    <w:uiPriority w:val="99"/>
    <w:semiHidden/>
    <w:unhideWhenUsed/>
    <w:rsid w:val="00455288"/>
    <w:pPr>
      <w:jc w:val="left"/>
    </w:pPr>
  </w:style>
  <w:style w:type="character" w:customStyle="1" w:styleId="Char2">
    <w:name w:val="批注文字 Char"/>
    <w:basedOn w:val="a0"/>
    <w:link w:val="a9"/>
    <w:uiPriority w:val="99"/>
    <w:semiHidden/>
    <w:rsid w:val="00455288"/>
  </w:style>
  <w:style w:type="paragraph" w:styleId="aa">
    <w:name w:val="annotation subject"/>
    <w:basedOn w:val="a9"/>
    <w:next w:val="a9"/>
    <w:link w:val="Char3"/>
    <w:uiPriority w:val="99"/>
    <w:semiHidden/>
    <w:unhideWhenUsed/>
    <w:rsid w:val="00455288"/>
    <w:rPr>
      <w:b/>
      <w:bCs/>
    </w:rPr>
  </w:style>
  <w:style w:type="character" w:customStyle="1" w:styleId="Char3">
    <w:name w:val="批注主题 Char"/>
    <w:basedOn w:val="Char2"/>
    <w:link w:val="aa"/>
    <w:uiPriority w:val="99"/>
    <w:semiHidden/>
    <w:rsid w:val="00455288"/>
    <w:rPr>
      <w:b/>
      <w:bCs/>
    </w:rPr>
  </w:style>
</w:styles>
</file>

<file path=word/webSettings.xml><?xml version="1.0" encoding="utf-8"?>
<w:webSettings xmlns:r="http://schemas.openxmlformats.org/officeDocument/2006/relationships" xmlns:w="http://schemas.openxmlformats.org/wordprocessingml/2006/main">
  <w:divs>
    <w:div w:id="1124274300">
      <w:bodyDiv w:val="1"/>
      <w:marLeft w:val="0"/>
      <w:marRight w:val="0"/>
      <w:marTop w:val="0"/>
      <w:marBottom w:val="0"/>
      <w:divBdr>
        <w:top w:val="none" w:sz="0" w:space="0" w:color="auto"/>
        <w:left w:val="none" w:sz="0" w:space="0" w:color="auto"/>
        <w:bottom w:val="none" w:sz="0" w:space="0" w:color="auto"/>
        <w:right w:val="none" w:sz="0" w:space="0" w:color="auto"/>
      </w:divBdr>
      <w:divsChild>
        <w:div w:id="623732327">
          <w:marLeft w:val="0"/>
          <w:marRight w:val="0"/>
          <w:marTop w:val="0"/>
          <w:marBottom w:val="0"/>
          <w:divBdr>
            <w:top w:val="none" w:sz="0" w:space="0" w:color="auto"/>
            <w:left w:val="none" w:sz="0" w:space="0" w:color="auto"/>
            <w:bottom w:val="none" w:sz="0" w:space="0" w:color="auto"/>
            <w:right w:val="none" w:sz="0" w:space="0" w:color="auto"/>
          </w:divBdr>
        </w:div>
        <w:div w:id="285739716">
          <w:marLeft w:val="0"/>
          <w:marRight w:val="0"/>
          <w:marTop w:val="0"/>
          <w:marBottom w:val="0"/>
          <w:divBdr>
            <w:top w:val="none" w:sz="0" w:space="0" w:color="auto"/>
            <w:left w:val="none" w:sz="0" w:space="0" w:color="auto"/>
            <w:bottom w:val="none" w:sz="0" w:space="0" w:color="auto"/>
            <w:right w:val="none" w:sz="0" w:space="0" w:color="auto"/>
          </w:divBdr>
        </w:div>
        <w:div w:id="117990908">
          <w:marLeft w:val="0"/>
          <w:marRight w:val="0"/>
          <w:marTop w:val="0"/>
          <w:marBottom w:val="0"/>
          <w:divBdr>
            <w:top w:val="none" w:sz="0" w:space="0" w:color="auto"/>
            <w:left w:val="none" w:sz="0" w:space="0" w:color="auto"/>
            <w:bottom w:val="none" w:sz="0" w:space="0" w:color="auto"/>
            <w:right w:val="none" w:sz="0" w:space="0" w:color="auto"/>
          </w:divBdr>
        </w:div>
        <w:div w:id="492912008">
          <w:marLeft w:val="0"/>
          <w:marRight w:val="0"/>
          <w:marTop w:val="0"/>
          <w:marBottom w:val="0"/>
          <w:divBdr>
            <w:top w:val="none" w:sz="0" w:space="0" w:color="auto"/>
            <w:left w:val="none" w:sz="0" w:space="0" w:color="auto"/>
            <w:bottom w:val="none" w:sz="0" w:space="0" w:color="auto"/>
            <w:right w:val="none" w:sz="0" w:space="0" w:color="auto"/>
          </w:divBdr>
        </w:div>
        <w:div w:id="834760904">
          <w:marLeft w:val="0"/>
          <w:marRight w:val="0"/>
          <w:marTop w:val="0"/>
          <w:marBottom w:val="0"/>
          <w:divBdr>
            <w:top w:val="none" w:sz="0" w:space="0" w:color="auto"/>
            <w:left w:val="none" w:sz="0" w:space="0" w:color="auto"/>
            <w:bottom w:val="none" w:sz="0" w:space="0" w:color="auto"/>
            <w:right w:val="none" w:sz="0" w:space="0" w:color="auto"/>
          </w:divBdr>
        </w:div>
        <w:div w:id="1388188808">
          <w:marLeft w:val="0"/>
          <w:marRight w:val="0"/>
          <w:marTop w:val="0"/>
          <w:marBottom w:val="0"/>
          <w:divBdr>
            <w:top w:val="none" w:sz="0" w:space="0" w:color="auto"/>
            <w:left w:val="none" w:sz="0" w:space="0" w:color="auto"/>
            <w:bottom w:val="none" w:sz="0" w:space="0" w:color="auto"/>
            <w:right w:val="none" w:sz="0" w:space="0" w:color="auto"/>
          </w:divBdr>
        </w:div>
        <w:div w:id="1118141345">
          <w:marLeft w:val="0"/>
          <w:marRight w:val="0"/>
          <w:marTop w:val="0"/>
          <w:marBottom w:val="0"/>
          <w:divBdr>
            <w:top w:val="none" w:sz="0" w:space="0" w:color="auto"/>
            <w:left w:val="none" w:sz="0" w:space="0" w:color="auto"/>
            <w:bottom w:val="none" w:sz="0" w:space="0" w:color="auto"/>
            <w:right w:val="none" w:sz="0" w:space="0" w:color="auto"/>
          </w:divBdr>
        </w:div>
        <w:div w:id="2059086352">
          <w:marLeft w:val="0"/>
          <w:marRight w:val="0"/>
          <w:marTop w:val="0"/>
          <w:marBottom w:val="0"/>
          <w:divBdr>
            <w:top w:val="none" w:sz="0" w:space="0" w:color="auto"/>
            <w:left w:val="none" w:sz="0" w:space="0" w:color="auto"/>
            <w:bottom w:val="none" w:sz="0" w:space="0" w:color="auto"/>
            <w:right w:val="none" w:sz="0" w:space="0" w:color="auto"/>
          </w:divBdr>
        </w:div>
        <w:div w:id="1128087286">
          <w:marLeft w:val="0"/>
          <w:marRight w:val="0"/>
          <w:marTop w:val="0"/>
          <w:marBottom w:val="0"/>
          <w:divBdr>
            <w:top w:val="none" w:sz="0" w:space="0" w:color="auto"/>
            <w:left w:val="none" w:sz="0" w:space="0" w:color="auto"/>
            <w:bottom w:val="none" w:sz="0" w:space="0" w:color="auto"/>
            <w:right w:val="none" w:sz="0" w:space="0" w:color="auto"/>
          </w:divBdr>
        </w:div>
        <w:div w:id="1853176585">
          <w:marLeft w:val="0"/>
          <w:marRight w:val="0"/>
          <w:marTop w:val="0"/>
          <w:marBottom w:val="0"/>
          <w:divBdr>
            <w:top w:val="none" w:sz="0" w:space="0" w:color="auto"/>
            <w:left w:val="none" w:sz="0" w:space="0" w:color="auto"/>
            <w:bottom w:val="none" w:sz="0" w:space="0" w:color="auto"/>
            <w:right w:val="none" w:sz="0" w:space="0" w:color="auto"/>
          </w:divBdr>
        </w:div>
        <w:div w:id="1520466905">
          <w:marLeft w:val="0"/>
          <w:marRight w:val="0"/>
          <w:marTop w:val="0"/>
          <w:marBottom w:val="0"/>
          <w:divBdr>
            <w:top w:val="none" w:sz="0" w:space="0" w:color="auto"/>
            <w:left w:val="none" w:sz="0" w:space="0" w:color="auto"/>
            <w:bottom w:val="none" w:sz="0" w:space="0" w:color="auto"/>
            <w:right w:val="none" w:sz="0" w:space="0" w:color="auto"/>
          </w:divBdr>
        </w:div>
        <w:div w:id="1522013441">
          <w:marLeft w:val="0"/>
          <w:marRight w:val="0"/>
          <w:marTop w:val="0"/>
          <w:marBottom w:val="0"/>
          <w:divBdr>
            <w:top w:val="none" w:sz="0" w:space="0" w:color="auto"/>
            <w:left w:val="none" w:sz="0" w:space="0" w:color="auto"/>
            <w:bottom w:val="none" w:sz="0" w:space="0" w:color="auto"/>
            <w:right w:val="none" w:sz="0" w:space="0" w:color="auto"/>
          </w:divBdr>
        </w:div>
        <w:div w:id="1141381345">
          <w:marLeft w:val="0"/>
          <w:marRight w:val="0"/>
          <w:marTop w:val="0"/>
          <w:marBottom w:val="0"/>
          <w:divBdr>
            <w:top w:val="none" w:sz="0" w:space="0" w:color="auto"/>
            <w:left w:val="none" w:sz="0" w:space="0" w:color="auto"/>
            <w:bottom w:val="none" w:sz="0" w:space="0" w:color="auto"/>
            <w:right w:val="none" w:sz="0" w:space="0" w:color="auto"/>
          </w:divBdr>
        </w:div>
        <w:div w:id="1844591580">
          <w:marLeft w:val="0"/>
          <w:marRight w:val="0"/>
          <w:marTop w:val="0"/>
          <w:marBottom w:val="0"/>
          <w:divBdr>
            <w:top w:val="none" w:sz="0" w:space="0" w:color="auto"/>
            <w:left w:val="none" w:sz="0" w:space="0" w:color="auto"/>
            <w:bottom w:val="none" w:sz="0" w:space="0" w:color="auto"/>
            <w:right w:val="none" w:sz="0" w:space="0" w:color="auto"/>
          </w:divBdr>
        </w:div>
        <w:div w:id="2137143461">
          <w:marLeft w:val="0"/>
          <w:marRight w:val="0"/>
          <w:marTop w:val="0"/>
          <w:marBottom w:val="0"/>
          <w:divBdr>
            <w:top w:val="none" w:sz="0" w:space="0" w:color="auto"/>
            <w:left w:val="none" w:sz="0" w:space="0" w:color="auto"/>
            <w:bottom w:val="none" w:sz="0" w:space="0" w:color="auto"/>
            <w:right w:val="none" w:sz="0" w:space="0" w:color="auto"/>
          </w:divBdr>
        </w:div>
        <w:div w:id="641428475">
          <w:marLeft w:val="0"/>
          <w:marRight w:val="0"/>
          <w:marTop w:val="0"/>
          <w:marBottom w:val="0"/>
          <w:divBdr>
            <w:top w:val="none" w:sz="0" w:space="0" w:color="auto"/>
            <w:left w:val="none" w:sz="0" w:space="0" w:color="auto"/>
            <w:bottom w:val="none" w:sz="0" w:space="0" w:color="auto"/>
            <w:right w:val="none" w:sz="0" w:space="0" w:color="auto"/>
          </w:divBdr>
        </w:div>
        <w:div w:id="617490321">
          <w:marLeft w:val="0"/>
          <w:marRight w:val="0"/>
          <w:marTop w:val="0"/>
          <w:marBottom w:val="0"/>
          <w:divBdr>
            <w:top w:val="none" w:sz="0" w:space="0" w:color="auto"/>
            <w:left w:val="none" w:sz="0" w:space="0" w:color="auto"/>
            <w:bottom w:val="none" w:sz="0" w:space="0" w:color="auto"/>
            <w:right w:val="none" w:sz="0" w:space="0" w:color="auto"/>
          </w:divBdr>
        </w:div>
        <w:div w:id="76564892">
          <w:marLeft w:val="0"/>
          <w:marRight w:val="0"/>
          <w:marTop w:val="0"/>
          <w:marBottom w:val="0"/>
          <w:divBdr>
            <w:top w:val="none" w:sz="0" w:space="0" w:color="auto"/>
            <w:left w:val="none" w:sz="0" w:space="0" w:color="auto"/>
            <w:bottom w:val="none" w:sz="0" w:space="0" w:color="auto"/>
            <w:right w:val="none" w:sz="0" w:space="0" w:color="auto"/>
          </w:divBdr>
        </w:div>
        <w:div w:id="2056392225">
          <w:marLeft w:val="0"/>
          <w:marRight w:val="0"/>
          <w:marTop w:val="0"/>
          <w:marBottom w:val="0"/>
          <w:divBdr>
            <w:top w:val="none" w:sz="0" w:space="0" w:color="auto"/>
            <w:left w:val="none" w:sz="0" w:space="0" w:color="auto"/>
            <w:bottom w:val="none" w:sz="0" w:space="0" w:color="auto"/>
            <w:right w:val="none" w:sz="0" w:space="0" w:color="auto"/>
          </w:divBdr>
        </w:div>
        <w:div w:id="458690594">
          <w:marLeft w:val="0"/>
          <w:marRight w:val="0"/>
          <w:marTop w:val="0"/>
          <w:marBottom w:val="0"/>
          <w:divBdr>
            <w:top w:val="none" w:sz="0" w:space="0" w:color="auto"/>
            <w:left w:val="none" w:sz="0" w:space="0" w:color="auto"/>
            <w:bottom w:val="none" w:sz="0" w:space="0" w:color="auto"/>
            <w:right w:val="none" w:sz="0" w:space="0" w:color="auto"/>
          </w:divBdr>
        </w:div>
        <w:div w:id="1894585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1283</Characters>
  <Application>Microsoft Office Word</Application>
  <DocSecurity>4</DocSecurity>
  <Lines>10</Lines>
  <Paragraphs>3</Paragraphs>
  <ScaleCrop>false</ScaleCrop>
  <Company>Lenovo</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dcterms:created xsi:type="dcterms:W3CDTF">2018-04-01T16:33:00Z</dcterms:created>
  <dcterms:modified xsi:type="dcterms:W3CDTF">2018-04-01T16:33:00Z</dcterms:modified>
</cp:coreProperties>
</file>