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D2" w:rsidRDefault="00D82028" w:rsidP="00DD0D99">
      <w:pPr>
        <w:widowControl/>
        <w:spacing w:line="360" w:lineRule="auto"/>
        <w:jc w:val="center"/>
        <w:rPr>
          <w:rFonts w:asciiTheme="majorEastAsia" w:eastAsiaTheme="majorEastAsia" w:hAnsiTheme="majorEastAsia"/>
          <w:b/>
          <w:sz w:val="28"/>
          <w:szCs w:val="28"/>
        </w:rPr>
      </w:pPr>
      <w:r w:rsidRPr="00D82028">
        <w:rPr>
          <w:rFonts w:asciiTheme="majorEastAsia" w:eastAsiaTheme="majorEastAsia" w:hAnsiTheme="majorEastAsia" w:hint="eastAsia"/>
          <w:b/>
          <w:sz w:val="28"/>
          <w:szCs w:val="28"/>
        </w:rPr>
        <w:t>国泰基金管理有限公司关于旗下部分基金参加中国工商银行股份有限公司</w:t>
      </w:r>
      <w:r w:rsidR="006A121C">
        <w:rPr>
          <w:rFonts w:asciiTheme="majorEastAsia" w:eastAsiaTheme="majorEastAsia" w:hAnsiTheme="majorEastAsia" w:hint="eastAsia"/>
          <w:b/>
          <w:sz w:val="28"/>
          <w:szCs w:val="28"/>
        </w:rPr>
        <w:t>电子银行</w:t>
      </w:r>
      <w:r w:rsidRPr="00D82028">
        <w:rPr>
          <w:rFonts w:asciiTheme="majorEastAsia" w:eastAsiaTheme="majorEastAsia" w:hAnsiTheme="majorEastAsia" w:hint="eastAsia"/>
          <w:b/>
          <w:sz w:val="28"/>
          <w:szCs w:val="28"/>
        </w:rPr>
        <w:t>基</w:t>
      </w:r>
      <w:bookmarkStart w:id="0" w:name="_GoBack"/>
      <w:bookmarkEnd w:id="0"/>
      <w:r w:rsidRPr="00D82028">
        <w:rPr>
          <w:rFonts w:asciiTheme="majorEastAsia" w:eastAsiaTheme="majorEastAsia" w:hAnsiTheme="majorEastAsia" w:hint="eastAsia"/>
          <w:b/>
          <w:sz w:val="28"/>
          <w:szCs w:val="28"/>
        </w:rPr>
        <w:t>金申购费率优惠活动的公告</w:t>
      </w:r>
    </w:p>
    <w:p w:rsidR="00D82028" w:rsidRPr="00DF6F57" w:rsidRDefault="00D82028" w:rsidP="00DD0D99">
      <w:pPr>
        <w:widowControl/>
        <w:spacing w:line="360" w:lineRule="auto"/>
        <w:jc w:val="center"/>
        <w:rPr>
          <w:rFonts w:asciiTheme="majorEastAsia" w:eastAsiaTheme="majorEastAsia" w:hAnsiTheme="majorEastAsia"/>
          <w:b/>
          <w:szCs w:val="21"/>
        </w:rPr>
      </w:pPr>
    </w:p>
    <w:p w:rsidR="00F30DB0" w:rsidRDefault="00F30DB0" w:rsidP="00CF7DD8">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为答谢广大客户长期以来给予的信任与支持，</w:t>
      </w:r>
      <w:r w:rsidR="000300E5">
        <w:rPr>
          <w:rFonts w:asciiTheme="majorEastAsia" w:eastAsiaTheme="majorEastAsia" w:hAnsiTheme="majorEastAsia" w:cs="宋体" w:hint="eastAsia"/>
          <w:kern w:val="0"/>
          <w:szCs w:val="21"/>
        </w:rPr>
        <w:t>国泰基金管理有限公司（以下简称本基金管理人</w:t>
      </w:r>
      <w:r w:rsidR="00D82C0A" w:rsidRPr="00DF6F57">
        <w:rPr>
          <w:rFonts w:asciiTheme="majorEastAsia" w:eastAsiaTheme="majorEastAsia" w:hAnsiTheme="majorEastAsia" w:cs="宋体" w:hint="eastAsia"/>
          <w:kern w:val="0"/>
          <w:szCs w:val="21"/>
        </w:rPr>
        <w:t>）经与中国工商银行股份有限公司（以下简称工商银行）协商</w:t>
      </w:r>
      <w:r w:rsidR="0074093C">
        <w:rPr>
          <w:rFonts w:asciiTheme="majorEastAsia" w:eastAsiaTheme="majorEastAsia" w:hAnsiTheme="majorEastAsia" w:cs="宋体" w:hint="eastAsia"/>
          <w:kern w:val="0"/>
          <w:szCs w:val="21"/>
        </w:rPr>
        <w:t>一致</w:t>
      </w:r>
      <w:r w:rsidR="00D82C0A" w:rsidRPr="00DF6F57">
        <w:rPr>
          <w:rFonts w:asciiTheme="majorEastAsia" w:eastAsiaTheme="majorEastAsia" w:hAnsiTheme="majorEastAsia" w:cs="宋体" w:hint="eastAsia"/>
          <w:kern w:val="0"/>
          <w:szCs w:val="21"/>
        </w:rPr>
        <w:t>，自</w:t>
      </w:r>
      <w:r w:rsidR="00D82028">
        <w:rPr>
          <w:rFonts w:asciiTheme="majorEastAsia" w:eastAsiaTheme="majorEastAsia" w:hAnsiTheme="majorEastAsia" w:cs="宋体" w:hint="eastAsia"/>
          <w:kern w:val="0"/>
          <w:szCs w:val="21"/>
        </w:rPr>
        <w:t>201</w:t>
      </w:r>
      <w:r w:rsidR="00D82028">
        <w:rPr>
          <w:rFonts w:asciiTheme="majorEastAsia" w:eastAsiaTheme="majorEastAsia" w:hAnsiTheme="majorEastAsia" w:cs="宋体"/>
          <w:kern w:val="0"/>
          <w:szCs w:val="21"/>
        </w:rPr>
        <w:t>8</w:t>
      </w:r>
      <w:r w:rsidR="00D82028" w:rsidRPr="00DF6F57">
        <w:rPr>
          <w:rFonts w:asciiTheme="majorEastAsia" w:eastAsiaTheme="majorEastAsia" w:hAnsiTheme="majorEastAsia" w:cs="宋体" w:hint="eastAsia"/>
          <w:kern w:val="0"/>
          <w:szCs w:val="21"/>
        </w:rPr>
        <w:t>年</w:t>
      </w:r>
      <w:r w:rsidR="00D82028">
        <w:rPr>
          <w:rFonts w:asciiTheme="majorEastAsia" w:eastAsiaTheme="majorEastAsia" w:hAnsiTheme="majorEastAsia" w:cs="宋体"/>
          <w:kern w:val="0"/>
          <w:szCs w:val="21"/>
        </w:rPr>
        <w:t>4</w:t>
      </w:r>
      <w:r w:rsidR="00D82C0A" w:rsidRPr="00DF6F57">
        <w:rPr>
          <w:rFonts w:asciiTheme="majorEastAsia" w:eastAsiaTheme="majorEastAsia" w:hAnsiTheme="majorEastAsia" w:cs="宋体" w:hint="eastAsia"/>
          <w:kern w:val="0"/>
          <w:szCs w:val="21"/>
        </w:rPr>
        <w:t>月1日至</w:t>
      </w:r>
      <w:r w:rsidR="00D82028">
        <w:rPr>
          <w:rFonts w:asciiTheme="majorEastAsia" w:eastAsiaTheme="majorEastAsia" w:hAnsiTheme="majorEastAsia" w:cs="宋体" w:hint="eastAsia"/>
          <w:kern w:val="0"/>
          <w:szCs w:val="21"/>
        </w:rPr>
        <w:t>201</w:t>
      </w:r>
      <w:r w:rsidR="00D82028">
        <w:rPr>
          <w:rFonts w:asciiTheme="majorEastAsia" w:eastAsiaTheme="majorEastAsia" w:hAnsiTheme="majorEastAsia" w:cs="宋体"/>
          <w:kern w:val="0"/>
          <w:szCs w:val="21"/>
        </w:rPr>
        <w:t>9</w:t>
      </w:r>
      <w:r w:rsidR="0074093C" w:rsidRPr="00DF6F57">
        <w:rPr>
          <w:rFonts w:asciiTheme="majorEastAsia" w:eastAsiaTheme="majorEastAsia" w:hAnsiTheme="majorEastAsia" w:cs="宋体" w:hint="eastAsia"/>
          <w:kern w:val="0"/>
          <w:szCs w:val="21"/>
        </w:rPr>
        <w:t>年</w:t>
      </w:r>
      <w:r w:rsidR="00D82028">
        <w:rPr>
          <w:rFonts w:asciiTheme="majorEastAsia" w:eastAsiaTheme="majorEastAsia" w:hAnsiTheme="majorEastAsia" w:cs="宋体"/>
          <w:kern w:val="0"/>
          <w:szCs w:val="21"/>
        </w:rPr>
        <w:t>3</w:t>
      </w:r>
      <w:r w:rsidR="0074093C" w:rsidRPr="00DF6F57">
        <w:rPr>
          <w:rFonts w:asciiTheme="majorEastAsia" w:eastAsiaTheme="majorEastAsia" w:hAnsiTheme="majorEastAsia" w:cs="宋体" w:hint="eastAsia"/>
          <w:kern w:val="0"/>
          <w:szCs w:val="21"/>
        </w:rPr>
        <w:t>月31日</w:t>
      </w:r>
      <w:r w:rsidR="0074093C">
        <w:rPr>
          <w:rFonts w:asciiTheme="majorEastAsia" w:eastAsiaTheme="majorEastAsia" w:hAnsiTheme="majorEastAsia" w:cs="宋体" w:hint="eastAsia"/>
          <w:kern w:val="0"/>
          <w:szCs w:val="21"/>
        </w:rPr>
        <w:t>期间，</w:t>
      </w:r>
      <w:r w:rsidR="004167B2">
        <w:rPr>
          <w:rFonts w:asciiTheme="majorEastAsia" w:eastAsiaTheme="majorEastAsia" w:hAnsiTheme="majorEastAsia" w:cs="宋体" w:hint="eastAsia"/>
          <w:kern w:val="0"/>
          <w:szCs w:val="21"/>
        </w:rPr>
        <w:t>本基金管理人</w:t>
      </w:r>
      <w:r w:rsidR="0074093C" w:rsidRPr="00DF6F57">
        <w:rPr>
          <w:rFonts w:asciiTheme="majorEastAsia" w:eastAsiaTheme="majorEastAsia" w:hAnsiTheme="majorEastAsia" w:cs="宋体" w:hint="eastAsia"/>
          <w:kern w:val="0"/>
          <w:szCs w:val="21"/>
        </w:rPr>
        <w:t>旗下部分基金</w:t>
      </w:r>
      <w:r w:rsidR="00D82C0A" w:rsidRPr="00DF6F57">
        <w:rPr>
          <w:rFonts w:asciiTheme="majorEastAsia" w:eastAsiaTheme="majorEastAsia" w:hAnsiTheme="majorEastAsia" w:cs="宋体" w:hint="eastAsia"/>
          <w:kern w:val="0"/>
          <w:szCs w:val="21"/>
        </w:rPr>
        <w:t>参加工商银行</w:t>
      </w:r>
      <w:r w:rsidR="00D82028">
        <w:rPr>
          <w:rFonts w:asciiTheme="majorEastAsia" w:eastAsiaTheme="majorEastAsia" w:hAnsiTheme="majorEastAsia" w:cs="宋体" w:hint="eastAsia"/>
          <w:kern w:val="0"/>
          <w:szCs w:val="21"/>
        </w:rPr>
        <w:t>电子</w:t>
      </w:r>
      <w:r w:rsidR="00D82028">
        <w:rPr>
          <w:rFonts w:asciiTheme="majorEastAsia" w:eastAsiaTheme="majorEastAsia" w:hAnsiTheme="majorEastAsia" w:cs="宋体"/>
          <w:kern w:val="0"/>
          <w:szCs w:val="21"/>
        </w:rPr>
        <w:t>银行基金申购费率八折优惠</w:t>
      </w:r>
      <w:r w:rsidR="00D82C0A" w:rsidRPr="00DF6F57">
        <w:rPr>
          <w:rFonts w:asciiTheme="majorEastAsia" w:eastAsiaTheme="majorEastAsia" w:hAnsiTheme="majorEastAsia" w:cs="宋体" w:hint="eastAsia"/>
          <w:kern w:val="0"/>
          <w:szCs w:val="21"/>
        </w:rPr>
        <w:t>活动。</w:t>
      </w:r>
      <w:r w:rsidR="00736319" w:rsidRPr="00DF6F57">
        <w:rPr>
          <w:rFonts w:asciiTheme="majorEastAsia" w:eastAsiaTheme="majorEastAsia" w:hAnsiTheme="majorEastAsia" w:cs="宋体" w:hint="eastAsia"/>
          <w:kern w:val="0"/>
          <w:szCs w:val="21"/>
        </w:rPr>
        <w:t>现将有关事项</w:t>
      </w:r>
      <w:r w:rsidR="0074093C">
        <w:rPr>
          <w:rFonts w:asciiTheme="majorEastAsia" w:eastAsiaTheme="majorEastAsia" w:hAnsiTheme="majorEastAsia" w:cs="宋体" w:hint="eastAsia"/>
          <w:kern w:val="0"/>
          <w:szCs w:val="21"/>
        </w:rPr>
        <w:t>具体</w:t>
      </w:r>
      <w:r w:rsidR="00736319" w:rsidRPr="00DF6F57">
        <w:rPr>
          <w:rFonts w:asciiTheme="majorEastAsia" w:eastAsiaTheme="majorEastAsia" w:hAnsiTheme="majorEastAsia" w:cs="宋体" w:hint="eastAsia"/>
          <w:kern w:val="0"/>
          <w:szCs w:val="21"/>
        </w:rPr>
        <w:t>公告如下：</w:t>
      </w:r>
    </w:p>
    <w:p w:rsidR="004167B2" w:rsidRPr="00DF6F57" w:rsidRDefault="004167B2" w:rsidP="00CF7DD8">
      <w:pPr>
        <w:widowControl/>
        <w:spacing w:line="360" w:lineRule="auto"/>
        <w:ind w:firstLine="420"/>
        <w:jc w:val="left"/>
        <w:rPr>
          <w:rFonts w:asciiTheme="majorEastAsia" w:eastAsiaTheme="majorEastAsia" w:hAnsiTheme="majorEastAsia" w:cs="宋体"/>
          <w:kern w:val="0"/>
          <w:szCs w:val="21"/>
        </w:rPr>
      </w:pPr>
    </w:p>
    <w:p w:rsidR="00D82028" w:rsidRDefault="00D82028" w:rsidP="00D82028">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一</w:t>
      </w:r>
      <w:r>
        <w:rPr>
          <w:rFonts w:asciiTheme="majorEastAsia" w:eastAsiaTheme="majorEastAsia" w:hAnsiTheme="majorEastAsia" w:cs="宋体"/>
          <w:kern w:val="0"/>
          <w:szCs w:val="21"/>
        </w:rPr>
        <w:t>、</w:t>
      </w:r>
      <w:r w:rsidRPr="00D82028">
        <w:rPr>
          <w:rFonts w:asciiTheme="majorEastAsia" w:eastAsiaTheme="majorEastAsia" w:hAnsiTheme="majorEastAsia" w:cs="宋体" w:hint="eastAsia"/>
          <w:kern w:val="0"/>
          <w:szCs w:val="21"/>
        </w:rPr>
        <w:t>适用基金及期限</w:t>
      </w:r>
    </w:p>
    <w:p w:rsidR="00D82028" w:rsidRDefault="00D82028" w:rsidP="008970B8">
      <w:pPr>
        <w:widowControl/>
        <w:spacing w:line="360" w:lineRule="auto"/>
        <w:ind w:firstLine="420"/>
        <w:jc w:val="left"/>
        <w:rPr>
          <w:rFonts w:asciiTheme="majorEastAsia" w:eastAsiaTheme="majorEastAsia" w:hAnsiTheme="majorEastAsia" w:cs="宋体"/>
          <w:kern w:val="0"/>
          <w:szCs w:val="21"/>
        </w:rPr>
      </w:pPr>
      <w:r w:rsidRPr="00D82028">
        <w:rPr>
          <w:rFonts w:asciiTheme="majorEastAsia" w:eastAsiaTheme="majorEastAsia" w:hAnsiTheme="majorEastAsia" w:cs="宋体" w:hint="eastAsia"/>
          <w:kern w:val="0"/>
          <w:szCs w:val="21"/>
        </w:rPr>
        <w:t>2018年4月1日至2019年3月31日（截至当日法定交易时间），投资者通过</w:t>
      </w:r>
      <w:r>
        <w:rPr>
          <w:rFonts w:asciiTheme="majorEastAsia" w:eastAsiaTheme="majorEastAsia" w:hAnsiTheme="majorEastAsia" w:cs="宋体" w:hint="eastAsia"/>
          <w:kern w:val="0"/>
          <w:szCs w:val="21"/>
        </w:rPr>
        <w:t>工商银行</w:t>
      </w:r>
      <w:r w:rsidRPr="00D82028">
        <w:rPr>
          <w:rFonts w:asciiTheme="majorEastAsia" w:eastAsiaTheme="majorEastAsia" w:hAnsiTheme="majorEastAsia" w:cs="宋体" w:hint="eastAsia"/>
          <w:kern w:val="0"/>
          <w:szCs w:val="21"/>
        </w:rPr>
        <w:t>电子银行申购</w:t>
      </w:r>
      <w:r w:rsidR="00FC2B9A">
        <w:rPr>
          <w:rFonts w:asciiTheme="majorEastAsia" w:eastAsiaTheme="majorEastAsia" w:hAnsiTheme="majorEastAsia" w:cs="宋体" w:hint="eastAsia"/>
          <w:kern w:val="0"/>
          <w:szCs w:val="21"/>
        </w:rPr>
        <w:t>的</w:t>
      </w:r>
      <w:r>
        <w:rPr>
          <w:rFonts w:asciiTheme="majorEastAsia" w:eastAsiaTheme="majorEastAsia" w:hAnsiTheme="majorEastAsia" w:cs="宋体" w:hint="eastAsia"/>
          <w:kern w:val="0"/>
          <w:szCs w:val="21"/>
        </w:rPr>
        <w:t>本基金管理人管理的</w:t>
      </w:r>
      <w:r w:rsidRPr="00D82028">
        <w:rPr>
          <w:rFonts w:asciiTheme="majorEastAsia" w:eastAsiaTheme="majorEastAsia" w:hAnsiTheme="majorEastAsia" w:cs="宋体" w:hint="eastAsia"/>
          <w:kern w:val="0"/>
          <w:szCs w:val="21"/>
        </w:rPr>
        <w:t>基金产品享有费率优惠。</w:t>
      </w:r>
    </w:p>
    <w:p w:rsidR="00D82028" w:rsidRDefault="00D82028" w:rsidP="008970B8">
      <w:pPr>
        <w:widowControl/>
        <w:spacing w:line="360" w:lineRule="auto"/>
        <w:ind w:firstLine="420"/>
        <w:jc w:val="left"/>
        <w:rPr>
          <w:rFonts w:asciiTheme="majorEastAsia" w:eastAsiaTheme="majorEastAsia" w:hAnsiTheme="majorEastAsia" w:cs="宋体"/>
          <w:kern w:val="0"/>
          <w:szCs w:val="21"/>
        </w:rPr>
      </w:pPr>
    </w:p>
    <w:p w:rsidR="004D27EB" w:rsidRDefault="00D82028" w:rsidP="008970B8">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二</w:t>
      </w:r>
      <w:r w:rsidR="008970B8">
        <w:rPr>
          <w:rFonts w:asciiTheme="majorEastAsia" w:eastAsiaTheme="majorEastAsia" w:hAnsiTheme="majorEastAsia" w:cs="宋体"/>
          <w:kern w:val="0"/>
          <w:szCs w:val="21"/>
        </w:rPr>
        <w:t>、</w:t>
      </w:r>
      <w:r w:rsidR="00736319" w:rsidRPr="00DF6F57">
        <w:rPr>
          <w:rFonts w:asciiTheme="majorEastAsia" w:eastAsiaTheme="majorEastAsia" w:hAnsiTheme="majorEastAsia" w:cs="宋体" w:hint="eastAsia"/>
          <w:kern w:val="0"/>
          <w:szCs w:val="21"/>
        </w:rPr>
        <w:t>适用</w:t>
      </w:r>
      <w:r>
        <w:rPr>
          <w:rFonts w:asciiTheme="majorEastAsia" w:eastAsiaTheme="majorEastAsia" w:hAnsiTheme="majorEastAsia" w:cs="宋体" w:hint="eastAsia"/>
          <w:kern w:val="0"/>
          <w:szCs w:val="21"/>
        </w:rPr>
        <w:t>投资者范围</w:t>
      </w:r>
    </w:p>
    <w:p w:rsidR="00F6566D" w:rsidRPr="008970B8" w:rsidRDefault="00D82028" w:rsidP="00CF7DD8">
      <w:pPr>
        <w:widowControl/>
        <w:spacing w:line="360" w:lineRule="auto"/>
        <w:ind w:firstLine="420"/>
        <w:jc w:val="left"/>
        <w:rPr>
          <w:rFonts w:asciiTheme="majorEastAsia" w:eastAsiaTheme="majorEastAsia" w:hAnsiTheme="majorEastAsia" w:cs="宋体"/>
          <w:kern w:val="0"/>
          <w:szCs w:val="21"/>
        </w:rPr>
      </w:pPr>
      <w:r w:rsidRPr="00D82028">
        <w:rPr>
          <w:rFonts w:asciiTheme="majorEastAsia" w:eastAsiaTheme="majorEastAsia" w:hAnsiTheme="majorEastAsia" w:cs="宋体" w:hint="eastAsia"/>
          <w:kern w:val="0"/>
          <w:szCs w:val="21"/>
        </w:rPr>
        <w:t>通过工银融e行（个人网上银行、个人手机银行）和个人电话银行等电子银行渠道申购</w:t>
      </w:r>
      <w:r>
        <w:rPr>
          <w:rFonts w:asciiTheme="majorEastAsia" w:eastAsiaTheme="majorEastAsia" w:hAnsiTheme="majorEastAsia" w:cs="宋体" w:hint="eastAsia"/>
          <w:kern w:val="0"/>
          <w:szCs w:val="21"/>
        </w:rPr>
        <w:t>本基金</w:t>
      </w:r>
      <w:r>
        <w:rPr>
          <w:rFonts w:asciiTheme="majorEastAsia" w:eastAsiaTheme="majorEastAsia" w:hAnsiTheme="majorEastAsia" w:cs="宋体"/>
          <w:kern w:val="0"/>
          <w:szCs w:val="21"/>
        </w:rPr>
        <w:t>管理人管理的</w:t>
      </w:r>
      <w:r w:rsidRPr="00D82028">
        <w:rPr>
          <w:rFonts w:asciiTheme="majorEastAsia" w:eastAsiaTheme="majorEastAsia" w:hAnsiTheme="majorEastAsia" w:cs="宋体" w:hint="eastAsia"/>
          <w:kern w:val="0"/>
          <w:szCs w:val="21"/>
        </w:rPr>
        <w:t>开放式基金的个人投资者。</w:t>
      </w:r>
    </w:p>
    <w:p w:rsidR="003905A0" w:rsidRPr="003905A0" w:rsidRDefault="003905A0" w:rsidP="00DB691F">
      <w:pPr>
        <w:widowControl/>
        <w:spacing w:line="360" w:lineRule="auto"/>
        <w:ind w:firstLine="420"/>
        <w:jc w:val="left"/>
        <w:rPr>
          <w:rFonts w:asciiTheme="majorEastAsia" w:eastAsiaTheme="majorEastAsia" w:hAnsiTheme="majorEastAsia" w:cs="宋体"/>
          <w:kern w:val="0"/>
          <w:szCs w:val="21"/>
        </w:rPr>
      </w:pPr>
    </w:p>
    <w:p w:rsidR="00B20EDD" w:rsidRPr="00DF6F57" w:rsidRDefault="00CC1AEC" w:rsidP="00DD0D99">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三</w:t>
      </w:r>
      <w:r w:rsidR="00A83C7E" w:rsidRPr="00DF6F57">
        <w:rPr>
          <w:rFonts w:asciiTheme="majorEastAsia" w:eastAsiaTheme="majorEastAsia" w:hAnsiTheme="majorEastAsia" w:cs="宋体" w:hint="eastAsia"/>
          <w:kern w:val="0"/>
          <w:szCs w:val="21"/>
        </w:rPr>
        <w:t>、</w:t>
      </w:r>
      <w:r w:rsidR="00736319" w:rsidRPr="00DF6F57">
        <w:rPr>
          <w:rFonts w:asciiTheme="majorEastAsia" w:eastAsiaTheme="majorEastAsia" w:hAnsiTheme="majorEastAsia" w:cs="宋体" w:hint="eastAsia"/>
          <w:kern w:val="0"/>
          <w:szCs w:val="21"/>
        </w:rPr>
        <w:t>优惠费率</w:t>
      </w:r>
    </w:p>
    <w:p w:rsidR="00736319" w:rsidRPr="00DF6F57" w:rsidRDefault="00C77EAC" w:rsidP="00DD0D99">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1、</w:t>
      </w:r>
      <w:r w:rsidR="00736319" w:rsidRPr="00DF6F57">
        <w:rPr>
          <w:rFonts w:asciiTheme="majorEastAsia" w:eastAsiaTheme="majorEastAsia" w:hAnsiTheme="majorEastAsia" w:cs="宋体" w:hint="eastAsia"/>
          <w:kern w:val="0"/>
          <w:szCs w:val="21"/>
        </w:rPr>
        <w:t>在活动期间，</w:t>
      </w:r>
      <w:r w:rsidR="00CC1AEC">
        <w:rPr>
          <w:rFonts w:asciiTheme="majorEastAsia" w:eastAsiaTheme="majorEastAsia" w:hAnsiTheme="majorEastAsia" w:cs="宋体" w:hint="eastAsia"/>
          <w:kern w:val="0"/>
          <w:szCs w:val="21"/>
        </w:rPr>
        <w:t>个人</w:t>
      </w:r>
      <w:r w:rsidR="00FA2BC4" w:rsidRPr="00DF6F57">
        <w:rPr>
          <w:rFonts w:asciiTheme="majorEastAsia" w:eastAsiaTheme="majorEastAsia" w:hAnsiTheme="majorEastAsia" w:cs="宋体" w:hint="eastAsia"/>
          <w:kern w:val="0"/>
          <w:szCs w:val="21"/>
        </w:rPr>
        <w:t>投资者</w:t>
      </w:r>
      <w:r w:rsidR="00736319" w:rsidRPr="00DF6F57">
        <w:rPr>
          <w:rFonts w:asciiTheme="majorEastAsia" w:eastAsiaTheme="majorEastAsia" w:hAnsiTheme="majorEastAsia" w:cs="宋体" w:hint="eastAsia"/>
          <w:kern w:val="0"/>
          <w:szCs w:val="21"/>
        </w:rPr>
        <w:t>通过</w:t>
      </w:r>
      <w:r w:rsidR="00CC1AEC" w:rsidRPr="00CC1AEC">
        <w:rPr>
          <w:rFonts w:asciiTheme="majorEastAsia" w:eastAsiaTheme="majorEastAsia" w:hAnsiTheme="majorEastAsia" w:cs="宋体" w:hint="eastAsia"/>
          <w:kern w:val="0"/>
          <w:szCs w:val="21"/>
        </w:rPr>
        <w:t>工银融e行（个人网上银行、个人手机银行）和个人电话银行</w:t>
      </w:r>
      <w:r w:rsidR="00736319" w:rsidRPr="00DF6F57">
        <w:rPr>
          <w:rFonts w:asciiTheme="majorEastAsia" w:eastAsiaTheme="majorEastAsia" w:hAnsiTheme="majorEastAsia" w:cs="宋体" w:hint="eastAsia"/>
          <w:kern w:val="0"/>
          <w:szCs w:val="21"/>
        </w:rPr>
        <w:t>申购</w:t>
      </w:r>
      <w:r w:rsidR="00CC1AEC">
        <w:rPr>
          <w:rFonts w:asciiTheme="majorEastAsia" w:eastAsiaTheme="majorEastAsia" w:hAnsiTheme="majorEastAsia" w:cs="宋体" w:hint="eastAsia"/>
          <w:kern w:val="0"/>
          <w:szCs w:val="21"/>
        </w:rPr>
        <w:t>本基金</w:t>
      </w:r>
      <w:r w:rsidR="00CC1AEC">
        <w:rPr>
          <w:rFonts w:asciiTheme="majorEastAsia" w:eastAsiaTheme="majorEastAsia" w:hAnsiTheme="majorEastAsia" w:cs="宋体"/>
          <w:kern w:val="0"/>
          <w:szCs w:val="21"/>
        </w:rPr>
        <w:t>管理人管理的</w:t>
      </w:r>
      <w:r w:rsidR="00CC1AEC" w:rsidRPr="00D82028">
        <w:rPr>
          <w:rFonts w:asciiTheme="majorEastAsia" w:eastAsiaTheme="majorEastAsia" w:hAnsiTheme="majorEastAsia" w:cs="宋体" w:hint="eastAsia"/>
          <w:kern w:val="0"/>
          <w:szCs w:val="21"/>
        </w:rPr>
        <w:t>开放式基金</w:t>
      </w:r>
      <w:r w:rsidR="00CC1AEC">
        <w:rPr>
          <w:rFonts w:asciiTheme="majorEastAsia" w:eastAsiaTheme="majorEastAsia" w:hAnsiTheme="majorEastAsia" w:cs="宋体" w:hint="eastAsia"/>
          <w:kern w:val="0"/>
          <w:szCs w:val="21"/>
        </w:rPr>
        <w:t>，</w:t>
      </w:r>
      <w:r w:rsidR="00CC1AEC" w:rsidRPr="00CC1AEC">
        <w:rPr>
          <w:rFonts w:asciiTheme="majorEastAsia" w:eastAsiaTheme="majorEastAsia" w:hAnsiTheme="majorEastAsia" w:cs="宋体" w:hint="eastAsia"/>
          <w:kern w:val="0"/>
          <w:szCs w:val="21"/>
        </w:rPr>
        <w:t>其申购费率均享有八折优惠</w:t>
      </w:r>
      <w:r w:rsidR="00736319" w:rsidRPr="00DF6F57">
        <w:rPr>
          <w:rFonts w:asciiTheme="majorEastAsia" w:eastAsiaTheme="majorEastAsia" w:hAnsiTheme="majorEastAsia" w:cs="宋体" w:hint="eastAsia"/>
          <w:kern w:val="0"/>
          <w:szCs w:val="21"/>
        </w:rPr>
        <w:t>；原费率</w:t>
      </w:r>
      <w:r w:rsidR="004A7EB8">
        <w:rPr>
          <w:rFonts w:asciiTheme="majorEastAsia" w:eastAsiaTheme="majorEastAsia" w:hAnsiTheme="majorEastAsia" w:cs="宋体" w:hint="eastAsia"/>
          <w:kern w:val="0"/>
          <w:szCs w:val="21"/>
        </w:rPr>
        <w:t>为固定金额</w:t>
      </w:r>
      <w:r w:rsidR="00736319" w:rsidRPr="00DF6F57">
        <w:rPr>
          <w:rFonts w:asciiTheme="majorEastAsia" w:eastAsiaTheme="majorEastAsia" w:hAnsiTheme="majorEastAsia" w:cs="宋体" w:hint="eastAsia"/>
          <w:kern w:val="0"/>
          <w:szCs w:val="21"/>
        </w:rPr>
        <w:t>的，则按原费率执行</w:t>
      </w:r>
      <w:r w:rsidR="004A7EB8">
        <w:rPr>
          <w:rFonts w:asciiTheme="majorEastAsia" w:eastAsiaTheme="majorEastAsia" w:hAnsiTheme="majorEastAsia" w:cs="宋体" w:hint="eastAsia"/>
          <w:kern w:val="0"/>
          <w:szCs w:val="21"/>
        </w:rPr>
        <w:t>，不再享有费率优惠</w:t>
      </w:r>
      <w:r w:rsidR="00736319" w:rsidRPr="00DF6F57">
        <w:rPr>
          <w:rFonts w:asciiTheme="majorEastAsia" w:eastAsiaTheme="majorEastAsia" w:hAnsiTheme="majorEastAsia" w:cs="宋体" w:hint="eastAsia"/>
          <w:kern w:val="0"/>
          <w:szCs w:val="21"/>
        </w:rPr>
        <w:t>。</w:t>
      </w:r>
    </w:p>
    <w:p w:rsidR="00F6566D" w:rsidRPr="00DF6F57" w:rsidRDefault="00C77EAC" w:rsidP="00C77EAC">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r w:rsidR="00736319" w:rsidRPr="00DF6F57">
        <w:rPr>
          <w:rFonts w:asciiTheme="majorEastAsia" w:eastAsiaTheme="majorEastAsia" w:hAnsiTheme="majorEastAsia" w:cs="宋体" w:hint="eastAsia"/>
          <w:kern w:val="0"/>
          <w:szCs w:val="21"/>
        </w:rPr>
        <w:t>各基金</w:t>
      </w:r>
      <w:r w:rsidR="004A7EB8">
        <w:rPr>
          <w:rFonts w:asciiTheme="majorEastAsia" w:eastAsiaTheme="majorEastAsia" w:hAnsiTheme="majorEastAsia" w:cs="宋体" w:hint="eastAsia"/>
          <w:kern w:val="0"/>
          <w:szCs w:val="21"/>
        </w:rPr>
        <w:t>具体</w:t>
      </w:r>
      <w:r w:rsidR="00FA2BC4" w:rsidRPr="00DF6F57">
        <w:rPr>
          <w:rFonts w:asciiTheme="majorEastAsia" w:eastAsiaTheme="majorEastAsia" w:hAnsiTheme="majorEastAsia" w:cs="宋体" w:hint="eastAsia"/>
          <w:kern w:val="0"/>
          <w:szCs w:val="21"/>
        </w:rPr>
        <w:t>申购费率请参见各基金的《基金合同》、《招募说明书》及相关公告</w:t>
      </w:r>
      <w:r w:rsidR="00736319" w:rsidRPr="00DF6F57">
        <w:rPr>
          <w:rFonts w:asciiTheme="majorEastAsia" w:eastAsiaTheme="majorEastAsia" w:hAnsiTheme="majorEastAsia" w:cs="宋体" w:hint="eastAsia"/>
          <w:kern w:val="0"/>
          <w:szCs w:val="21"/>
        </w:rPr>
        <w:t>。</w:t>
      </w:r>
    </w:p>
    <w:p w:rsidR="00F6566D" w:rsidRDefault="00F6566D" w:rsidP="00A95A44">
      <w:pPr>
        <w:widowControl/>
        <w:spacing w:line="360" w:lineRule="auto"/>
        <w:jc w:val="left"/>
        <w:rPr>
          <w:rFonts w:asciiTheme="majorEastAsia" w:eastAsiaTheme="majorEastAsia" w:hAnsiTheme="majorEastAsia" w:cs="宋体"/>
          <w:kern w:val="0"/>
          <w:szCs w:val="21"/>
        </w:rPr>
      </w:pPr>
    </w:p>
    <w:p w:rsidR="00B20EDD" w:rsidRDefault="00DD2B9E" w:rsidP="00CF7DD8">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四</w:t>
      </w:r>
      <w:r w:rsidR="00BE63A8">
        <w:rPr>
          <w:rFonts w:asciiTheme="majorEastAsia" w:eastAsiaTheme="majorEastAsia" w:hAnsiTheme="majorEastAsia" w:cs="宋体" w:hint="eastAsia"/>
          <w:kern w:val="0"/>
          <w:szCs w:val="21"/>
        </w:rPr>
        <w:t>、</w:t>
      </w:r>
      <w:r w:rsidR="00736319" w:rsidRPr="00DF6F57">
        <w:rPr>
          <w:rFonts w:asciiTheme="majorEastAsia" w:eastAsiaTheme="majorEastAsia" w:hAnsiTheme="majorEastAsia" w:cs="宋体" w:hint="eastAsia"/>
          <w:kern w:val="0"/>
          <w:szCs w:val="21"/>
        </w:rPr>
        <w:t>重要提示</w:t>
      </w:r>
    </w:p>
    <w:p w:rsidR="00DD2B9E" w:rsidRPr="00DD2B9E" w:rsidRDefault="00DD2B9E" w:rsidP="00DD2B9E">
      <w:pPr>
        <w:widowControl/>
        <w:spacing w:line="360" w:lineRule="auto"/>
        <w:ind w:firstLine="420"/>
        <w:jc w:val="left"/>
        <w:rPr>
          <w:rFonts w:asciiTheme="majorEastAsia" w:eastAsiaTheme="majorEastAsia" w:hAnsiTheme="majorEastAsia" w:cs="宋体"/>
          <w:kern w:val="0"/>
          <w:szCs w:val="21"/>
        </w:rPr>
      </w:pPr>
      <w:r w:rsidRPr="00DD2B9E">
        <w:rPr>
          <w:rFonts w:asciiTheme="majorEastAsia" w:eastAsiaTheme="majorEastAsia" w:hAnsiTheme="majorEastAsia" w:cs="宋体" w:hint="eastAsia"/>
          <w:kern w:val="0"/>
          <w:szCs w:val="21"/>
        </w:rPr>
        <w:t>1</w:t>
      </w:r>
      <w:r>
        <w:rPr>
          <w:rFonts w:asciiTheme="majorEastAsia" w:eastAsiaTheme="majorEastAsia" w:hAnsiTheme="majorEastAsia" w:cs="宋体" w:hint="eastAsia"/>
          <w:kern w:val="0"/>
          <w:szCs w:val="21"/>
        </w:rPr>
        <w:t>、</w:t>
      </w:r>
      <w:r w:rsidRPr="00DD2B9E">
        <w:rPr>
          <w:rFonts w:asciiTheme="majorEastAsia" w:eastAsiaTheme="majorEastAsia" w:hAnsiTheme="majorEastAsia" w:cs="宋体" w:hint="eastAsia"/>
          <w:kern w:val="0"/>
          <w:szCs w:val="21"/>
        </w:rPr>
        <w:t>本活动解释权归</w:t>
      </w:r>
      <w:r>
        <w:rPr>
          <w:rFonts w:asciiTheme="majorEastAsia" w:eastAsiaTheme="majorEastAsia" w:hAnsiTheme="majorEastAsia" w:cs="宋体" w:hint="eastAsia"/>
          <w:kern w:val="0"/>
          <w:szCs w:val="21"/>
        </w:rPr>
        <w:t>工商银行</w:t>
      </w:r>
      <w:r w:rsidRPr="00DD2B9E">
        <w:rPr>
          <w:rFonts w:asciiTheme="majorEastAsia" w:eastAsiaTheme="majorEastAsia" w:hAnsiTheme="majorEastAsia" w:cs="宋体" w:hint="eastAsia"/>
          <w:kern w:val="0"/>
          <w:szCs w:val="21"/>
        </w:rPr>
        <w:t>所有。投资者欲了解各基金产品的详细情况，请仔细阅读各基金的基金合同、招募说明书等法律文件。</w:t>
      </w:r>
    </w:p>
    <w:p w:rsidR="00DD2B9E" w:rsidRPr="00DF6F57" w:rsidRDefault="00DD2B9E" w:rsidP="00DD2B9E">
      <w:pPr>
        <w:widowControl/>
        <w:spacing w:line="360" w:lineRule="auto"/>
        <w:ind w:firstLine="420"/>
        <w:jc w:val="left"/>
        <w:rPr>
          <w:rFonts w:asciiTheme="majorEastAsia" w:eastAsiaTheme="majorEastAsia" w:hAnsiTheme="majorEastAsia" w:cs="宋体"/>
          <w:kern w:val="0"/>
          <w:szCs w:val="21"/>
        </w:rPr>
      </w:pPr>
      <w:r w:rsidRPr="00DD2B9E">
        <w:rPr>
          <w:rFonts w:asciiTheme="majorEastAsia" w:eastAsiaTheme="majorEastAsia" w:hAnsiTheme="majorEastAsia" w:cs="宋体" w:hint="eastAsia"/>
          <w:kern w:val="0"/>
          <w:szCs w:val="21"/>
        </w:rPr>
        <w:t>2</w:t>
      </w:r>
      <w:r>
        <w:rPr>
          <w:rFonts w:asciiTheme="majorEastAsia" w:eastAsiaTheme="majorEastAsia" w:hAnsiTheme="majorEastAsia" w:cs="宋体" w:hint="eastAsia"/>
          <w:kern w:val="0"/>
          <w:szCs w:val="21"/>
        </w:rPr>
        <w:t>、</w:t>
      </w:r>
      <w:r w:rsidRPr="00DD2B9E">
        <w:rPr>
          <w:rFonts w:asciiTheme="majorEastAsia" w:eastAsiaTheme="majorEastAsia" w:hAnsiTheme="majorEastAsia" w:cs="宋体" w:hint="eastAsia"/>
          <w:kern w:val="0"/>
          <w:szCs w:val="21"/>
        </w:rPr>
        <w:t>本优惠活动仅适用于处于正常申购期的基金产品的前端收费模式的申购手续费，不包括各基金的后端收费模式的的申购手续费以及处于基金募集期的基金认购费，也不包括基金定投业务及基金转换业务等其他业务的基金手续费。</w:t>
      </w:r>
    </w:p>
    <w:p w:rsidR="00B20EDD" w:rsidRPr="008970B8" w:rsidRDefault="00FC5B6C" w:rsidP="00CF7DD8">
      <w:pPr>
        <w:widowControl/>
        <w:spacing w:line="360" w:lineRule="auto"/>
        <w:ind w:firstLine="420"/>
        <w:jc w:val="left"/>
        <w:rPr>
          <w:rFonts w:asciiTheme="majorEastAsia" w:eastAsiaTheme="majorEastAsia" w:hAnsiTheme="majorEastAsia" w:cs="宋体"/>
          <w:kern w:val="0"/>
          <w:szCs w:val="21"/>
        </w:rPr>
      </w:pPr>
      <w:r w:rsidRPr="008970B8">
        <w:rPr>
          <w:rFonts w:asciiTheme="majorEastAsia" w:eastAsiaTheme="majorEastAsia" w:hAnsiTheme="majorEastAsia" w:cs="宋体"/>
          <w:kern w:val="0"/>
          <w:szCs w:val="21"/>
        </w:rPr>
        <w:lastRenderedPageBreak/>
        <w:t>3</w:t>
      </w:r>
      <w:r w:rsidR="00736319" w:rsidRPr="008970B8">
        <w:rPr>
          <w:rFonts w:asciiTheme="majorEastAsia" w:eastAsiaTheme="majorEastAsia" w:hAnsiTheme="majorEastAsia" w:cs="宋体" w:hint="eastAsia"/>
          <w:kern w:val="0"/>
          <w:szCs w:val="21"/>
        </w:rPr>
        <w:t>、</w:t>
      </w:r>
      <w:r w:rsidR="00DD2B9E">
        <w:rPr>
          <w:rFonts w:asciiTheme="majorEastAsia" w:eastAsiaTheme="majorEastAsia" w:hAnsiTheme="majorEastAsia" w:cs="宋体" w:hint="eastAsia"/>
          <w:kern w:val="0"/>
          <w:szCs w:val="21"/>
        </w:rPr>
        <w:t>活动期间</w:t>
      </w:r>
      <w:r w:rsidR="00DD2B9E">
        <w:rPr>
          <w:rFonts w:asciiTheme="majorEastAsia" w:eastAsiaTheme="majorEastAsia" w:hAnsiTheme="majorEastAsia" w:cs="宋体"/>
          <w:kern w:val="0"/>
          <w:szCs w:val="21"/>
        </w:rPr>
        <w:t>，如无特殊说明，通过工商银行申购的本基金管理人管理的基金均参加本费率优惠活动，</w:t>
      </w:r>
      <w:r w:rsidR="00DD2B9E">
        <w:rPr>
          <w:rFonts w:asciiTheme="majorEastAsia" w:eastAsiaTheme="majorEastAsia" w:hAnsiTheme="majorEastAsia" w:cs="宋体" w:hint="eastAsia"/>
          <w:kern w:val="0"/>
          <w:szCs w:val="21"/>
        </w:rPr>
        <w:t>将</w:t>
      </w:r>
      <w:r w:rsidR="00DD2B9E">
        <w:rPr>
          <w:rFonts w:asciiTheme="majorEastAsia" w:eastAsiaTheme="majorEastAsia" w:hAnsiTheme="majorEastAsia" w:cs="宋体"/>
          <w:kern w:val="0"/>
          <w:szCs w:val="21"/>
        </w:rPr>
        <w:t>不再另行通知</w:t>
      </w:r>
      <w:r w:rsidR="00736319" w:rsidRPr="008970B8">
        <w:rPr>
          <w:rFonts w:asciiTheme="majorEastAsia" w:eastAsiaTheme="majorEastAsia" w:hAnsiTheme="majorEastAsia" w:cs="宋体" w:hint="eastAsia"/>
          <w:kern w:val="0"/>
          <w:szCs w:val="21"/>
        </w:rPr>
        <w:t>。</w:t>
      </w:r>
    </w:p>
    <w:p w:rsidR="00F6566D" w:rsidRPr="008970B8" w:rsidRDefault="006556C5" w:rsidP="00CF7DD8">
      <w:pPr>
        <w:widowControl/>
        <w:spacing w:line="360" w:lineRule="auto"/>
        <w:ind w:firstLine="420"/>
        <w:jc w:val="left"/>
        <w:rPr>
          <w:rFonts w:asciiTheme="majorEastAsia" w:eastAsiaTheme="majorEastAsia" w:hAnsiTheme="majorEastAsia" w:cs="宋体"/>
          <w:kern w:val="0"/>
          <w:szCs w:val="21"/>
        </w:rPr>
      </w:pPr>
      <w:r w:rsidRPr="00CF7DD8">
        <w:rPr>
          <w:rFonts w:asciiTheme="majorEastAsia" w:eastAsiaTheme="majorEastAsia" w:hAnsiTheme="majorEastAsia" w:cs="宋体"/>
          <w:kern w:val="0"/>
          <w:szCs w:val="21"/>
        </w:rPr>
        <w:t>4</w:t>
      </w:r>
      <w:r w:rsidR="00736319" w:rsidRPr="008970B8">
        <w:rPr>
          <w:rFonts w:asciiTheme="majorEastAsia" w:eastAsiaTheme="majorEastAsia" w:hAnsiTheme="majorEastAsia" w:cs="宋体" w:hint="eastAsia"/>
          <w:kern w:val="0"/>
          <w:szCs w:val="21"/>
        </w:rPr>
        <w:t>、本次优惠活动期间，业务办理的具体时间、流程以</w:t>
      </w:r>
      <w:r w:rsidR="00105C82" w:rsidRPr="008970B8">
        <w:rPr>
          <w:rFonts w:asciiTheme="majorEastAsia" w:eastAsiaTheme="majorEastAsia" w:hAnsiTheme="majorEastAsia" w:cs="宋体" w:hint="eastAsia"/>
          <w:kern w:val="0"/>
          <w:szCs w:val="21"/>
        </w:rPr>
        <w:t>工商银行</w:t>
      </w:r>
      <w:r w:rsidR="00736319" w:rsidRPr="008970B8">
        <w:rPr>
          <w:rFonts w:asciiTheme="majorEastAsia" w:eastAsiaTheme="majorEastAsia" w:hAnsiTheme="majorEastAsia" w:cs="宋体" w:hint="eastAsia"/>
          <w:kern w:val="0"/>
          <w:szCs w:val="21"/>
        </w:rPr>
        <w:t>受理网点的安排和规定为准。</w:t>
      </w:r>
    </w:p>
    <w:p w:rsidR="00736319" w:rsidRPr="00DF6F57" w:rsidRDefault="00736319" w:rsidP="00CF7DD8">
      <w:pPr>
        <w:widowControl/>
        <w:spacing w:line="360" w:lineRule="auto"/>
        <w:ind w:firstLine="420"/>
        <w:jc w:val="left"/>
        <w:rPr>
          <w:rFonts w:asciiTheme="majorEastAsia" w:eastAsiaTheme="majorEastAsia" w:hAnsiTheme="majorEastAsia" w:cs="宋体"/>
          <w:kern w:val="0"/>
          <w:szCs w:val="21"/>
        </w:rPr>
      </w:pPr>
    </w:p>
    <w:p w:rsidR="00B20EDD" w:rsidRPr="00DF6F57" w:rsidRDefault="004C5F59" w:rsidP="00CF7DD8">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五</w:t>
      </w:r>
      <w:r w:rsidR="00736319" w:rsidRPr="00DF6F57">
        <w:rPr>
          <w:rFonts w:asciiTheme="majorEastAsia" w:eastAsiaTheme="majorEastAsia" w:hAnsiTheme="majorEastAsia" w:cs="宋体" w:hint="eastAsia"/>
          <w:kern w:val="0"/>
          <w:szCs w:val="21"/>
        </w:rPr>
        <w:t>、投资者可通过以下途径咨询详情：</w:t>
      </w:r>
    </w:p>
    <w:p w:rsidR="00B20EDD" w:rsidRPr="00DF6F57" w:rsidRDefault="00736319" w:rsidP="00CF7DD8">
      <w:pPr>
        <w:widowControl/>
        <w:spacing w:line="360" w:lineRule="auto"/>
        <w:ind w:firstLine="420"/>
        <w:jc w:val="left"/>
        <w:rPr>
          <w:rFonts w:asciiTheme="majorEastAsia" w:eastAsiaTheme="majorEastAsia" w:hAnsiTheme="majorEastAsia" w:cs="宋体"/>
          <w:kern w:val="0"/>
          <w:szCs w:val="21"/>
        </w:rPr>
      </w:pPr>
      <w:r w:rsidRPr="00DF6F57">
        <w:rPr>
          <w:rFonts w:asciiTheme="majorEastAsia" w:eastAsiaTheme="majorEastAsia" w:hAnsiTheme="majorEastAsia" w:cs="宋体" w:hint="eastAsia"/>
          <w:kern w:val="0"/>
          <w:szCs w:val="21"/>
        </w:rPr>
        <w:t>1、中国工商银行</w:t>
      </w:r>
      <w:r w:rsidR="005E71DF">
        <w:rPr>
          <w:rFonts w:asciiTheme="majorEastAsia" w:eastAsiaTheme="majorEastAsia" w:hAnsiTheme="majorEastAsia" w:cs="宋体" w:hint="eastAsia"/>
          <w:kern w:val="0"/>
          <w:szCs w:val="21"/>
        </w:rPr>
        <w:t>股份有限公司</w:t>
      </w:r>
    </w:p>
    <w:p w:rsidR="00B20EDD" w:rsidRPr="00DF6F57" w:rsidRDefault="00736319" w:rsidP="00CF7DD8">
      <w:pPr>
        <w:widowControl/>
        <w:spacing w:line="360" w:lineRule="auto"/>
        <w:ind w:firstLine="420"/>
        <w:jc w:val="left"/>
        <w:rPr>
          <w:rFonts w:asciiTheme="majorEastAsia" w:eastAsiaTheme="majorEastAsia" w:hAnsiTheme="majorEastAsia" w:cs="宋体"/>
          <w:kern w:val="0"/>
          <w:szCs w:val="21"/>
        </w:rPr>
      </w:pPr>
      <w:r w:rsidRPr="00DF6F57">
        <w:rPr>
          <w:rFonts w:asciiTheme="majorEastAsia" w:eastAsiaTheme="majorEastAsia" w:hAnsiTheme="majorEastAsia" w:cs="宋体" w:hint="eastAsia"/>
          <w:kern w:val="0"/>
          <w:szCs w:val="21"/>
        </w:rPr>
        <w:t>客服电话：95588</w:t>
      </w:r>
    </w:p>
    <w:p w:rsidR="00B20EDD" w:rsidRPr="00DF6F57" w:rsidRDefault="004A7EB8" w:rsidP="00CF7DD8">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网址</w:t>
      </w:r>
      <w:r w:rsidR="00736319" w:rsidRPr="00DF6F57">
        <w:rPr>
          <w:rFonts w:asciiTheme="majorEastAsia" w:eastAsiaTheme="majorEastAsia" w:hAnsiTheme="majorEastAsia" w:cs="宋体" w:hint="eastAsia"/>
          <w:kern w:val="0"/>
          <w:szCs w:val="21"/>
        </w:rPr>
        <w:t>：</w:t>
      </w:r>
      <w:hyperlink r:id="rId8" w:history="1">
        <w:r w:rsidR="00736319" w:rsidRPr="00DF6F57">
          <w:rPr>
            <w:rFonts w:asciiTheme="majorEastAsia" w:eastAsiaTheme="majorEastAsia" w:hAnsiTheme="majorEastAsia" w:cs="宋体" w:hint="eastAsia"/>
            <w:kern w:val="0"/>
            <w:szCs w:val="21"/>
          </w:rPr>
          <w:t>www.icbc.com</w:t>
        </w:r>
      </w:hyperlink>
      <w:r w:rsidR="00736319" w:rsidRPr="00DF6F57">
        <w:rPr>
          <w:rFonts w:asciiTheme="majorEastAsia" w:eastAsiaTheme="majorEastAsia" w:hAnsiTheme="majorEastAsia" w:cs="宋体" w:hint="eastAsia"/>
          <w:kern w:val="0"/>
          <w:szCs w:val="21"/>
        </w:rPr>
        <w:t>.cn</w:t>
      </w:r>
    </w:p>
    <w:p w:rsidR="00B20EDD" w:rsidRPr="00DF6F57" w:rsidRDefault="00736319" w:rsidP="00CF7DD8">
      <w:pPr>
        <w:widowControl/>
        <w:spacing w:line="360" w:lineRule="auto"/>
        <w:ind w:firstLine="420"/>
        <w:jc w:val="left"/>
        <w:rPr>
          <w:rFonts w:asciiTheme="majorEastAsia" w:eastAsiaTheme="majorEastAsia" w:hAnsiTheme="majorEastAsia" w:cs="宋体"/>
          <w:kern w:val="0"/>
          <w:szCs w:val="21"/>
        </w:rPr>
      </w:pPr>
      <w:r w:rsidRPr="00DF6F57">
        <w:rPr>
          <w:rFonts w:asciiTheme="majorEastAsia" w:eastAsiaTheme="majorEastAsia" w:hAnsiTheme="majorEastAsia" w:cs="宋体" w:hint="eastAsia"/>
          <w:kern w:val="0"/>
          <w:szCs w:val="21"/>
        </w:rPr>
        <w:t>2、国泰基金管理有限公司</w:t>
      </w:r>
    </w:p>
    <w:p w:rsidR="00B20EDD" w:rsidRPr="00DF6F57" w:rsidRDefault="00736319" w:rsidP="00CF7DD8">
      <w:pPr>
        <w:widowControl/>
        <w:spacing w:line="360" w:lineRule="auto"/>
        <w:ind w:firstLine="420"/>
        <w:jc w:val="left"/>
        <w:rPr>
          <w:rFonts w:asciiTheme="majorEastAsia" w:eastAsiaTheme="majorEastAsia" w:hAnsiTheme="majorEastAsia" w:cs="宋体"/>
          <w:kern w:val="0"/>
          <w:szCs w:val="21"/>
        </w:rPr>
      </w:pPr>
      <w:r w:rsidRPr="00DF6F57">
        <w:rPr>
          <w:rFonts w:asciiTheme="majorEastAsia" w:eastAsiaTheme="majorEastAsia" w:hAnsiTheme="majorEastAsia" w:cs="宋体" w:hint="eastAsia"/>
          <w:kern w:val="0"/>
          <w:szCs w:val="21"/>
        </w:rPr>
        <w:t>客服电话：400-888-8688（免长途通话费用）</w:t>
      </w:r>
      <w:r w:rsidR="00F6566D">
        <w:rPr>
          <w:rFonts w:asciiTheme="majorEastAsia" w:eastAsiaTheme="majorEastAsia" w:hAnsiTheme="majorEastAsia" w:cs="宋体" w:hint="eastAsia"/>
          <w:kern w:val="0"/>
          <w:szCs w:val="21"/>
        </w:rPr>
        <w:t>、</w:t>
      </w:r>
      <w:r w:rsidRPr="00DF6F57">
        <w:rPr>
          <w:rFonts w:asciiTheme="majorEastAsia" w:eastAsiaTheme="majorEastAsia" w:hAnsiTheme="majorEastAsia" w:cs="宋体" w:hint="eastAsia"/>
          <w:kern w:val="0"/>
          <w:szCs w:val="21"/>
        </w:rPr>
        <w:t>021-31089000</w:t>
      </w:r>
    </w:p>
    <w:p w:rsidR="00B20EDD" w:rsidRPr="00DF6F57" w:rsidRDefault="004A7EB8" w:rsidP="00DD0D99">
      <w:pPr>
        <w:widowControl/>
        <w:spacing w:line="360" w:lineRule="auto"/>
        <w:ind w:firstLine="420"/>
        <w:jc w:val="lef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网址</w:t>
      </w:r>
      <w:r w:rsidR="00736319" w:rsidRPr="00DF6F57">
        <w:rPr>
          <w:rFonts w:asciiTheme="majorEastAsia" w:eastAsiaTheme="majorEastAsia" w:hAnsiTheme="majorEastAsia" w:cs="宋体" w:hint="eastAsia"/>
          <w:kern w:val="0"/>
          <w:szCs w:val="21"/>
        </w:rPr>
        <w:t>：</w:t>
      </w:r>
      <w:hyperlink r:id="rId9" w:history="1">
        <w:r w:rsidR="00736319" w:rsidRPr="00DF6F57">
          <w:rPr>
            <w:rFonts w:asciiTheme="majorEastAsia" w:eastAsiaTheme="majorEastAsia" w:hAnsiTheme="majorEastAsia" w:cs="宋体" w:hint="eastAsia"/>
            <w:kern w:val="0"/>
            <w:szCs w:val="21"/>
          </w:rPr>
          <w:t>www.gtfund.com</w:t>
        </w:r>
      </w:hyperlink>
    </w:p>
    <w:p w:rsidR="00736319" w:rsidRPr="00DF6F57" w:rsidRDefault="00736319" w:rsidP="00CF7DD8">
      <w:pPr>
        <w:widowControl/>
        <w:spacing w:line="360" w:lineRule="auto"/>
        <w:ind w:firstLine="420"/>
        <w:jc w:val="left"/>
        <w:rPr>
          <w:rFonts w:asciiTheme="majorEastAsia" w:eastAsiaTheme="majorEastAsia" w:hAnsiTheme="majorEastAsia" w:cs="宋体"/>
          <w:kern w:val="0"/>
          <w:szCs w:val="21"/>
        </w:rPr>
      </w:pPr>
      <w:r w:rsidRPr="00DF6F57">
        <w:rPr>
          <w:rFonts w:asciiTheme="majorEastAsia" w:eastAsiaTheme="majorEastAsia" w:hAnsiTheme="majorEastAsia" w:cs="宋体" w:hint="eastAsia"/>
          <w:kern w:val="0"/>
          <w:szCs w:val="21"/>
        </w:rPr>
        <w:t>该活动解释权归工商银行所有，有关本次活动的具体规定如有变化，敬请投资者留意工商银行的有关公告。</w:t>
      </w:r>
    </w:p>
    <w:p w:rsidR="004575FA" w:rsidRDefault="004575FA" w:rsidP="00DD0D99">
      <w:pPr>
        <w:widowControl/>
        <w:spacing w:line="360" w:lineRule="auto"/>
        <w:ind w:firstLineChars="200" w:firstLine="420"/>
        <w:jc w:val="left"/>
        <w:rPr>
          <w:rFonts w:asciiTheme="majorEastAsia" w:eastAsiaTheme="majorEastAsia" w:hAnsiTheme="majorEastAsia" w:cs="宋体"/>
          <w:kern w:val="0"/>
          <w:szCs w:val="21"/>
        </w:rPr>
      </w:pPr>
    </w:p>
    <w:p w:rsidR="00282C35" w:rsidRPr="001E65C8" w:rsidRDefault="00282C35" w:rsidP="00282C35">
      <w:pPr>
        <w:pStyle w:val="Default"/>
        <w:spacing w:line="360" w:lineRule="auto"/>
        <w:ind w:firstLineChars="200" w:firstLine="420"/>
        <w:rPr>
          <w:rFonts w:hAnsi="宋体" w:cs="Times New Roman"/>
          <w:color w:val="auto"/>
          <w:sz w:val="21"/>
          <w:szCs w:val="21"/>
        </w:rPr>
      </w:pPr>
      <w:r w:rsidRPr="001E65C8">
        <w:rPr>
          <w:rFonts w:hAnsi="宋体" w:cs="Times New Roman"/>
          <w:color w:val="auto"/>
          <w:sz w:val="21"/>
          <w:szCs w:val="21"/>
        </w:rPr>
        <w:t>风险提示：本基金管理人承诺以诚实信用、勤勉尽责的原则管理和运用基金资产，但不保证基金一定盈利，也不保证最低收益。投资者投资于本基金管理人管理的基金时应认真阅读该基金的《基金合同》、《招募说明书》等法律文件，</w:t>
      </w:r>
      <w:r w:rsidRPr="001E65C8">
        <w:rPr>
          <w:rFonts w:hAnsi="宋体" w:cs="Times New Roman" w:hint="eastAsia"/>
          <w:color w:val="auto"/>
          <w:sz w:val="21"/>
          <w:szCs w:val="21"/>
        </w:rPr>
        <w:t>了解基金产品的详细情况，选择与自己风险识别能力和风险承受能力相匹配的基金，并注意投资风险</w:t>
      </w:r>
      <w:r w:rsidRPr="001E65C8">
        <w:rPr>
          <w:rFonts w:hAnsi="宋体" w:cs="Times New Roman"/>
          <w:color w:val="auto"/>
          <w:sz w:val="21"/>
          <w:szCs w:val="21"/>
        </w:rPr>
        <w:t>。</w:t>
      </w:r>
    </w:p>
    <w:p w:rsidR="00B20EDD" w:rsidRPr="00DF6F57" w:rsidRDefault="00736319" w:rsidP="00DD0D99">
      <w:pPr>
        <w:widowControl/>
        <w:spacing w:line="360" w:lineRule="auto"/>
        <w:ind w:firstLine="420"/>
        <w:jc w:val="left"/>
        <w:rPr>
          <w:rFonts w:asciiTheme="majorEastAsia" w:eastAsiaTheme="majorEastAsia" w:hAnsiTheme="majorEastAsia" w:cs="宋体"/>
          <w:kern w:val="0"/>
          <w:szCs w:val="21"/>
        </w:rPr>
      </w:pPr>
      <w:r w:rsidRPr="00DF6F57">
        <w:rPr>
          <w:rFonts w:asciiTheme="majorEastAsia" w:eastAsiaTheme="majorEastAsia" w:hAnsiTheme="majorEastAsia" w:cs="宋体" w:hint="eastAsia"/>
          <w:kern w:val="0"/>
          <w:szCs w:val="21"/>
        </w:rPr>
        <w:t>特此公告</w:t>
      </w:r>
    </w:p>
    <w:p w:rsidR="00A83C7E" w:rsidRPr="00DF6F57" w:rsidRDefault="00A83C7E" w:rsidP="00DD0D99">
      <w:pPr>
        <w:widowControl/>
        <w:spacing w:line="360" w:lineRule="auto"/>
        <w:jc w:val="left"/>
        <w:rPr>
          <w:rFonts w:asciiTheme="majorEastAsia" w:eastAsiaTheme="majorEastAsia" w:hAnsiTheme="majorEastAsia" w:cs="宋体"/>
          <w:kern w:val="0"/>
          <w:szCs w:val="21"/>
        </w:rPr>
      </w:pPr>
    </w:p>
    <w:p w:rsidR="00105C82" w:rsidRDefault="00105C82" w:rsidP="00DD0D99">
      <w:pPr>
        <w:widowControl/>
        <w:spacing w:line="360" w:lineRule="auto"/>
        <w:jc w:val="right"/>
        <w:rPr>
          <w:rFonts w:asciiTheme="majorEastAsia" w:eastAsiaTheme="majorEastAsia" w:hAnsiTheme="majorEastAsia" w:cs="宋体"/>
          <w:kern w:val="0"/>
          <w:szCs w:val="21"/>
        </w:rPr>
      </w:pPr>
    </w:p>
    <w:p w:rsidR="00736319" w:rsidRPr="00DF6F57" w:rsidRDefault="00736319" w:rsidP="00DD0D99">
      <w:pPr>
        <w:widowControl/>
        <w:spacing w:line="360" w:lineRule="auto"/>
        <w:jc w:val="right"/>
        <w:rPr>
          <w:rFonts w:asciiTheme="majorEastAsia" w:eastAsiaTheme="majorEastAsia" w:hAnsiTheme="majorEastAsia" w:cs="宋体"/>
          <w:kern w:val="0"/>
          <w:szCs w:val="21"/>
        </w:rPr>
      </w:pPr>
      <w:r w:rsidRPr="00DF6F57">
        <w:rPr>
          <w:rFonts w:asciiTheme="majorEastAsia" w:eastAsiaTheme="majorEastAsia" w:hAnsiTheme="majorEastAsia" w:cs="宋体" w:hint="eastAsia"/>
          <w:kern w:val="0"/>
          <w:szCs w:val="21"/>
        </w:rPr>
        <w:t>国泰基金管理有限公司</w:t>
      </w:r>
    </w:p>
    <w:p w:rsidR="00736319" w:rsidRPr="00DF6F57" w:rsidRDefault="004C5F59" w:rsidP="00DD0D99">
      <w:pPr>
        <w:widowControl/>
        <w:wordWrap w:val="0"/>
        <w:spacing w:line="360" w:lineRule="auto"/>
        <w:jc w:val="right"/>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2</w:t>
      </w:r>
      <w:r>
        <w:rPr>
          <w:rFonts w:asciiTheme="majorEastAsia" w:eastAsiaTheme="majorEastAsia" w:hAnsiTheme="majorEastAsia" w:cs="宋体"/>
          <w:kern w:val="0"/>
          <w:szCs w:val="21"/>
        </w:rPr>
        <w:t>018</w:t>
      </w:r>
      <w:r w:rsidRPr="00DF6F57">
        <w:rPr>
          <w:rFonts w:asciiTheme="majorEastAsia" w:eastAsiaTheme="majorEastAsia" w:hAnsiTheme="majorEastAsia" w:cs="宋体" w:hint="eastAsia"/>
          <w:kern w:val="0"/>
          <w:szCs w:val="21"/>
        </w:rPr>
        <w:t>年</w:t>
      </w:r>
      <w:r>
        <w:rPr>
          <w:rFonts w:asciiTheme="majorEastAsia" w:eastAsiaTheme="majorEastAsia" w:hAnsiTheme="majorEastAsia" w:cs="宋体" w:hint="eastAsia"/>
          <w:kern w:val="0"/>
          <w:szCs w:val="21"/>
        </w:rPr>
        <w:t>3</w:t>
      </w:r>
      <w:r w:rsidRPr="00DF6F57">
        <w:rPr>
          <w:rFonts w:asciiTheme="majorEastAsia" w:eastAsiaTheme="majorEastAsia" w:hAnsiTheme="majorEastAsia" w:cs="宋体" w:hint="eastAsia"/>
          <w:kern w:val="0"/>
          <w:szCs w:val="21"/>
        </w:rPr>
        <w:t>月</w:t>
      </w:r>
      <w:r w:rsidR="00151483">
        <w:rPr>
          <w:rFonts w:asciiTheme="majorEastAsia" w:eastAsiaTheme="majorEastAsia" w:hAnsiTheme="majorEastAsia" w:cs="宋体"/>
          <w:kern w:val="0"/>
          <w:szCs w:val="21"/>
        </w:rPr>
        <w:t>28</w:t>
      </w:r>
      <w:r w:rsidRPr="00DF6F57">
        <w:rPr>
          <w:rFonts w:asciiTheme="majorEastAsia" w:eastAsiaTheme="majorEastAsia" w:hAnsiTheme="majorEastAsia" w:cs="宋体" w:hint="eastAsia"/>
          <w:kern w:val="0"/>
          <w:szCs w:val="21"/>
        </w:rPr>
        <w:t>日</w:t>
      </w:r>
    </w:p>
    <w:p w:rsidR="00736319" w:rsidRPr="00DF6F57" w:rsidRDefault="00736319" w:rsidP="00DD0D99">
      <w:pPr>
        <w:widowControl/>
        <w:spacing w:line="360" w:lineRule="auto"/>
        <w:jc w:val="left"/>
        <w:rPr>
          <w:rFonts w:asciiTheme="majorEastAsia" w:eastAsiaTheme="majorEastAsia" w:hAnsiTheme="majorEastAsia"/>
          <w:b/>
          <w:szCs w:val="21"/>
        </w:rPr>
      </w:pPr>
    </w:p>
    <w:sectPr w:rsidR="00736319" w:rsidRPr="00DF6F57" w:rsidSect="00C649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316" w:rsidRDefault="00420316" w:rsidP="004541D2">
      <w:r>
        <w:separator/>
      </w:r>
    </w:p>
  </w:endnote>
  <w:endnote w:type="continuationSeparator" w:id="1">
    <w:p w:rsidR="00420316" w:rsidRDefault="00420316" w:rsidP="00454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316" w:rsidRDefault="00420316" w:rsidP="004541D2">
      <w:r>
        <w:separator/>
      </w:r>
    </w:p>
  </w:footnote>
  <w:footnote w:type="continuationSeparator" w:id="1">
    <w:p w:rsidR="00420316" w:rsidRDefault="00420316" w:rsidP="00454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56EF3"/>
    <w:multiLevelType w:val="hybridMultilevel"/>
    <w:tmpl w:val="DB5C0260"/>
    <w:lvl w:ilvl="0" w:tplc="68B2F738">
      <w:start w:val="1"/>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04F12C8"/>
    <w:multiLevelType w:val="hybridMultilevel"/>
    <w:tmpl w:val="15CEEEE8"/>
    <w:lvl w:ilvl="0" w:tplc="49D6FD1E">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E13"/>
    <w:rsid w:val="00021A4A"/>
    <w:rsid w:val="00024D63"/>
    <w:rsid w:val="000300E5"/>
    <w:rsid w:val="0003335B"/>
    <w:rsid w:val="000466DA"/>
    <w:rsid w:val="000467AA"/>
    <w:rsid w:val="00065A62"/>
    <w:rsid w:val="000702DF"/>
    <w:rsid w:val="00073DA6"/>
    <w:rsid w:val="00090936"/>
    <w:rsid w:val="00092BFF"/>
    <w:rsid w:val="000968A1"/>
    <w:rsid w:val="000A3F72"/>
    <w:rsid w:val="000A4FA2"/>
    <w:rsid w:val="000B0D18"/>
    <w:rsid w:val="000E339F"/>
    <w:rsid w:val="000E772D"/>
    <w:rsid w:val="000F0F94"/>
    <w:rsid w:val="000F1E12"/>
    <w:rsid w:val="00105C82"/>
    <w:rsid w:val="00131055"/>
    <w:rsid w:val="00151483"/>
    <w:rsid w:val="001732A5"/>
    <w:rsid w:val="00176C8F"/>
    <w:rsid w:val="001906C8"/>
    <w:rsid w:val="00192E13"/>
    <w:rsid w:val="001C4BCC"/>
    <w:rsid w:val="001E5C17"/>
    <w:rsid w:val="001F5096"/>
    <w:rsid w:val="00206771"/>
    <w:rsid w:val="00211223"/>
    <w:rsid w:val="00213A82"/>
    <w:rsid w:val="0022687D"/>
    <w:rsid w:val="00240EF4"/>
    <w:rsid w:val="00250ABD"/>
    <w:rsid w:val="00266D40"/>
    <w:rsid w:val="00270F50"/>
    <w:rsid w:val="00277AFE"/>
    <w:rsid w:val="00282C35"/>
    <w:rsid w:val="002D57FB"/>
    <w:rsid w:val="002F47DC"/>
    <w:rsid w:val="0031636B"/>
    <w:rsid w:val="00326057"/>
    <w:rsid w:val="0032686D"/>
    <w:rsid w:val="00352C6A"/>
    <w:rsid w:val="0037221D"/>
    <w:rsid w:val="00377E6F"/>
    <w:rsid w:val="003905A0"/>
    <w:rsid w:val="003A2B9B"/>
    <w:rsid w:val="003B42DB"/>
    <w:rsid w:val="003C73D2"/>
    <w:rsid w:val="003D4E2D"/>
    <w:rsid w:val="003E154C"/>
    <w:rsid w:val="004167B2"/>
    <w:rsid w:val="00420316"/>
    <w:rsid w:val="00423C53"/>
    <w:rsid w:val="00435EB3"/>
    <w:rsid w:val="00440D15"/>
    <w:rsid w:val="0044558A"/>
    <w:rsid w:val="00451229"/>
    <w:rsid w:val="004541D2"/>
    <w:rsid w:val="004575FA"/>
    <w:rsid w:val="00462E64"/>
    <w:rsid w:val="00480265"/>
    <w:rsid w:val="00494C61"/>
    <w:rsid w:val="004A7EB8"/>
    <w:rsid w:val="004B0F95"/>
    <w:rsid w:val="004B25F4"/>
    <w:rsid w:val="004B4DF3"/>
    <w:rsid w:val="004C54D8"/>
    <w:rsid w:val="004C5F59"/>
    <w:rsid w:val="004C63D6"/>
    <w:rsid w:val="004D27EB"/>
    <w:rsid w:val="004E0063"/>
    <w:rsid w:val="004F2BA1"/>
    <w:rsid w:val="004F479B"/>
    <w:rsid w:val="005112A8"/>
    <w:rsid w:val="00532974"/>
    <w:rsid w:val="0054714F"/>
    <w:rsid w:val="005546F4"/>
    <w:rsid w:val="005D540D"/>
    <w:rsid w:val="005E71DF"/>
    <w:rsid w:val="005F6021"/>
    <w:rsid w:val="00600AFF"/>
    <w:rsid w:val="006111BB"/>
    <w:rsid w:val="00626C73"/>
    <w:rsid w:val="006556C5"/>
    <w:rsid w:val="006963F5"/>
    <w:rsid w:val="006A121C"/>
    <w:rsid w:val="007140E2"/>
    <w:rsid w:val="00724BDE"/>
    <w:rsid w:val="0073107C"/>
    <w:rsid w:val="00736319"/>
    <w:rsid w:val="0074093C"/>
    <w:rsid w:val="0075128D"/>
    <w:rsid w:val="007521C1"/>
    <w:rsid w:val="00752BD0"/>
    <w:rsid w:val="00753290"/>
    <w:rsid w:val="00760DDF"/>
    <w:rsid w:val="00766315"/>
    <w:rsid w:val="00785EFC"/>
    <w:rsid w:val="007939F8"/>
    <w:rsid w:val="007B72D2"/>
    <w:rsid w:val="007C02FF"/>
    <w:rsid w:val="007D028C"/>
    <w:rsid w:val="007E0985"/>
    <w:rsid w:val="007E7474"/>
    <w:rsid w:val="007F04B5"/>
    <w:rsid w:val="00816F05"/>
    <w:rsid w:val="008468AC"/>
    <w:rsid w:val="00856C74"/>
    <w:rsid w:val="008846BE"/>
    <w:rsid w:val="00892819"/>
    <w:rsid w:val="008970B8"/>
    <w:rsid w:val="008A3ADE"/>
    <w:rsid w:val="008A671D"/>
    <w:rsid w:val="008D5021"/>
    <w:rsid w:val="008D5488"/>
    <w:rsid w:val="008F32E2"/>
    <w:rsid w:val="0090746E"/>
    <w:rsid w:val="00907D95"/>
    <w:rsid w:val="00921E75"/>
    <w:rsid w:val="009258F9"/>
    <w:rsid w:val="00926669"/>
    <w:rsid w:val="0092686B"/>
    <w:rsid w:val="00940963"/>
    <w:rsid w:val="009411BB"/>
    <w:rsid w:val="00A01CFC"/>
    <w:rsid w:val="00A14272"/>
    <w:rsid w:val="00A33082"/>
    <w:rsid w:val="00A83C7E"/>
    <w:rsid w:val="00A94265"/>
    <w:rsid w:val="00A94C25"/>
    <w:rsid w:val="00A95A44"/>
    <w:rsid w:val="00AC79F6"/>
    <w:rsid w:val="00AD61A8"/>
    <w:rsid w:val="00AF4A01"/>
    <w:rsid w:val="00AF5B34"/>
    <w:rsid w:val="00AF7DCE"/>
    <w:rsid w:val="00B16E81"/>
    <w:rsid w:val="00B20EDD"/>
    <w:rsid w:val="00B21DF8"/>
    <w:rsid w:val="00B22789"/>
    <w:rsid w:val="00B412F6"/>
    <w:rsid w:val="00B44E03"/>
    <w:rsid w:val="00B46603"/>
    <w:rsid w:val="00B51682"/>
    <w:rsid w:val="00B72E1F"/>
    <w:rsid w:val="00B91F6F"/>
    <w:rsid w:val="00BC2CE1"/>
    <w:rsid w:val="00BC51C7"/>
    <w:rsid w:val="00BD031C"/>
    <w:rsid w:val="00BE63A8"/>
    <w:rsid w:val="00BE730E"/>
    <w:rsid w:val="00BF2B28"/>
    <w:rsid w:val="00C55830"/>
    <w:rsid w:val="00C649FC"/>
    <w:rsid w:val="00C650EF"/>
    <w:rsid w:val="00C66820"/>
    <w:rsid w:val="00C7071C"/>
    <w:rsid w:val="00C77EAC"/>
    <w:rsid w:val="00CB0A5C"/>
    <w:rsid w:val="00CC1AEC"/>
    <w:rsid w:val="00CC46C5"/>
    <w:rsid w:val="00CD450F"/>
    <w:rsid w:val="00CF7DD8"/>
    <w:rsid w:val="00D05761"/>
    <w:rsid w:val="00D651EB"/>
    <w:rsid w:val="00D67C47"/>
    <w:rsid w:val="00D82028"/>
    <w:rsid w:val="00D82C0A"/>
    <w:rsid w:val="00D86E7F"/>
    <w:rsid w:val="00DA7EFB"/>
    <w:rsid w:val="00DB691F"/>
    <w:rsid w:val="00DD0D99"/>
    <w:rsid w:val="00DD2B9E"/>
    <w:rsid w:val="00DD304D"/>
    <w:rsid w:val="00DF6F57"/>
    <w:rsid w:val="00E01739"/>
    <w:rsid w:val="00E157BE"/>
    <w:rsid w:val="00E95B57"/>
    <w:rsid w:val="00EA0DEA"/>
    <w:rsid w:val="00EA348B"/>
    <w:rsid w:val="00EB19E6"/>
    <w:rsid w:val="00EE34CC"/>
    <w:rsid w:val="00F2497B"/>
    <w:rsid w:val="00F25E31"/>
    <w:rsid w:val="00F30DB0"/>
    <w:rsid w:val="00F456F5"/>
    <w:rsid w:val="00F523AD"/>
    <w:rsid w:val="00F6566D"/>
    <w:rsid w:val="00F74D78"/>
    <w:rsid w:val="00F94709"/>
    <w:rsid w:val="00FA2BC4"/>
    <w:rsid w:val="00FB0792"/>
    <w:rsid w:val="00FC2B9A"/>
    <w:rsid w:val="00FC5B6C"/>
    <w:rsid w:val="00FF2F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2E13"/>
    <w:rPr>
      <w:strike w:val="0"/>
      <w:dstrike w:val="0"/>
      <w:color w:val="919191"/>
      <w:u w:val="none"/>
      <w:effect w:val="none"/>
    </w:rPr>
  </w:style>
  <w:style w:type="paragraph" w:customStyle="1" w:styleId="Char2">
    <w:name w:val="Char2"/>
    <w:basedOn w:val="a"/>
    <w:rsid w:val="00065A62"/>
    <w:pPr>
      <w:widowControl/>
      <w:spacing w:after="160" w:line="240" w:lineRule="exact"/>
      <w:jc w:val="left"/>
    </w:pPr>
    <w:rPr>
      <w:rFonts w:ascii="Arial" w:eastAsia="宋体" w:hAnsi="Arial" w:cs="Times New Roman"/>
      <w:kern w:val="0"/>
      <w:sz w:val="20"/>
      <w:szCs w:val="20"/>
      <w:lang w:eastAsia="en-US"/>
    </w:rPr>
  </w:style>
  <w:style w:type="paragraph" w:styleId="a4">
    <w:name w:val="header"/>
    <w:basedOn w:val="a"/>
    <w:link w:val="Char"/>
    <w:uiPriority w:val="99"/>
    <w:unhideWhenUsed/>
    <w:rsid w:val="004541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41D2"/>
    <w:rPr>
      <w:sz w:val="18"/>
      <w:szCs w:val="18"/>
    </w:rPr>
  </w:style>
  <w:style w:type="paragraph" w:styleId="a5">
    <w:name w:val="footer"/>
    <w:basedOn w:val="a"/>
    <w:link w:val="Char0"/>
    <w:uiPriority w:val="99"/>
    <w:unhideWhenUsed/>
    <w:rsid w:val="004541D2"/>
    <w:pPr>
      <w:tabs>
        <w:tab w:val="center" w:pos="4153"/>
        <w:tab w:val="right" w:pos="8306"/>
      </w:tabs>
      <w:snapToGrid w:val="0"/>
      <w:jc w:val="left"/>
    </w:pPr>
    <w:rPr>
      <w:sz w:val="18"/>
      <w:szCs w:val="18"/>
    </w:rPr>
  </w:style>
  <w:style w:type="character" w:customStyle="1" w:styleId="Char0">
    <w:name w:val="页脚 Char"/>
    <w:basedOn w:val="a0"/>
    <w:link w:val="a5"/>
    <w:uiPriority w:val="99"/>
    <w:rsid w:val="004541D2"/>
    <w:rPr>
      <w:sz w:val="18"/>
      <w:szCs w:val="18"/>
    </w:rPr>
  </w:style>
  <w:style w:type="paragraph" w:styleId="a6">
    <w:name w:val="List Paragraph"/>
    <w:basedOn w:val="a"/>
    <w:uiPriority w:val="34"/>
    <w:qFormat/>
    <w:rsid w:val="00736319"/>
    <w:pPr>
      <w:ind w:firstLineChars="200" w:firstLine="420"/>
    </w:pPr>
  </w:style>
  <w:style w:type="paragraph" w:customStyle="1" w:styleId="Default">
    <w:name w:val="Default"/>
    <w:rsid w:val="00736319"/>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Char1"/>
    <w:uiPriority w:val="99"/>
    <w:semiHidden/>
    <w:unhideWhenUsed/>
    <w:rsid w:val="00753290"/>
    <w:rPr>
      <w:sz w:val="18"/>
      <w:szCs w:val="18"/>
    </w:rPr>
  </w:style>
  <w:style w:type="character" w:customStyle="1" w:styleId="Char1">
    <w:name w:val="批注框文本 Char"/>
    <w:basedOn w:val="a0"/>
    <w:link w:val="a7"/>
    <w:uiPriority w:val="99"/>
    <w:semiHidden/>
    <w:rsid w:val="00753290"/>
    <w:rPr>
      <w:sz w:val="18"/>
      <w:szCs w:val="18"/>
    </w:rPr>
  </w:style>
  <w:style w:type="paragraph" w:styleId="a8">
    <w:name w:val="Date"/>
    <w:basedOn w:val="a"/>
    <w:next w:val="a"/>
    <w:link w:val="Char3"/>
    <w:uiPriority w:val="99"/>
    <w:semiHidden/>
    <w:unhideWhenUsed/>
    <w:rsid w:val="00892819"/>
    <w:pPr>
      <w:ind w:leftChars="2500" w:left="100"/>
    </w:pPr>
  </w:style>
  <w:style w:type="character" w:customStyle="1" w:styleId="Char3">
    <w:name w:val="日期 Char"/>
    <w:basedOn w:val="a0"/>
    <w:link w:val="a8"/>
    <w:uiPriority w:val="99"/>
    <w:semiHidden/>
    <w:rsid w:val="00892819"/>
  </w:style>
  <w:style w:type="paragraph" w:styleId="a9">
    <w:name w:val="Revision"/>
    <w:hidden/>
    <w:uiPriority w:val="99"/>
    <w:semiHidden/>
    <w:rsid w:val="00DF6F57"/>
  </w:style>
  <w:style w:type="character" w:styleId="aa">
    <w:name w:val="annotation reference"/>
    <w:basedOn w:val="a0"/>
    <w:uiPriority w:val="99"/>
    <w:semiHidden/>
    <w:unhideWhenUsed/>
    <w:rsid w:val="007E7474"/>
    <w:rPr>
      <w:sz w:val="21"/>
      <w:szCs w:val="21"/>
    </w:rPr>
  </w:style>
  <w:style w:type="paragraph" w:styleId="ab">
    <w:name w:val="annotation text"/>
    <w:basedOn w:val="a"/>
    <w:link w:val="Char4"/>
    <w:uiPriority w:val="99"/>
    <w:semiHidden/>
    <w:unhideWhenUsed/>
    <w:rsid w:val="007E7474"/>
    <w:pPr>
      <w:jc w:val="left"/>
    </w:pPr>
  </w:style>
  <w:style w:type="character" w:customStyle="1" w:styleId="Char4">
    <w:name w:val="批注文字 Char"/>
    <w:basedOn w:val="a0"/>
    <w:link w:val="ab"/>
    <w:uiPriority w:val="99"/>
    <w:semiHidden/>
    <w:rsid w:val="007E7474"/>
  </w:style>
  <w:style w:type="paragraph" w:styleId="ac">
    <w:name w:val="annotation subject"/>
    <w:basedOn w:val="ab"/>
    <w:next w:val="ab"/>
    <w:link w:val="Char5"/>
    <w:uiPriority w:val="99"/>
    <w:semiHidden/>
    <w:unhideWhenUsed/>
    <w:rsid w:val="007E7474"/>
    <w:rPr>
      <w:b/>
      <w:bCs/>
    </w:rPr>
  </w:style>
  <w:style w:type="character" w:customStyle="1" w:styleId="Char5">
    <w:name w:val="批注主题 Char"/>
    <w:basedOn w:val="Char4"/>
    <w:link w:val="ac"/>
    <w:uiPriority w:val="99"/>
    <w:semiHidden/>
    <w:rsid w:val="007E7474"/>
    <w:rPr>
      <w:b/>
      <w:bCs/>
    </w:rPr>
  </w:style>
  <w:style w:type="table" w:styleId="ad">
    <w:name w:val="Table Grid"/>
    <w:basedOn w:val="a1"/>
    <w:uiPriority w:val="59"/>
    <w:rsid w:val="004D2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26161">
      <w:bodyDiv w:val="1"/>
      <w:marLeft w:val="0"/>
      <w:marRight w:val="0"/>
      <w:marTop w:val="0"/>
      <w:marBottom w:val="0"/>
      <w:divBdr>
        <w:top w:val="none" w:sz="0" w:space="0" w:color="auto"/>
        <w:left w:val="none" w:sz="0" w:space="0" w:color="auto"/>
        <w:bottom w:val="none" w:sz="0" w:space="0" w:color="auto"/>
        <w:right w:val="none" w:sz="0" w:space="0" w:color="auto"/>
      </w:divBdr>
    </w:div>
    <w:div w:id="69084378">
      <w:bodyDiv w:val="1"/>
      <w:marLeft w:val="0"/>
      <w:marRight w:val="0"/>
      <w:marTop w:val="0"/>
      <w:marBottom w:val="0"/>
      <w:divBdr>
        <w:top w:val="none" w:sz="0" w:space="0" w:color="auto"/>
        <w:left w:val="none" w:sz="0" w:space="0" w:color="auto"/>
        <w:bottom w:val="none" w:sz="0" w:space="0" w:color="auto"/>
        <w:right w:val="none" w:sz="0" w:space="0" w:color="auto"/>
      </w:divBdr>
    </w:div>
    <w:div w:id="112750377">
      <w:bodyDiv w:val="1"/>
      <w:marLeft w:val="0"/>
      <w:marRight w:val="0"/>
      <w:marTop w:val="0"/>
      <w:marBottom w:val="0"/>
      <w:divBdr>
        <w:top w:val="none" w:sz="0" w:space="0" w:color="auto"/>
        <w:left w:val="none" w:sz="0" w:space="0" w:color="auto"/>
        <w:bottom w:val="none" w:sz="0" w:space="0" w:color="auto"/>
        <w:right w:val="none" w:sz="0" w:space="0" w:color="auto"/>
      </w:divBdr>
    </w:div>
    <w:div w:id="172689860">
      <w:bodyDiv w:val="1"/>
      <w:marLeft w:val="0"/>
      <w:marRight w:val="0"/>
      <w:marTop w:val="0"/>
      <w:marBottom w:val="0"/>
      <w:divBdr>
        <w:top w:val="none" w:sz="0" w:space="0" w:color="auto"/>
        <w:left w:val="none" w:sz="0" w:space="0" w:color="auto"/>
        <w:bottom w:val="none" w:sz="0" w:space="0" w:color="auto"/>
        <w:right w:val="none" w:sz="0" w:space="0" w:color="auto"/>
      </w:divBdr>
    </w:div>
    <w:div w:id="221868272">
      <w:bodyDiv w:val="1"/>
      <w:marLeft w:val="0"/>
      <w:marRight w:val="0"/>
      <w:marTop w:val="0"/>
      <w:marBottom w:val="0"/>
      <w:divBdr>
        <w:top w:val="none" w:sz="0" w:space="0" w:color="auto"/>
        <w:left w:val="none" w:sz="0" w:space="0" w:color="auto"/>
        <w:bottom w:val="none" w:sz="0" w:space="0" w:color="auto"/>
        <w:right w:val="none" w:sz="0" w:space="0" w:color="auto"/>
      </w:divBdr>
    </w:div>
    <w:div w:id="509947607">
      <w:bodyDiv w:val="1"/>
      <w:marLeft w:val="0"/>
      <w:marRight w:val="0"/>
      <w:marTop w:val="0"/>
      <w:marBottom w:val="0"/>
      <w:divBdr>
        <w:top w:val="none" w:sz="0" w:space="0" w:color="auto"/>
        <w:left w:val="none" w:sz="0" w:space="0" w:color="auto"/>
        <w:bottom w:val="none" w:sz="0" w:space="0" w:color="auto"/>
        <w:right w:val="none" w:sz="0" w:space="0" w:color="auto"/>
      </w:divBdr>
    </w:div>
    <w:div w:id="690495309">
      <w:bodyDiv w:val="1"/>
      <w:marLeft w:val="0"/>
      <w:marRight w:val="0"/>
      <w:marTop w:val="0"/>
      <w:marBottom w:val="0"/>
      <w:divBdr>
        <w:top w:val="none" w:sz="0" w:space="0" w:color="auto"/>
        <w:left w:val="none" w:sz="0" w:space="0" w:color="auto"/>
        <w:bottom w:val="none" w:sz="0" w:space="0" w:color="auto"/>
        <w:right w:val="none" w:sz="0" w:space="0" w:color="auto"/>
      </w:divBdr>
    </w:div>
    <w:div w:id="944924078">
      <w:bodyDiv w:val="1"/>
      <w:marLeft w:val="0"/>
      <w:marRight w:val="0"/>
      <w:marTop w:val="0"/>
      <w:marBottom w:val="0"/>
      <w:divBdr>
        <w:top w:val="none" w:sz="0" w:space="0" w:color="auto"/>
        <w:left w:val="none" w:sz="0" w:space="0" w:color="auto"/>
        <w:bottom w:val="none" w:sz="0" w:space="0" w:color="auto"/>
        <w:right w:val="none" w:sz="0" w:space="0" w:color="auto"/>
      </w:divBdr>
    </w:div>
    <w:div w:id="1473865698">
      <w:bodyDiv w:val="1"/>
      <w:marLeft w:val="0"/>
      <w:marRight w:val="0"/>
      <w:marTop w:val="0"/>
      <w:marBottom w:val="0"/>
      <w:divBdr>
        <w:top w:val="none" w:sz="0" w:space="0" w:color="auto"/>
        <w:left w:val="none" w:sz="0" w:space="0" w:color="auto"/>
        <w:bottom w:val="none" w:sz="0" w:space="0" w:color="auto"/>
        <w:right w:val="none" w:sz="0" w:space="0" w:color="auto"/>
      </w:divBdr>
    </w:div>
    <w:div w:id="1624846011">
      <w:bodyDiv w:val="1"/>
      <w:marLeft w:val="0"/>
      <w:marRight w:val="0"/>
      <w:marTop w:val="0"/>
      <w:marBottom w:val="0"/>
      <w:divBdr>
        <w:top w:val="none" w:sz="0" w:space="0" w:color="auto"/>
        <w:left w:val="none" w:sz="0" w:space="0" w:color="auto"/>
        <w:bottom w:val="none" w:sz="0" w:space="0" w:color="auto"/>
        <w:right w:val="none" w:sz="0" w:space="0" w:color="auto"/>
      </w:divBdr>
    </w:div>
    <w:div w:id="1823891633">
      <w:bodyDiv w:val="1"/>
      <w:marLeft w:val="0"/>
      <w:marRight w:val="0"/>
      <w:marTop w:val="0"/>
      <w:marBottom w:val="0"/>
      <w:divBdr>
        <w:top w:val="none" w:sz="0" w:space="0" w:color="auto"/>
        <w:left w:val="none" w:sz="0" w:space="0" w:color="auto"/>
        <w:bottom w:val="none" w:sz="0" w:space="0" w:color="auto"/>
        <w:right w:val="none" w:sz="0" w:space="0" w:color="auto"/>
      </w:divBdr>
    </w:div>
    <w:div w:id="2137481708">
      <w:bodyDiv w:val="1"/>
      <w:marLeft w:val="0"/>
      <w:marRight w:val="0"/>
      <w:marTop w:val="0"/>
      <w:marBottom w:val="0"/>
      <w:divBdr>
        <w:top w:val="none" w:sz="0" w:space="0" w:color="auto"/>
        <w:left w:val="none" w:sz="0" w:space="0" w:color="auto"/>
        <w:bottom w:val="none" w:sz="0" w:space="0" w:color="auto"/>
        <w:right w:val="none" w:sz="0" w:space="0" w:color="auto"/>
      </w:divBdr>
      <w:divsChild>
        <w:div w:id="2102870577">
          <w:marLeft w:val="0"/>
          <w:marRight w:val="0"/>
          <w:marTop w:val="0"/>
          <w:marBottom w:val="0"/>
          <w:divBdr>
            <w:top w:val="none" w:sz="0" w:space="0" w:color="auto"/>
            <w:left w:val="none" w:sz="0" w:space="0" w:color="auto"/>
            <w:bottom w:val="none" w:sz="0" w:space="0" w:color="auto"/>
            <w:right w:val="none" w:sz="0" w:space="0" w:color="auto"/>
          </w:divBdr>
          <w:divsChild>
            <w:div w:id="214397366">
              <w:marLeft w:val="0"/>
              <w:marRight w:val="0"/>
              <w:marTop w:val="0"/>
              <w:marBottom w:val="0"/>
              <w:divBdr>
                <w:top w:val="none" w:sz="0" w:space="0" w:color="auto"/>
                <w:left w:val="none" w:sz="0" w:space="0" w:color="auto"/>
                <w:bottom w:val="none" w:sz="0" w:space="0" w:color="auto"/>
                <w:right w:val="none" w:sz="0" w:space="0" w:color="auto"/>
              </w:divBdr>
              <w:divsChild>
                <w:div w:id="534587869">
                  <w:marLeft w:val="0"/>
                  <w:marRight w:val="0"/>
                  <w:marTop w:val="0"/>
                  <w:marBottom w:val="0"/>
                  <w:divBdr>
                    <w:top w:val="none" w:sz="0" w:space="0" w:color="auto"/>
                    <w:left w:val="none" w:sz="0" w:space="0" w:color="auto"/>
                    <w:bottom w:val="none" w:sz="0" w:space="0" w:color="auto"/>
                    <w:right w:val="none" w:sz="0" w:space="0" w:color="auto"/>
                  </w:divBdr>
                  <w:divsChild>
                    <w:div w:id="1089279385">
                      <w:marLeft w:val="0"/>
                      <w:marRight w:val="0"/>
                      <w:marTop w:val="0"/>
                      <w:marBottom w:val="0"/>
                      <w:divBdr>
                        <w:top w:val="none" w:sz="0" w:space="0" w:color="auto"/>
                        <w:left w:val="none" w:sz="0" w:space="0" w:color="auto"/>
                        <w:bottom w:val="none" w:sz="0" w:space="0" w:color="auto"/>
                        <w:right w:val="none" w:sz="0" w:space="0" w:color="auto"/>
                      </w:divBdr>
                    </w:div>
                    <w:div w:id="805511605">
                      <w:marLeft w:val="0"/>
                      <w:marRight w:val="0"/>
                      <w:marTop w:val="0"/>
                      <w:marBottom w:val="0"/>
                      <w:divBdr>
                        <w:top w:val="none" w:sz="0" w:space="0" w:color="auto"/>
                        <w:left w:val="none" w:sz="0" w:space="0" w:color="auto"/>
                        <w:bottom w:val="none" w:sz="0" w:space="0" w:color="auto"/>
                        <w:right w:val="none" w:sz="0" w:space="0" w:color="auto"/>
                      </w:divBdr>
                    </w:div>
                    <w:div w:id="509832408">
                      <w:marLeft w:val="0"/>
                      <w:marRight w:val="0"/>
                      <w:marTop w:val="0"/>
                      <w:marBottom w:val="0"/>
                      <w:divBdr>
                        <w:top w:val="none" w:sz="0" w:space="0" w:color="auto"/>
                        <w:left w:val="none" w:sz="0" w:space="0" w:color="auto"/>
                        <w:bottom w:val="none" w:sz="0" w:space="0" w:color="auto"/>
                        <w:right w:val="none" w:sz="0" w:space="0" w:color="auto"/>
                      </w:divBdr>
                    </w:div>
                    <w:div w:id="1807430399">
                      <w:marLeft w:val="0"/>
                      <w:marRight w:val="0"/>
                      <w:marTop w:val="0"/>
                      <w:marBottom w:val="0"/>
                      <w:divBdr>
                        <w:top w:val="none" w:sz="0" w:space="0" w:color="auto"/>
                        <w:left w:val="none" w:sz="0" w:space="0" w:color="auto"/>
                        <w:bottom w:val="none" w:sz="0" w:space="0" w:color="auto"/>
                        <w:right w:val="none" w:sz="0" w:space="0" w:color="auto"/>
                      </w:divBdr>
                    </w:div>
                    <w:div w:id="24601483">
                      <w:marLeft w:val="0"/>
                      <w:marRight w:val="0"/>
                      <w:marTop w:val="0"/>
                      <w:marBottom w:val="0"/>
                      <w:divBdr>
                        <w:top w:val="none" w:sz="0" w:space="0" w:color="auto"/>
                        <w:left w:val="none" w:sz="0" w:space="0" w:color="auto"/>
                        <w:bottom w:val="none" w:sz="0" w:space="0" w:color="auto"/>
                        <w:right w:val="none" w:sz="0" w:space="0" w:color="auto"/>
                      </w:divBdr>
                    </w:div>
                    <w:div w:id="1954750567">
                      <w:marLeft w:val="0"/>
                      <w:marRight w:val="0"/>
                      <w:marTop w:val="0"/>
                      <w:marBottom w:val="0"/>
                      <w:divBdr>
                        <w:top w:val="none" w:sz="0" w:space="0" w:color="auto"/>
                        <w:left w:val="none" w:sz="0" w:space="0" w:color="auto"/>
                        <w:bottom w:val="none" w:sz="0" w:space="0" w:color="auto"/>
                        <w:right w:val="none" w:sz="0" w:space="0" w:color="auto"/>
                      </w:divBdr>
                    </w:div>
                    <w:div w:id="458764770">
                      <w:marLeft w:val="0"/>
                      <w:marRight w:val="0"/>
                      <w:marTop w:val="0"/>
                      <w:marBottom w:val="0"/>
                      <w:divBdr>
                        <w:top w:val="none" w:sz="0" w:space="0" w:color="auto"/>
                        <w:left w:val="none" w:sz="0" w:space="0" w:color="auto"/>
                        <w:bottom w:val="none" w:sz="0" w:space="0" w:color="auto"/>
                        <w:right w:val="none" w:sz="0" w:space="0" w:color="auto"/>
                      </w:divBdr>
                    </w:div>
                    <w:div w:id="1075973239">
                      <w:marLeft w:val="0"/>
                      <w:marRight w:val="0"/>
                      <w:marTop w:val="0"/>
                      <w:marBottom w:val="0"/>
                      <w:divBdr>
                        <w:top w:val="none" w:sz="0" w:space="0" w:color="auto"/>
                        <w:left w:val="none" w:sz="0" w:space="0" w:color="auto"/>
                        <w:bottom w:val="none" w:sz="0" w:space="0" w:color="auto"/>
                        <w:right w:val="none" w:sz="0" w:space="0" w:color="auto"/>
                      </w:divBdr>
                    </w:div>
                    <w:div w:id="793326571">
                      <w:marLeft w:val="0"/>
                      <w:marRight w:val="0"/>
                      <w:marTop w:val="0"/>
                      <w:marBottom w:val="0"/>
                      <w:divBdr>
                        <w:top w:val="none" w:sz="0" w:space="0" w:color="auto"/>
                        <w:left w:val="none" w:sz="0" w:space="0" w:color="auto"/>
                        <w:bottom w:val="none" w:sz="0" w:space="0" w:color="auto"/>
                        <w:right w:val="none" w:sz="0" w:space="0" w:color="auto"/>
                      </w:divBdr>
                    </w:div>
                    <w:div w:id="1156341864">
                      <w:marLeft w:val="0"/>
                      <w:marRight w:val="0"/>
                      <w:marTop w:val="0"/>
                      <w:marBottom w:val="0"/>
                      <w:divBdr>
                        <w:top w:val="none" w:sz="0" w:space="0" w:color="auto"/>
                        <w:left w:val="none" w:sz="0" w:space="0" w:color="auto"/>
                        <w:bottom w:val="none" w:sz="0" w:space="0" w:color="auto"/>
                        <w:right w:val="none" w:sz="0" w:space="0" w:color="auto"/>
                      </w:divBdr>
                    </w:div>
                    <w:div w:id="162555787">
                      <w:marLeft w:val="0"/>
                      <w:marRight w:val="0"/>
                      <w:marTop w:val="0"/>
                      <w:marBottom w:val="0"/>
                      <w:divBdr>
                        <w:top w:val="none" w:sz="0" w:space="0" w:color="auto"/>
                        <w:left w:val="none" w:sz="0" w:space="0" w:color="auto"/>
                        <w:bottom w:val="none" w:sz="0" w:space="0" w:color="auto"/>
                        <w:right w:val="none" w:sz="0" w:space="0" w:color="auto"/>
                      </w:divBdr>
                    </w:div>
                    <w:div w:id="1473210523">
                      <w:marLeft w:val="0"/>
                      <w:marRight w:val="0"/>
                      <w:marTop w:val="0"/>
                      <w:marBottom w:val="0"/>
                      <w:divBdr>
                        <w:top w:val="none" w:sz="0" w:space="0" w:color="auto"/>
                        <w:left w:val="none" w:sz="0" w:space="0" w:color="auto"/>
                        <w:bottom w:val="none" w:sz="0" w:space="0" w:color="auto"/>
                        <w:right w:val="none" w:sz="0" w:space="0" w:color="auto"/>
                      </w:divBdr>
                    </w:div>
                    <w:div w:id="811097012">
                      <w:marLeft w:val="0"/>
                      <w:marRight w:val="0"/>
                      <w:marTop w:val="0"/>
                      <w:marBottom w:val="0"/>
                      <w:divBdr>
                        <w:top w:val="none" w:sz="0" w:space="0" w:color="auto"/>
                        <w:left w:val="none" w:sz="0" w:space="0" w:color="auto"/>
                        <w:bottom w:val="none" w:sz="0" w:space="0" w:color="auto"/>
                        <w:right w:val="none" w:sz="0" w:space="0" w:color="auto"/>
                      </w:divBdr>
                    </w:div>
                    <w:div w:id="951859047">
                      <w:marLeft w:val="0"/>
                      <w:marRight w:val="0"/>
                      <w:marTop w:val="0"/>
                      <w:marBottom w:val="0"/>
                      <w:divBdr>
                        <w:top w:val="none" w:sz="0" w:space="0" w:color="auto"/>
                        <w:left w:val="none" w:sz="0" w:space="0" w:color="auto"/>
                        <w:bottom w:val="none" w:sz="0" w:space="0" w:color="auto"/>
                        <w:right w:val="none" w:sz="0" w:space="0" w:color="auto"/>
                      </w:divBdr>
                    </w:div>
                    <w:div w:id="2001156850">
                      <w:marLeft w:val="0"/>
                      <w:marRight w:val="0"/>
                      <w:marTop w:val="0"/>
                      <w:marBottom w:val="0"/>
                      <w:divBdr>
                        <w:top w:val="none" w:sz="0" w:space="0" w:color="auto"/>
                        <w:left w:val="none" w:sz="0" w:space="0" w:color="auto"/>
                        <w:bottom w:val="none" w:sz="0" w:space="0" w:color="auto"/>
                        <w:right w:val="none" w:sz="0" w:space="0" w:color="auto"/>
                      </w:divBdr>
                    </w:div>
                    <w:div w:id="1557275653">
                      <w:marLeft w:val="0"/>
                      <w:marRight w:val="0"/>
                      <w:marTop w:val="0"/>
                      <w:marBottom w:val="0"/>
                      <w:divBdr>
                        <w:top w:val="none" w:sz="0" w:space="0" w:color="auto"/>
                        <w:left w:val="none" w:sz="0" w:space="0" w:color="auto"/>
                        <w:bottom w:val="none" w:sz="0" w:space="0" w:color="auto"/>
                        <w:right w:val="none" w:sz="0" w:space="0" w:color="auto"/>
                      </w:divBdr>
                    </w:div>
                    <w:div w:id="1808815791">
                      <w:marLeft w:val="0"/>
                      <w:marRight w:val="0"/>
                      <w:marTop w:val="0"/>
                      <w:marBottom w:val="0"/>
                      <w:divBdr>
                        <w:top w:val="none" w:sz="0" w:space="0" w:color="auto"/>
                        <w:left w:val="none" w:sz="0" w:space="0" w:color="auto"/>
                        <w:bottom w:val="none" w:sz="0" w:space="0" w:color="auto"/>
                        <w:right w:val="none" w:sz="0" w:space="0" w:color="auto"/>
                      </w:divBdr>
                    </w:div>
                    <w:div w:id="237516960">
                      <w:marLeft w:val="0"/>
                      <w:marRight w:val="0"/>
                      <w:marTop w:val="0"/>
                      <w:marBottom w:val="0"/>
                      <w:divBdr>
                        <w:top w:val="none" w:sz="0" w:space="0" w:color="auto"/>
                        <w:left w:val="none" w:sz="0" w:space="0" w:color="auto"/>
                        <w:bottom w:val="none" w:sz="0" w:space="0" w:color="auto"/>
                        <w:right w:val="none" w:sz="0" w:space="0" w:color="auto"/>
                      </w:divBdr>
                    </w:div>
                    <w:div w:id="1989050218">
                      <w:marLeft w:val="0"/>
                      <w:marRight w:val="0"/>
                      <w:marTop w:val="0"/>
                      <w:marBottom w:val="0"/>
                      <w:divBdr>
                        <w:top w:val="none" w:sz="0" w:space="0" w:color="auto"/>
                        <w:left w:val="none" w:sz="0" w:space="0" w:color="auto"/>
                        <w:bottom w:val="none" w:sz="0" w:space="0" w:color="auto"/>
                        <w:right w:val="none" w:sz="0" w:space="0" w:color="auto"/>
                      </w:divBdr>
                    </w:div>
                    <w:div w:id="1140616241">
                      <w:marLeft w:val="0"/>
                      <w:marRight w:val="0"/>
                      <w:marTop w:val="0"/>
                      <w:marBottom w:val="0"/>
                      <w:divBdr>
                        <w:top w:val="none" w:sz="0" w:space="0" w:color="auto"/>
                        <w:left w:val="none" w:sz="0" w:space="0" w:color="auto"/>
                        <w:bottom w:val="none" w:sz="0" w:space="0" w:color="auto"/>
                        <w:right w:val="none" w:sz="0" w:space="0" w:color="auto"/>
                      </w:divBdr>
                    </w:div>
                    <w:div w:id="853878367">
                      <w:marLeft w:val="0"/>
                      <w:marRight w:val="0"/>
                      <w:marTop w:val="0"/>
                      <w:marBottom w:val="0"/>
                      <w:divBdr>
                        <w:top w:val="none" w:sz="0" w:space="0" w:color="auto"/>
                        <w:left w:val="none" w:sz="0" w:space="0" w:color="auto"/>
                        <w:bottom w:val="none" w:sz="0" w:space="0" w:color="auto"/>
                        <w:right w:val="none" w:sz="0" w:space="0" w:color="auto"/>
                      </w:divBdr>
                    </w:div>
                    <w:div w:id="377321274">
                      <w:marLeft w:val="0"/>
                      <w:marRight w:val="0"/>
                      <w:marTop w:val="0"/>
                      <w:marBottom w:val="0"/>
                      <w:divBdr>
                        <w:top w:val="none" w:sz="0" w:space="0" w:color="auto"/>
                        <w:left w:val="none" w:sz="0" w:space="0" w:color="auto"/>
                        <w:bottom w:val="none" w:sz="0" w:space="0" w:color="auto"/>
                        <w:right w:val="none" w:sz="0" w:space="0" w:color="auto"/>
                      </w:divBdr>
                    </w:div>
                    <w:div w:id="466775741">
                      <w:marLeft w:val="0"/>
                      <w:marRight w:val="0"/>
                      <w:marTop w:val="0"/>
                      <w:marBottom w:val="0"/>
                      <w:divBdr>
                        <w:top w:val="none" w:sz="0" w:space="0" w:color="auto"/>
                        <w:left w:val="none" w:sz="0" w:space="0" w:color="auto"/>
                        <w:bottom w:val="none" w:sz="0" w:space="0" w:color="auto"/>
                        <w:right w:val="none" w:sz="0" w:space="0" w:color="auto"/>
                      </w:divBdr>
                    </w:div>
                    <w:div w:id="2078749531">
                      <w:marLeft w:val="0"/>
                      <w:marRight w:val="0"/>
                      <w:marTop w:val="0"/>
                      <w:marBottom w:val="0"/>
                      <w:divBdr>
                        <w:top w:val="none" w:sz="0" w:space="0" w:color="auto"/>
                        <w:left w:val="none" w:sz="0" w:space="0" w:color="auto"/>
                        <w:bottom w:val="none" w:sz="0" w:space="0" w:color="auto"/>
                        <w:right w:val="none" w:sz="0" w:space="0" w:color="auto"/>
                      </w:divBdr>
                    </w:div>
                    <w:div w:id="842282378">
                      <w:marLeft w:val="0"/>
                      <w:marRight w:val="0"/>
                      <w:marTop w:val="0"/>
                      <w:marBottom w:val="0"/>
                      <w:divBdr>
                        <w:top w:val="none" w:sz="0" w:space="0" w:color="auto"/>
                        <w:left w:val="none" w:sz="0" w:space="0" w:color="auto"/>
                        <w:bottom w:val="none" w:sz="0" w:space="0" w:color="auto"/>
                        <w:right w:val="none" w:sz="0" w:space="0" w:color="auto"/>
                      </w:divBdr>
                    </w:div>
                    <w:div w:id="26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comm.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t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26F1-1445-4C4C-890D-9DB38E1E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1020</Characters>
  <Application>Microsoft Office Word</Application>
  <DocSecurity>4</DocSecurity>
  <Lines>8</Lines>
  <Paragraphs>2</Paragraphs>
  <ScaleCrop>false</ScaleCrop>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周岩:</dc:creator>
  <cp:lastModifiedBy>ZHONGM</cp:lastModifiedBy>
  <cp:revision>2</cp:revision>
  <dcterms:created xsi:type="dcterms:W3CDTF">2018-03-27T16:39:00Z</dcterms:created>
  <dcterms:modified xsi:type="dcterms:W3CDTF">2018-03-27T16:39:00Z</dcterms:modified>
</cp:coreProperties>
</file>