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1E" w:rsidRDefault="00F01B1E" w:rsidP="00F01B1E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24"/>
        </w:rPr>
        <w:t>华夏</w:t>
      </w:r>
      <w:r>
        <w:rPr>
          <w:rFonts w:ascii="Times New Roman" w:eastAsia="宋体" w:hAnsi="Times New Roman" w:cs="Times New Roman"/>
          <w:b/>
          <w:bCs/>
          <w:color w:val="000000"/>
          <w:sz w:val="24"/>
        </w:rPr>
        <w:t>基金管理有限公司</w:t>
      </w:r>
      <w:r w:rsidR="005E1740" w:rsidRPr="005E1740">
        <w:rPr>
          <w:rFonts w:ascii="Times New Roman" w:eastAsia="宋体" w:hAnsi="Times New Roman" w:cs="Times New Roman"/>
          <w:b/>
          <w:bCs/>
          <w:color w:val="000000"/>
          <w:sz w:val="24"/>
        </w:rPr>
        <w:t>关于根据</w:t>
      </w:r>
    </w:p>
    <w:p w:rsidR="00F01B1E" w:rsidRDefault="005E1740" w:rsidP="00F01B1E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24"/>
        </w:rPr>
      </w:pPr>
      <w:r w:rsidRPr="005E1740">
        <w:rPr>
          <w:rFonts w:ascii="Times New Roman" w:eastAsia="宋体" w:hAnsi="Times New Roman" w:cs="Times New Roman"/>
          <w:b/>
          <w:bCs/>
          <w:color w:val="000000"/>
          <w:sz w:val="24"/>
        </w:rPr>
        <w:t>《公开募集开放式证券投资基金流动性风险管理规定》</w:t>
      </w:r>
    </w:p>
    <w:p w:rsidR="005E1740" w:rsidRPr="005E1740" w:rsidRDefault="004D3DF9" w:rsidP="00F01B1E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24"/>
        </w:rPr>
        <w:t>对</w:t>
      </w:r>
      <w:r>
        <w:rPr>
          <w:rFonts w:ascii="Times New Roman" w:eastAsia="宋体" w:hAnsi="Times New Roman" w:cs="Times New Roman"/>
          <w:b/>
          <w:bCs/>
          <w:color w:val="000000"/>
          <w:sz w:val="24"/>
        </w:rPr>
        <w:t>短期投资行为</w:t>
      </w:r>
      <w:r w:rsidR="00F01B1E">
        <w:rPr>
          <w:rFonts w:ascii="Times New Roman" w:eastAsia="宋体" w:hAnsi="Times New Roman" w:cs="Times New Roman" w:hint="eastAsia"/>
          <w:b/>
          <w:bCs/>
          <w:color w:val="000000"/>
          <w:sz w:val="24"/>
        </w:rPr>
        <w:t>收取</w:t>
      </w:r>
      <w:r w:rsidR="00F01B1E">
        <w:rPr>
          <w:rFonts w:ascii="Times New Roman" w:eastAsia="宋体" w:hAnsi="Times New Roman" w:cs="Times New Roman"/>
          <w:b/>
          <w:bCs/>
          <w:color w:val="000000"/>
          <w:sz w:val="24"/>
        </w:rPr>
        <w:t>短期赎回费的提示性公告</w:t>
      </w:r>
    </w:p>
    <w:p w:rsidR="005E1740" w:rsidRPr="005E1740" w:rsidRDefault="005E1740" w:rsidP="005E1740">
      <w:pPr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DD1DB3" w:rsidRDefault="005E1740" w:rsidP="005E174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E1740">
        <w:rPr>
          <w:rFonts w:ascii="Times New Roman" w:eastAsia="宋体" w:hAnsi="Times New Roman" w:cs="Times New Roman"/>
          <w:sz w:val="24"/>
          <w:szCs w:val="24"/>
        </w:rPr>
        <w:t>根据</w:t>
      </w:r>
      <w:r w:rsidRPr="005E1740">
        <w:rPr>
          <w:rFonts w:ascii="Times New Roman" w:eastAsia="宋体" w:hAnsi="Times New Roman" w:cs="Times New Roman"/>
          <w:sz w:val="24"/>
        </w:rPr>
        <w:t>《公开募集开放式证券投资基金流动性风险管理规定》</w:t>
      </w:r>
      <w:r w:rsidRPr="005E1740">
        <w:rPr>
          <w:rFonts w:ascii="Times New Roman" w:eastAsia="宋体" w:hAnsi="Times New Roman" w:cs="Times New Roman"/>
          <w:sz w:val="24"/>
          <w:szCs w:val="24"/>
        </w:rPr>
        <w:t>，</w:t>
      </w:r>
      <w:r w:rsidR="004D3DF9">
        <w:rPr>
          <w:rFonts w:ascii="Times New Roman" w:eastAsia="宋体" w:hAnsi="Times New Roman" w:cs="Times New Roman" w:hint="eastAsia"/>
          <w:sz w:val="24"/>
          <w:szCs w:val="24"/>
        </w:rPr>
        <w:t>基金</w:t>
      </w:r>
      <w:r w:rsidR="004D3DF9">
        <w:rPr>
          <w:rFonts w:ascii="Times New Roman" w:eastAsia="宋体" w:hAnsi="Times New Roman" w:cs="Times New Roman"/>
          <w:sz w:val="24"/>
          <w:szCs w:val="24"/>
        </w:rPr>
        <w:t>管理人应当强化对投资者短期投资</w:t>
      </w:r>
      <w:r w:rsidR="004D3DF9">
        <w:rPr>
          <w:rFonts w:ascii="Times New Roman" w:eastAsia="宋体" w:hAnsi="Times New Roman" w:cs="Times New Roman" w:hint="eastAsia"/>
          <w:sz w:val="24"/>
          <w:szCs w:val="24"/>
        </w:rPr>
        <w:t>行为</w:t>
      </w:r>
      <w:r w:rsidR="004D3DF9">
        <w:rPr>
          <w:rFonts w:ascii="Times New Roman" w:eastAsia="宋体" w:hAnsi="Times New Roman" w:cs="Times New Roman"/>
          <w:sz w:val="24"/>
          <w:szCs w:val="24"/>
        </w:rPr>
        <w:t>的管理，对</w:t>
      </w:r>
      <w:r w:rsidR="004D3DF9">
        <w:rPr>
          <w:rFonts w:ascii="Times New Roman" w:eastAsia="宋体" w:hAnsi="Times New Roman" w:cs="Times New Roman" w:hint="eastAsia"/>
          <w:sz w:val="24"/>
          <w:szCs w:val="24"/>
        </w:rPr>
        <w:t>除货币</w:t>
      </w:r>
      <w:r w:rsidR="004D3DF9">
        <w:rPr>
          <w:rFonts w:ascii="Times New Roman" w:eastAsia="宋体" w:hAnsi="Times New Roman" w:cs="Times New Roman"/>
          <w:sz w:val="24"/>
          <w:szCs w:val="24"/>
        </w:rPr>
        <w:t>市场基金与交易型开放式指数基金以外的开放式基金，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对持续</w:t>
      </w:r>
      <w:r w:rsidR="00DD1DB3">
        <w:rPr>
          <w:rFonts w:ascii="Times New Roman" w:eastAsia="宋体" w:hAnsi="Times New Roman" w:cs="Times New Roman"/>
          <w:sz w:val="24"/>
          <w:szCs w:val="24"/>
        </w:rPr>
        <w:t>持有期少于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="00DD1DB3">
        <w:rPr>
          <w:rFonts w:ascii="Times New Roman" w:eastAsia="宋体" w:hAnsi="Times New Roman" w:cs="Times New Roman"/>
          <w:sz w:val="24"/>
          <w:szCs w:val="24"/>
        </w:rPr>
        <w:t>的投资者收取不低于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1.5</w:t>
      </w:r>
      <w:r w:rsidR="00DD1DB3">
        <w:rPr>
          <w:rFonts w:ascii="Times New Roman" w:eastAsia="宋体" w:hAnsi="Times New Roman" w:cs="Times New Roman"/>
          <w:sz w:val="24"/>
          <w:szCs w:val="24"/>
        </w:rPr>
        <w:t>%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DD1DB3">
        <w:rPr>
          <w:rFonts w:ascii="Times New Roman" w:eastAsia="宋体" w:hAnsi="Times New Roman" w:cs="Times New Roman"/>
          <w:sz w:val="24"/>
          <w:szCs w:val="24"/>
        </w:rPr>
        <w:t>赎回费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DD1DB3">
        <w:rPr>
          <w:rFonts w:ascii="Times New Roman" w:eastAsia="宋体" w:hAnsi="Times New Roman" w:cs="Times New Roman"/>
          <w:sz w:val="24"/>
          <w:szCs w:val="24"/>
        </w:rPr>
        <w:t>并将上述赎回费全额计入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基金</w:t>
      </w:r>
      <w:r w:rsidR="00DD1DB3">
        <w:rPr>
          <w:rFonts w:ascii="Times New Roman" w:eastAsia="宋体" w:hAnsi="Times New Roman" w:cs="Times New Roman"/>
          <w:sz w:val="24"/>
          <w:szCs w:val="24"/>
        </w:rPr>
        <w:t>财产。</w:t>
      </w:r>
      <w:r w:rsidRPr="005E1740">
        <w:rPr>
          <w:rFonts w:ascii="Times New Roman" w:eastAsia="宋体" w:hAnsi="Times New Roman" w:cs="Times New Roman"/>
          <w:sz w:val="24"/>
          <w:szCs w:val="24"/>
        </w:rPr>
        <w:t>经协商各基金托管人同意，并报中国证监会北京监管局备案，华夏基金管理有限公司（以下简称</w:t>
      </w:r>
      <w:r w:rsidRPr="00DD1DB3">
        <w:rPr>
          <w:rFonts w:ascii="宋体" w:eastAsia="宋体" w:hAnsi="宋体" w:cs="Times New Roman"/>
          <w:sz w:val="24"/>
          <w:szCs w:val="24"/>
        </w:rPr>
        <w:t>“本公司”</w:t>
      </w:r>
      <w:r w:rsidRPr="005E1740">
        <w:rPr>
          <w:rFonts w:ascii="Times New Roman" w:eastAsia="宋体" w:hAnsi="Times New Roman" w:cs="Times New Roman"/>
          <w:sz w:val="24"/>
          <w:szCs w:val="24"/>
        </w:rPr>
        <w:t>）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已按</w:t>
      </w:r>
      <w:r w:rsidR="00DD1DB3">
        <w:rPr>
          <w:rFonts w:ascii="Times New Roman" w:eastAsia="宋体" w:hAnsi="Times New Roman" w:cs="Times New Roman"/>
          <w:sz w:val="24"/>
          <w:szCs w:val="24"/>
        </w:rPr>
        <w:t>前述规定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修订</w:t>
      </w:r>
      <w:r w:rsidR="00DD1DB3">
        <w:rPr>
          <w:rFonts w:ascii="Times New Roman" w:eastAsia="宋体" w:hAnsi="Times New Roman" w:cs="Times New Roman"/>
          <w:sz w:val="24"/>
          <w:szCs w:val="24"/>
        </w:rPr>
        <w:t>了</w:t>
      </w:r>
      <w:r w:rsidR="00276384">
        <w:rPr>
          <w:rFonts w:ascii="Times New Roman" w:eastAsia="宋体" w:hAnsi="Times New Roman" w:cs="Times New Roman" w:hint="eastAsia"/>
          <w:sz w:val="24"/>
          <w:szCs w:val="24"/>
        </w:rPr>
        <w:t>旗下</w:t>
      </w:r>
      <w:r w:rsidR="00122255">
        <w:rPr>
          <w:rFonts w:ascii="Times New Roman" w:eastAsia="宋体" w:hAnsi="Times New Roman" w:cs="Times New Roman" w:hint="eastAsia"/>
          <w:sz w:val="24"/>
          <w:szCs w:val="24"/>
        </w:rPr>
        <w:t>基金</w:t>
      </w:r>
      <w:r w:rsidR="00122255">
        <w:rPr>
          <w:rFonts w:ascii="Times New Roman" w:eastAsia="宋体" w:hAnsi="Times New Roman" w:cs="Times New Roman"/>
          <w:sz w:val="24"/>
          <w:szCs w:val="24"/>
        </w:rPr>
        <w:t>的</w:t>
      </w:r>
      <w:r w:rsidR="00DD1DB3">
        <w:rPr>
          <w:rFonts w:ascii="Times New Roman" w:eastAsia="宋体" w:hAnsi="Times New Roman" w:cs="Times New Roman"/>
          <w:sz w:val="24"/>
          <w:szCs w:val="24"/>
        </w:rPr>
        <w:t>基金合同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及</w:t>
      </w:r>
      <w:r w:rsidR="00DD1DB3">
        <w:rPr>
          <w:rFonts w:ascii="Times New Roman" w:eastAsia="宋体" w:hAnsi="Times New Roman" w:cs="Times New Roman"/>
          <w:sz w:val="24"/>
          <w:szCs w:val="24"/>
        </w:rPr>
        <w:t>招募说明书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，修订</w:t>
      </w:r>
      <w:r w:rsidR="00DD1DB3">
        <w:rPr>
          <w:rFonts w:ascii="Times New Roman" w:eastAsia="宋体" w:hAnsi="Times New Roman" w:cs="Times New Roman"/>
          <w:sz w:val="24"/>
          <w:szCs w:val="24"/>
        </w:rPr>
        <w:t>将自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2018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30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="00DD1DB3">
        <w:rPr>
          <w:rFonts w:ascii="Times New Roman" w:eastAsia="宋体" w:hAnsi="Times New Roman" w:cs="Times New Roman"/>
          <w:sz w:val="24"/>
          <w:szCs w:val="24"/>
        </w:rPr>
        <w:t>起生效，即自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该日</w:t>
      </w:r>
      <w:r w:rsidR="00DD1DB3">
        <w:rPr>
          <w:rFonts w:ascii="Times New Roman" w:eastAsia="宋体" w:hAnsi="Times New Roman" w:cs="Times New Roman"/>
          <w:sz w:val="24"/>
          <w:szCs w:val="24"/>
        </w:rPr>
        <w:t>起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DD1DB3">
        <w:rPr>
          <w:rFonts w:ascii="Times New Roman" w:eastAsia="宋体" w:hAnsi="Times New Roman" w:cs="Times New Roman"/>
          <w:sz w:val="24"/>
          <w:szCs w:val="24"/>
        </w:rPr>
        <w:t>若投资者赎回基金时持续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持有期</w:t>
      </w:r>
      <w:r w:rsidR="00DD1DB3">
        <w:rPr>
          <w:rFonts w:ascii="Times New Roman" w:eastAsia="宋体" w:hAnsi="Times New Roman" w:cs="Times New Roman"/>
          <w:sz w:val="24"/>
          <w:szCs w:val="24"/>
        </w:rPr>
        <w:t>少于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="00DD1DB3">
        <w:rPr>
          <w:rFonts w:ascii="Times New Roman" w:eastAsia="宋体" w:hAnsi="Times New Roman" w:cs="Times New Roman"/>
          <w:sz w:val="24"/>
          <w:szCs w:val="24"/>
        </w:rPr>
        <w:t>，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将</w:t>
      </w:r>
      <w:r w:rsidR="00DD1DB3">
        <w:rPr>
          <w:rFonts w:ascii="Times New Roman" w:eastAsia="宋体" w:hAnsi="Times New Roman" w:cs="Times New Roman"/>
          <w:sz w:val="24"/>
          <w:szCs w:val="24"/>
        </w:rPr>
        <w:t>被收取不低于</w:t>
      </w:r>
      <w:r w:rsidR="00DD1DB3">
        <w:rPr>
          <w:rFonts w:ascii="Times New Roman" w:eastAsia="宋体" w:hAnsi="Times New Roman" w:cs="Times New Roman" w:hint="eastAsia"/>
          <w:sz w:val="24"/>
          <w:szCs w:val="24"/>
        </w:rPr>
        <w:t>1.5</w:t>
      </w:r>
      <w:r w:rsidR="00DD1DB3">
        <w:rPr>
          <w:rFonts w:ascii="Times New Roman" w:eastAsia="宋体" w:hAnsi="Times New Roman" w:cs="Times New Roman"/>
          <w:sz w:val="24"/>
          <w:szCs w:val="24"/>
        </w:rPr>
        <w:t>%</w:t>
      </w:r>
      <w:r w:rsidR="006245AC">
        <w:rPr>
          <w:rFonts w:ascii="Times New Roman" w:eastAsia="宋体" w:hAnsi="Times New Roman" w:cs="Times New Roman"/>
          <w:sz w:val="24"/>
          <w:szCs w:val="24"/>
        </w:rPr>
        <w:t>的赎回费</w:t>
      </w:r>
      <w:r w:rsidR="006245AC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6245AC">
        <w:rPr>
          <w:rFonts w:ascii="Times New Roman" w:eastAsia="宋体" w:hAnsi="Times New Roman" w:cs="Times New Roman"/>
          <w:sz w:val="24"/>
          <w:szCs w:val="24"/>
        </w:rPr>
        <w:t>敬请</w:t>
      </w:r>
      <w:r w:rsidR="006245AC">
        <w:rPr>
          <w:rFonts w:ascii="Times New Roman" w:eastAsia="宋体" w:hAnsi="Times New Roman" w:cs="Times New Roman" w:hint="eastAsia"/>
          <w:sz w:val="24"/>
          <w:szCs w:val="24"/>
        </w:rPr>
        <w:t>投资者关注</w:t>
      </w:r>
      <w:r w:rsidR="00FB3442">
        <w:rPr>
          <w:rFonts w:ascii="Times New Roman" w:eastAsia="宋体" w:hAnsi="Times New Roman" w:cs="Times New Roman" w:hint="eastAsia"/>
          <w:sz w:val="24"/>
          <w:szCs w:val="24"/>
        </w:rPr>
        <w:t>并</w:t>
      </w:r>
      <w:r w:rsidR="00FB3442">
        <w:rPr>
          <w:rFonts w:ascii="Times New Roman" w:eastAsia="宋体" w:hAnsi="Times New Roman" w:cs="Times New Roman"/>
          <w:sz w:val="24"/>
          <w:szCs w:val="24"/>
        </w:rPr>
        <w:t>合理安排投资计划</w:t>
      </w:r>
      <w:r w:rsidR="00ED319E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ED319E" w:rsidRDefault="00ED319E" w:rsidP="005E174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本公司</w:t>
      </w:r>
      <w:r>
        <w:rPr>
          <w:rFonts w:ascii="Times New Roman" w:eastAsia="宋体" w:hAnsi="Times New Roman" w:cs="Times New Roman"/>
          <w:sz w:val="24"/>
          <w:szCs w:val="24"/>
        </w:rPr>
        <w:t>已于</w:t>
      </w:r>
      <w:r>
        <w:rPr>
          <w:rFonts w:ascii="Times New Roman" w:eastAsia="宋体" w:hAnsi="Times New Roman" w:cs="Times New Roman" w:hint="eastAsia"/>
          <w:sz w:val="24"/>
          <w:szCs w:val="24"/>
        </w:rPr>
        <w:t>2018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23</w:t>
      </w:r>
      <w:r>
        <w:rPr>
          <w:rFonts w:ascii="Times New Roman" w:eastAsia="宋体" w:hAnsi="Times New Roman" w:cs="Times New Roman" w:hint="eastAsia"/>
          <w:sz w:val="24"/>
          <w:szCs w:val="24"/>
        </w:rPr>
        <w:t>日发布</w:t>
      </w:r>
      <w:r>
        <w:rPr>
          <w:rFonts w:ascii="Times New Roman" w:eastAsia="宋体" w:hAnsi="Times New Roman" w:cs="Times New Roman"/>
          <w:sz w:val="24"/>
          <w:szCs w:val="24"/>
        </w:rPr>
        <w:t>了《</w:t>
      </w:r>
      <w:r w:rsidR="009D6AFB">
        <w:rPr>
          <w:rFonts w:ascii="Times New Roman" w:eastAsia="宋体" w:hAnsi="Times New Roman" w:cs="Times New Roman" w:hint="eastAsia"/>
          <w:sz w:val="24"/>
          <w:szCs w:val="24"/>
        </w:rPr>
        <w:t>华夏基金管理有限公司关于根据</w:t>
      </w:r>
      <w:r w:rsidR="009D6AFB">
        <w:rPr>
          <w:rFonts w:ascii="Times New Roman" w:eastAsia="宋体" w:hAnsi="Times New Roman" w:cs="Times New Roman" w:hint="eastAsia"/>
          <w:sz w:val="24"/>
          <w:szCs w:val="24"/>
        </w:rPr>
        <w:t>&lt;</w:t>
      </w:r>
      <w:r w:rsidR="009D6AFB">
        <w:rPr>
          <w:rFonts w:ascii="Times New Roman" w:eastAsia="宋体" w:hAnsi="Times New Roman" w:cs="Times New Roman" w:hint="eastAsia"/>
          <w:sz w:val="24"/>
          <w:szCs w:val="24"/>
        </w:rPr>
        <w:t>公开募集开放式证券投资基金流动性风险管理规定</w:t>
      </w:r>
      <w:r w:rsidR="009D6AFB">
        <w:rPr>
          <w:rFonts w:ascii="Times New Roman" w:eastAsia="宋体" w:hAnsi="Times New Roman" w:cs="Times New Roman" w:hint="eastAsia"/>
          <w:sz w:val="24"/>
          <w:szCs w:val="24"/>
        </w:rPr>
        <w:t>&gt;</w:t>
      </w:r>
      <w:r w:rsidRPr="00ED319E">
        <w:rPr>
          <w:rFonts w:ascii="Times New Roman" w:eastAsia="宋体" w:hAnsi="Times New Roman" w:cs="Times New Roman" w:hint="eastAsia"/>
          <w:sz w:val="24"/>
          <w:szCs w:val="24"/>
        </w:rPr>
        <w:t>修订旗下开放式基金基金合同的公告</w:t>
      </w:r>
      <w:r>
        <w:rPr>
          <w:rFonts w:ascii="Times New Roman" w:eastAsia="宋体" w:hAnsi="Times New Roman" w:cs="Times New Roman"/>
          <w:sz w:val="24"/>
          <w:szCs w:val="24"/>
        </w:rPr>
        <w:t>》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9F6C57">
        <w:rPr>
          <w:rFonts w:ascii="Times New Roman" w:eastAsia="宋体" w:hAnsi="Times New Roman" w:cs="Times New Roman"/>
          <w:sz w:val="24"/>
          <w:szCs w:val="24"/>
        </w:rPr>
        <w:t>投资者可</w:t>
      </w:r>
      <w:r w:rsidR="009F6C57">
        <w:rPr>
          <w:rFonts w:ascii="Times New Roman" w:eastAsia="宋体" w:hAnsi="Times New Roman" w:cs="Times New Roman" w:hint="eastAsia"/>
          <w:sz w:val="24"/>
          <w:szCs w:val="24"/>
        </w:rPr>
        <w:t>登录</w:t>
      </w: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4"/>
        </w:rPr>
        <w:t>本公司网站</w:t>
      </w:r>
      <w:r w:rsidRPr="00ED319E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ED319E">
        <w:rPr>
          <w:rFonts w:ascii="Times New Roman" w:eastAsia="宋体" w:hAnsi="Times New Roman" w:cs="Times New Roman" w:hint="eastAsia"/>
          <w:sz w:val="24"/>
          <w:szCs w:val="24"/>
        </w:rPr>
        <w:t>www.ChinaAMC.com</w:t>
      </w:r>
      <w:r w:rsidRPr="00ED319E">
        <w:rPr>
          <w:rFonts w:ascii="Times New Roman" w:eastAsia="宋体" w:hAnsi="Times New Roman" w:cs="Times New Roman" w:hint="eastAsia"/>
          <w:sz w:val="24"/>
          <w:szCs w:val="24"/>
        </w:rPr>
        <w:t>）或</w:t>
      </w:r>
      <w:r w:rsidRPr="00ED319E">
        <w:rPr>
          <w:rFonts w:ascii="Times New Roman" w:eastAsia="宋体" w:hAnsi="Times New Roman" w:cs="Times New Roman"/>
          <w:sz w:val="24"/>
          <w:szCs w:val="24"/>
        </w:rPr>
        <w:t>拨打</w:t>
      </w:r>
      <w:r w:rsidRPr="00ED319E">
        <w:rPr>
          <w:rFonts w:ascii="Times New Roman" w:eastAsia="宋体" w:hAnsi="Times New Roman" w:cs="Times New Roman" w:hint="eastAsia"/>
          <w:sz w:val="24"/>
          <w:szCs w:val="24"/>
        </w:rPr>
        <w:t>本公司客户服务电话（</w:t>
      </w:r>
      <w:r w:rsidRPr="00ED319E">
        <w:rPr>
          <w:rFonts w:ascii="Times New Roman" w:eastAsia="宋体" w:hAnsi="Times New Roman" w:cs="Times New Roman" w:hint="eastAsia"/>
          <w:sz w:val="24"/>
          <w:szCs w:val="24"/>
        </w:rPr>
        <w:t>400-818-6666</w:t>
      </w:r>
      <w:r w:rsidRPr="00ED319E"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查询、</w:t>
      </w:r>
      <w:r>
        <w:rPr>
          <w:rFonts w:ascii="Times New Roman" w:eastAsia="宋体" w:hAnsi="Times New Roman" w:cs="Times New Roman"/>
          <w:sz w:val="24"/>
          <w:szCs w:val="24"/>
        </w:rPr>
        <w:t>获取相关</w:t>
      </w:r>
      <w:r>
        <w:rPr>
          <w:rFonts w:ascii="Times New Roman" w:eastAsia="宋体" w:hAnsi="Times New Roman" w:cs="Times New Roman" w:hint="eastAsia"/>
          <w:sz w:val="24"/>
          <w:szCs w:val="24"/>
        </w:rPr>
        <w:t>信息。</w:t>
      </w:r>
    </w:p>
    <w:p w:rsidR="005E1740" w:rsidRPr="005E1740" w:rsidRDefault="005E1740" w:rsidP="005E174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</w:rPr>
      </w:pPr>
      <w:r w:rsidRPr="005E1740">
        <w:rPr>
          <w:rFonts w:ascii="Times New Roman" w:eastAsia="宋体" w:hAnsi="Times New Roman" w:cs="Times New Roman"/>
          <w:color w:val="000000"/>
          <w:sz w:val="24"/>
        </w:rPr>
        <w:t>特此公告</w:t>
      </w:r>
    </w:p>
    <w:p w:rsidR="005E1740" w:rsidRPr="005E1740" w:rsidRDefault="005E1740" w:rsidP="005E1740">
      <w:pPr>
        <w:spacing w:line="360" w:lineRule="auto"/>
        <w:rPr>
          <w:rFonts w:ascii="Times New Roman" w:eastAsia="宋体" w:hAnsi="Times New Roman" w:cs="Times New Roman"/>
          <w:color w:val="000000"/>
          <w:sz w:val="24"/>
        </w:rPr>
      </w:pPr>
    </w:p>
    <w:p w:rsidR="005E1740" w:rsidRPr="005E1740" w:rsidRDefault="005E1740" w:rsidP="005E1740">
      <w:pPr>
        <w:spacing w:line="360" w:lineRule="auto"/>
        <w:jc w:val="right"/>
        <w:rPr>
          <w:rFonts w:ascii="Times New Roman" w:eastAsia="宋体" w:hAnsi="Times New Roman" w:cs="Times New Roman"/>
          <w:color w:val="000000"/>
          <w:sz w:val="24"/>
        </w:rPr>
      </w:pPr>
      <w:r w:rsidRPr="005E1740">
        <w:rPr>
          <w:rFonts w:ascii="Times New Roman" w:eastAsia="宋体" w:hAnsi="Times New Roman" w:cs="Times New Roman"/>
          <w:color w:val="000000"/>
          <w:sz w:val="24"/>
        </w:rPr>
        <w:t>华夏基金管理有限公司</w:t>
      </w:r>
    </w:p>
    <w:p w:rsidR="005E1740" w:rsidRPr="005E1740" w:rsidRDefault="00ED319E" w:rsidP="005E1740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000000"/>
          <w:sz w:val="24"/>
        </w:rPr>
      </w:pPr>
      <w:r w:rsidRPr="00ED319E">
        <w:rPr>
          <w:rFonts w:ascii="Times New Roman" w:eastAsia="宋体" w:hAnsi="Times New Roman" w:cs="Times New Roman"/>
          <w:color w:val="000000"/>
          <w:sz w:val="24"/>
        </w:rPr>
        <w:t>二〇一</w:t>
      </w:r>
      <w:r w:rsidRPr="00ED319E">
        <w:rPr>
          <w:rFonts w:ascii="Times New Roman" w:eastAsia="宋体" w:hAnsi="Times New Roman" w:cs="Times New Roman" w:hint="eastAsia"/>
          <w:color w:val="000000"/>
          <w:sz w:val="24"/>
        </w:rPr>
        <w:t>八</w:t>
      </w:r>
      <w:r w:rsidRPr="00ED319E">
        <w:rPr>
          <w:rFonts w:ascii="Times New Roman" w:eastAsia="宋体" w:hAnsi="Times New Roman" w:cs="Times New Roman"/>
          <w:color w:val="000000"/>
          <w:sz w:val="24"/>
        </w:rPr>
        <w:t>年</w:t>
      </w:r>
      <w:r w:rsidRPr="00ED319E">
        <w:rPr>
          <w:rFonts w:ascii="Times New Roman" w:eastAsia="宋体" w:hAnsi="Times New Roman" w:cs="Times New Roman" w:hint="eastAsia"/>
          <w:color w:val="000000"/>
          <w:sz w:val="24"/>
        </w:rPr>
        <w:t>三月</w:t>
      </w:r>
      <w:r>
        <w:rPr>
          <w:rFonts w:ascii="Times New Roman" w:eastAsia="宋体" w:hAnsi="Times New Roman" w:cs="Times New Roman" w:hint="eastAsia"/>
          <w:color w:val="000000"/>
          <w:sz w:val="24"/>
        </w:rPr>
        <w:t>二十三</w:t>
      </w:r>
      <w:r w:rsidRPr="00ED319E">
        <w:rPr>
          <w:rFonts w:ascii="Times New Roman" w:eastAsia="宋体" w:hAnsi="Times New Roman" w:cs="Times New Roman"/>
          <w:color w:val="000000"/>
          <w:sz w:val="24"/>
        </w:rPr>
        <w:t>日</w:t>
      </w:r>
    </w:p>
    <w:p w:rsidR="000A6B40" w:rsidRPr="005E1740" w:rsidRDefault="000A6B40">
      <w:pPr>
        <w:rPr>
          <w:rFonts w:ascii="Times New Roman" w:eastAsia="宋体" w:hAnsi="Times New Roman" w:cs="Times New Roman"/>
        </w:rPr>
      </w:pPr>
    </w:p>
    <w:sectPr w:rsidR="000A6B40" w:rsidRPr="005E1740" w:rsidSect="00970E0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35C" w:rsidRDefault="00AD635C" w:rsidP="005E1740">
      <w:r>
        <w:separator/>
      </w:r>
    </w:p>
  </w:endnote>
  <w:endnote w:type="continuationSeparator" w:id="1">
    <w:p w:rsidR="00AD635C" w:rsidRDefault="00AD635C" w:rsidP="005E1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35C" w:rsidRDefault="00AD635C" w:rsidP="005E1740">
      <w:r>
        <w:separator/>
      </w:r>
    </w:p>
  </w:footnote>
  <w:footnote w:type="continuationSeparator" w:id="1">
    <w:p w:rsidR="00AD635C" w:rsidRDefault="00AD635C" w:rsidP="005E1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740" w:rsidRDefault="00970E0A" w:rsidP="005E1740">
    <w:pPr>
      <w:pStyle w:val="a3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35401" o:spid="_x0000_s2051" type="#_x0000_t136" style="position:absolute;left:0;text-align:left;margin-left:0;margin-top:0;width:301.5pt;height:67.5pt;rotation:315;z-index:251658240;mso-position-horizontal:center;mso-position-horizontal-relative:margin;mso-position-vertical:center;mso-position-vertical-relative:margin" fillcolor="#ccc" stroked="f">
          <v:fill opacity="46531f"/>
          <v:stroke r:id="rId1" o:title=""/>
          <v:shadow color="#868686"/>
          <v:textpath style="font-family:&quot;Arial&quot;;font-size:30pt;v-text-kern:t" trim="t" fitpath="t" string="华夏基金管理有限公司&#10;2018-03-22&amp;qiux&amp;qiuxi"/>
          <o:lock v:ext="edit" aspectratio="t"/>
          <w10:wrap side="largest"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5E1740"/>
    <w:rsid w:val="000A6B40"/>
    <w:rsid w:val="00122255"/>
    <w:rsid w:val="00276384"/>
    <w:rsid w:val="004D3DF9"/>
    <w:rsid w:val="005E1740"/>
    <w:rsid w:val="006245AC"/>
    <w:rsid w:val="00835F64"/>
    <w:rsid w:val="00970E0A"/>
    <w:rsid w:val="009D6AFB"/>
    <w:rsid w:val="009F6C57"/>
    <w:rsid w:val="00AD3165"/>
    <w:rsid w:val="00AD635C"/>
    <w:rsid w:val="00DD1DB3"/>
    <w:rsid w:val="00ED319E"/>
    <w:rsid w:val="00F01B1E"/>
    <w:rsid w:val="00FB3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40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bidi="th-TH"/>
    </w:rPr>
  </w:style>
  <w:style w:type="character" w:customStyle="1" w:styleId="Char">
    <w:name w:val="页眉 Char"/>
    <w:basedOn w:val="a0"/>
    <w:link w:val="a3"/>
    <w:uiPriority w:val="99"/>
    <w:rsid w:val="005E1740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rsid w:val="005E1740"/>
    <w:pPr>
      <w:tabs>
        <w:tab w:val="center" w:pos="4153"/>
        <w:tab w:val="right" w:pos="8306"/>
      </w:tabs>
      <w:snapToGrid w:val="0"/>
      <w:jc w:val="left"/>
    </w:pPr>
    <w:rPr>
      <w:sz w:val="18"/>
      <w:lang w:bidi="th-TH"/>
    </w:rPr>
  </w:style>
  <w:style w:type="character" w:customStyle="1" w:styleId="Char0">
    <w:name w:val="页脚 Char"/>
    <w:basedOn w:val="a0"/>
    <w:link w:val="a4"/>
    <w:uiPriority w:val="99"/>
    <w:rsid w:val="005E1740"/>
    <w:rPr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4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合规部-邱曦</dc:creator>
  <cp:keywords/>
  <dc:description/>
  <cp:lastModifiedBy>ZHONGM</cp:lastModifiedBy>
  <cp:revision>2</cp:revision>
  <dcterms:created xsi:type="dcterms:W3CDTF">2018-03-22T16:37:00Z</dcterms:created>
  <dcterms:modified xsi:type="dcterms:W3CDTF">2018-03-22T16:37:00Z</dcterms:modified>
</cp:coreProperties>
</file>