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6D6" w:rsidRPr="009C2676" w:rsidRDefault="001366D6" w:rsidP="001366D6">
      <w:pPr>
        <w:spacing w:line="360" w:lineRule="auto"/>
        <w:jc w:val="center"/>
        <w:rPr>
          <w:rFonts w:ascii="Times New Roman" w:eastAsia="黑体" w:hAnsi="Times New Roman"/>
          <w:b/>
          <w:kern w:val="0"/>
          <w:sz w:val="30"/>
          <w:szCs w:val="30"/>
        </w:rPr>
      </w:pPr>
      <w:r w:rsidRPr="009C2676">
        <w:rPr>
          <w:rFonts w:ascii="Times New Roman" w:eastAsia="黑体" w:hAnsi="Times New Roman"/>
          <w:b/>
          <w:kern w:val="0"/>
          <w:sz w:val="30"/>
          <w:szCs w:val="30"/>
        </w:rPr>
        <w:t>关于国泰基金管理有限公司</w:t>
      </w:r>
      <w:r w:rsidR="008319BA">
        <w:rPr>
          <w:rFonts w:ascii="Times New Roman" w:eastAsia="黑体" w:hAnsi="Times New Roman" w:hint="eastAsia"/>
          <w:b/>
          <w:kern w:val="0"/>
          <w:sz w:val="30"/>
          <w:szCs w:val="30"/>
        </w:rPr>
        <w:t>修改</w:t>
      </w:r>
      <w:r w:rsidRPr="009C2676">
        <w:rPr>
          <w:rFonts w:ascii="Times New Roman" w:eastAsia="黑体" w:hAnsi="Times New Roman"/>
          <w:b/>
          <w:kern w:val="0"/>
          <w:sz w:val="30"/>
          <w:szCs w:val="30"/>
        </w:rPr>
        <w:t>旗下</w:t>
      </w:r>
      <w:r w:rsidR="00503AA2">
        <w:rPr>
          <w:rFonts w:ascii="Times New Roman" w:eastAsia="黑体" w:hAnsi="Times New Roman" w:hint="eastAsia"/>
          <w:b/>
          <w:kern w:val="0"/>
          <w:sz w:val="30"/>
          <w:szCs w:val="30"/>
        </w:rPr>
        <w:t>证券投资</w:t>
      </w:r>
      <w:r w:rsidRPr="009C2676">
        <w:rPr>
          <w:rFonts w:ascii="Times New Roman" w:eastAsia="黑体" w:hAnsi="Times New Roman"/>
          <w:b/>
          <w:kern w:val="0"/>
          <w:sz w:val="30"/>
          <w:szCs w:val="30"/>
        </w:rPr>
        <w:t>基金</w:t>
      </w:r>
    </w:p>
    <w:p w:rsidR="001366D6" w:rsidRPr="009C2676" w:rsidRDefault="001366D6" w:rsidP="001366D6">
      <w:pPr>
        <w:spacing w:line="360" w:lineRule="auto"/>
        <w:jc w:val="center"/>
        <w:rPr>
          <w:rFonts w:ascii="Times New Roman" w:eastAsia="黑体" w:hAnsi="Times New Roman"/>
          <w:b/>
          <w:kern w:val="0"/>
          <w:sz w:val="30"/>
          <w:szCs w:val="30"/>
        </w:rPr>
      </w:pPr>
      <w:r w:rsidRPr="009C2676">
        <w:rPr>
          <w:rFonts w:ascii="Times New Roman" w:eastAsia="黑体" w:hAnsi="Times New Roman"/>
          <w:b/>
          <w:kern w:val="0"/>
          <w:sz w:val="30"/>
          <w:szCs w:val="30"/>
        </w:rPr>
        <w:t>基金合同</w:t>
      </w:r>
      <w:r w:rsidR="00503AA2">
        <w:rPr>
          <w:rFonts w:ascii="Times New Roman" w:eastAsia="黑体" w:hAnsi="Times New Roman" w:hint="eastAsia"/>
          <w:b/>
          <w:kern w:val="0"/>
          <w:sz w:val="30"/>
          <w:szCs w:val="30"/>
        </w:rPr>
        <w:t>和托管协议</w:t>
      </w:r>
      <w:r w:rsidRPr="009C2676">
        <w:rPr>
          <w:rFonts w:ascii="Times New Roman" w:eastAsia="黑体" w:hAnsi="Times New Roman"/>
          <w:b/>
          <w:kern w:val="0"/>
          <w:sz w:val="30"/>
          <w:szCs w:val="30"/>
        </w:rPr>
        <w:t>的公告</w:t>
      </w:r>
    </w:p>
    <w:p w:rsidR="001366D6" w:rsidRPr="009C2676" w:rsidRDefault="001366D6" w:rsidP="001366D6">
      <w:pPr>
        <w:spacing w:line="360" w:lineRule="auto"/>
        <w:rPr>
          <w:rFonts w:ascii="Times New Roman" w:eastAsia="仿宋_GB2312" w:hAnsi="Times New Roman"/>
          <w:kern w:val="0"/>
          <w:sz w:val="24"/>
          <w:szCs w:val="24"/>
        </w:rPr>
      </w:pPr>
    </w:p>
    <w:p w:rsidR="001366D6" w:rsidRPr="0078779A" w:rsidRDefault="00365108" w:rsidP="0078779A">
      <w:pPr>
        <w:spacing w:line="360" w:lineRule="auto"/>
        <w:ind w:firstLineChars="200" w:firstLine="420"/>
        <w:rPr>
          <w:rFonts w:ascii="Times New Roman" w:eastAsiaTheme="minorEastAsia" w:hAnsiTheme="minorEastAsia"/>
          <w:kern w:val="0"/>
          <w:szCs w:val="21"/>
        </w:rPr>
      </w:pPr>
      <w:bookmarkStart w:id="0" w:name="OLE_LINK1"/>
      <w:bookmarkStart w:id="1" w:name="OLE_LINK2"/>
      <w:r w:rsidRPr="0078779A">
        <w:rPr>
          <w:rFonts w:ascii="Times New Roman" w:eastAsiaTheme="minorEastAsia" w:hAnsiTheme="minorEastAsia" w:hint="eastAsia"/>
          <w:szCs w:val="21"/>
        </w:rPr>
        <w:t>根据</w:t>
      </w:r>
      <w:r w:rsidR="001366D6" w:rsidRPr="0078779A">
        <w:rPr>
          <w:rFonts w:ascii="Times New Roman" w:eastAsiaTheme="minorEastAsia" w:hAnsiTheme="minorEastAsia"/>
          <w:szCs w:val="21"/>
        </w:rPr>
        <w:t>《</w:t>
      </w:r>
      <w:hyperlink r:id="rId7" w:tgtFrame="_blank" w:history="1">
        <w:r w:rsidR="001366D6" w:rsidRPr="0078779A">
          <w:rPr>
            <w:rFonts w:ascii="Times New Roman" w:eastAsiaTheme="minorEastAsia" w:hAnsiTheme="minorEastAsia"/>
            <w:szCs w:val="21"/>
          </w:rPr>
          <w:t>公开募集</w:t>
        </w:r>
      </w:hyperlink>
      <w:r w:rsidR="00503AA2" w:rsidRPr="0078779A">
        <w:rPr>
          <w:rFonts w:ascii="Times New Roman" w:eastAsiaTheme="minorEastAsia" w:hAnsiTheme="minorEastAsia" w:hint="eastAsia"/>
          <w:szCs w:val="21"/>
        </w:rPr>
        <w:t>开放式</w:t>
      </w:r>
      <w:r w:rsidR="001366D6" w:rsidRPr="0078779A">
        <w:rPr>
          <w:rFonts w:ascii="Times New Roman" w:eastAsiaTheme="minorEastAsia" w:hAnsiTheme="minorEastAsia"/>
          <w:szCs w:val="21"/>
        </w:rPr>
        <w:t>证券投资基金</w:t>
      </w:r>
      <w:r w:rsidR="00503AA2" w:rsidRPr="0078779A">
        <w:rPr>
          <w:rFonts w:ascii="Times New Roman" w:eastAsiaTheme="minorEastAsia" w:hAnsiTheme="minorEastAsia" w:hint="eastAsia"/>
          <w:szCs w:val="21"/>
        </w:rPr>
        <w:t>流动性风险管理规定</w:t>
      </w:r>
      <w:r w:rsidR="001366D6" w:rsidRPr="0078779A">
        <w:rPr>
          <w:rFonts w:ascii="Times New Roman" w:eastAsiaTheme="minorEastAsia" w:hAnsiTheme="minorEastAsia"/>
          <w:szCs w:val="21"/>
        </w:rPr>
        <w:t>》</w:t>
      </w:r>
      <w:r w:rsidR="003F2C1E" w:rsidRPr="0078779A">
        <w:rPr>
          <w:rFonts w:ascii="Times New Roman" w:eastAsiaTheme="minorEastAsia" w:hAnsiTheme="minorEastAsia" w:hint="eastAsia"/>
          <w:szCs w:val="21"/>
        </w:rPr>
        <w:t>（以下简称“《</w:t>
      </w:r>
      <w:r w:rsidR="00DE7BCC" w:rsidRPr="0078779A">
        <w:rPr>
          <w:rFonts w:ascii="Times New Roman" w:eastAsiaTheme="minorEastAsia" w:hAnsiTheme="minorEastAsia" w:hint="eastAsia"/>
          <w:szCs w:val="21"/>
        </w:rPr>
        <w:t>流动性风险</w:t>
      </w:r>
      <w:r w:rsidR="003F2C1E" w:rsidRPr="0078779A">
        <w:rPr>
          <w:rFonts w:ascii="Times New Roman" w:eastAsiaTheme="minorEastAsia" w:hAnsiTheme="minorEastAsia" w:hint="eastAsia"/>
          <w:szCs w:val="21"/>
        </w:rPr>
        <w:t>管理规定》”）</w:t>
      </w:r>
      <w:r w:rsidR="008006F0" w:rsidRPr="0078779A">
        <w:rPr>
          <w:rFonts w:ascii="Times New Roman" w:eastAsiaTheme="minorEastAsia" w:hAnsiTheme="minorEastAsia" w:hint="eastAsia"/>
          <w:szCs w:val="21"/>
        </w:rPr>
        <w:t>的有关规定，</w:t>
      </w:r>
      <w:r w:rsidR="00E538BF" w:rsidRPr="0078779A">
        <w:rPr>
          <w:rFonts w:ascii="Times New Roman" w:eastAsiaTheme="minorEastAsia" w:hAnsiTheme="minorEastAsia" w:hint="eastAsia"/>
          <w:szCs w:val="21"/>
        </w:rPr>
        <w:t>依据</w:t>
      </w:r>
      <w:r w:rsidR="00416B37" w:rsidRPr="0078779A">
        <w:rPr>
          <w:rFonts w:asciiTheme="minorEastAsia" w:eastAsiaTheme="minorEastAsia" w:hAnsiTheme="minorEastAsia" w:hint="eastAsia"/>
          <w:szCs w:val="21"/>
        </w:rPr>
        <w:t>法律法规和</w:t>
      </w:r>
      <w:r w:rsidR="00C87624" w:rsidRPr="0078779A">
        <w:rPr>
          <w:rFonts w:asciiTheme="minorEastAsia" w:eastAsiaTheme="minorEastAsia" w:hAnsiTheme="minorEastAsia" w:hint="eastAsia"/>
          <w:szCs w:val="21"/>
        </w:rPr>
        <w:t>各基金合同的</w:t>
      </w:r>
      <w:r w:rsidR="008006F0" w:rsidRPr="0078779A">
        <w:rPr>
          <w:rFonts w:asciiTheme="minorEastAsia" w:eastAsiaTheme="minorEastAsia" w:hAnsiTheme="minorEastAsia" w:hint="eastAsia"/>
          <w:szCs w:val="21"/>
        </w:rPr>
        <w:t>约定</w:t>
      </w:r>
      <w:r w:rsidR="00C87624" w:rsidRPr="0078779A">
        <w:rPr>
          <w:rFonts w:asciiTheme="minorEastAsia" w:eastAsiaTheme="minorEastAsia" w:hAnsiTheme="minorEastAsia" w:hint="eastAsia"/>
          <w:szCs w:val="21"/>
        </w:rPr>
        <w:t>，</w:t>
      </w:r>
      <w:r w:rsidR="00E538BF" w:rsidRPr="0078779A">
        <w:rPr>
          <w:rFonts w:asciiTheme="minorEastAsia" w:eastAsiaTheme="minorEastAsia" w:hAnsiTheme="minorEastAsia" w:hint="eastAsia"/>
          <w:szCs w:val="21"/>
        </w:rPr>
        <w:t>经与基金托管人协商一致</w:t>
      </w:r>
      <w:r w:rsidR="00C87624" w:rsidRPr="0078779A">
        <w:rPr>
          <w:rFonts w:asciiTheme="minorEastAsia" w:eastAsiaTheme="minorEastAsia" w:hAnsiTheme="minorEastAsia" w:hint="eastAsia"/>
          <w:szCs w:val="21"/>
        </w:rPr>
        <w:t>，</w:t>
      </w:r>
      <w:r w:rsidR="008006F0" w:rsidRPr="0078779A">
        <w:rPr>
          <w:rFonts w:asciiTheme="minorEastAsia" w:eastAsiaTheme="minorEastAsia" w:hAnsiTheme="minorEastAsia" w:hint="eastAsia"/>
          <w:szCs w:val="21"/>
        </w:rPr>
        <w:t>国泰基金管理有限公司（以下简称“本公司”）</w:t>
      </w:r>
      <w:r w:rsidR="00416B37" w:rsidRPr="0078779A">
        <w:rPr>
          <w:rFonts w:asciiTheme="minorEastAsia" w:eastAsiaTheme="minorEastAsia" w:hAnsiTheme="minorEastAsia" w:hint="eastAsia"/>
          <w:szCs w:val="21"/>
        </w:rPr>
        <w:t>对</w:t>
      </w:r>
      <w:r w:rsidR="00CA3DF5" w:rsidRPr="0078779A">
        <w:rPr>
          <w:rFonts w:asciiTheme="minorEastAsia" w:eastAsiaTheme="minorEastAsia" w:hAnsiTheme="minorEastAsia" w:hint="eastAsia"/>
          <w:szCs w:val="21"/>
        </w:rPr>
        <w:t>下述</w:t>
      </w:r>
      <w:r w:rsidR="001366D6" w:rsidRPr="0078779A">
        <w:rPr>
          <w:rFonts w:ascii="Times New Roman" w:eastAsiaTheme="minorEastAsia" w:hAnsiTheme="minorEastAsia"/>
          <w:kern w:val="0"/>
          <w:szCs w:val="21"/>
        </w:rPr>
        <w:t>基金</w:t>
      </w:r>
      <w:r w:rsidR="00416B37" w:rsidRPr="0078779A">
        <w:rPr>
          <w:rFonts w:ascii="Times New Roman" w:eastAsiaTheme="minorEastAsia" w:hAnsiTheme="minorEastAsia" w:hint="eastAsia"/>
          <w:kern w:val="0"/>
          <w:szCs w:val="21"/>
        </w:rPr>
        <w:t>的基金合同</w:t>
      </w:r>
      <w:r w:rsidR="008319BA" w:rsidRPr="0078779A">
        <w:rPr>
          <w:rFonts w:ascii="Times New Roman" w:eastAsiaTheme="minorEastAsia" w:hAnsiTheme="minorEastAsia" w:hint="eastAsia"/>
          <w:kern w:val="0"/>
          <w:szCs w:val="21"/>
        </w:rPr>
        <w:t>、托管协议</w:t>
      </w:r>
      <w:r w:rsidR="00416B37" w:rsidRPr="0078779A">
        <w:rPr>
          <w:rFonts w:ascii="Times New Roman" w:eastAsiaTheme="minorEastAsia" w:hAnsiTheme="minorEastAsia" w:hint="eastAsia"/>
          <w:kern w:val="0"/>
          <w:szCs w:val="21"/>
        </w:rPr>
        <w:t>分别进行了修改</w:t>
      </w:r>
      <w:r w:rsidR="001366D6" w:rsidRPr="0078779A">
        <w:rPr>
          <w:rFonts w:ascii="Times New Roman" w:eastAsiaTheme="minorEastAsia" w:hAnsiTheme="minorEastAsia"/>
          <w:kern w:val="0"/>
          <w:szCs w:val="21"/>
        </w:rPr>
        <w:t>，</w:t>
      </w:r>
      <w:r w:rsidR="00E538BF" w:rsidRPr="0078779A">
        <w:rPr>
          <w:rFonts w:ascii="Times New Roman" w:eastAsiaTheme="minorEastAsia" w:hAnsiTheme="minorEastAsia" w:hint="eastAsia"/>
          <w:kern w:val="0"/>
          <w:szCs w:val="21"/>
        </w:rPr>
        <w:t>具体修改内容</w:t>
      </w:r>
      <w:r w:rsidR="00416B37" w:rsidRPr="0078779A">
        <w:rPr>
          <w:rFonts w:ascii="Times New Roman" w:eastAsiaTheme="minorEastAsia" w:hAnsiTheme="minorEastAsia" w:hint="eastAsia"/>
          <w:kern w:val="0"/>
          <w:szCs w:val="21"/>
        </w:rPr>
        <w:t>见附件。</w:t>
      </w:r>
      <w:r w:rsidR="007419EC" w:rsidRPr="0078779A">
        <w:rPr>
          <w:rFonts w:ascii="Times New Roman" w:eastAsiaTheme="minorEastAsia" w:hAnsiTheme="minorEastAsia" w:hint="eastAsia"/>
          <w:kern w:val="0"/>
          <w:szCs w:val="21"/>
        </w:rPr>
        <w:t>此次修改系因相应法律法规发生变动而进行的修改，已履行了规定的程序，符合相关法律法规及基金合同的约定</w:t>
      </w:r>
      <w:r w:rsidR="00480FDB" w:rsidRPr="0078779A">
        <w:rPr>
          <w:rFonts w:ascii="Times New Roman" w:eastAsiaTheme="minorEastAsia" w:hAnsiTheme="minorEastAsia" w:hint="eastAsia"/>
          <w:kern w:val="0"/>
          <w:szCs w:val="21"/>
        </w:rPr>
        <w:t>，无需召开基金份额持有人大会</w:t>
      </w:r>
      <w:r w:rsidR="007419EC" w:rsidRPr="0078779A">
        <w:rPr>
          <w:rFonts w:ascii="Times New Roman" w:eastAsiaTheme="minorEastAsia" w:hAnsiTheme="minorEastAsia" w:hint="eastAsia"/>
          <w:kern w:val="0"/>
          <w:szCs w:val="21"/>
        </w:rPr>
        <w:t>。此次修改</w:t>
      </w:r>
      <w:r w:rsidR="008319BA" w:rsidRPr="0078779A">
        <w:rPr>
          <w:rFonts w:ascii="Times New Roman" w:eastAsiaTheme="minorEastAsia" w:hAnsiTheme="minorEastAsia" w:hint="eastAsia"/>
          <w:kern w:val="0"/>
          <w:szCs w:val="21"/>
        </w:rPr>
        <w:t>内容</w:t>
      </w:r>
      <w:r w:rsidR="007419EC" w:rsidRPr="0078779A">
        <w:rPr>
          <w:rFonts w:ascii="Times New Roman" w:eastAsiaTheme="minorEastAsia" w:hAnsiTheme="minorEastAsia" w:hint="eastAsia"/>
          <w:kern w:val="0"/>
          <w:szCs w:val="21"/>
        </w:rPr>
        <w:t>自</w:t>
      </w:r>
      <w:r w:rsidR="007419EC" w:rsidRPr="0078779A">
        <w:rPr>
          <w:rFonts w:ascii="Times New Roman" w:eastAsiaTheme="minorEastAsia" w:hAnsiTheme="minorEastAsia"/>
          <w:kern w:val="0"/>
          <w:szCs w:val="21"/>
        </w:rPr>
        <w:t>2018</w:t>
      </w:r>
      <w:r w:rsidR="007419EC" w:rsidRPr="0078779A">
        <w:rPr>
          <w:rFonts w:ascii="Times New Roman" w:eastAsiaTheme="minorEastAsia" w:hAnsiTheme="minorEastAsia" w:hint="eastAsia"/>
          <w:kern w:val="0"/>
          <w:szCs w:val="21"/>
        </w:rPr>
        <w:t>年</w:t>
      </w:r>
      <w:r w:rsidR="007419EC" w:rsidRPr="0078779A">
        <w:rPr>
          <w:rFonts w:ascii="Times New Roman" w:eastAsiaTheme="minorEastAsia" w:hAnsiTheme="minorEastAsia"/>
          <w:kern w:val="0"/>
          <w:szCs w:val="21"/>
        </w:rPr>
        <w:t>3</w:t>
      </w:r>
      <w:r w:rsidR="007419EC" w:rsidRPr="0078779A">
        <w:rPr>
          <w:rFonts w:ascii="Times New Roman" w:eastAsiaTheme="minorEastAsia" w:hAnsiTheme="minorEastAsia" w:hint="eastAsia"/>
          <w:kern w:val="0"/>
          <w:szCs w:val="21"/>
        </w:rPr>
        <w:t>月</w:t>
      </w:r>
      <w:r w:rsidR="007419EC" w:rsidRPr="0078779A">
        <w:rPr>
          <w:rFonts w:ascii="Times New Roman" w:eastAsiaTheme="minorEastAsia" w:hAnsiTheme="minorEastAsia"/>
          <w:kern w:val="0"/>
          <w:szCs w:val="21"/>
        </w:rPr>
        <w:t>3</w:t>
      </w:r>
      <w:r w:rsidR="003F2C1E" w:rsidRPr="0078779A">
        <w:rPr>
          <w:rFonts w:ascii="Times New Roman" w:eastAsiaTheme="minorEastAsia" w:hAnsiTheme="minorEastAsia"/>
          <w:kern w:val="0"/>
          <w:szCs w:val="21"/>
        </w:rPr>
        <w:t>1</w:t>
      </w:r>
      <w:r w:rsidR="007419EC" w:rsidRPr="0078779A">
        <w:rPr>
          <w:rFonts w:ascii="Times New Roman" w:eastAsiaTheme="minorEastAsia" w:hAnsiTheme="minorEastAsia" w:hint="eastAsia"/>
          <w:kern w:val="0"/>
          <w:szCs w:val="21"/>
        </w:rPr>
        <w:t>日起生效。</w:t>
      </w:r>
    </w:p>
    <w:p w:rsidR="00DE7BCC" w:rsidRPr="0078779A" w:rsidRDefault="00DE7BCC" w:rsidP="0078779A">
      <w:pPr>
        <w:spacing w:line="360" w:lineRule="auto"/>
        <w:ind w:firstLineChars="200" w:firstLine="420"/>
        <w:rPr>
          <w:rFonts w:ascii="Times New Roman" w:eastAsiaTheme="minorEastAsia" w:hAnsi="Times New Roman"/>
          <w:kern w:val="0"/>
          <w:szCs w:val="21"/>
        </w:rPr>
      </w:pPr>
      <w:r w:rsidRPr="0078779A">
        <w:rPr>
          <w:rFonts w:ascii="Times New Roman" w:eastAsiaTheme="minorEastAsia" w:hAnsiTheme="minorEastAsia" w:hint="eastAsia"/>
          <w:kern w:val="0"/>
          <w:szCs w:val="21"/>
        </w:rPr>
        <w:t>此次修改的</w:t>
      </w:r>
      <w:r w:rsidRPr="0078779A">
        <w:rPr>
          <w:rFonts w:ascii="Times New Roman" w:eastAsiaTheme="minorEastAsia" w:hAnsiTheme="minorEastAsia"/>
          <w:kern w:val="0"/>
          <w:szCs w:val="21"/>
        </w:rPr>
        <w:t>基金</w:t>
      </w:r>
      <w:r w:rsidRPr="0078779A">
        <w:rPr>
          <w:rFonts w:ascii="Times New Roman" w:eastAsiaTheme="minorEastAsia" w:hAnsiTheme="minorEastAsia" w:hint="eastAsia"/>
          <w:kern w:val="0"/>
          <w:szCs w:val="21"/>
        </w:rPr>
        <w:t>名单如下：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6429"/>
      </w:tblGrid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序号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基金名称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1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国泰金鹰增长灵活配置混合型证券投资基金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2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国泰金龙债券证券投资基金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3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国泰金龙行业精选证券投资基金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4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国泰金马稳健回报证券投资基金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5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国泰货币市场证券投资基金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6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国泰金鹏蓝筹价值混合型证券投资基金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7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国泰金鼎价值精选混合型证券投资基金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8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国泰金牛创新成长混合型证券投资基金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9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国泰沪深</w:t>
            </w: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300</w:t>
            </w: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指数证券投资基金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10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国泰金鹿保本增值混合证券投资基金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11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国泰双利债券证券投资基金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12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国泰区位优势混合型证券投资基金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13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国泰中小盘成长混合型证券投资基金</w:t>
            </w: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(LOF)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14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国泰估值优势混合型证券投资基金</w:t>
            </w: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(LOF)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15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国泰纳斯达克</w:t>
            </w: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100</w:t>
            </w: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指数证券投资基金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16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国泰价值经典灵活配置混合型证券投资基金</w:t>
            </w: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(LOF)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17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上证</w:t>
            </w: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180</w:t>
            </w: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金融交易型开放式指数证券投资基金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18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国泰上证</w:t>
            </w: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180</w:t>
            </w: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金融交易型开放式指数证券投资基金联接基金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19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国泰事件驱动策略混合型证券投资基金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20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国泰信用互利分级债券型证券投资基金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21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国泰成长优选混合型证券投资基金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22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国泰大宗商品配置证券投资基金</w:t>
            </w: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(LOF)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23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国泰信用债券型证券投资基金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24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国泰现金管理货币市场基金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25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国泰民安增利债券型发起式证券投资基金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26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国泰国证房地产行业指数分级证券投资基金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上证</w:t>
            </w: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5</w:t>
            </w: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年期国债交易型开放式指数证券投资基金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28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国泰上证</w:t>
            </w: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5</w:t>
            </w: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年期国债交易型开放式指数证券投资基金联接基金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29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纳斯达克</w:t>
            </w: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100</w:t>
            </w: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交易型开放式指数证券投资基金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30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国泰中国企业境外高收益债券型证券投资基金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31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国泰黄金交易型开放式证券投资基金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32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国泰国证医药卫生行业指数分级证券投资基金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33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国泰聚信价值优势灵活配置混合型证券投资基金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34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国泰国策驱动灵活配置混合型证券投资基金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35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国泰浓益灵活配置混合型证券投资基金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36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国泰安康养老定期支付混合型证券投资基金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37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国泰结构转型灵活配置混合型证券投资基金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38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国泰金鑫股票型证券投资基金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39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国泰新经济灵活配置混合型证券投资基金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40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国泰国证食品饮料行业指数分级证券投资基金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41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国泰策略收益灵活配置混合型证券投资基金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42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国泰深证</w:t>
            </w: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TMT50</w:t>
            </w: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指数分级证券投资基金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43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国泰国证有色金属行业指数分级证券投资基金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44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国泰睿吉灵活配置混合型证券投资基金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45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国泰兴益灵活配置混合型证券投资基金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46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国泰互联网</w:t>
            </w: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+</w:t>
            </w: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股票型证券投资基金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47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国泰央企改革股票型证券投资基金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48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国泰新目标收益保本混合型证券投资基金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49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国泰全球绝对收益型基金优选证券投资基金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50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国泰鑫保本混合型证券投资基金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51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国泰大健康股票型证券投资基金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52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国泰民福保本混合型证券投资基金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53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国泰黄金交易型开放式证券投资基金联接基金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54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国泰融丰外延增长灵活配置混合型证券投资基金</w:t>
            </w: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(LOF)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55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国泰国证新能源汽车指数证券投资基金</w:t>
            </w: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(LOF)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56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国泰民利保本混合型证券投资基金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57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国泰中证军工交易型开放式指数证券投资基金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58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国泰中证全指证券公司交易型开放式指数证券投资基金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59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国泰添益灵活配置混合型证券投资基金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60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国泰福益灵活配置混合型证券投资基金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61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国泰创业板指数证券投资基金</w:t>
            </w: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(LOF)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62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国泰鸿益灵活配置混合型证券投资基金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63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国泰景益灵活配置混合型证券投资基金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64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国泰泽益灵活配置混合型证券投资基金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65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国泰丰益灵活配置混合型证券投资基金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66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国泰信益灵活配置混合型证券投资基金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67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国泰利是宝货币市场基金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68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国泰安益灵活配置混合型证券投资基金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69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国泰普益灵活配置混合型证券投资基金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lastRenderedPageBreak/>
              <w:t>70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国泰民惠收益定期开放债券型证券投资基金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71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国泰润利纯债债券型证券投资基金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72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国泰嘉益灵活配置混合型证券投资基金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73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国泰众益灵活配置混合型证券投资基金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74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国泰润泰纯债债券型证券投资基金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75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国泰融信定增灵活配置混合型证券投资基金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76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国泰景气行业灵活配置混合型证券投资基金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77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国泰国证航天军工指数证券投资基金</w:t>
            </w: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(LOF)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78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国泰中证国有企业改革指数证券投资基金</w:t>
            </w: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(LOF)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79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国泰民丰回报定期开放灵活配置混合型证券投资基金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80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国泰中证申万证券行业指数证券投资基金</w:t>
            </w: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(LOF)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81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国泰策略价值灵活配置混合型证券投资基金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82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国泰量化收益灵活配置混合型证券投资基金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83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国泰大农业股票型证券投资基金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84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国泰智能装备股票型证券投资基金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85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国泰融安多策略灵活配置混合型证券投资基金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86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国泰润鑫纯债债券型证券投资基金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87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国泰稳益定期开放灵活配置混合型证券投资基金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88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国泰宁益定期开放灵活配置混合型证券投资基金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89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国泰智能汽车股票型证券投资基金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90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上证</w:t>
            </w: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10</w:t>
            </w: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年期国债交易型开放式指数证券投资基金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91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国泰瞬利交易型货币市场基金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92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国泰民安增益定期开放灵活配置混合型证券投资基金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93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国泰中国企业信用精选债券型证券投资基金</w:t>
            </w: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(QDII)</w:t>
            </w:r>
          </w:p>
        </w:tc>
      </w:tr>
      <w:tr w:rsidR="0078779A" w:rsidRPr="0078779A" w:rsidTr="0078779A">
        <w:trPr>
          <w:trHeight w:val="275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9A" w:rsidRPr="0078779A" w:rsidRDefault="0078779A" w:rsidP="00466A0B">
            <w:pPr>
              <w:jc w:val="center"/>
              <w:rPr>
                <w:rFonts w:ascii="Times New Roman" w:hAnsi="Times New Roman"/>
              </w:rPr>
            </w:pPr>
            <w:r w:rsidRPr="0078779A">
              <w:rPr>
                <w:rFonts w:ascii="Times New Roman" w:hAnsi="Times New Roman"/>
              </w:rPr>
              <w:t>94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9A" w:rsidRPr="0078779A" w:rsidRDefault="0078779A" w:rsidP="00466A0B">
            <w:pPr>
              <w:widowControl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78779A">
              <w:rPr>
                <w:rFonts w:ascii="Times New Roman" w:eastAsiaTheme="minorEastAsia" w:hAnsi="Times New Roman"/>
                <w:bCs/>
                <w:kern w:val="0"/>
                <w:szCs w:val="21"/>
              </w:rPr>
              <w:t>国泰安心回报混合型证券投资基金</w:t>
            </w:r>
          </w:p>
        </w:tc>
      </w:tr>
    </w:tbl>
    <w:p w:rsidR="00DE7BCC" w:rsidRPr="0078779A" w:rsidRDefault="00DE7BCC" w:rsidP="0078779A">
      <w:pPr>
        <w:spacing w:line="360" w:lineRule="auto"/>
        <w:ind w:firstLineChars="200" w:firstLine="420"/>
        <w:rPr>
          <w:rFonts w:ascii="Times New Roman" w:eastAsiaTheme="minorEastAsia" w:hAnsiTheme="minorEastAsia"/>
          <w:kern w:val="0"/>
          <w:szCs w:val="21"/>
        </w:rPr>
      </w:pPr>
    </w:p>
    <w:p w:rsidR="007419EC" w:rsidRPr="0078779A" w:rsidRDefault="007419EC" w:rsidP="007419EC">
      <w:pPr>
        <w:spacing w:line="360" w:lineRule="auto"/>
        <w:ind w:firstLine="420"/>
        <w:rPr>
          <w:rFonts w:ascii="Times New Roman" w:eastAsiaTheme="minorEastAsia" w:hAnsi="Times New Roman"/>
          <w:kern w:val="0"/>
          <w:szCs w:val="21"/>
        </w:rPr>
      </w:pPr>
      <w:r w:rsidRPr="0078779A">
        <w:rPr>
          <w:rFonts w:ascii="Times New Roman" w:eastAsiaTheme="minorEastAsia" w:hAnsiTheme="minorEastAsia"/>
          <w:kern w:val="0"/>
          <w:szCs w:val="21"/>
        </w:rPr>
        <w:t>重要提示：</w:t>
      </w:r>
    </w:p>
    <w:p w:rsidR="007419EC" w:rsidRPr="0078779A" w:rsidRDefault="002204E7" w:rsidP="003F2C1E">
      <w:pPr>
        <w:spacing w:line="360" w:lineRule="auto"/>
        <w:ind w:firstLine="420"/>
        <w:rPr>
          <w:rFonts w:ascii="Times New Roman" w:eastAsiaTheme="minorEastAsia" w:hAnsi="Times New Roman"/>
          <w:kern w:val="0"/>
          <w:szCs w:val="21"/>
        </w:rPr>
      </w:pPr>
      <w:r w:rsidRPr="0078779A">
        <w:rPr>
          <w:rFonts w:ascii="Times New Roman" w:eastAsiaTheme="minorEastAsia" w:hAnsi="Times New Roman"/>
          <w:kern w:val="0"/>
          <w:szCs w:val="21"/>
        </w:rPr>
        <w:t>1</w:t>
      </w:r>
      <w:r w:rsidRPr="0078779A">
        <w:rPr>
          <w:rFonts w:ascii="Times New Roman" w:eastAsiaTheme="minorEastAsia" w:hAnsi="Times New Roman" w:hint="eastAsia"/>
          <w:kern w:val="0"/>
          <w:szCs w:val="21"/>
        </w:rPr>
        <w:t>、</w:t>
      </w:r>
      <w:r w:rsidR="003F2C1E" w:rsidRPr="0078779A">
        <w:rPr>
          <w:rFonts w:ascii="Times New Roman" w:eastAsiaTheme="minorEastAsia" w:hAnsi="Times New Roman" w:hint="eastAsia"/>
          <w:kern w:val="0"/>
          <w:szCs w:val="21"/>
        </w:rPr>
        <w:t>本次基金管理人系根据《</w:t>
      </w:r>
      <w:r w:rsidR="00DE7BCC" w:rsidRPr="0078779A">
        <w:rPr>
          <w:rFonts w:ascii="Times New Roman" w:eastAsiaTheme="minorEastAsia" w:hAnsi="Times New Roman" w:hint="eastAsia"/>
          <w:kern w:val="0"/>
          <w:szCs w:val="21"/>
        </w:rPr>
        <w:t>流动性风险</w:t>
      </w:r>
      <w:r w:rsidR="003F2C1E" w:rsidRPr="0078779A">
        <w:rPr>
          <w:rFonts w:ascii="Times New Roman" w:eastAsiaTheme="minorEastAsia" w:hAnsi="Times New Roman" w:hint="eastAsia"/>
          <w:kern w:val="0"/>
          <w:szCs w:val="21"/>
        </w:rPr>
        <w:t>管理规定》修改基金合同、托管协议，所修改内容可能对基金投资运作及投资者办理基金申购、赎回业务产生一定影响，包括且不限于：增加或调整了基金的部分投资限制规定；对</w:t>
      </w:r>
      <w:r w:rsidR="00573FB3" w:rsidRPr="0078779A">
        <w:rPr>
          <w:rFonts w:ascii="Times New Roman" w:eastAsiaTheme="minorEastAsia" w:hAnsi="Times New Roman" w:hint="eastAsia"/>
          <w:kern w:val="0"/>
          <w:szCs w:val="21"/>
        </w:rPr>
        <w:t>部分基金</w:t>
      </w:r>
      <w:r w:rsidR="003F2C1E" w:rsidRPr="0078779A">
        <w:rPr>
          <w:rFonts w:ascii="Times New Roman" w:eastAsiaTheme="minorEastAsia" w:hAnsi="Times New Roman" w:hint="eastAsia"/>
          <w:kern w:val="0"/>
          <w:szCs w:val="21"/>
        </w:rPr>
        <w:t>持续持有期少于</w:t>
      </w:r>
      <w:r w:rsidR="003F2C1E" w:rsidRPr="0078779A">
        <w:rPr>
          <w:rFonts w:ascii="Times New Roman" w:eastAsiaTheme="minorEastAsia" w:hAnsi="Times New Roman"/>
          <w:kern w:val="0"/>
          <w:szCs w:val="21"/>
        </w:rPr>
        <w:t>7</w:t>
      </w:r>
      <w:r w:rsidR="003F2C1E" w:rsidRPr="0078779A">
        <w:rPr>
          <w:rFonts w:ascii="Times New Roman" w:eastAsiaTheme="minorEastAsia" w:hAnsi="Times New Roman" w:hint="eastAsia"/>
          <w:kern w:val="0"/>
          <w:szCs w:val="21"/>
        </w:rPr>
        <w:t>日的基金份额持有人收取不低于</w:t>
      </w:r>
      <w:r w:rsidR="003F2C1E" w:rsidRPr="0078779A">
        <w:rPr>
          <w:rFonts w:ascii="Times New Roman" w:eastAsiaTheme="minorEastAsia" w:hAnsi="Times New Roman"/>
          <w:kern w:val="0"/>
          <w:szCs w:val="21"/>
        </w:rPr>
        <w:t>1.50%</w:t>
      </w:r>
      <w:r w:rsidR="003F2C1E" w:rsidRPr="0078779A">
        <w:rPr>
          <w:rFonts w:ascii="Times New Roman" w:eastAsiaTheme="minorEastAsia" w:hAnsi="Times New Roman" w:hint="eastAsia"/>
          <w:kern w:val="0"/>
          <w:szCs w:val="21"/>
        </w:rPr>
        <w:t>的赎回费并全额计入基金财产；在规定的特定情形下可能会对投资者的申购</w:t>
      </w:r>
      <w:r w:rsidR="003F2C1E" w:rsidRPr="0078779A">
        <w:rPr>
          <w:rFonts w:ascii="Times New Roman" w:eastAsiaTheme="minorEastAsia" w:hAnsi="Times New Roman"/>
          <w:kern w:val="0"/>
          <w:szCs w:val="21"/>
        </w:rPr>
        <w:t>/</w:t>
      </w:r>
      <w:r w:rsidR="003F2C1E" w:rsidRPr="0078779A">
        <w:rPr>
          <w:rFonts w:ascii="Times New Roman" w:eastAsiaTheme="minorEastAsia" w:hAnsi="Times New Roman" w:hint="eastAsia"/>
          <w:kern w:val="0"/>
          <w:szCs w:val="21"/>
        </w:rPr>
        <w:t>赎回申请数量进行限制、临时拒绝或暂停申购</w:t>
      </w:r>
      <w:r w:rsidR="003F2C1E" w:rsidRPr="0078779A">
        <w:rPr>
          <w:rFonts w:ascii="Times New Roman" w:eastAsiaTheme="minorEastAsia" w:hAnsi="Times New Roman"/>
          <w:kern w:val="0"/>
          <w:szCs w:val="21"/>
        </w:rPr>
        <w:t>/</w:t>
      </w:r>
      <w:r w:rsidR="003F2C1E" w:rsidRPr="0078779A">
        <w:rPr>
          <w:rFonts w:ascii="Times New Roman" w:eastAsiaTheme="minorEastAsia" w:hAnsi="Times New Roman" w:hint="eastAsia"/>
          <w:kern w:val="0"/>
          <w:szCs w:val="21"/>
        </w:rPr>
        <w:t>赎回申请、对部分赎回申请进行延期办理等，由此可能导致投资者的申购和赎回申请无法全部及时处理，从而可能影响投资者的资金安排及投资计划。敬请投资者关注以上变化和影响，并仔细阅读</w:t>
      </w:r>
      <w:r w:rsidR="003D461A" w:rsidRPr="0078779A">
        <w:rPr>
          <w:rFonts w:ascii="Times New Roman" w:eastAsiaTheme="minorEastAsia" w:hAnsi="Times New Roman" w:hint="eastAsia"/>
          <w:kern w:val="0"/>
          <w:szCs w:val="21"/>
        </w:rPr>
        <w:t>本公告</w:t>
      </w:r>
      <w:r w:rsidR="003F2C1E" w:rsidRPr="0078779A">
        <w:rPr>
          <w:rFonts w:ascii="Times New Roman" w:eastAsiaTheme="minorEastAsia" w:hAnsi="Times New Roman" w:hint="eastAsia"/>
          <w:kern w:val="0"/>
          <w:szCs w:val="21"/>
        </w:rPr>
        <w:t>及相关法律文件，审慎进行投资决策。</w:t>
      </w:r>
    </w:p>
    <w:p w:rsidR="002204E7" w:rsidRPr="0078779A" w:rsidRDefault="002204E7" w:rsidP="002204E7">
      <w:pPr>
        <w:spacing w:line="360" w:lineRule="auto"/>
        <w:ind w:firstLine="420"/>
        <w:rPr>
          <w:rFonts w:ascii="Times New Roman" w:eastAsiaTheme="minorEastAsia" w:hAnsi="Times New Roman"/>
          <w:kern w:val="0"/>
          <w:szCs w:val="21"/>
        </w:rPr>
      </w:pPr>
      <w:r w:rsidRPr="0078779A">
        <w:rPr>
          <w:rFonts w:ascii="Times New Roman" w:eastAsiaTheme="minorEastAsia" w:hAnsi="Times New Roman"/>
          <w:kern w:val="0"/>
          <w:szCs w:val="21"/>
        </w:rPr>
        <w:t>2</w:t>
      </w:r>
      <w:r w:rsidRPr="0078779A">
        <w:rPr>
          <w:rFonts w:ascii="Times New Roman" w:eastAsiaTheme="minorEastAsia" w:hAnsi="Times New Roman" w:hint="eastAsia"/>
          <w:kern w:val="0"/>
          <w:szCs w:val="21"/>
        </w:rPr>
        <w:t>、本公司将在各基金届时的更新招募说明书中相应更新此次修改内容。</w:t>
      </w:r>
    </w:p>
    <w:p w:rsidR="007419EC" w:rsidRPr="0078779A" w:rsidRDefault="002204E7" w:rsidP="007419EC">
      <w:pPr>
        <w:spacing w:line="360" w:lineRule="auto"/>
        <w:ind w:firstLine="420"/>
        <w:rPr>
          <w:rFonts w:ascii="Times New Roman" w:eastAsiaTheme="minorEastAsia" w:hAnsi="Times New Roman"/>
          <w:kern w:val="0"/>
          <w:szCs w:val="21"/>
        </w:rPr>
      </w:pPr>
      <w:r w:rsidRPr="0078779A">
        <w:rPr>
          <w:rFonts w:ascii="Times New Roman" w:eastAsiaTheme="minorEastAsia" w:hAnsi="Times New Roman"/>
          <w:kern w:val="0"/>
          <w:szCs w:val="21"/>
        </w:rPr>
        <w:t>3</w:t>
      </w:r>
      <w:r w:rsidR="007419EC" w:rsidRPr="0078779A">
        <w:rPr>
          <w:rFonts w:ascii="Times New Roman" w:eastAsiaTheme="minorEastAsia" w:hAnsi="Times New Roman" w:hint="eastAsia"/>
          <w:kern w:val="0"/>
          <w:szCs w:val="21"/>
        </w:rPr>
        <w:t>、本公告的最终解释权归本公司所有。投资人欲了解更多详细情况，可拨打本公司的</w:t>
      </w:r>
      <w:r w:rsidR="007419EC" w:rsidRPr="0078779A">
        <w:rPr>
          <w:rFonts w:ascii="Times New Roman" w:eastAsiaTheme="minorEastAsia" w:hAnsi="Times New Roman" w:hint="eastAsia"/>
          <w:kern w:val="0"/>
          <w:szCs w:val="21"/>
        </w:rPr>
        <w:lastRenderedPageBreak/>
        <w:t>客户服务电话</w:t>
      </w:r>
      <w:r w:rsidR="007419EC" w:rsidRPr="0078779A">
        <w:rPr>
          <w:rFonts w:ascii="Times New Roman" w:eastAsiaTheme="minorEastAsia" w:hAnsi="Times New Roman"/>
          <w:kern w:val="0"/>
          <w:szCs w:val="21"/>
        </w:rPr>
        <w:t>400-888-8688</w:t>
      </w:r>
      <w:r w:rsidR="007419EC" w:rsidRPr="0078779A">
        <w:rPr>
          <w:rFonts w:ascii="Times New Roman" w:eastAsiaTheme="minorEastAsia" w:hAnsi="Times New Roman" w:hint="eastAsia"/>
          <w:kern w:val="0"/>
          <w:szCs w:val="21"/>
        </w:rPr>
        <w:t>进行咨询。</w:t>
      </w:r>
    </w:p>
    <w:p w:rsidR="007419EC" w:rsidRPr="0078779A" w:rsidRDefault="002204E7" w:rsidP="007419EC">
      <w:pPr>
        <w:spacing w:line="360" w:lineRule="auto"/>
        <w:ind w:firstLine="420"/>
        <w:rPr>
          <w:rFonts w:ascii="Times New Roman" w:eastAsiaTheme="minorEastAsia" w:hAnsi="Times New Roman"/>
          <w:kern w:val="0"/>
          <w:szCs w:val="21"/>
        </w:rPr>
      </w:pPr>
      <w:r w:rsidRPr="0078779A">
        <w:rPr>
          <w:rFonts w:ascii="Times New Roman" w:eastAsiaTheme="minorEastAsia" w:hAnsi="Times New Roman"/>
          <w:kern w:val="0"/>
          <w:szCs w:val="21"/>
        </w:rPr>
        <w:t>4</w:t>
      </w:r>
      <w:r w:rsidR="007419EC" w:rsidRPr="0078779A">
        <w:rPr>
          <w:rFonts w:ascii="Times New Roman" w:eastAsiaTheme="minorEastAsia" w:hAnsiTheme="minorEastAsia"/>
          <w:kern w:val="0"/>
          <w:szCs w:val="21"/>
        </w:rPr>
        <w:t>、本公司承诺以诚实信用、勤勉尽责的原则管理和运用基金资产，但不保证基金一定盈利，也不保证最低收益。投资者投资于本公司管理的基金时应认真阅读基金合同、招募说明书等法律文件，并注意投资风险。</w:t>
      </w:r>
    </w:p>
    <w:bookmarkEnd w:id="0"/>
    <w:bookmarkEnd w:id="1"/>
    <w:p w:rsidR="00E538BF" w:rsidRPr="0078779A" w:rsidRDefault="00E538BF" w:rsidP="001366D6">
      <w:pPr>
        <w:spacing w:line="360" w:lineRule="auto"/>
        <w:ind w:firstLine="420"/>
        <w:rPr>
          <w:rFonts w:ascii="Times New Roman" w:eastAsiaTheme="minorEastAsia" w:hAnsiTheme="minorEastAsia"/>
          <w:kern w:val="0"/>
          <w:szCs w:val="21"/>
        </w:rPr>
      </w:pPr>
    </w:p>
    <w:p w:rsidR="001366D6" w:rsidRPr="0078779A" w:rsidRDefault="001366D6" w:rsidP="001366D6">
      <w:pPr>
        <w:spacing w:line="360" w:lineRule="auto"/>
        <w:ind w:firstLine="420"/>
        <w:rPr>
          <w:rFonts w:ascii="Times New Roman" w:eastAsiaTheme="minorEastAsia" w:hAnsi="Times New Roman"/>
          <w:kern w:val="0"/>
          <w:szCs w:val="21"/>
        </w:rPr>
      </w:pPr>
      <w:r w:rsidRPr="0078779A">
        <w:rPr>
          <w:rFonts w:ascii="Times New Roman" w:eastAsiaTheme="minorEastAsia" w:hAnsiTheme="minorEastAsia"/>
          <w:kern w:val="0"/>
          <w:szCs w:val="21"/>
        </w:rPr>
        <w:t>特此公告。</w:t>
      </w:r>
      <w:r w:rsidRPr="0078779A">
        <w:rPr>
          <w:rFonts w:ascii="Times New Roman" w:eastAsiaTheme="minorEastAsia" w:hAnsi="Times New Roman"/>
          <w:kern w:val="0"/>
          <w:szCs w:val="21"/>
        </w:rPr>
        <w:cr/>
      </w:r>
      <w:bookmarkStart w:id="2" w:name="_GoBack"/>
      <w:bookmarkEnd w:id="2"/>
    </w:p>
    <w:p w:rsidR="00DE7BCC" w:rsidRPr="0078779A" w:rsidRDefault="00DE7BCC" w:rsidP="001366D6">
      <w:pPr>
        <w:spacing w:line="360" w:lineRule="auto"/>
        <w:ind w:firstLine="420"/>
        <w:rPr>
          <w:rFonts w:ascii="Times New Roman" w:eastAsiaTheme="minorEastAsia" w:hAnsi="Times New Roman"/>
          <w:kern w:val="0"/>
          <w:szCs w:val="21"/>
        </w:rPr>
      </w:pPr>
      <w:r w:rsidRPr="0078779A">
        <w:rPr>
          <w:rFonts w:ascii="Times New Roman" w:eastAsiaTheme="minorEastAsia" w:hAnsi="Times New Roman" w:hint="eastAsia"/>
          <w:kern w:val="0"/>
          <w:szCs w:val="21"/>
        </w:rPr>
        <w:t>附件：基金合同、托管协议修改对照表</w:t>
      </w:r>
    </w:p>
    <w:p w:rsidR="001366D6" w:rsidRDefault="001366D6" w:rsidP="0078779A">
      <w:pPr>
        <w:spacing w:line="360" w:lineRule="auto"/>
        <w:ind w:right="120" w:firstLineChars="200" w:firstLine="420"/>
        <w:jc w:val="right"/>
        <w:rPr>
          <w:rFonts w:ascii="Times New Roman" w:eastAsiaTheme="minorEastAsia" w:hAnsi="Times New Roman"/>
          <w:kern w:val="0"/>
          <w:szCs w:val="21"/>
        </w:rPr>
      </w:pPr>
    </w:p>
    <w:p w:rsidR="00892367" w:rsidRDefault="00892367" w:rsidP="0078779A">
      <w:pPr>
        <w:spacing w:line="360" w:lineRule="auto"/>
        <w:ind w:right="120" w:firstLineChars="200" w:firstLine="420"/>
        <w:jc w:val="right"/>
        <w:rPr>
          <w:rFonts w:ascii="Times New Roman" w:eastAsiaTheme="minorEastAsia" w:hAnsi="Times New Roman"/>
          <w:kern w:val="0"/>
          <w:szCs w:val="21"/>
        </w:rPr>
      </w:pPr>
    </w:p>
    <w:p w:rsidR="00892367" w:rsidRPr="0078779A" w:rsidRDefault="00892367" w:rsidP="0078779A">
      <w:pPr>
        <w:spacing w:line="360" w:lineRule="auto"/>
        <w:ind w:right="120" w:firstLineChars="200" w:firstLine="420"/>
        <w:jc w:val="right"/>
        <w:rPr>
          <w:rFonts w:ascii="Times New Roman" w:eastAsiaTheme="minorEastAsia" w:hAnsi="Times New Roman"/>
          <w:kern w:val="0"/>
          <w:szCs w:val="21"/>
        </w:rPr>
      </w:pPr>
    </w:p>
    <w:p w:rsidR="001366D6" w:rsidRPr="0078779A" w:rsidRDefault="001366D6" w:rsidP="0078779A">
      <w:pPr>
        <w:spacing w:line="360" w:lineRule="auto"/>
        <w:ind w:firstLineChars="200" w:firstLine="420"/>
        <w:jc w:val="right"/>
        <w:rPr>
          <w:rFonts w:ascii="Times New Roman" w:eastAsiaTheme="minorEastAsia" w:hAnsi="Times New Roman"/>
          <w:kern w:val="0"/>
          <w:szCs w:val="21"/>
        </w:rPr>
      </w:pPr>
      <w:r w:rsidRPr="0078779A">
        <w:rPr>
          <w:rFonts w:ascii="Times New Roman" w:eastAsiaTheme="minorEastAsia" w:hAnsiTheme="minorEastAsia"/>
          <w:kern w:val="0"/>
          <w:szCs w:val="21"/>
        </w:rPr>
        <w:t>国泰基金管理有限公司</w:t>
      </w:r>
    </w:p>
    <w:p w:rsidR="0082361A" w:rsidRPr="009C2676" w:rsidRDefault="001366D6" w:rsidP="00892367">
      <w:pPr>
        <w:spacing w:line="360" w:lineRule="auto"/>
        <w:ind w:firstLineChars="200" w:firstLine="420"/>
        <w:jc w:val="right"/>
        <w:rPr>
          <w:rFonts w:ascii="Times New Roman" w:hAnsi="Times New Roman"/>
        </w:rPr>
      </w:pPr>
      <w:r w:rsidRPr="0078779A">
        <w:rPr>
          <w:rFonts w:ascii="Times New Roman" w:eastAsiaTheme="minorEastAsia" w:hAnsiTheme="minorEastAsia"/>
          <w:kern w:val="0"/>
          <w:szCs w:val="21"/>
        </w:rPr>
        <w:t>二〇一</w:t>
      </w:r>
      <w:r w:rsidR="00B2286E" w:rsidRPr="0078779A">
        <w:rPr>
          <w:rFonts w:ascii="Times New Roman" w:eastAsiaTheme="minorEastAsia" w:hAnsiTheme="minorEastAsia" w:hint="eastAsia"/>
          <w:kern w:val="0"/>
          <w:szCs w:val="21"/>
        </w:rPr>
        <w:t>八</w:t>
      </w:r>
      <w:r w:rsidRPr="0078779A">
        <w:rPr>
          <w:rFonts w:ascii="Times New Roman" w:eastAsiaTheme="minorEastAsia" w:hAnsiTheme="minorEastAsia"/>
          <w:kern w:val="0"/>
          <w:szCs w:val="21"/>
        </w:rPr>
        <w:t>年</w:t>
      </w:r>
      <w:r w:rsidR="00B2286E" w:rsidRPr="0078779A">
        <w:rPr>
          <w:rFonts w:ascii="Times New Roman" w:eastAsiaTheme="minorEastAsia" w:hAnsi="Times New Roman" w:hint="eastAsia"/>
          <w:kern w:val="0"/>
          <w:szCs w:val="21"/>
        </w:rPr>
        <w:t>三</w:t>
      </w:r>
      <w:r w:rsidRPr="0078779A">
        <w:rPr>
          <w:rFonts w:ascii="Times New Roman" w:eastAsiaTheme="minorEastAsia" w:hAnsiTheme="minorEastAsia"/>
          <w:kern w:val="0"/>
          <w:szCs w:val="21"/>
        </w:rPr>
        <w:t>月</w:t>
      </w:r>
      <w:r w:rsidR="00B2286E" w:rsidRPr="0078779A">
        <w:rPr>
          <w:rFonts w:ascii="Times New Roman" w:eastAsiaTheme="minorEastAsia" w:hAnsi="Times New Roman" w:hint="eastAsia"/>
          <w:kern w:val="0"/>
          <w:szCs w:val="21"/>
        </w:rPr>
        <w:t>二十</w:t>
      </w:r>
      <w:r w:rsidR="009B679B" w:rsidRPr="0078779A">
        <w:rPr>
          <w:rFonts w:ascii="Times New Roman" w:eastAsiaTheme="minorEastAsia" w:hAnsi="Times New Roman" w:hint="eastAsia"/>
          <w:kern w:val="0"/>
          <w:szCs w:val="21"/>
        </w:rPr>
        <w:t>三</w:t>
      </w:r>
      <w:r w:rsidRPr="0078779A">
        <w:rPr>
          <w:rFonts w:ascii="Times New Roman" w:eastAsiaTheme="minorEastAsia" w:hAnsiTheme="minorEastAsia"/>
          <w:kern w:val="0"/>
          <w:szCs w:val="21"/>
        </w:rPr>
        <w:t>日</w:t>
      </w:r>
    </w:p>
    <w:sectPr w:rsidR="0082361A" w:rsidRPr="009C2676" w:rsidSect="0031162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210" w:rsidRDefault="00454210" w:rsidP="000E6501">
      <w:r>
        <w:separator/>
      </w:r>
    </w:p>
  </w:endnote>
  <w:endnote w:type="continuationSeparator" w:id="1">
    <w:p w:rsidR="00454210" w:rsidRDefault="00454210" w:rsidP="000E6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88B" w:rsidRPr="006B6E2D" w:rsidRDefault="00A56002" w:rsidP="006B6E2D">
    <w:pPr>
      <w:pStyle w:val="a3"/>
      <w:jc w:val="center"/>
      <w:rPr>
        <w:rFonts w:ascii="Times New Roman" w:hAnsi="Times New Roman"/>
      </w:rPr>
    </w:pPr>
    <w:r w:rsidRPr="006B6E2D">
      <w:rPr>
        <w:rFonts w:ascii="Times New Roman" w:hAnsi="Times New Roman"/>
      </w:rPr>
      <w:fldChar w:fldCharType="begin"/>
    </w:r>
    <w:r w:rsidR="00D76DE7" w:rsidRPr="006B6E2D">
      <w:rPr>
        <w:rFonts w:ascii="Times New Roman" w:hAnsi="Times New Roman"/>
      </w:rPr>
      <w:instrText xml:space="preserve"> PAGE   \* MERGEFORMAT </w:instrText>
    </w:r>
    <w:r w:rsidRPr="006B6E2D">
      <w:rPr>
        <w:rFonts w:ascii="Times New Roman" w:hAnsi="Times New Roman"/>
      </w:rPr>
      <w:fldChar w:fldCharType="separate"/>
    </w:r>
    <w:r w:rsidR="00CB55A2" w:rsidRPr="00CB55A2">
      <w:rPr>
        <w:rFonts w:ascii="Times New Roman" w:hAnsi="Times New Roman"/>
        <w:noProof/>
        <w:lang w:val="zh-CN"/>
      </w:rPr>
      <w:t>1</w:t>
    </w:r>
    <w:r w:rsidRPr="006B6E2D"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210" w:rsidRDefault="00454210" w:rsidP="000E6501">
      <w:r>
        <w:separator/>
      </w:r>
    </w:p>
  </w:footnote>
  <w:footnote w:type="continuationSeparator" w:id="1">
    <w:p w:rsidR="00454210" w:rsidRDefault="00454210" w:rsidP="000E65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17702"/>
    <w:multiLevelType w:val="hybridMultilevel"/>
    <w:tmpl w:val="590A3948"/>
    <w:lvl w:ilvl="0" w:tplc="BA26CDB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66D6"/>
    <w:rsid w:val="00004958"/>
    <w:rsid w:val="0003502D"/>
    <w:rsid w:val="0006301E"/>
    <w:rsid w:val="000E6501"/>
    <w:rsid w:val="000E7CA5"/>
    <w:rsid w:val="000F120F"/>
    <w:rsid w:val="000F2F27"/>
    <w:rsid w:val="001366D6"/>
    <w:rsid w:val="00140133"/>
    <w:rsid w:val="00173532"/>
    <w:rsid w:val="001E32EB"/>
    <w:rsid w:val="001F7374"/>
    <w:rsid w:val="00206ADC"/>
    <w:rsid w:val="002204E7"/>
    <w:rsid w:val="002A3B6E"/>
    <w:rsid w:val="002B28B0"/>
    <w:rsid w:val="00365108"/>
    <w:rsid w:val="003A4C42"/>
    <w:rsid w:val="003D461A"/>
    <w:rsid w:val="003F2C1E"/>
    <w:rsid w:val="00416B37"/>
    <w:rsid w:val="00454210"/>
    <w:rsid w:val="00466A0B"/>
    <w:rsid w:val="00480FDB"/>
    <w:rsid w:val="00492E7D"/>
    <w:rsid w:val="00503AA2"/>
    <w:rsid w:val="005306AD"/>
    <w:rsid w:val="005543D1"/>
    <w:rsid w:val="00573FB3"/>
    <w:rsid w:val="005B199C"/>
    <w:rsid w:val="005C4938"/>
    <w:rsid w:val="005F412D"/>
    <w:rsid w:val="00605C9C"/>
    <w:rsid w:val="00623A52"/>
    <w:rsid w:val="006706A5"/>
    <w:rsid w:val="006A336C"/>
    <w:rsid w:val="00702184"/>
    <w:rsid w:val="007021B9"/>
    <w:rsid w:val="00727B2F"/>
    <w:rsid w:val="007419EC"/>
    <w:rsid w:val="007752E1"/>
    <w:rsid w:val="0078779A"/>
    <w:rsid w:val="007D41C0"/>
    <w:rsid w:val="008006F0"/>
    <w:rsid w:val="00802EA2"/>
    <w:rsid w:val="0082361A"/>
    <w:rsid w:val="008243EF"/>
    <w:rsid w:val="00825163"/>
    <w:rsid w:val="008319BA"/>
    <w:rsid w:val="00870162"/>
    <w:rsid w:val="00873D39"/>
    <w:rsid w:val="00892367"/>
    <w:rsid w:val="00895375"/>
    <w:rsid w:val="008D6854"/>
    <w:rsid w:val="00903B82"/>
    <w:rsid w:val="009B679B"/>
    <w:rsid w:val="009B6E42"/>
    <w:rsid w:val="009C2676"/>
    <w:rsid w:val="00A07A14"/>
    <w:rsid w:val="00A56002"/>
    <w:rsid w:val="00A919E3"/>
    <w:rsid w:val="00AB46A6"/>
    <w:rsid w:val="00AD6F86"/>
    <w:rsid w:val="00B057AF"/>
    <w:rsid w:val="00B16937"/>
    <w:rsid w:val="00B2286E"/>
    <w:rsid w:val="00BB2E2D"/>
    <w:rsid w:val="00C87624"/>
    <w:rsid w:val="00C95479"/>
    <w:rsid w:val="00CA3DF5"/>
    <w:rsid w:val="00CA4C2C"/>
    <w:rsid w:val="00CB55A2"/>
    <w:rsid w:val="00D2091D"/>
    <w:rsid w:val="00D7461F"/>
    <w:rsid w:val="00D76DE7"/>
    <w:rsid w:val="00D820D8"/>
    <w:rsid w:val="00DB3BC5"/>
    <w:rsid w:val="00DE7BCC"/>
    <w:rsid w:val="00E11FF6"/>
    <w:rsid w:val="00E538BF"/>
    <w:rsid w:val="00E86C0F"/>
    <w:rsid w:val="00EB2B5F"/>
    <w:rsid w:val="00F63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6D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366D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366D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03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03B82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51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5108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B2286E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E538BF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E538BF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E538BF"/>
    <w:rPr>
      <w:rFonts w:ascii="Calibri" w:eastAsia="宋体" w:hAnsi="Calibri" w:cs="Times New Roman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E538BF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E538BF"/>
    <w:rPr>
      <w:rFonts w:ascii="Calibri" w:eastAsia="宋体" w:hAnsi="Calibri" w:cs="Times New Roman"/>
      <w:b/>
      <w:bCs/>
    </w:rPr>
  </w:style>
  <w:style w:type="paragraph" w:styleId="aa">
    <w:name w:val="Revision"/>
    <w:hidden/>
    <w:uiPriority w:val="99"/>
    <w:semiHidden/>
    <w:rsid w:val="0078779A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aidu.com/link?url=y7o-lHBO78_adw5_wvB-LEV4vKLijDk8HuOtmlnyYdLbR5rnTit_cHiPHzHS8vdMosrana0kztT-kvOYVnAO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464</Words>
  <Characters>2647</Characters>
  <Application>Microsoft Office Word</Application>
  <DocSecurity>4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曹晨佶:</dc:creator>
  <cp:lastModifiedBy>ZHONGM</cp:lastModifiedBy>
  <cp:revision>2</cp:revision>
  <cp:lastPrinted>2018-03-22T02:39:00Z</cp:lastPrinted>
  <dcterms:created xsi:type="dcterms:W3CDTF">2018-03-22T16:45:00Z</dcterms:created>
  <dcterms:modified xsi:type="dcterms:W3CDTF">2018-03-22T16:45:00Z</dcterms:modified>
</cp:coreProperties>
</file>