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CC5A26">
      <w:pPr>
        <w:spacing w:line="360" w:lineRule="auto"/>
        <w:jc w:val="center"/>
        <w:rPr>
          <w:rFonts w:eastAsiaTheme="minorEastAsia"/>
          <w:b/>
          <w:sz w:val="36"/>
          <w:szCs w:val="36"/>
        </w:rPr>
      </w:pPr>
      <w:r w:rsidRPr="00D42BE5">
        <w:rPr>
          <w:rFonts w:eastAsiaTheme="minorEastAsia"/>
          <w:b/>
          <w:sz w:val="36"/>
          <w:szCs w:val="36"/>
        </w:rPr>
        <w:t>国泰</w:t>
      </w:r>
      <w:r w:rsidR="00F44F4B">
        <w:rPr>
          <w:rFonts w:eastAsiaTheme="minorEastAsia" w:hint="eastAsia"/>
          <w:b/>
          <w:sz w:val="36"/>
          <w:szCs w:val="36"/>
        </w:rPr>
        <w:t>美国房地产开发股票</w:t>
      </w:r>
      <w:r w:rsidR="00CC5A26">
        <w:rPr>
          <w:rFonts w:eastAsiaTheme="minorEastAsia" w:hint="eastAsia"/>
          <w:b/>
          <w:sz w:val="36"/>
          <w:szCs w:val="36"/>
        </w:rPr>
        <w:t>型</w:t>
      </w:r>
      <w:r w:rsidRPr="00D42BE5">
        <w:rPr>
          <w:rFonts w:eastAsiaTheme="minorEastAsia"/>
          <w:b/>
          <w:sz w:val="36"/>
          <w:szCs w:val="36"/>
        </w:rPr>
        <w:t>证券投资基金</w:t>
      </w:r>
      <w:r w:rsidR="002E7173">
        <w:rPr>
          <w:rFonts w:eastAsiaTheme="minorEastAsia" w:hint="eastAsia"/>
          <w:b/>
          <w:sz w:val="36"/>
          <w:szCs w:val="36"/>
        </w:rPr>
        <w:t>清算</w:t>
      </w:r>
      <w:r w:rsidRPr="00D42BE5">
        <w:rPr>
          <w:rFonts w:eastAsiaTheme="minorEastAsia"/>
          <w:b/>
          <w:sz w:val="36"/>
          <w:szCs w:val="36"/>
        </w:rPr>
        <w:t>报告</w:t>
      </w:r>
    </w:p>
    <w:p w:rsidR="001548F9" w:rsidRPr="00D42BE5" w:rsidRDefault="001548F9" w:rsidP="005B2B01">
      <w:pPr>
        <w:spacing w:line="360" w:lineRule="auto"/>
        <w:jc w:val="center"/>
        <w:rPr>
          <w:rFonts w:eastAsiaTheme="minorEastAsia"/>
          <w:b/>
          <w:sz w:val="36"/>
          <w:szCs w:val="36"/>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AF0BE6"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rPr>
          <w:b/>
          <w:color w:val="000000"/>
          <w:szCs w:val="21"/>
        </w:rPr>
      </w:pPr>
    </w:p>
    <w:p w:rsidR="001548F9" w:rsidRPr="00D42BE5" w:rsidRDefault="001548F9" w:rsidP="00067CB4">
      <w:pPr>
        <w:spacing w:line="360" w:lineRule="auto"/>
        <w:ind w:firstLineChars="900" w:firstLine="2168"/>
        <w:rPr>
          <w:rFonts w:eastAsiaTheme="minorEastAsia"/>
          <w:b/>
          <w:color w:val="000000"/>
          <w:sz w:val="24"/>
        </w:rPr>
      </w:pPr>
      <w:r w:rsidRPr="00D42BE5">
        <w:rPr>
          <w:rFonts w:eastAsiaTheme="minorEastAsia"/>
          <w:b/>
          <w:color w:val="000000"/>
          <w:sz w:val="24"/>
        </w:rPr>
        <w:t>基金管理人：国泰基金管理有限公司</w:t>
      </w:r>
    </w:p>
    <w:p w:rsidR="001548F9" w:rsidRPr="00D42BE5" w:rsidRDefault="001548F9" w:rsidP="00067CB4">
      <w:pPr>
        <w:spacing w:line="360" w:lineRule="auto"/>
        <w:ind w:firstLineChars="900" w:firstLine="2168"/>
        <w:rPr>
          <w:rFonts w:eastAsiaTheme="minorEastAsia"/>
          <w:b/>
          <w:color w:val="000000"/>
          <w:sz w:val="24"/>
        </w:rPr>
      </w:pPr>
      <w:r w:rsidRPr="00D42BE5">
        <w:rPr>
          <w:rFonts w:eastAsiaTheme="minorEastAsia"/>
          <w:b/>
          <w:color w:val="000000"/>
          <w:sz w:val="24"/>
        </w:rPr>
        <w:t>基金托管人：</w:t>
      </w:r>
      <w:r w:rsidR="00F44F4B">
        <w:rPr>
          <w:rFonts w:eastAsiaTheme="minorEastAsia" w:hint="eastAsia"/>
          <w:b/>
          <w:color w:val="000000"/>
          <w:sz w:val="24"/>
        </w:rPr>
        <w:t>中国</w:t>
      </w:r>
      <w:r w:rsidR="00BA6FB1">
        <w:rPr>
          <w:rFonts w:eastAsiaTheme="minorEastAsia"/>
          <w:b/>
          <w:color w:val="000000"/>
          <w:sz w:val="24"/>
        </w:rPr>
        <w:t>银行股份有限公司</w:t>
      </w:r>
    </w:p>
    <w:p w:rsidR="001548F9" w:rsidRPr="00AF0BE6" w:rsidRDefault="0040043A" w:rsidP="00067CB4">
      <w:pPr>
        <w:spacing w:line="360" w:lineRule="auto"/>
        <w:ind w:firstLineChars="900" w:firstLine="2168"/>
        <w:rPr>
          <w:rFonts w:eastAsiaTheme="minorEastAsia"/>
          <w:b/>
          <w:sz w:val="24"/>
        </w:rPr>
      </w:pPr>
      <w:r w:rsidRPr="00AF0BE6">
        <w:rPr>
          <w:rFonts w:eastAsiaTheme="minorEastAsia" w:hint="eastAsia"/>
          <w:b/>
          <w:sz w:val="24"/>
        </w:rPr>
        <w:t>公告</w:t>
      </w:r>
      <w:r w:rsidR="001548F9" w:rsidRPr="00AF0BE6">
        <w:rPr>
          <w:rFonts w:eastAsiaTheme="minorEastAsia"/>
          <w:b/>
          <w:sz w:val="24"/>
        </w:rPr>
        <w:t>日期：</w:t>
      </w:r>
      <w:r w:rsidRPr="00AF0BE6">
        <w:rPr>
          <w:rFonts w:eastAsiaTheme="minorEastAsia" w:hint="eastAsia"/>
          <w:b/>
          <w:sz w:val="24"/>
        </w:rPr>
        <w:t>201</w:t>
      </w:r>
      <w:r w:rsidR="00F44F4B">
        <w:rPr>
          <w:rFonts w:eastAsiaTheme="minorEastAsia" w:hint="eastAsia"/>
          <w:b/>
          <w:sz w:val="24"/>
        </w:rPr>
        <w:t>8</w:t>
      </w:r>
      <w:r w:rsidRPr="00AF0BE6">
        <w:rPr>
          <w:rFonts w:eastAsiaTheme="minorEastAsia"/>
          <w:b/>
          <w:sz w:val="24"/>
        </w:rPr>
        <w:t>年</w:t>
      </w:r>
      <w:r w:rsidR="00EB33EA">
        <w:rPr>
          <w:rFonts w:eastAsiaTheme="minorEastAsia"/>
          <w:b/>
          <w:sz w:val="24"/>
        </w:rPr>
        <w:t>3</w:t>
      </w:r>
      <w:r w:rsidR="001548F9" w:rsidRPr="00AF0BE6">
        <w:rPr>
          <w:rFonts w:eastAsiaTheme="minorEastAsia"/>
          <w:b/>
          <w:sz w:val="24"/>
        </w:rPr>
        <w:t>月</w:t>
      </w:r>
      <w:r w:rsidR="00EB33EA">
        <w:rPr>
          <w:rFonts w:eastAsiaTheme="minorEastAsia"/>
          <w:b/>
          <w:sz w:val="24"/>
        </w:rPr>
        <w:t>9</w:t>
      </w:r>
      <w:r w:rsidR="001548F9" w:rsidRPr="00AF0BE6">
        <w:rPr>
          <w:rFonts w:eastAsiaTheme="minorEastAsia"/>
          <w:b/>
          <w:sz w:val="24"/>
        </w:rPr>
        <w:t>日</w:t>
      </w:r>
    </w:p>
    <w:p w:rsidR="001548F9" w:rsidRPr="00F44F4B" w:rsidRDefault="001548F9" w:rsidP="006D141C">
      <w:pPr>
        <w:widowControl/>
        <w:jc w:val="left"/>
        <w:rPr>
          <w:color w:val="000000"/>
          <w:szCs w:val="21"/>
        </w:rPr>
        <w:sectPr w:rsidR="001548F9" w:rsidRPr="00F44F4B">
          <w:headerReference w:type="default" r:id="rId8"/>
          <w:pgSz w:w="11926" w:h="15840"/>
          <w:pgMar w:top="1418" w:right="1418" w:bottom="851" w:left="1418" w:header="851" w:footer="992" w:gutter="0"/>
          <w:cols w:space="720"/>
        </w:sectPr>
      </w:pPr>
    </w:p>
    <w:p w:rsidR="002E3B41" w:rsidRPr="006F14B8" w:rsidRDefault="002E3B41" w:rsidP="00E34DD9">
      <w:pPr>
        <w:pStyle w:val="1"/>
        <w:keepNext/>
        <w:keepLines/>
        <w:widowControl w:val="0"/>
        <w:spacing w:beforeLines="100" w:afterLines="100" w:line="360" w:lineRule="auto"/>
        <w:jc w:val="center"/>
        <w:rPr>
          <w:b/>
          <w:bCs/>
          <w:sz w:val="21"/>
          <w:szCs w:val="21"/>
          <w:lang w:val="en-US"/>
        </w:rPr>
      </w:pPr>
      <w:bookmarkStart w:id="0" w:name="_Toc225498243"/>
      <w:bookmarkStart w:id="1" w:name="_Toc490670302"/>
      <w:r w:rsidRPr="006F14B8">
        <w:rPr>
          <w:b/>
          <w:bCs/>
          <w:sz w:val="21"/>
          <w:szCs w:val="21"/>
          <w:lang w:val="en-US"/>
        </w:rPr>
        <w:lastRenderedPageBreak/>
        <w:t xml:space="preserve">1  </w:t>
      </w:r>
      <w:r w:rsidRPr="006F14B8">
        <w:rPr>
          <w:b/>
          <w:bCs/>
          <w:sz w:val="21"/>
          <w:szCs w:val="21"/>
          <w:lang w:val="en-US"/>
        </w:rPr>
        <w:t>重要提示及目录</w:t>
      </w:r>
      <w:bookmarkEnd w:id="0"/>
      <w:bookmarkEnd w:id="1"/>
    </w:p>
    <w:p w:rsidR="002E3B41" w:rsidRPr="006F14B8" w:rsidRDefault="002E3B41" w:rsidP="002E3B41">
      <w:pPr>
        <w:pStyle w:val="20"/>
        <w:spacing w:before="0" w:after="0"/>
        <w:rPr>
          <w:rFonts w:ascii="Times New Roman" w:hAnsi="Times New Roman"/>
          <w:kern w:val="0"/>
          <w:sz w:val="21"/>
          <w:szCs w:val="21"/>
        </w:rPr>
      </w:pPr>
      <w:bookmarkStart w:id="2" w:name="_Toc490670303"/>
      <w:r w:rsidRPr="006F14B8">
        <w:rPr>
          <w:rFonts w:ascii="Times New Roman" w:hAnsi="Times New Roman"/>
          <w:kern w:val="0"/>
          <w:sz w:val="21"/>
          <w:szCs w:val="21"/>
        </w:rPr>
        <w:t xml:space="preserve">1.1 </w:t>
      </w:r>
      <w:r w:rsidRPr="006F14B8">
        <w:rPr>
          <w:rFonts w:ascii="Times New Roman" w:hAnsi="Times New Roman"/>
          <w:kern w:val="0"/>
          <w:sz w:val="21"/>
          <w:szCs w:val="21"/>
        </w:rPr>
        <w:t>重要提示</w:t>
      </w:r>
      <w:bookmarkEnd w:id="2"/>
    </w:p>
    <w:p w:rsidR="00C94909" w:rsidRDefault="00F44F4B" w:rsidP="00F74186">
      <w:pPr>
        <w:spacing w:line="360" w:lineRule="auto"/>
        <w:ind w:firstLineChars="200" w:firstLine="420"/>
        <w:rPr>
          <w:color w:val="000000"/>
          <w:szCs w:val="21"/>
        </w:rPr>
      </w:pPr>
      <w:r>
        <w:rPr>
          <w:color w:val="000000"/>
          <w:kern w:val="0"/>
          <w:szCs w:val="21"/>
        </w:rPr>
        <w:t>国泰美国房地产开发股票型证券投资基金</w:t>
      </w:r>
      <w:r>
        <w:rPr>
          <w:color w:val="000000"/>
          <w:kern w:val="0"/>
          <w:szCs w:val="21"/>
        </w:rPr>
        <w:t>(</w:t>
      </w:r>
      <w:r>
        <w:rPr>
          <w:color w:val="000000"/>
          <w:kern w:val="0"/>
          <w:szCs w:val="21"/>
        </w:rPr>
        <w:t>以下简称</w:t>
      </w:r>
      <w:r>
        <w:rPr>
          <w:color w:val="000000"/>
          <w:kern w:val="0"/>
          <w:szCs w:val="21"/>
        </w:rPr>
        <w:t>“</w:t>
      </w:r>
      <w:r>
        <w:rPr>
          <w:color w:val="000000"/>
          <w:kern w:val="0"/>
          <w:szCs w:val="21"/>
        </w:rPr>
        <w:t>本基金</w:t>
      </w:r>
      <w:r>
        <w:rPr>
          <w:color w:val="000000"/>
          <w:kern w:val="0"/>
          <w:szCs w:val="21"/>
        </w:rPr>
        <w:t>”)</w:t>
      </w:r>
      <w:r>
        <w:rPr>
          <w:color w:val="000000"/>
          <w:kern w:val="0"/>
          <w:szCs w:val="21"/>
        </w:rPr>
        <w:t>经中国证券监督管理委员会</w:t>
      </w:r>
      <w:r>
        <w:rPr>
          <w:color w:val="000000"/>
          <w:kern w:val="0"/>
          <w:szCs w:val="21"/>
        </w:rPr>
        <w:t>(</w:t>
      </w:r>
      <w:r>
        <w:rPr>
          <w:color w:val="000000"/>
          <w:kern w:val="0"/>
          <w:szCs w:val="21"/>
        </w:rPr>
        <w:t>以下简称</w:t>
      </w:r>
      <w:r>
        <w:rPr>
          <w:color w:val="000000"/>
          <w:kern w:val="0"/>
          <w:szCs w:val="21"/>
        </w:rPr>
        <w:t>“</w:t>
      </w:r>
      <w:r>
        <w:rPr>
          <w:color w:val="000000"/>
          <w:kern w:val="0"/>
          <w:szCs w:val="21"/>
        </w:rPr>
        <w:t>中国证监会</w:t>
      </w:r>
      <w:r>
        <w:rPr>
          <w:color w:val="000000"/>
          <w:kern w:val="0"/>
          <w:szCs w:val="21"/>
        </w:rPr>
        <w:t>”)</w:t>
      </w:r>
      <w:r>
        <w:rPr>
          <w:color w:val="000000"/>
          <w:kern w:val="0"/>
          <w:szCs w:val="21"/>
        </w:rPr>
        <w:t>证监许可</w:t>
      </w:r>
      <w:r>
        <w:rPr>
          <w:color w:val="000000"/>
          <w:kern w:val="0"/>
          <w:szCs w:val="21"/>
        </w:rPr>
        <w:t>[2013]646</w:t>
      </w:r>
      <w:r>
        <w:rPr>
          <w:color w:val="000000"/>
          <w:kern w:val="0"/>
          <w:szCs w:val="21"/>
        </w:rPr>
        <w:t>号《关于核准国泰美国房地产开发股票型证券投资基金募集的批复》核准，由国泰基金管理有限公司依照《中华人民共和国证券投资基金法》、《合格境内机构投资者境外证券投资管理试行办法》和《国泰美国房地产开发股票型证券投资基金基金合同》负责公开募集。本基金为契约型开放式，存续期限不定，首次设立募集不包括认购资金利息共募集人民币</w:t>
      </w:r>
      <w:r>
        <w:rPr>
          <w:color w:val="000000"/>
          <w:kern w:val="0"/>
          <w:szCs w:val="21"/>
        </w:rPr>
        <w:t>211,991,980.05</w:t>
      </w:r>
      <w:r>
        <w:rPr>
          <w:color w:val="000000"/>
          <w:kern w:val="0"/>
          <w:szCs w:val="21"/>
        </w:rPr>
        <w:t>元，</w:t>
      </w:r>
      <w:r w:rsidR="00727C5F">
        <w:rPr>
          <w:rFonts w:hint="eastAsia"/>
          <w:color w:val="000000"/>
          <w:kern w:val="0"/>
          <w:szCs w:val="21"/>
        </w:rPr>
        <w:t>并</w:t>
      </w:r>
      <w:r>
        <w:rPr>
          <w:color w:val="000000"/>
          <w:kern w:val="0"/>
          <w:szCs w:val="21"/>
        </w:rPr>
        <w:t>经普华永道中天会计师事务所</w:t>
      </w:r>
      <w:r>
        <w:rPr>
          <w:color w:val="000000"/>
          <w:kern w:val="0"/>
          <w:szCs w:val="21"/>
        </w:rPr>
        <w:t>(</w:t>
      </w:r>
      <w:r>
        <w:rPr>
          <w:color w:val="000000"/>
          <w:kern w:val="0"/>
          <w:szCs w:val="21"/>
        </w:rPr>
        <w:t>特殊普通合伙</w:t>
      </w:r>
      <w:r>
        <w:rPr>
          <w:color w:val="000000"/>
          <w:kern w:val="0"/>
          <w:szCs w:val="21"/>
        </w:rPr>
        <w:t>)</w:t>
      </w:r>
      <w:r>
        <w:rPr>
          <w:color w:val="000000"/>
          <w:kern w:val="0"/>
          <w:szCs w:val="21"/>
        </w:rPr>
        <w:t>普华永道中天验字</w:t>
      </w:r>
      <w:r>
        <w:rPr>
          <w:color w:val="000000"/>
          <w:kern w:val="0"/>
          <w:szCs w:val="21"/>
        </w:rPr>
        <w:t>(2013)</w:t>
      </w:r>
      <w:r>
        <w:rPr>
          <w:color w:val="000000"/>
          <w:kern w:val="0"/>
          <w:szCs w:val="21"/>
        </w:rPr>
        <w:t>第</w:t>
      </w:r>
      <w:r>
        <w:rPr>
          <w:color w:val="000000"/>
          <w:kern w:val="0"/>
          <w:szCs w:val="21"/>
        </w:rPr>
        <w:t>401</w:t>
      </w:r>
      <w:r>
        <w:rPr>
          <w:color w:val="000000"/>
          <w:kern w:val="0"/>
          <w:szCs w:val="21"/>
        </w:rPr>
        <w:t>号验资报告予以验证。经向中国证监会备案，《国泰美国房地产开发股票型证券投资基金基金合同》</w:t>
      </w:r>
      <w:r w:rsidR="00727C5F">
        <w:rPr>
          <w:rFonts w:hint="eastAsia"/>
          <w:color w:val="000000"/>
          <w:szCs w:val="21"/>
        </w:rPr>
        <w:t>（以下简称“《基金合同》”）</w:t>
      </w:r>
      <w:r>
        <w:rPr>
          <w:color w:val="000000"/>
          <w:kern w:val="0"/>
          <w:szCs w:val="21"/>
        </w:rPr>
        <w:t>于</w:t>
      </w:r>
      <w:r>
        <w:rPr>
          <w:color w:val="000000"/>
          <w:kern w:val="0"/>
          <w:szCs w:val="21"/>
        </w:rPr>
        <w:t>2013</w:t>
      </w:r>
      <w:r>
        <w:rPr>
          <w:color w:val="000000"/>
          <w:kern w:val="0"/>
          <w:szCs w:val="21"/>
        </w:rPr>
        <w:t>年</w:t>
      </w:r>
      <w:r>
        <w:rPr>
          <w:color w:val="000000"/>
          <w:kern w:val="0"/>
          <w:szCs w:val="21"/>
        </w:rPr>
        <w:t>8</w:t>
      </w:r>
      <w:r>
        <w:rPr>
          <w:color w:val="000000"/>
          <w:kern w:val="0"/>
          <w:szCs w:val="21"/>
        </w:rPr>
        <w:t>月</w:t>
      </w:r>
      <w:r>
        <w:rPr>
          <w:color w:val="000000"/>
          <w:kern w:val="0"/>
          <w:szCs w:val="21"/>
        </w:rPr>
        <w:t>7</w:t>
      </w:r>
      <w:r>
        <w:rPr>
          <w:color w:val="000000"/>
          <w:kern w:val="0"/>
          <w:szCs w:val="21"/>
        </w:rPr>
        <w:t>日正式生效，基金合同生效日的基金份额总额为</w:t>
      </w:r>
      <w:r>
        <w:rPr>
          <w:color w:val="000000"/>
          <w:kern w:val="0"/>
          <w:szCs w:val="21"/>
        </w:rPr>
        <w:t>212,041,583.97</w:t>
      </w:r>
      <w:r>
        <w:rPr>
          <w:color w:val="000000"/>
          <w:kern w:val="0"/>
          <w:szCs w:val="21"/>
        </w:rPr>
        <w:t>份基金份额，其中认购资金利息折合</w:t>
      </w:r>
      <w:r>
        <w:rPr>
          <w:color w:val="000000"/>
          <w:kern w:val="0"/>
          <w:szCs w:val="21"/>
        </w:rPr>
        <w:t>49,603.92</w:t>
      </w:r>
      <w:r>
        <w:rPr>
          <w:color w:val="000000"/>
          <w:kern w:val="0"/>
          <w:szCs w:val="21"/>
        </w:rPr>
        <w:t>份基金份额。本基金的基金管理人为国泰基金管理有限公司，基金托管人为中国银行股份有限公司。</w:t>
      </w:r>
    </w:p>
    <w:p w:rsidR="00727C5F" w:rsidRDefault="00727C5F" w:rsidP="003B57C6">
      <w:pPr>
        <w:spacing w:line="360" w:lineRule="auto"/>
        <w:ind w:firstLineChars="200" w:firstLine="420"/>
        <w:rPr>
          <w:color w:val="000000"/>
          <w:szCs w:val="21"/>
        </w:rPr>
      </w:pPr>
      <w:r w:rsidRPr="00406694">
        <w:rPr>
          <w:rFonts w:hint="eastAsia"/>
          <w:color w:val="000000"/>
          <w:szCs w:val="21"/>
        </w:rPr>
        <w:t>根据市场</w:t>
      </w:r>
      <w:r>
        <w:rPr>
          <w:color w:val="000000"/>
          <w:szCs w:val="21"/>
        </w:rPr>
        <w:t>环境变化</w:t>
      </w:r>
      <w:r>
        <w:rPr>
          <w:rFonts w:hint="eastAsia"/>
          <w:color w:val="000000"/>
          <w:szCs w:val="21"/>
        </w:rPr>
        <w:t>，</w:t>
      </w:r>
      <w:r>
        <w:rPr>
          <w:color w:val="000000"/>
          <w:szCs w:val="21"/>
        </w:rPr>
        <w:t>为维护基金份额持有人利益</w:t>
      </w:r>
      <w:r>
        <w:rPr>
          <w:rFonts w:hint="eastAsia"/>
          <w:color w:val="000000"/>
          <w:szCs w:val="21"/>
        </w:rPr>
        <w:t>，</w:t>
      </w:r>
      <w:r>
        <w:rPr>
          <w:color w:val="000000"/>
          <w:szCs w:val="21"/>
        </w:rPr>
        <w:t>基金管理人根据</w:t>
      </w:r>
      <w:r>
        <w:rPr>
          <w:rFonts w:hint="eastAsia"/>
          <w:color w:val="000000"/>
          <w:szCs w:val="21"/>
        </w:rPr>
        <w:t>《中华人民共和国证券投资基金法》、《公开募集证券投资基金运作管理办法》和《基金合同》的有关规定，提议终止《基金合同》。本基金</w:t>
      </w:r>
      <w:r w:rsidR="00D84E46">
        <w:rPr>
          <w:rFonts w:hint="eastAsia"/>
          <w:color w:val="000000"/>
          <w:szCs w:val="21"/>
        </w:rPr>
        <w:t>于</w:t>
      </w:r>
      <w:r w:rsidR="00D84E46">
        <w:rPr>
          <w:rFonts w:hint="eastAsia"/>
          <w:color w:val="000000"/>
          <w:szCs w:val="21"/>
        </w:rPr>
        <w:t>2017</w:t>
      </w:r>
      <w:r w:rsidR="00D84E46">
        <w:rPr>
          <w:rFonts w:hint="eastAsia"/>
          <w:color w:val="000000"/>
          <w:szCs w:val="21"/>
        </w:rPr>
        <w:t>年</w:t>
      </w:r>
      <w:r w:rsidR="00D84E46">
        <w:rPr>
          <w:rFonts w:hint="eastAsia"/>
          <w:color w:val="000000"/>
          <w:szCs w:val="21"/>
        </w:rPr>
        <w:t>12</w:t>
      </w:r>
      <w:r w:rsidR="00D84E46">
        <w:rPr>
          <w:rFonts w:hint="eastAsia"/>
          <w:color w:val="000000"/>
          <w:szCs w:val="21"/>
        </w:rPr>
        <w:t>月</w:t>
      </w:r>
      <w:r w:rsidR="00D84E46">
        <w:rPr>
          <w:rFonts w:hint="eastAsia"/>
          <w:color w:val="000000"/>
          <w:szCs w:val="21"/>
        </w:rPr>
        <w:t>19</w:t>
      </w:r>
      <w:r w:rsidR="00D84E46">
        <w:rPr>
          <w:rFonts w:hint="eastAsia"/>
          <w:color w:val="000000"/>
          <w:szCs w:val="21"/>
        </w:rPr>
        <w:t>日在上海</w:t>
      </w:r>
      <w:r>
        <w:rPr>
          <w:rFonts w:hint="eastAsia"/>
          <w:color w:val="000000"/>
          <w:szCs w:val="21"/>
        </w:rPr>
        <w:t>以</w:t>
      </w:r>
      <w:r w:rsidR="00D84E46">
        <w:rPr>
          <w:color w:val="000000"/>
          <w:szCs w:val="21"/>
        </w:rPr>
        <w:t>现场开会方式</w:t>
      </w:r>
      <w:r>
        <w:rPr>
          <w:rFonts w:hint="eastAsia"/>
          <w:color w:val="000000"/>
          <w:szCs w:val="21"/>
        </w:rPr>
        <w:t>召开了基金份额持有人大会，</w:t>
      </w:r>
      <w:r w:rsidR="00D84E46">
        <w:rPr>
          <w:rFonts w:hint="eastAsia"/>
          <w:color w:val="000000"/>
          <w:szCs w:val="21"/>
        </w:rPr>
        <w:t>会议</w:t>
      </w:r>
      <w:r>
        <w:rPr>
          <w:rFonts w:hint="eastAsia"/>
          <w:color w:val="000000"/>
          <w:szCs w:val="21"/>
        </w:rPr>
        <w:t>审议</w:t>
      </w:r>
      <w:r w:rsidR="00D84E46">
        <w:rPr>
          <w:rFonts w:hint="eastAsia"/>
          <w:color w:val="000000"/>
          <w:szCs w:val="21"/>
        </w:rPr>
        <w:t>通过了</w:t>
      </w:r>
      <w:r>
        <w:rPr>
          <w:rFonts w:hint="eastAsia"/>
          <w:color w:val="000000"/>
          <w:szCs w:val="21"/>
        </w:rPr>
        <w:t>《关于终止国泰</w:t>
      </w:r>
      <w:r>
        <w:rPr>
          <w:color w:val="000000"/>
          <w:kern w:val="0"/>
          <w:szCs w:val="21"/>
        </w:rPr>
        <w:t>美国房地产开发股票</w:t>
      </w:r>
      <w:r>
        <w:rPr>
          <w:rFonts w:hint="eastAsia"/>
          <w:color w:val="000000"/>
          <w:szCs w:val="21"/>
        </w:rPr>
        <w:t>型证券投资基金基金合同有关事项的议案》。自该日起本次基金份额持有人大会决议生效。基金管理人于</w:t>
      </w:r>
      <w:r>
        <w:rPr>
          <w:rFonts w:hint="eastAsia"/>
          <w:color w:val="000000"/>
          <w:szCs w:val="21"/>
        </w:rPr>
        <w:t>2017</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20</w:t>
      </w:r>
      <w:r>
        <w:rPr>
          <w:rFonts w:hint="eastAsia"/>
          <w:color w:val="000000"/>
          <w:szCs w:val="21"/>
        </w:rPr>
        <w:t>日在《中国证券报》、《上海证券报》、《证券时报》和基金管理人网站刊登了《国泰</w:t>
      </w:r>
      <w:r>
        <w:rPr>
          <w:color w:val="000000"/>
          <w:kern w:val="0"/>
          <w:szCs w:val="21"/>
        </w:rPr>
        <w:t>美国房地产开发股票</w:t>
      </w:r>
      <w:r>
        <w:rPr>
          <w:rFonts w:hint="eastAsia"/>
          <w:color w:val="000000"/>
          <w:szCs w:val="21"/>
        </w:rPr>
        <w:t>型证券投资基金基金份额持有人大会表决结果暨决议生效的公告》。依据生效的基金份额持有人大会决议，本基金从</w:t>
      </w:r>
      <w:r>
        <w:rPr>
          <w:rFonts w:hint="eastAsia"/>
          <w:color w:val="000000"/>
          <w:szCs w:val="21"/>
        </w:rPr>
        <w:t>2017</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20</w:t>
      </w:r>
      <w:r>
        <w:rPr>
          <w:rFonts w:hint="eastAsia"/>
          <w:color w:val="000000"/>
          <w:szCs w:val="21"/>
        </w:rPr>
        <w:t>日起进入清算期。</w:t>
      </w:r>
    </w:p>
    <w:p w:rsidR="003B57C6" w:rsidRPr="006C06BB" w:rsidRDefault="00BE362C" w:rsidP="003B57C6">
      <w:pPr>
        <w:spacing w:line="360" w:lineRule="auto"/>
        <w:ind w:firstLineChars="200" w:firstLine="420"/>
        <w:rPr>
          <w:szCs w:val="21"/>
        </w:rPr>
      </w:pPr>
      <w:r w:rsidRPr="006F14B8">
        <w:rPr>
          <w:rFonts w:hint="eastAsia"/>
          <w:color w:val="000000"/>
          <w:szCs w:val="21"/>
        </w:rPr>
        <w:t>本基金清算期为</w:t>
      </w:r>
      <w:r w:rsidR="00BA6FB1">
        <w:rPr>
          <w:color w:val="000000"/>
          <w:szCs w:val="21"/>
        </w:rPr>
        <w:t>2017</w:t>
      </w:r>
      <w:r w:rsidR="00BA6FB1">
        <w:rPr>
          <w:color w:val="000000"/>
          <w:szCs w:val="21"/>
        </w:rPr>
        <w:t>年</w:t>
      </w:r>
      <w:r w:rsidR="00BA6FB1">
        <w:rPr>
          <w:color w:val="000000"/>
          <w:szCs w:val="21"/>
        </w:rPr>
        <w:t>12</w:t>
      </w:r>
      <w:r w:rsidR="00BA6FB1">
        <w:rPr>
          <w:color w:val="000000"/>
          <w:szCs w:val="21"/>
        </w:rPr>
        <w:t>月</w:t>
      </w:r>
      <w:r w:rsidR="00E56B82">
        <w:rPr>
          <w:rFonts w:hint="eastAsia"/>
          <w:color w:val="000000"/>
          <w:szCs w:val="21"/>
        </w:rPr>
        <w:t>20</w:t>
      </w:r>
      <w:r w:rsidR="00BA6FB1">
        <w:rPr>
          <w:color w:val="000000"/>
          <w:szCs w:val="21"/>
        </w:rPr>
        <w:t>日</w:t>
      </w:r>
      <w:r w:rsidRPr="006F14B8">
        <w:rPr>
          <w:rFonts w:hint="eastAsia"/>
          <w:color w:val="000000"/>
          <w:szCs w:val="21"/>
        </w:rPr>
        <w:t>到</w:t>
      </w:r>
      <w:r w:rsidRPr="00AC1939">
        <w:rPr>
          <w:color w:val="000000"/>
          <w:szCs w:val="21"/>
        </w:rPr>
        <w:t>201</w:t>
      </w:r>
      <w:r w:rsidR="00F44F4B" w:rsidRPr="00AC1939">
        <w:rPr>
          <w:color w:val="000000"/>
          <w:szCs w:val="21"/>
        </w:rPr>
        <w:t>8</w:t>
      </w:r>
      <w:r w:rsidRPr="00AC1939">
        <w:rPr>
          <w:rFonts w:hint="eastAsia"/>
          <w:color w:val="000000"/>
          <w:szCs w:val="21"/>
        </w:rPr>
        <w:t>年</w:t>
      </w:r>
      <w:r w:rsidR="00AD5F1D" w:rsidRPr="00AC1939">
        <w:rPr>
          <w:color w:val="000000"/>
          <w:szCs w:val="21"/>
        </w:rPr>
        <w:t>1</w:t>
      </w:r>
      <w:r w:rsidRPr="00AC1939">
        <w:rPr>
          <w:rFonts w:hint="eastAsia"/>
          <w:color w:val="000000"/>
          <w:szCs w:val="21"/>
        </w:rPr>
        <w:t>月</w:t>
      </w:r>
      <w:r w:rsidR="00AD5F1D" w:rsidRPr="00AC1939">
        <w:rPr>
          <w:color w:val="000000"/>
          <w:szCs w:val="21"/>
        </w:rPr>
        <w:t>15</w:t>
      </w:r>
      <w:r w:rsidRPr="00AC1939">
        <w:rPr>
          <w:rFonts w:hint="eastAsia"/>
          <w:color w:val="000000"/>
          <w:szCs w:val="21"/>
        </w:rPr>
        <w:t>日</w:t>
      </w:r>
      <w:r w:rsidRPr="006F14B8">
        <w:rPr>
          <w:rFonts w:hint="eastAsia"/>
          <w:color w:val="000000"/>
          <w:szCs w:val="21"/>
        </w:rPr>
        <w:t>。由基金管理人国泰基金管理有限公司、基金托管人</w:t>
      </w:r>
      <w:r w:rsidR="00F44F4B">
        <w:rPr>
          <w:rFonts w:hint="eastAsia"/>
          <w:color w:val="000000"/>
          <w:szCs w:val="21"/>
        </w:rPr>
        <w:t>中国</w:t>
      </w:r>
      <w:r w:rsidR="00BA6FB1">
        <w:rPr>
          <w:rFonts w:hint="eastAsia"/>
          <w:color w:val="000000"/>
          <w:szCs w:val="21"/>
        </w:rPr>
        <w:t>银行股份有限公司</w:t>
      </w:r>
      <w:r w:rsidRPr="006F14B8">
        <w:rPr>
          <w:rFonts w:hint="eastAsia"/>
          <w:color w:val="000000"/>
          <w:szCs w:val="21"/>
        </w:rPr>
        <w:t>、普华永道中天会计师事务所（</w:t>
      </w:r>
      <w:r w:rsidRPr="001A2767">
        <w:rPr>
          <w:rFonts w:hint="eastAsia"/>
          <w:color w:val="000000" w:themeColor="text1"/>
          <w:szCs w:val="21"/>
        </w:rPr>
        <w:t>特殊普通合伙）和上海市通力律</w:t>
      </w:r>
      <w:r w:rsidR="003B57C6" w:rsidRPr="001A2767">
        <w:rPr>
          <w:rFonts w:hint="eastAsia"/>
          <w:color w:val="000000" w:themeColor="text1"/>
          <w:szCs w:val="21"/>
        </w:rPr>
        <w:t>师事务所于</w:t>
      </w:r>
      <w:r w:rsidR="00BA6FB1">
        <w:rPr>
          <w:color w:val="000000" w:themeColor="text1"/>
          <w:szCs w:val="21"/>
        </w:rPr>
        <w:t>2017</w:t>
      </w:r>
      <w:r w:rsidR="00BA6FB1">
        <w:rPr>
          <w:color w:val="000000" w:themeColor="text1"/>
          <w:szCs w:val="21"/>
        </w:rPr>
        <w:t>年</w:t>
      </w:r>
      <w:r w:rsidR="00BA6FB1">
        <w:rPr>
          <w:color w:val="000000" w:themeColor="text1"/>
          <w:szCs w:val="21"/>
        </w:rPr>
        <w:t>12</w:t>
      </w:r>
      <w:r w:rsidR="00BA6FB1">
        <w:rPr>
          <w:color w:val="000000" w:themeColor="text1"/>
          <w:szCs w:val="21"/>
        </w:rPr>
        <w:t>月</w:t>
      </w:r>
      <w:r w:rsidR="00C94909">
        <w:rPr>
          <w:rFonts w:hint="eastAsia"/>
          <w:color w:val="000000" w:themeColor="text1"/>
          <w:szCs w:val="21"/>
        </w:rPr>
        <w:t>20</w:t>
      </w:r>
      <w:r w:rsidR="00BA6FB1">
        <w:rPr>
          <w:color w:val="000000" w:themeColor="text1"/>
          <w:szCs w:val="21"/>
        </w:rPr>
        <w:t>日</w:t>
      </w:r>
      <w:r w:rsidR="003B57C6" w:rsidRPr="001A2767">
        <w:rPr>
          <w:rFonts w:hint="eastAsia"/>
          <w:color w:val="000000" w:themeColor="text1"/>
          <w:szCs w:val="21"/>
        </w:rPr>
        <w:t>组成基金财产清算组履行基金财产清算程序，并由普华永道中天会计师事务所（特殊普通合伙）对清算报告进行审计，上海市通力律师</w:t>
      </w:r>
      <w:r w:rsidR="003B57C6" w:rsidRPr="006F14B8">
        <w:rPr>
          <w:rFonts w:hint="eastAsia"/>
          <w:szCs w:val="21"/>
        </w:rPr>
        <w:t>事务所对清算报告出具法律意见。</w:t>
      </w:r>
    </w:p>
    <w:p w:rsidR="003B0EE4" w:rsidRDefault="002E3B41">
      <w:pPr>
        <w:pStyle w:val="20"/>
        <w:spacing w:before="0" w:after="0"/>
        <w:rPr>
          <w:color w:val="000000"/>
          <w:kern w:val="0"/>
          <w:szCs w:val="21"/>
        </w:rPr>
      </w:pPr>
      <w:r w:rsidRPr="00D42BE5">
        <w:rPr>
          <w:szCs w:val="21"/>
        </w:rPr>
        <w:br w:type="page"/>
      </w:r>
      <w:bookmarkStart w:id="3" w:name="_Toc490670304"/>
      <w:r w:rsidR="00BE362C">
        <w:rPr>
          <w:rFonts w:ascii="Times New Roman" w:hAnsi="Times New Roman"/>
          <w:kern w:val="0"/>
          <w:sz w:val="21"/>
          <w:szCs w:val="21"/>
        </w:rPr>
        <w:lastRenderedPageBreak/>
        <w:t xml:space="preserve">1.2 </w:t>
      </w:r>
      <w:r w:rsidR="00BE362C">
        <w:rPr>
          <w:rFonts w:ascii="Times New Roman" w:hAnsi="Times New Roman" w:hint="eastAsia"/>
          <w:kern w:val="0"/>
          <w:sz w:val="21"/>
          <w:szCs w:val="21"/>
        </w:rPr>
        <w:t>目录</w:t>
      </w:r>
      <w:bookmarkEnd w:id="3"/>
    </w:p>
    <w:p w:rsidR="002E3B41" w:rsidRPr="00D42BE5" w:rsidRDefault="002E3B41" w:rsidP="002E3B41">
      <w:pPr>
        <w:autoSpaceDE w:val="0"/>
        <w:autoSpaceDN w:val="0"/>
        <w:adjustRightInd w:val="0"/>
        <w:spacing w:before="30" w:line="288" w:lineRule="auto"/>
        <w:ind w:left="15"/>
        <w:jc w:val="left"/>
        <w:rPr>
          <w:b/>
          <w:color w:val="000000"/>
          <w:kern w:val="0"/>
          <w:szCs w:val="21"/>
        </w:rPr>
      </w:pPr>
    </w:p>
    <w:p w:rsidR="004D1916" w:rsidRDefault="00CB7AE0">
      <w:pPr>
        <w:pStyle w:val="11"/>
        <w:rPr>
          <w:rFonts w:asciiTheme="minorHAnsi" w:eastAsiaTheme="minorEastAsia" w:hAnsiTheme="minorHAnsi" w:cstheme="minorBidi"/>
          <w:noProof/>
          <w:szCs w:val="22"/>
        </w:rPr>
      </w:pPr>
      <w:r w:rsidRPr="00D42BE5">
        <w:rPr>
          <w:szCs w:val="21"/>
        </w:rPr>
        <w:fldChar w:fldCharType="begin"/>
      </w:r>
      <w:r w:rsidR="002E3B41" w:rsidRPr="00D42BE5">
        <w:rPr>
          <w:szCs w:val="21"/>
        </w:rPr>
        <w:instrText xml:space="preserve"> TOC \o "1-3" \h \z \u </w:instrText>
      </w:r>
      <w:r w:rsidRPr="00D42BE5">
        <w:rPr>
          <w:szCs w:val="21"/>
        </w:rPr>
        <w:fldChar w:fldCharType="separate"/>
      </w:r>
      <w:hyperlink w:anchor="_Toc490670302" w:history="1">
        <w:r w:rsidR="004D1916" w:rsidRPr="00E321D1">
          <w:rPr>
            <w:rStyle w:val="a8"/>
            <w:b/>
            <w:bCs/>
            <w:noProof/>
          </w:rPr>
          <w:t xml:space="preserve">1  </w:t>
        </w:r>
        <w:r w:rsidR="004D1916" w:rsidRPr="00E321D1">
          <w:rPr>
            <w:rStyle w:val="a8"/>
            <w:rFonts w:hint="eastAsia"/>
            <w:b/>
            <w:bCs/>
            <w:noProof/>
          </w:rPr>
          <w:t>重要提示及目录</w:t>
        </w:r>
        <w:r w:rsidR="004D1916">
          <w:rPr>
            <w:noProof/>
            <w:webHidden/>
          </w:rPr>
          <w:tab/>
        </w:r>
        <w:r>
          <w:rPr>
            <w:noProof/>
            <w:webHidden/>
          </w:rPr>
          <w:fldChar w:fldCharType="begin"/>
        </w:r>
        <w:r w:rsidR="004D1916">
          <w:rPr>
            <w:noProof/>
            <w:webHidden/>
          </w:rPr>
          <w:instrText xml:space="preserve"> PAGEREF _Toc490670302 \h </w:instrText>
        </w:r>
        <w:r>
          <w:rPr>
            <w:noProof/>
            <w:webHidden/>
          </w:rPr>
        </w:r>
        <w:r>
          <w:rPr>
            <w:noProof/>
            <w:webHidden/>
          </w:rPr>
          <w:fldChar w:fldCharType="separate"/>
        </w:r>
        <w:r w:rsidR="007367B0">
          <w:rPr>
            <w:noProof/>
            <w:webHidden/>
          </w:rPr>
          <w:t>2</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03" w:history="1">
        <w:r w:rsidR="004D1916" w:rsidRPr="00E321D1">
          <w:rPr>
            <w:rStyle w:val="a8"/>
            <w:noProof/>
          </w:rPr>
          <w:t xml:space="preserve">1.1 </w:t>
        </w:r>
        <w:r w:rsidR="004D1916" w:rsidRPr="00E321D1">
          <w:rPr>
            <w:rStyle w:val="a8"/>
            <w:rFonts w:hint="eastAsia"/>
            <w:noProof/>
          </w:rPr>
          <w:t>重要提示</w:t>
        </w:r>
        <w:r w:rsidR="004D1916">
          <w:rPr>
            <w:noProof/>
            <w:webHidden/>
          </w:rPr>
          <w:tab/>
        </w:r>
        <w:r>
          <w:rPr>
            <w:noProof/>
            <w:webHidden/>
          </w:rPr>
          <w:fldChar w:fldCharType="begin"/>
        </w:r>
        <w:r w:rsidR="004D1916">
          <w:rPr>
            <w:noProof/>
            <w:webHidden/>
          </w:rPr>
          <w:instrText xml:space="preserve"> PAGEREF _Toc490670303 \h </w:instrText>
        </w:r>
        <w:r>
          <w:rPr>
            <w:noProof/>
            <w:webHidden/>
          </w:rPr>
        </w:r>
        <w:r>
          <w:rPr>
            <w:noProof/>
            <w:webHidden/>
          </w:rPr>
          <w:fldChar w:fldCharType="separate"/>
        </w:r>
        <w:r w:rsidR="007367B0">
          <w:rPr>
            <w:noProof/>
            <w:webHidden/>
          </w:rPr>
          <w:t>2</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04" w:history="1">
        <w:r w:rsidR="004D1916" w:rsidRPr="00E321D1">
          <w:rPr>
            <w:rStyle w:val="a8"/>
            <w:noProof/>
          </w:rPr>
          <w:t xml:space="preserve">1.2 </w:t>
        </w:r>
        <w:r w:rsidR="004D1916" w:rsidRPr="00E321D1">
          <w:rPr>
            <w:rStyle w:val="a8"/>
            <w:rFonts w:hint="eastAsia"/>
            <w:noProof/>
          </w:rPr>
          <w:t>目录</w:t>
        </w:r>
        <w:r w:rsidR="004D1916">
          <w:rPr>
            <w:noProof/>
            <w:webHidden/>
          </w:rPr>
          <w:tab/>
        </w:r>
        <w:r>
          <w:rPr>
            <w:noProof/>
            <w:webHidden/>
          </w:rPr>
          <w:fldChar w:fldCharType="begin"/>
        </w:r>
        <w:r w:rsidR="004D1916">
          <w:rPr>
            <w:noProof/>
            <w:webHidden/>
          </w:rPr>
          <w:instrText xml:space="preserve"> PAGEREF _Toc490670304 \h </w:instrText>
        </w:r>
        <w:r>
          <w:rPr>
            <w:noProof/>
            <w:webHidden/>
          </w:rPr>
        </w:r>
        <w:r>
          <w:rPr>
            <w:noProof/>
            <w:webHidden/>
          </w:rPr>
          <w:fldChar w:fldCharType="separate"/>
        </w:r>
        <w:r w:rsidR="007367B0">
          <w:rPr>
            <w:noProof/>
            <w:webHidden/>
          </w:rPr>
          <w:t>3</w:t>
        </w:r>
        <w:r>
          <w:rPr>
            <w:noProof/>
            <w:webHidden/>
          </w:rPr>
          <w:fldChar w:fldCharType="end"/>
        </w:r>
      </w:hyperlink>
    </w:p>
    <w:p w:rsidR="004D1916" w:rsidRDefault="00CB7AE0">
      <w:pPr>
        <w:pStyle w:val="11"/>
        <w:rPr>
          <w:rFonts w:asciiTheme="minorHAnsi" w:eastAsiaTheme="minorEastAsia" w:hAnsiTheme="minorHAnsi" w:cstheme="minorBidi"/>
          <w:noProof/>
          <w:szCs w:val="22"/>
        </w:rPr>
      </w:pPr>
      <w:hyperlink w:anchor="_Toc490670305" w:history="1">
        <w:r w:rsidR="004D1916" w:rsidRPr="00E321D1">
          <w:rPr>
            <w:rStyle w:val="a8"/>
            <w:b/>
            <w:bCs/>
            <w:noProof/>
          </w:rPr>
          <w:t xml:space="preserve">2  </w:t>
        </w:r>
        <w:r w:rsidR="004D1916" w:rsidRPr="00E321D1">
          <w:rPr>
            <w:rStyle w:val="a8"/>
            <w:rFonts w:hint="eastAsia"/>
            <w:b/>
            <w:bCs/>
            <w:noProof/>
          </w:rPr>
          <w:t>基金概况</w:t>
        </w:r>
        <w:r w:rsidR="004D1916">
          <w:rPr>
            <w:noProof/>
            <w:webHidden/>
          </w:rPr>
          <w:tab/>
        </w:r>
        <w:r>
          <w:rPr>
            <w:noProof/>
            <w:webHidden/>
          </w:rPr>
          <w:fldChar w:fldCharType="begin"/>
        </w:r>
        <w:r w:rsidR="004D1916">
          <w:rPr>
            <w:noProof/>
            <w:webHidden/>
          </w:rPr>
          <w:instrText xml:space="preserve"> PAGEREF _Toc490670305 \h </w:instrText>
        </w:r>
        <w:r>
          <w:rPr>
            <w:noProof/>
            <w:webHidden/>
          </w:rPr>
        </w:r>
        <w:r>
          <w:rPr>
            <w:noProof/>
            <w:webHidden/>
          </w:rPr>
          <w:fldChar w:fldCharType="separate"/>
        </w:r>
        <w:r w:rsidR="007367B0">
          <w:rPr>
            <w:noProof/>
            <w:webHidden/>
          </w:rPr>
          <w:t>4</w:t>
        </w:r>
        <w:r>
          <w:rPr>
            <w:noProof/>
            <w:webHidden/>
          </w:rPr>
          <w:fldChar w:fldCharType="end"/>
        </w:r>
      </w:hyperlink>
    </w:p>
    <w:p w:rsidR="004D1916" w:rsidRDefault="00CB7AE0">
      <w:pPr>
        <w:pStyle w:val="22"/>
        <w:tabs>
          <w:tab w:val="left" w:pos="1050"/>
        </w:tabs>
        <w:rPr>
          <w:rFonts w:asciiTheme="minorHAnsi" w:eastAsiaTheme="minorEastAsia" w:hAnsiTheme="minorHAnsi" w:cstheme="minorBidi"/>
          <w:noProof/>
          <w:kern w:val="2"/>
          <w:szCs w:val="22"/>
        </w:rPr>
      </w:pPr>
      <w:hyperlink w:anchor="_Toc490670306" w:history="1">
        <w:r w:rsidR="004D1916" w:rsidRPr="00E321D1">
          <w:rPr>
            <w:rStyle w:val="a8"/>
            <w:noProof/>
          </w:rPr>
          <w:t>2.1</w:t>
        </w:r>
        <w:r w:rsidR="004D1916">
          <w:rPr>
            <w:rFonts w:asciiTheme="minorHAnsi" w:eastAsiaTheme="minorEastAsia" w:hAnsiTheme="minorHAnsi" w:cstheme="minorBidi"/>
            <w:noProof/>
            <w:kern w:val="2"/>
            <w:szCs w:val="22"/>
          </w:rPr>
          <w:tab/>
        </w:r>
        <w:r w:rsidR="004D1916" w:rsidRPr="00E321D1">
          <w:rPr>
            <w:rStyle w:val="a8"/>
            <w:rFonts w:hint="eastAsia"/>
            <w:noProof/>
          </w:rPr>
          <w:t>基金基本情况</w:t>
        </w:r>
        <w:r w:rsidR="004D1916">
          <w:rPr>
            <w:noProof/>
            <w:webHidden/>
          </w:rPr>
          <w:tab/>
        </w:r>
        <w:r>
          <w:rPr>
            <w:noProof/>
            <w:webHidden/>
          </w:rPr>
          <w:fldChar w:fldCharType="begin"/>
        </w:r>
        <w:r w:rsidR="004D1916">
          <w:rPr>
            <w:noProof/>
            <w:webHidden/>
          </w:rPr>
          <w:instrText xml:space="preserve"> PAGEREF _Toc490670306 \h </w:instrText>
        </w:r>
        <w:r>
          <w:rPr>
            <w:noProof/>
            <w:webHidden/>
          </w:rPr>
        </w:r>
        <w:r>
          <w:rPr>
            <w:noProof/>
            <w:webHidden/>
          </w:rPr>
          <w:fldChar w:fldCharType="separate"/>
        </w:r>
        <w:r w:rsidR="007367B0">
          <w:rPr>
            <w:noProof/>
            <w:webHidden/>
          </w:rPr>
          <w:t>4</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07" w:history="1">
        <w:r w:rsidR="004D1916" w:rsidRPr="00E321D1">
          <w:rPr>
            <w:rStyle w:val="a8"/>
            <w:noProof/>
          </w:rPr>
          <w:t xml:space="preserve">2.2 </w:t>
        </w:r>
        <w:r w:rsidR="004D1916" w:rsidRPr="00E321D1">
          <w:rPr>
            <w:rStyle w:val="a8"/>
            <w:rFonts w:hint="eastAsia"/>
            <w:noProof/>
          </w:rPr>
          <w:t>基金产品说明</w:t>
        </w:r>
        <w:r w:rsidR="004D1916">
          <w:rPr>
            <w:noProof/>
            <w:webHidden/>
          </w:rPr>
          <w:tab/>
        </w:r>
        <w:r>
          <w:rPr>
            <w:noProof/>
            <w:webHidden/>
          </w:rPr>
          <w:fldChar w:fldCharType="begin"/>
        </w:r>
        <w:r w:rsidR="004D1916">
          <w:rPr>
            <w:noProof/>
            <w:webHidden/>
          </w:rPr>
          <w:instrText xml:space="preserve"> PAGEREF _Toc490670307 \h </w:instrText>
        </w:r>
        <w:r>
          <w:rPr>
            <w:noProof/>
            <w:webHidden/>
          </w:rPr>
        </w:r>
        <w:r>
          <w:rPr>
            <w:noProof/>
            <w:webHidden/>
          </w:rPr>
          <w:fldChar w:fldCharType="separate"/>
        </w:r>
        <w:r w:rsidR="007367B0">
          <w:rPr>
            <w:noProof/>
            <w:webHidden/>
          </w:rPr>
          <w:t>4</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08" w:history="1">
        <w:r w:rsidR="004D1916" w:rsidRPr="00E321D1">
          <w:rPr>
            <w:rStyle w:val="a8"/>
            <w:noProof/>
          </w:rPr>
          <w:t xml:space="preserve">2.3 </w:t>
        </w:r>
        <w:r w:rsidR="004D1916" w:rsidRPr="00E321D1">
          <w:rPr>
            <w:rStyle w:val="a8"/>
            <w:rFonts w:hint="eastAsia"/>
            <w:noProof/>
          </w:rPr>
          <w:t>基金管理人和基金托管人</w:t>
        </w:r>
        <w:r w:rsidR="004D1916">
          <w:rPr>
            <w:noProof/>
            <w:webHidden/>
          </w:rPr>
          <w:tab/>
        </w:r>
        <w:r>
          <w:rPr>
            <w:noProof/>
            <w:webHidden/>
          </w:rPr>
          <w:fldChar w:fldCharType="begin"/>
        </w:r>
        <w:r w:rsidR="004D1916">
          <w:rPr>
            <w:noProof/>
            <w:webHidden/>
          </w:rPr>
          <w:instrText xml:space="preserve"> PAGEREF _Toc490670308 \h </w:instrText>
        </w:r>
        <w:r>
          <w:rPr>
            <w:noProof/>
            <w:webHidden/>
          </w:rPr>
        </w:r>
        <w:r>
          <w:rPr>
            <w:noProof/>
            <w:webHidden/>
          </w:rPr>
          <w:fldChar w:fldCharType="separate"/>
        </w:r>
        <w:r w:rsidR="007367B0">
          <w:rPr>
            <w:noProof/>
            <w:webHidden/>
          </w:rPr>
          <w:t>5</w:t>
        </w:r>
        <w:r>
          <w:rPr>
            <w:noProof/>
            <w:webHidden/>
          </w:rPr>
          <w:fldChar w:fldCharType="end"/>
        </w:r>
      </w:hyperlink>
    </w:p>
    <w:p w:rsidR="004D1916" w:rsidRDefault="00CB7AE0">
      <w:pPr>
        <w:pStyle w:val="11"/>
        <w:tabs>
          <w:tab w:val="left" w:pos="420"/>
        </w:tabs>
        <w:rPr>
          <w:rFonts w:asciiTheme="minorHAnsi" w:eastAsiaTheme="minorEastAsia" w:hAnsiTheme="minorHAnsi" w:cstheme="minorBidi"/>
          <w:noProof/>
          <w:szCs w:val="22"/>
        </w:rPr>
      </w:pPr>
      <w:hyperlink w:anchor="_Toc490670309" w:history="1">
        <w:r w:rsidR="004D1916" w:rsidRPr="00E321D1">
          <w:rPr>
            <w:rStyle w:val="a8"/>
            <w:b/>
            <w:bCs/>
            <w:noProof/>
          </w:rPr>
          <w:t>3</w:t>
        </w:r>
        <w:r w:rsidR="004D1916">
          <w:rPr>
            <w:rFonts w:asciiTheme="minorHAnsi" w:eastAsiaTheme="minorEastAsia" w:hAnsiTheme="minorHAnsi" w:cstheme="minorBidi"/>
            <w:noProof/>
            <w:szCs w:val="22"/>
          </w:rPr>
          <w:tab/>
        </w:r>
        <w:r w:rsidR="004D1916" w:rsidRPr="00E321D1">
          <w:rPr>
            <w:rStyle w:val="a8"/>
            <w:rFonts w:hint="eastAsia"/>
            <w:b/>
            <w:bCs/>
            <w:noProof/>
          </w:rPr>
          <w:t>基金最后运作日财务会计报告（经审计）</w:t>
        </w:r>
        <w:r w:rsidR="004D1916">
          <w:rPr>
            <w:noProof/>
            <w:webHidden/>
          </w:rPr>
          <w:tab/>
        </w:r>
        <w:r>
          <w:rPr>
            <w:noProof/>
            <w:webHidden/>
          </w:rPr>
          <w:fldChar w:fldCharType="begin"/>
        </w:r>
        <w:r w:rsidR="004D1916">
          <w:rPr>
            <w:noProof/>
            <w:webHidden/>
          </w:rPr>
          <w:instrText xml:space="preserve"> PAGEREF _Toc490670309 \h </w:instrText>
        </w:r>
        <w:r>
          <w:rPr>
            <w:noProof/>
            <w:webHidden/>
          </w:rPr>
        </w:r>
        <w:r>
          <w:rPr>
            <w:noProof/>
            <w:webHidden/>
          </w:rPr>
          <w:fldChar w:fldCharType="separate"/>
        </w:r>
        <w:r w:rsidR="007367B0">
          <w:rPr>
            <w:noProof/>
            <w:webHidden/>
          </w:rPr>
          <w:t>5</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10" w:history="1">
        <w:r w:rsidR="004D1916" w:rsidRPr="00E321D1">
          <w:rPr>
            <w:rStyle w:val="a8"/>
            <w:noProof/>
          </w:rPr>
          <w:t xml:space="preserve">3.1 </w:t>
        </w:r>
        <w:r w:rsidR="004D1916" w:rsidRPr="00E321D1">
          <w:rPr>
            <w:rStyle w:val="a8"/>
            <w:rFonts w:hint="eastAsia"/>
            <w:noProof/>
          </w:rPr>
          <w:t>资产负债表</w:t>
        </w:r>
        <w:r w:rsidR="004D1916">
          <w:rPr>
            <w:noProof/>
            <w:webHidden/>
          </w:rPr>
          <w:tab/>
        </w:r>
        <w:r>
          <w:rPr>
            <w:noProof/>
            <w:webHidden/>
          </w:rPr>
          <w:fldChar w:fldCharType="begin"/>
        </w:r>
        <w:r w:rsidR="004D1916">
          <w:rPr>
            <w:noProof/>
            <w:webHidden/>
          </w:rPr>
          <w:instrText xml:space="preserve"> PAGEREF _Toc490670310 \h </w:instrText>
        </w:r>
        <w:r>
          <w:rPr>
            <w:noProof/>
            <w:webHidden/>
          </w:rPr>
        </w:r>
        <w:r>
          <w:rPr>
            <w:noProof/>
            <w:webHidden/>
          </w:rPr>
          <w:fldChar w:fldCharType="separate"/>
        </w:r>
        <w:r w:rsidR="007367B0">
          <w:rPr>
            <w:noProof/>
            <w:webHidden/>
          </w:rPr>
          <w:t>5</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11" w:history="1">
        <w:r w:rsidR="004D1916" w:rsidRPr="00E321D1">
          <w:rPr>
            <w:rStyle w:val="a8"/>
            <w:noProof/>
          </w:rPr>
          <w:t xml:space="preserve">3.2 </w:t>
        </w:r>
        <w:r w:rsidR="004D1916" w:rsidRPr="00E321D1">
          <w:rPr>
            <w:rStyle w:val="a8"/>
            <w:rFonts w:hint="eastAsia"/>
            <w:noProof/>
          </w:rPr>
          <w:t>利润表</w:t>
        </w:r>
        <w:r w:rsidR="004D1916">
          <w:rPr>
            <w:noProof/>
            <w:webHidden/>
          </w:rPr>
          <w:tab/>
        </w:r>
        <w:r>
          <w:rPr>
            <w:noProof/>
            <w:webHidden/>
          </w:rPr>
          <w:fldChar w:fldCharType="begin"/>
        </w:r>
        <w:r w:rsidR="004D1916">
          <w:rPr>
            <w:noProof/>
            <w:webHidden/>
          </w:rPr>
          <w:instrText xml:space="preserve"> PAGEREF _Toc490670311 \h </w:instrText>
        </w:r>
        <w:r>
          <w:rPr>
            <w:noProof/>
            <w:webHidden/>
          </w:rPr>
        </w:r>
        <w:r>
          <w:rPr>
            <w:noProof/>
            <w:webHidden/>
          </w:rPr>
          <w:fldChar w:fldCharType="separate"/>
        </w:r>
        <w:r w:rsidR="007367B0">
          <w:rPr>
            <w:noProof/>
            <w:webHidden/>
          </w:rPr>
          <w:t>7</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12" w:history="1">
        <w:r w:rsidR="004D1916" w:rsidRPr="00E321D1">
          <w:rPr>
            <w:rStyle w:val="a8"/>
            <w:noProof/>
          </w:rPr>
          <w:t xml:space="preserve">3.3 </w:t>
        </w:r>
        <w:r w:rsidR="004D1916" w:rsidRPr="00E321D1">
          <w:rPr>
            <w:rStyle w:val="a8"/>
            <w:rFonts w:hint="eastAsia"/>
            <w:noProof/>
          </w:rPr>
          <w:t>所有者权益（基金净值）变动表</w:t>
        </w:r>
        <w:r w:rsidR="004D1916">
          <w:rPr>
            <w:noProof/>
            <w:webHidden/>
          </w:rPr>
          <w:tab/>
        </w:r>
        <w:r>
          <w:rPr>
            <w:noProof/>
            <w:webHidden/>
          </w:rPr>
          <w:fldChar w:fldCharType="begin"/>
        </w:r>
        <w:r w:rsidR="004D1916">
          <w:rPr>
            <w:noProof/>
            <w:webHidden/>
          </w:rPr>
          <w:instrText xml:space="preserve"> PAGEREF _Toc490670312 \h </w:instrText>
        </w:r>
        <w:r>
          <w:rPr>
            <w:noProof/>
            <w:webHidden/>
          </w:rPr>
        </w:r>
        <w:r>
          <w:rPr>
            <w:noProof/>
            <w:webHidden/>
          </w:rPr>
          <w:fldChar w:fldCharType="separate"/>
        </w:r>
        <w:r w:rsidR="007367B0">
          <w:rPr>
            <w:noProof/>
            <w:webHidden/>
          </w:rPr>
          <w:t>7</w:t>
        </w:r>
        <w:r>
          <w:rPr>
            <w:noProof/>
            <w:webHidden/>
          </w:rPr>
          <w:fldChar w:fldCharType="end"/>
        </w:r>
      </w:hyperlink>
    </w:p>
    <w:p w:rsidR="004D1916" w:rsidRDefault="00CB7AE0">
      <w:pPr>
        <w:pStyle w:val="11"/>
        <w:rPr>
          <w:rFonts w:asciiTheme="minorHAnsi" w:eastAsiaTheme="minorEastAsia" w:hAnsiTheme="minorHAnsi" w:cstheme="minorBidi"/>
          <w:noProof/>
          <w:szCs w:val="22"/>
        </w:rPr>
      </w:pPr>
      <w:hyperlink w:anchor="_Toc490670313" w:history="1">
        <w:r w:rsidR="004D1916" w:rsidRPr="00E321D1">
          <w:rPr>
            <w:rStyle w:val="a8"/>
            <w:b/>
            <w:bCs/>
            <w:noProof/>
          </w:rPr>
          <w:t xml:space="preserve">4  </w:t>
        </w:r>
        <w:r w:rsidR="004D1916" w:rsidRPr="00E321D1">
          <w:rPr>
            <w:rStyle w:val="a8"/>
            <w:rFonts w:hint="eastAsia"/>
            <w:b/>
            <w:bCs/>
            <w:noProof/>
          </w:rPr>
          <w:t>清盘事项说明</w:t>
        </w:r>
        <w:r w:rsidR="004D1916">
          <w:rPr>
            <w:noProof/>
            <w:webHidden/>
          </w:rPr>
          <w:tab/>
        </w:r>
        <w:r>
          <w:rPr>
            <w:noProof/>
            <w:webHidden/>
          </w:rPr>
          <w:fldChar w:fldCharType="begin"/>
        </w:r>
        <w:r w:rsidR="004D1916">
          <w:rPr>
            <w:noProof/>
            <w:webHidden/>
          </w:rPr>
          <w:instrText xml:space="preserve"> PAGEREF _Toc490670313 \h </w:instrText>
        </w:r>
        <w:r>
          <w:rPr>
            <w:noProof/>
            <w:webHidden/>
          </w:rPr>
        </w:r>
        <w:r>
          <w:rPr>
            <w:noProof/>
            <w:webHidden/>
          </w:rPr>
          <w:fldChar w:fldCharType="separate"/>
        </w:r>
        <w:r w:rsidR="007367B0">
          <w:rPr>
            <w:noProof/>
            <w:webHidden/>
          </w:rPr>
          <w:t>9</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14" w:history="1">
        <w:r w:rsidR="004D1916" w:rsidRPr="00E321D1">
          <w:rPr>
            <w:rStyle w:val="a8"/>
            <w:noProof/>
          </w:rPr>
          <w:t xml:space="preserve">4.1 </w:t>
        </w:r>
        <w:r w:rsidR="004D1916" w:rsidRPr="00E321D1">
          <w:rPr>
            <w:rStyle w:val="a8"/>
            <w:rFonts w:hint="eastAsia"/>
            <w:noProof/>
          </w:rPr>
          <w:t>基金基本情况</w:t>
        </w:r>
        <w:r w:rsidR="004D1916">
          <w:rPr>
            <w:noProof/>
            <w:webHidden/>
          </w:rPr>
          <w:tab/>
        </w:r>
        <w:r>
          <w:rPr>
            <w:noProof/>
            <w:webHidden/>
          </w:rPr>
          <w:fldChar w:fldCharType="begin"/>
        </w:r>
        <w:r w:rsidR="004D1916">
          <w:rPr>
            <w:noProof/>
            <w:webHidden/>
          </w:rPr>
          <w:instrText xml:space="preserve"> PAGEREF _Toc490670314 \h </w:instrText>
        </w:r>
        <w:r>
          <w:rPr>
            <w:noProof/>
            <w:webHidden/>
          </w:rPr>
        </w:r>
        <w:r>
          <w:rPr>
            <w:noProof/>
            <w:webHidden/>
          </w:rPr>
          <w:fldChar w:fldCharType="separate"/>
        </w:r>
        <w:r w:rsidR="007367B0">
          <w:rPr>
            <w:noProof/>
            <w:webHidden/>
          </w:rPr>
          <w:t>9</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15" w:history="1">
        <w:r w:rsidR="004D1916" w:rsidRPr="00E321D1">
          <w:rPr>
            <w:rStyle w:val="a8"/>
            <w:noProof/>
          </w:rPr>
          <w:t xml:space="preserve">4.2 </w:t>
        </w:r>
        <w:r w:rsidR="004D1916" w:rsidRPr="00E321D1">
          <w:rPr>
            <w:rStyle w:val="a8"/>
            <w:rFonts w:hint="eastAsia"/>
            <w:noProof/>
          </w:rPr>
          <w:t>清算原因</w:t>
        </w:r>
        <w:r w:rsidR="004D1916">
          <w:rPr>
            <w:noProof/>
            <w:webHidden/>
          </w:rPr>
          <w:tab/>
        </w:r>
        <w:r>
          <w:rPr>
            <w:noProof/>
            <w:webHidden/>
          </w:rPr>
          <w:fldChar w:fldCharType="begin"/>
        </w:r>
        <w:r w:rsidR="004D1916">
          <w:rPr>
            <w:noProof/>
            <w:webHidden/>
          </w:rPr>
          <w:instrText xml:space="preserve"> PAGEREF _Toc490670315 \h </w:instrText>
        </w:r>
        <w:r>
          <w:rPr>
            <w:noProof/>
            <w:webHidden/>
          </w:rPr>
        </w:r>
        <w:r>
          <w:rPr>
            <w:noProof/>
            <w:webHidden/>
          </w:rPr>
          <w:fldChar w:fldCharType="separate"/>
        </w:r>
        <w:r w:rsidR="007367B0">
          <w:rPr>
            <w:noProof/>
            <w:webHidden/>
          </w:rPr>
          <w:t>10</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16" w:history="1">
        <w:r w:rsidR="004D1916" w:rsidRPr="00E321D1">
          <w:rPr>
            <w:rStyle w:val="a8"/>
            <w:noProof/>
          </w:rPr>
          <w:t xml:space="preserve">4.3 </w:t>
        </w:r>
        <w:r w:rsidR="004D1916" w:rsidRPr="00E321D1">
          <w:rPr>
            <w:rStyle w:val="a8"/>
            <w:rFonts w:hint="eastAsia"/>
            <w:noProof/>
          </w:rPr>
          <w:t>清算起始日</w:t>
        </w:r>
        <w:r w:rsidR="004D1916">
          <w:rPr>
            <w:noProof/>
            <w:webHidden/>
          </w:rPr>
          <w:tab/>
        </w:r>
        <w:r>
          <w:rPr>
            <w:noProof/>
            <w:webHidden/>
          </w:rPr>
          <w:fldChar w:fldCharType="begin"/>
        </w:r>
        <w:r w:rsidR="004D1916">
          <w:rPr>
            <w:noProof/>
            <w:webHidden/>
          </w:rPr>
          <w:instrText xml:space="preserve"> PAGEREF _Toc490670316 \h </w:instrText>
        </w:r>
        <w:r>
          <w:rPr>
            <w:noProof/>
            <w:webHidden/>
          </w:rPr>
        </w:r>
        <w:r>
          <w:rPr>
            <w:noProof/>
            <w:webHidden/>
          </w:rPr>
          <w:fldChar w:fldCharType="separate"/>
        </w:r>
        <w:r w:rsidR="007367B0">
          <w:rPr>
            <w:noProof/>
            <w:webHidden/>
          </w:rPr>
          <w:t>10</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17" w:history="1">
        <w:r w:rsidR="004D1916" w:rsidRPr="00E321D1">
          <w:rPr>
            <w:rStyle w:val="a8"/>
            <w:noProof/>
          </w:rPr>
          <w:t xml:space="preserve">4.4  </w:t>
        </w:r>
        <w:r w:rsidR="004D1916" w:rsidRPr="00E321D1">
          <w:rPr>
            <w:rStyle w:val="a8"/>
            <w:rFonts w:hint="eastAsia"/>
            <w:noProof/>
          </w:rPr>
          <w:t>清算报表编制基础</w:t>
        </w:r>
        <w:r w:rsidR="004D1916">
          <w:rPr>
            <w:noProof/>
            <w:webHidden/>
          </w:rPr>
          <w:tab/>
        </w:r>
        <w:r>
          <w:rPr>
            <w:noProof/>
            <w:webHidden/>
          </w:rPr>
          <w:fldChar w:fldCharType="begin"/>
        </w:r>
        <w:r w:rsidR="004D1916">
          <w:rPr>
            <w:noProof/>
            <w:webHidden/>
          </w:rPr>
          <w:instrText xml:space="preserve"> PAGEREF _Toc490670317 \h </w:instrText>
        </w:r>
        <w:r>
          <w:rPr>
            <w:noProof/>
            <w:webHidden/>
          </w:rPr>
        </w:r>
        <w:r>
          <w:rPr>
            <w:noProof/>
            <w:webHidden/>
          </w:rPr>
          <w:fldChar w:fldCharType="separate"/>
        </w:r>
        <w:r w:rsidR="007367B0">
          <w:rPr>
            <w:noProof/>
            <w:webHidden/>
          </w:rPr>
          <w:t>10</w:t>
        </w:r>
        <w:r>
          <w:rPr>
            <w:noProof/>
            <w:webHidden/>
          </w:rPr>
          <w:fldChar w:fldCharType="end"/>
        </w:r>
      </w:hyperlink>
    </w:p>
    <w:p w:rsidR="004D1916" w:rsidRDefault="00CB7AE0">
      <w:pPr>
        <w:pStyle w:val="11"/>
        <w:rPr>
          <w:rFonts w:asciiTheme="minorHAnsi" w:eastAsiaTheme="minorEastAsia" w:hAnsiTheme="minorHAnsi" w:cstheme="minorBidi"/>
          <w:noProof/>
          <w:szCs w:val="22"/>
        </w:rPr>
      </w:pPr>
      <w:hyperlink w:anchor="_Toc490670318" w:history="1">
        <w:r w:rsidR="004D1916" w:rsidRPr="00E321D1">
          <w:rPr>
            <w:rStyle w:val="a8"/>
            <w:b/>
            <w:noProof/>
          </w:rPr>
          <w:t>5</w:t>
        </w:r>
        <w:r w:rsidR="004D1916" w:rsidRPr="00E321D1">
          <w:rPr>
            <w:rStyle w:val="a8"/>
            <w:rFonts w:hint="eastAsia"/>
            <w:b/>
            <w:bCs/>
            <w:noProof/>
          </w:rPr>
          <w:t>清算情况</w:t>
        </w:r>
        <w:r w:rsidR="004D1916">
          <w:rPr>
            <w:noProof/>
            <w:webHidden/>
          </w:rPr>
          <w:tab/>
        </w:r>
        <w:r>
          <w:rPr>
            <w:noProof/>
            <w:webHidden/>
          </w:rPr>
          <w:fldChar w:fldCharType="begin"/>
        </w:r>
        <w:r w:rsidR="004D1916">
          <w:rPr>
            <w:noProof/>
            <w:webHidden/>
          </w:rPr>
          <w:instrText xml:space="preserve"> PAGEREF _Toc490670318 \h </w:instrText>
        </w:r>
        <w:r>
          <w:rPr>
            <w:noProof/>
            <w:webHidden/>
          </w:rPr>
        </w:r>
        <w:r>
          <w:rPr>
            <w:noProof/>
            <w:webHidden/>
          </w:rPr>
          <w:fldChar w:fldCharType="separate"/>
        </w:r>
        <w:r w:rsidR="007367B0">
          <w:rPr>
            <w:noProof/>
            <w:webHidden/>
          </w:rPr>
          <w:t>10</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19" w:history="1">
        <w:r w:rsidR="004D1916" w:rsidRPr="00E321D1">
          <w:rPr>
            <w:rStyle w:val="a8"/>
            <w:noProof/>
          </w:rPr>
          <w:t xml:space="preserve">5.1 </w:t>
        </w:r>
        <w:r w:rsidR="004D1916" w:rsidRPr="00E321D1">
          <w:rPr>
            <w:rStyle w:val="a8"/>
            <w:rFonts w:hint="eastAsia"/>
            <w:noProof/>
          </w:rPr>
          <w:t>清算费用</w:t>
        </w:r>
        <w:r w:rsidR="004D1916">
          <w:rPr>
            <w:noProof/>
            <w:webHidden/>
          </w:rPr>
          <w:tab/>
        </w:r>
        <w:r>
          <w:rPr>
            <w:noProof/>
            <w:webHidden/>
          </w:rPr>
          <w:fldChar w:fldCharType="begin"/>
        </w:r>
        <w:r w:rsidR="004D1916">
          <w:rPr>
            <w:noProof/>
            <w:webHidden/>
          </w:rPr>
          <w:instrText xml:space="preserve"> PAGEREF _Toc490670319 \h </w:instrText>
        </w:r>
        <w:r>
          <w:rPr>
            <w:noProof/>
            <w:webHidden/>
          </w:rPr>
        </w:r>
        <w:r>
          <w:rPr>
            <w:noProof/>
            <w:webHidden/>
          </w:rPr>
          <w:fldChar w:fldCharType="separate"/>
        </w:r>
        <w:r w:rsidR="007367B0">
          <w:rPr>
            <w:noProof/>
            <w:webHidden/>
          </w:rPr>
          <w:t>10</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20" w:history="1">
        <w:r w:rsidR="004D1916" w:rsidRPr="00E321D1">
          <w:rPr>
            <w:rStyle w:val="a8"/>
            <w:noProof/>
          </w:rPr>
          <w:t>5.2</w:t>
        </w:r>
        <w:r w:rsidR="004D1916" w:rsidRPr="00E321D1">
          <w:rPr>
            <w:rStyle w:val="a8"/>
            <w:rFonts w:hint="eastAsia"/>
            <w:noProof/>
          </w:rPr>
          <w:t>资产处置情况</w:t>
        </w:r>
        <w:r w:rsidR="004D1916">
          <w:rPr>
            <w:noProof/>
            <w:webHidden/>
          </w:rPr>
          <w:tab/>
        </w:r>
        <w:r>
          <w:rPr>
            <w:noProof/>
            <w:webHidden/>
          </w:rPr>
          <w:fldChar w:fldCharType="begin"/>
        </w:r>
        <w:r w:rsidR="004D1916">
          <w:rPr>
            <w:noProof/>
            <w:webHidden/>
          </w:rPr>
          <w:instrText xml:space="preserve"> PAGEREF _Toc490670320 \h </w:instrText>
        </w:r>
        <w:r>
          <w:rPr>
            <w:noProof/>
            <w:webHidden/>
          </w:rPr>
        </w:r>
        <w:r>
          <w:rPr>
            <w:noProof/>
            <w:webHidden/>
          </w:rPr>
          <w:fldChar w:fldCharType="separate"/>
        </w:r>
        <w:r w:rsidR="007367B0">
          <w:rPr>
            <w:noProof/>
            <w:webHidden/>
          </w:rPr>
          <w:t>10</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21" w:history="1">
        <w:r w:rsidR="004D1916" w:rsidRPr="00E321D1">
          <w:rPr>
            <w:rStyle w:val="a8"/>
            <w:noProof/>
          </w:rPr>
          <w:t>5.3</w:t>
        </w:r>
        <w:r w:rsidR="004D1916" w:rsidRPr="00E321D1">
          <w:rPr>
            <w:rStyle w:val="a8"/>
            <w:rFonts w:hint="eastAsia"/>
            <w:noProof/>
          </w:rPr>
          <w:t>负债清偿情况</w:t>
        </w:r>
        <w:r w:rsidR="004D1916">
          <w:rPr>
            <w:noProof/>
            <w:webHidden/>
          </w:rPr>
          <w:tab/>
        </w:r>
        <w:r>
          <w:rPr>
            <w:noProof/>
            <w:webHidden/>
          </w:rPr>
          <w:fldChar w:fldCharType="begin"/>
        </w:r>
        <w:r w:rsidR="004D1916">
          <w:rPr>
            <w:noProof/>
            <w:webHidden/>
          </w:rPr>
          <w:instrText xml:space="preserve"> PAGEREF _Toc490670321 \h </w:instrText>
        </w:r>
        <w:r>
          <w:rPr>
            <w:noProof/>
            <w:webHidden/>
          </w:rPr>
        </w:r>
        <w:r>
          <w:rPr>
            <w:noProof/>
            <w:webHidden/>
          </w:rPr>
          <w:fldChar w:fldCharType="separate"/>
        </w:r>
        <w:r w:rsidR="007367B0">
          <w:rPr>
            <w:noProof/>
            <w:webHidden/>
          </w:rPr>
          <w:t>11</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22" w:history="1">
        <w:r w:rsidR="004D1916" w:rsidRPr="00E321D1">
          <w:rPr>
            <w:rStyle w:val="a8"/>
            <w:noProof/>
          </w:rPr>
          <w:t xml:space="preserve">5.4 </w:t>
        </w:r>
        <w:r w:rsidR="004D1916" w:rsidRPr="00E321D1">
          <w:rPr>
            <w:rStyle w:val="a8"/>
            <w:rFonts w:hint="eastAsia"/>
            <w:noProof/>
          </w:rPr>
          <w:t>清算期间的清算损益情况</w:t>
        </w:r>
        <w:r w:rsidR="004D1916">
          <w:rPr>
            <w:noProof/>
            <w:webHidden/>
          </w:rPr>
          <w:tab/>
        </w:r>
        <w:r>
          <w:rPr>
            <w:noProof/>
            <w:webHidden/>
          </w:rPr>
          <w:fldChar w:fldCharType="begin"/>
        </w:r>
        <w:r w:rsidR="004D1916">
          <w:rPr>
            <w:noProof/>
            <w:webHidden/>
          </w:rPr>
          <w:instrText xml:space="preserve"> PAGEREF _Toc490670322 \h </w:instrText>
        </w:r>
        <w:r>
          <w:rPr>
            <w:noProof/>
            <w:webHidden/>
          </w:rPr>
        </w:r>
        <w:r>
          <w:rPr>
            <w:noProof/>
            <w:webHidden/>
          </w:rPr>
          <w:fldChar w:fldCharType="separate"/>
        </w:r>
        <w:r w:rsidR="007367B0">
          <w:rPr>
            <w:noProof/>
            <w:webHidden/>
          </w:rPr>
          <w:t>11</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23" w:history="1">
        <w:r w:rsidR="004D1916" w:rsidRPr="00E321D1">
          <w:rPr>
            <w:rStyle w:val="a8"/>
            <w:noProof/>
          </w:rPr>
          <w:t>5.5</w:t>
        </w:r>
        <w:r w:rsidR="004D1916" w:rsidRPr="00E321D1">
          <w:rPr>
            <w:rStyle w:val="a8"/>
            <w:rFonts w:hint="eastAsia"/>
            <w:noProof/>
          </w:rPr>
          <w:t>资产处置及负债清偿后的剩余财产分配情况</w:t>
        </w:r>
        <w:r w:rsidR="004D1916">
          <w:rPr>
            <w:noProof/>
            <w:webHidden/>
          </w:rPr>
          <w:tab/>
        </w:r>
        <w:r>
          <w:rPr>
            <w:noProof/>
            <w:webHidden/>
          </w:rPr>
          <w:fldChar w:fldCharType="begin"/>
        </w:r>
        <w:r w:rsidR="004D1916">
          <w:rPr>
            <w:noProof/>
            <w:webHidden/>
          </w:rPr>
          <w:instrText xml:space="preserve"> PAGEREF _Toc490670323 \h </w:instrText>
        </w:r>
        <w:r>
          <w:rPr>
            <w:noProof/>
            <w:webHidden/>
          </w:rPr>
        </w:r>
        <w:r>
          <w:rPr>
            <w:noProof/>
            <w:webHidden/>
          </w:rPr>
          <w:fldChar w:fldCharType="separate"/>
        </w:r>
        <w:r w:rsidR="007367B0">
          <w:rPr>
            <w:noProof/>
            <w:webHidden/>
          </w:rPr>
          <w:t>12</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24" w:history="1">
        <w:r w:rsidR="004D1916" w:rsidRPr="00E321D1">
          <w:rPr>
            <w:rStyle w:val="a8"/>
            <w:noProof/>
          </w:rPr>
          <w:t xml:space="preserve">5.6 </w:t>
        </w:r>
        <w:r w:rsidR="004D1916" w:rsidRPr="00E321D1">
          <w:rPr>
            <w:rStyle w:val="a8"/>
            <w:rFonts w:hint="eastAsia"/>
            <w:noProof/>
          </w:rPr>
          <w:t>基金财产清算报告的告知安排</w:t>
        </w:r>
        <w:r w:rsidR="004D1916">
          <w:rPr>
            <w:noProof/>
            <w:webHidden/>
          </w:rPr>
          <w:tab/>
        </w:r>
        <w:r>
          <w:rPr>
            <w:noProof/>
            <w:webHidden/>
          </w:rPr>
          <w:fldChar w:fldCharType="begin"/>
        </w:r>
        <w:r w:rsidR="004D1916">
          <w:rPr>
            <w:noProof/>
            <w:webHidden/>
          </w:rPr>
          <w:instrText xml:space="preserve"> PAGEREF _Toc490670324 \h </w:instrText>
        </w:r>
        <w:r>
          <w:rPr>
            <w:noProof/>
            <w:webHidden/>
          </w:rPr>
        </w:r>
        <w:r>
          <w:rPr>
            <w:noProof/>
            <w:webHidden/>
          </w:rPr>
          <w:fldChar w:fldCharType="separate"/>
        </w:r>
        <w:r w:rsidR="007367B0">
          <w:rPr>
            <w:noProof/>
            <w:webHidden/>
          </w:rPr>
          <w:t>12</w:t>
        </w:r>
        <w:r>
          <w:rPr>
            <w:noProof/>
            <w:webHidden/>
          </w:rPr>
          <w:fldChar w:fldCharType="end"/>
        </w:r>
      </w:hyperlink>
    </w:p>
    <w:p w:rsidR="004D1916" w:rsidRDefault="00CB7AE0">
      <w:pPr>
        <w:pStyle w:val="11"/>
        <w:rPr>
          <w:rFonts w:asciiTheme="minorHAnsi" w:eastAsiaTheme="minorEastAsia" w:hAnsiTheme="minorHAnsi" w:cstheme="minorBidi"/>
          <w:noProof/>
          <w:szCs w:val="22"/>
        </w:rPr>
      </w:pPr>
      <w:hyperlink w:anchor="_Toc490670325" w:history="1">
        <w:r w:rsidR="004D1916" w:rsidRPr="00E321D1">
          <w:rPr>
            <w:rStyle w:val="a8"/>
            <w:b/>
            <w:bCs/>
            <w:noProof/>
          </w:rPr>
          <w:t xml:space="preserve">6  </w:t>
        </w:r>
        <w:r w:rsidR="004D1916" w:rsidRPr="00E321D1">
          <w:rPr>
            <w:rStyle w:val="a8"/>
            <w:rFonts w:hint="eastAsia"/>
            <w:b/>
            <w:bCs/>
            <w:noProof/>
          </w:rPr>
          <w:t>备查文件目录</w:t>
        </w:r>
        <w:r w:rsidR="004D1916">
          <w:rPr>
            <w:noProof/>
            <w:webHidden/>
          </w:rPr>
          <w:tab/>
        </w:r>
        <w:r>
          <w:rPr>
            <w:noProof/>
            <w:webHidden/>
          </w:rPr>
          <w:fldChar w:fldCharType="begin"/>
        </w:r>
        <w:r w:rsidR="004D1916">
          <w:rPr>
            <w:noProof/>
            <w:webHidden/>
          </w:rPr>
          <w:instrText xml:space="preserve"> PAGEREF _Toc490670325 \h </w:instrText>
        </w:r>
        <w:r>
          <w:rPr>
            <w:noProof/>
            <w:webHidden/>
          </w:rPr>
        </w:r>
        <w:r>
          <w:rPr>
            <w:noProof/>
            <w:webHidden/>
          </w:rPr>
          <w:fldChar w:fldCharType="separate"/>
        </w:r>
        <w:r w:rsidR="007367B0">
          <w:rPr>
            <w:noProof/>
            <w:webHidden/>
          </w:rPr>
          <w:t>13</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26" w:history="1">
        <w:r w:rsidR="004D1916" w:rsidRPr="00E321D1">
          <w:rPr>
            <w:rStyle w:val="a8"/>
            <w:noProof/>
          </w:rPr>
          <w:t xml:space="preserve">6.1 </w:t>
        </w:r>
        <w:r w:rsidR="004D1916" w:rsidRPr="00E321D1">
          <w:rPr>
            <w:rStyle w:val="a8"/>
            <w:rFonts w:hint="eastAsia"/>
            <w:noProof/>
          </w:rPr>
          <w:t>备查文件目录</w:t>
        </w:r>
        <w:r w:rsidR="004D1916">
          <w:rPr>
            <w:noProof/>
            <w:webHidden/>
          </w:rPr>
          <w:tab/>
        </w:r>
        <w:r>
          <w:rPr>
            <w:noProof/>
            <w:webHidden/>
          </w:rPr>
          <w:fldChar w:fldCharType="begin"/>
        </w:r>
        <w:r w:rsidR="004D1916">
          <w:rPr>
            <w:noProof/>
            <w:webHidden/>
          </w:rPr>
          <w:instrText xml:space="preserve"> PAGEREF _Toc490670326 \h </w:instrText>
        </w:r>
        <w:r>
          <w:rPr>
            <w:noProof/>
            <w:webHidden/>
          </w:rPr>
        </w:r>
        <w:r>
          <w:rPr>
            <w:noProof/>
            <w:webHidden/>
          </w:rPr>
          <w:fldChar w:fldCharType="separate"/>
        </w:r>
        <w:r w:rsidR="007367B0">
          <w:rPr>
            <w:noProof/>
            <w:webHidden/>
          </w:rPr>
          <w:t>13</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27" w:history="1">
        <w:r w:rsidR="004D1916" w:rsidRPr="00E321D1">
          <w:rPr>
            <w:rStyle w:val="a8"/>
            <w:noProof/>
          </w:rPr>
          <w:t xml:space="preserve">6.2 </w:t>
        </w:r>
        <w:r w:rsidR="004D1916" w:rsidRPr="00E321D1">
          <w:rPr>
            <w:rStyle w:val="a8"/>
            <w:rFonts w:hint="eastAsia"/>
            <w:noProof/>
          </w:rPr>
          <w:t>存放地点</w:t>
        </w:r>
        <w:r w:rsidR="004D1916">
          <w:rPr>
            <w:noProof/>
            <w:webHidden/>
          </w:rPr>
          <w:tab/>
        </w:r>
        <w:r>
          <w:rPr>
            <w:noProof/>
            <w:webHidden/>
          </w:rPr>
          <w:fldChar w:fldCharType="begin"/>
        </w:r>
        <w:r w:rsidR="004D1916">
          <w:rPr>
            <w:noProof/>
            <w:webHidden/>
          </w:rPr>
          <w:instrText xml:space="preserve"> PAGEREF _Toc490670327 \h </w:instrText>
        </w:r>
        <w:r>
          <w:rPr>
            <w:noProof/>
            <w:webHidden/>
          </w:rPr>
        </w:r>
        <w:r>
          <w:rPr>
            <w:noProof/>
            <w:webHidden/>
          </w:rPr>
          <w:fldChar w:fldCharType="separate"/>
        </w:r>
        <w:r w:rsidR="007367B0">
          <w:rPr>
            <w:noProof/>
            <w:webHidden/>
          </w:rPr>
          <w:t>13</w:t>
        </w:r>
        <w:r>
          <w:rPr>
            <w:noProof/>
            <w:webHidden/>
          </w:rPr>
          <w:fldChar w:fldCharType="end"/>
        </w:r>
      </w:hyperlink>
    </w:p>
    <w:p w:rsidR="004D1916" w:rsidRDefault="00CB7AE0">
      <w:pPr>
        <w:pStyle w:val="22"/>
        <w:rPr>
          <w:rFonts w:asciiTheme="minorHAnsi" w:eastAsiaTheme="minorEastAsia" w:hAnsiTheme="minorHAnsi" w:cstheme="minorBidi"/>
          <w:noProof/>
          <w:kern w:val="2"/>
          <w:szCs w:val="22"/>
        </w:rPr>
      </w:pPr>
      <w:hyperlink w:anchor="_Toc490670328" w:history="1">
        <w:r w:rsidR="004D1916" w:rsidRPr="00E321D1">
          <w:rPr>
            <w:rStyle w:val="a8"/>
            <w:noProof/>
          </w:rPr>
          <w:t xml:space="preserve">6.3 </w:t>
        </w:r>
        <w:r w:rsidR="004D1916" w:rsidRPr="00E321D1">
          <w:rPr>
            <w:rStyle w:val="a8"/>
            <w:rFonts w:hint="eastAsia"/>
            <w:noProof/>
          </w:rPr>
          <w:t>查阅方式</w:t>
        </w:r>
        <w:r w:rsidR="004D1916">
          <w:rPr>
            <w:noProof/>
            <w:webHidden/>
          </w:rPr>
          <w:tab/>
        </w:r>
        <w:r>
          <w:rPr>
            <w:noProof/>
            <w:webHidden/>
          </w:rPr>
          <w:fldChar w:fldCharType="begin"/>
        </w:r>
        <w:r w:rsidR="004D1916">
          <w:rPr>
            <w:noProof/>
            <w:webHidden/>
          </w:rPr>
          <w:instrText xml:space="preserve"> PAGEREF _Toc490670328 \h </w:instrText>
        </w:r>
        <w:r>
          <w:rPr>
            <w:noProof/>
            <w:webHidden/>
          </w:rPr>
        </w:r>
        <w:r>
          <w:rPr>
            <w:noProof/>
            <w:webHidden/>
          </w:rPr>
          <w:fldChar w:fldCharType="separate"/>
        </w:r>
        <w:r w:rsidR="007367B0">
          <w:rPr>
            <w:noProof/>
            <w:webHidden/>
          </w:rPr>
          <w:t>13</w:t>
        </w:r>
        <w:r>
          <w:rPr>
            <w:noProof/>
            <w:webHidden/>
          </w:rPr>
          <w:fldChar w:fldCharType="end"/>
        </w:r>
      </w:hyperlink>
    </w:p>
    <w:p w:rsidR="002E3B41" w:rsidRPr="00D42BE5" w:rsidRDefault="00CB7AE0" w:rsidP="002E3B41">
      <w:pPr>
        <w:autoSpaceDE w:val="0"/>
        <w:autoSpaceDN w:val="0"/>
        <w:adjustRightInd w:val="0"/>
        <w:spacing w:before="29" w:line="360" w:lineRule="auto"/>
        <w:ind w:left="15"/>
        <w:jc w:val="center"/>
        <w:rPr>
          <w:b/>
          <w:color w:val="000000"/>
          <w:kern w:val="0"/>
          <w:szCs w:val="21"/>
        </w:rPr>
      </w:pPr>
      <w:r w:rsidRPr="00D42BE5">
        <w:rPr>
          <w:szCs w:val="21"/>
        </w:rPr>
        <w:fldChar w:fldCharType="end"/>
      </w: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1548F9" w:rsidRPr="006F14B8" w:rsidRDefault="00540E2A" w:rsidP="00E34DD9">
      <w:pPr>
        <w:pStyle w:val="1"/>
        <w:keepNext/>
        <w:keepLines/>
        <w:widowControl w:val="0"/>
        <w:spacing w:beforeLines="100" w:afterLines="100" w:line="360" w:lineRule="auto"/>
        <w:jc w:val="center"/>
        <w:rPr>
          <w:sz w:val="21"/>
          <w:szCs w:val="21"/>
          <w:lang w:val="en-US"/>
        </w:rPr>
        <w:pPrChange w:id="4" w:author="ZHONGM" w:date="2018-03-09T00:37:00Z">
          <w:pPr>
            <w:pStyle w:val="1"/>
            <w:keepNext/>
            <w:keepLines/>
            <w:widowControl w:val="0"/>
            <w:spacing w:beforeLines="100" w:afterLines="100" w:line="360" w:lineRule="auto"/>
            <w:jc w:val="center"/>
          </w:pPr>
        </w:pPrChange>
      </w:pPr>
      <w:bookmarkStart w:id="5" w:name="_Toc225498244"/>
      <w:bookmarkStart w:id="6" w:name="_Toc490670305"/>
      <w:r w:rsidRPr="006F14B8">
        <w:rPr>
          <w:b/>
          <w:bCs/>
          <w:sz w:val="21"/>
          <w:szCs w:val="21"/>
          <w:lang w:val="en-US"/>
        </w:rPr>
        <w:lastRenderedPageBreak/>
        <w:t xml:space="preserve">2  </w:t>
      </w:r>
      <w:r w:rsidRPr="006F14B8">
        <w:rPr>
          <w:b/>
          <w:bCs/>
          <w:sz w:val="21"/>
          <w:szCs w:val="21"/>
          <w:lang w:val="en-US"/>
        </w:rPr>
        <w:t>基金</w:t>
      </w:r>
      <w:bookmarkEnd w:id="5"/>
      <w:r w:rsidR="00D10054" w:rsidRPr="006F14B8">
        <w:rPr>
          <w:rFonts w:hint="eastAsia"/>
          <w:b/>
          <w:bCs/>
          <w:sz w:val="21"/>
          <w:szCs w:val="21"/>
          <w:lang w:val="en-US"/>
        </w:rPr>
        <w:t>概况</w:t>
      </w:r>
      <w:bookmarkEnd w:id="6"/>
    </w:p>
    <w:p w:rsidR="001548F9" w:rsidRPr="006F14B8" w:rsidRDefault="001548F9" w:rsidP="004C1748">
      <w:pPr>
        <w:pStyle w:val="20"/>
        <w:spacing w:before="0" w:after="0"/>
        <w:rPr>
          <w:rFonts w:ascii="Times New Roman" w:hAnsi="Times New Roman"/>
          <w:color w:val="000000"/>
          <w:sz w:val="21"/>
          <w:szCs w:val="21"/>
        </w:rPr>
      </w:pPr>
      <w:bookmarkStart w:id="7" w:name="_Toc390421229"/>
      <w:bookmarkStart w:id="8" w:name="_Toc490670306"/>
      <w:r w:rsidRPr="006F14B8">
        <w:rPr>
          <w:rFonts w:ascii="Times New Roman" w:hAnsi="Times New Roman"/>
          <w:kern w:val="0"/>
          <w:sz w:val="21"/>
          <w:szCs w:val="21"/>
        </w:rPr>
        <w:t>2.1</w:t>
      </w:r>
      <w:r w:rsidRPr="006F14B8">
        <w:rPr>
          <w:rFonts w:ascii="Times New Roman" w:hAnsi="Times New Roman"/>
          <w:kern w:val="0"/>
          <w:sz w:val="21"/>
          <w:szCs w:val="21"/>
        </w:rPr>
        <w:tab/>
      </w:r>
      <w:r w:rsidRPr="006F14B8">
        <w:rPr>
          <w:rFonts w:ascii="Times New Roman" w:hAnsi="Times New Roman"/>
          <w:color w:val="000000"/>
          <w:sz w:val="21"/>
          <w:szCs w:val="21"/>
        </w:rPr>
        <w:t>基金基本情况</w:t>
      </w:r>
      <w:bookmarkEnd w:id="7"/>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55"/>
        <w:gridCol w:w="5217"/>
      </w:tblGrid>
      <w:tr w:rsidR="00CC5A26" w:rsidRPr="006F14B8" w:rsidTr="00EE41B4">
        <w:trPr>
          <w:jc w:val="center"/>
        </w:trPr>
        <w:tc>
          <w:tcPr>
            <w:tcW w:w="3555" w:type="dxa"/>
            <w:vAlign w:val="center"/>
          </w:tcPr>
          <w:p w:rsidR="00CC5A26" w:rsidRPr="006F14B8" w:rsidRDefault="00CC5A26" w:rsidP="00EE41B4">
            <w:pPr>
              <w:rPr>
                <w:color w:val="000000"/>
                <w:kern w:val="0"/>
                <w:szCs w:val="21"/>
              </w:rPr>
            </w:pPr>
            <w:r w:rsidRPr="006F14B8">
              <w:rPr>
                <w:szCs w:val="21"/>
              </w:rPr>
              <w:t>基金名称</w:t>
            </w:r>
          </w:p>
        </w:tc>
        <w:tc>
          <w:tcPr>
            <w:tcW w:w="5217" w:type="dxa"/>
            <w:vAlign w:val="center"/>
          </w:tcPr>
          <w:p w:rsidR="00CC5A26" w:rsidRPr="006F14B8" w:rsidRDefault="004C7684" w:rsidP="00CC5A26">
            <w:pPr>
              <w:jc w:val="right"/>
              <w:rPr>
                <w:szCs w:val="21"/>
              </w:rPr>
            </w:pPr>
            <w:r w:rsidRPr="00E60957">
              <w:rPr>
                <w:color w:val="000000"/>
                <w:szCs w:val="21"/>
              </w:rPr>
              <w:t>国泰美国房地产开发股票型证券投资基金</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基金简称</w:t>
            </w:r>
          </w:p>
        </w:tc>
        <w:tc>
          <w:tcPr>
            <w:tcW w:w="5217" w:type="dxa"/>
            <w:vAlign w:val="center"/>
          </w:tcPr>
          <w:p w:rsidR="00CC5A26" w:rsidRPr="006F14B8" w:rsidRDefault="004C7684" w:rsidP="00CC5A26">
            <w:pPr>
              <w:jc w:val="right"/>
              <w:rPr>
                <w:szCs w:val="21"/>
              </w:rPr>
            </w:pPr>
            <w:r w:rsidRPr="00E60957">
              <w:rPr>
                <w:color w:val="000000"/>
                <w:szCs w:val="21"/>
              </w:rPr>
              <w:t>国泰美国房地产开发股票（</w:t>
            </w:r>
            <w:r w:rsidRPr="00E60957">
              <w:rPr>
                <w:color w:val="000000"/>
                <w:szCs w:val="21"/>
              </w:rPr>
              <w:t>QDII</w:t>
            </w:r>
            <w:r w:rsidRPr="00E60957">
              <w:rPr>
                <w:color w:val="000000"/>
                <w:szCs w:val="21"/>
              </w:rPr>
              <w:t>）</w:t>
            </w:r>
          </w:p>
        </w:tc>
      </w:tr>
      <w:tr w:rsidR="00CC5A26" w:rsidRPr="006F14B8" w:rsidTr="00AC12EE">
        <w:trPr>
          <w:jc w:val="center"/>
        </w:trPr>
        <w:tc>
          <w:tcPr>
            <w:tcW w:w="3555" w:type="dxa"/>
            <w:vAlign w:val="center"/>
          </w:tcPr>
          <w:p w:rsidR="00CC5A26" w:rsidRPr="006F14B8" w:rsidRDefault="00CC5A26">
            <w:pPr>
              <w:rPr>
                <w:color w:val="000000"/>
                <w:kern w:val="0"/>
                <w:szCs w:val="21"/>
              </w:rPr>
            </w:pPr>
            <w:r w:rsidRPr="006F14B8">
              <w:rPr>
                <w:szCs w:val="21"/>
              </w:rPr>
              <w:t>基金主代码</w:t>
            </w:r>
          </w:p>
        </w:tc>
        <w:tc>
          <w:tcPr>
            <w:tcW w:w="5217" w:type="dxa"/>
            <w:vAlign w:val="center"/>
          </w:tcPr>
          <w:p w:rsidR="00CC5A26" w:rsidRPr="006F14B8" w:rsidRDefault="004C7684" w:rsidP="00CC5A26">
            <w:pPr>
              <w:jc w:val="right"/>
              <w:rPr>
                <w:szCs w:val="21"/>
              </w:rPr>
            </w:pPr>
            <w:r w:rsidRPr="00E60957">
              <w:rPr>
                <w:color w:val="000000"/>
                <w:szCs w:val="21"/>
              </w:rPr>
              <w:t>000193</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基金运作方式</w:t>
            </w:r>
          </w:p>
        </w:tc>
        <w:tc>
          <w:tcPr>
            <w:tcW w:w="5217" w:type="dxa"/>
            <w:vAlign w:val="center"/>
          </w:tcPr>
          <w:p w:rsidR="00CC5A26" w:rsidRPr="006F14B8" w:rsidRDefault="00CC5A26" w:rsidP="00CC5A26">
            <w:pPr>
              <w:jc w:val="right"/>
              <w:rPr>
                <w:szCs w:val="21"/>
              </w:rPr>
            </w:pPr>
            <w:r w:rsidRPr="006F14B8">
              <w:rPr>
                <w:szCs w:val="21"/>
              </w:rPr>
              <w:t>契约型开放式</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基金合同生效日</w:t>
            </w:r>
          </w:p>
        </w:tc>
        <w:tc>
          <w:tcPr>
            <w:tcW w:w="5217" w:type="dxa"/>
            <w:vAlign w:val="center"/>
          </w:tcPr>
          <w:p w:rsidR="00CC5A26" w:rsidRPr="006F14B8" w:rsidRDefault="004C7684" w:rsidP="00CC5A26">
            <w:pPr>
              <w:jc w:val="right"/>
              <w:rPr>
                <w:szCs w:val="21"/>
              </w:rPr>
            </w:pPr>
            <w:r w:rsidRPr="00E60957">
              <w:rPr>
                <w:color w:val="000000"/>
                <w:szCs w:val="21"/>
              </w:rPr>
              <w:t>2013</w:t>
            </w:r>
            <w:r w:rsidRPr="00E60957">
              <w:rPr>
                <w:color w:val="000000"/>
                <w:szCs w:val="21"/>
              </w:rPr>
              <w:t>年</w:t>
            </w:r>
            <w:r w:rsidRPr="00E60957">
              <w:rPr>
                <w:color w:val="000000"/>
                <w:szCs w:val="21"/>
              </w:rPr>
              <w:t>8</w:t>
            </w:r>
            <w:r w:rsidRPr="00E60957">
              <w:rPr>
                <w:color w:val="000000"/>
                <w:szCs w:val="21"/>
              </w:rPr>
              <w:t>月</w:t>
            </w:r>
            <w:r w:rsidRPr="00E60957">
              <w:rPr>
                <w:color w:val="000000"/>
                <w:szCs w:val="21"/>
              </w:rPr>
              <w:t>7</w:t>
            </w:r>
            <w:r w:rsidRPr="00E60957">
              <w:rPr>
                <w:color w:val="000000"/>
                <w:szCs w:val="21"/>
              </w:rPr>
              <w:t>日</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基金管理人</w:t>
            </w:r>
          </w:p>
        </w:tc>
        <w:tc>
          <w:tcPr>
            <w:tcW w:w="5217" w:type="dxa"/>
            <w:vAlign w:val="center"/>
          </w:tcPr>
          <w:p w:rsidR="00CC5A26" w:rsidRPr="006F14B8" w:rsidRDefault="00CC5A26" w:rsidP="00CC5A26">
            <w:pPr>
              <w:jc w:val="right"/>
              <w:rPr>
                <w:szCs w:val="21"/>
              </w:rPr>
            </w:pPr>
            <w:r w:rsidRPr="006F14B8">
              <w:rPr>
                <w:szCs w:val="21"/>
              </w:rPr>
              <w:t>国泰基金管理有限公司</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基金托管人</w:t>
            </w:r>
          </w:p>
        </w:tc>
        <w:tc>
          <w:tcPr>
            <w:tcW w:w="5217" w:type="dxa"/>
            <w:vAlign w:val="center"/>
          </w:tcPr>
          <w:p w:rsidR="00CC5A26" w:rsidRPr="006F14B8" w:rsidRDefault="004C7684" w:rsidP="00CC5A26">
            <w:pPr>
              <w:jc w:val="right"/>
              <w:rPr>
                <w:szCs w:val="21"/>
              </w:rPr>
            </w:pPr>
            <w:r w:rsidRPr="00E60957">
              <w:rPr>
                <w:color w:val="000000"/>
                <w:szCs w:val="21"/>
              </w:rPr>
              <w:t>中国</w:t>
            </w:r>
            <w:r w:rsidR="00BA6FB1">
              <w:rPr>
                <w:szCs w:val="21"/>
              </w:rPr>
              <w:t>银行股份有限公司</w:t>
            </w:r>
          </w:p>
        </w:tc>
      </w:tr>
      <w:tr w:rsidR="00387D43" w:rsidRPr="006F14B8" w:rsidTr="00AC12EE">
        <w:trPr>
          <w:jc w:val="center"/>
        </w:trPr>
        <w:tc>
          <w:tcPr>
            <w:tcW w:w="3555" w:type="dxa"/>
          </w:tcPr>
          <w:p w:rsidR="00387D43" w:rsidRPr="006F14B8" w:rsidRDefault="00BA6FB1" w:rsidP="00CC5A26">
            <w:pPr>
              <w:rPr>
                <w:color w:val="000000"/>
                <w:kern w:val="0"/>
                <w:szCs w:val="21"/>
              </w:rPr>
            </w:pPr>
            <w:r>
              <w:rPr>
                <w:rFonts w:hint="eastAsia"/>
                <w:szCs w:val="21"/>
              </w:rPr>
              <w:t>2017</w:t>
            </w:r>
            <w:r>
              <w:rPr>
                <w:rFonts w:hint="eastAsia"/>
                <w:szCs w:val="21"/>
              </w:rPr>
              <w:t>年</w:t>
            </w:r>
            <w:r>
              <w:rPr>
                <w:rFonts w:hint="eastAsia"/>
                <w:szCs w:val="21"/>
              </w:rPr>
              <w:t>12</w:t>
            </w:r>
            <w:r>
              <w:rPr>
                <w:rFonts w:hint="eastAsia"/>
                <w:szCs w:val="21"/>
              </w:rPr>
              <w:t>月</w:t>
            </w:r>
            <w:r>
              <w:rPr>
                <w:rFonts w:hint="eastAsia"/>
                <w:szCs w:val="21"/>
              </w:rPr>
              <w:t>19</w:t>
            </w:r>
            <w:r>
              <w:rPr>
                <w:rFonts w:hint="eastAsia"/>
                <w:szCs w:val="21"/>
              </w:rPr>
              <w:t>日</w:t>
            </w:r>
            <w:r w:rsidR="00387D43" w:rsidRPr="006F14B8">
              <w:rPr>
                <w:szCs w:val="21"/>
              </w:rPr>
              <w:t>基金份额总额</w:t>
            </w:r>
          </w:p>
        </w:tc>
        <w:tc>
          <w:tcPr>
            <w:tcW w:w="5217" w:type="dxa"/>
            <w:vAlign w:val="center"/>
          </w:tcPr>
          <w:p w:rsidR="00387D43" w:rsidRPr="006F14B8" w:rsidRDefault="004C7684" w:rsidP="00CC5A26">
            <w:pPr>
              <w:jc w:val="right"/>
              <w:rPr>
                <w:szCs w:val="21"/>
              </w:rPr>
            </w:pPr>
            <w:r w:rsidRPr="004C7684">
              <w:rPr>
                <w:szCs w:val="21"/>
              </w:rPr>
              <w:t>10,146,579.83</w:t>
            </w:r>
            <w:r w:rsidR="00387D43" w:rsidRPr="006F14B8">
              <w:rPr>
                <w:szCs w:val="21"/>
              </w:rPr>
              <w:t>份</w:t>
            </w:r>
          </w:p>
        </w:tc>
      </w:tr>
    </w:tbl>
    <w:p w:rsidR="001548F9" w:rsidRPr="006F14B8" w:rsidRDefault="001548F9" w:rsidP="006D141C">
      <w:pPr>
        <w:autoSpaceDE w:val="0"/>
        <w:autoSpaceDN w:val="0"/>
        <w:adjustRightInd w:val="0"/>
        <w:spacing w:line="288" w:lineRule="auto"/>
        <w:jc w:val="left"/>
        <w:rPr>
          <w:color w:val="000000"/>
          <w:kern w:val="0"/>
          <w:szCs w:val="21"/>
        </w:rPr>
      </w:pPr>
    </w:p>
    <w:p w:rsidR="001548F9" w:rsidRPr="006F14B8" w:rsidRDefault="001548F9" w:rsidP="004C1748">
      <w:pPr>
        <w:pStyle w:val="20"/>
        <w:spacing w:before="0" w:after="0"/>
        <w:jc w:val="left"/>
        <w:rPr>
          <w:rFonts w:ascii="Times New Roman" w:hAnsi="Times New Roman"/>
          <w:color w:val="000000"/>
          <w:sz w:val="21"/>
          <w:szCs w:val="21"/>
        </w:rPr>
      </w:pPr>
      <w:bookmarkStart w:id="9" w:name="_Toc390421230"/>
      <w:bookmarkStart w:id="10" w:name="_Toc490670307"/>
      <w:r w:rsidRPr="006F14B8">
        <w:rPr>
          <w:rFonts w:ascii="Times New Roman" w:hAnsi="Times New Roman"/>
          <w:kern w:val="0"/>
          <w:sz w:val="21"/>
          <w:szCs w:val="21"/>
        </w:rPr>
        <w:t xml:space="preserve">2.2 </w:t>
      </w:r>
      <w:r w:rsidRPr="006F14B8">
        <w:rPr>
          <w:rFonts w:ascii="Times New Roman" w:hAnsi="Times New Roman"/>
          <w:color w:val="000000"/>
          <w:sz w:val="21"/>
          <w:szCs w:val="21"/>
        </w:rPr>
        <w:t>基金产品说明</w:t>
      </w:r>
      <w:bookmarkEnd w:id="9"/>
      <w:bookmarkEnd w:id="10"/>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1"/>
        <w:gridCol w:w="6908"/>
      </w:tblGrid>
      <w:tr w:rsidR="00CC5A26" w:rsidRPr="006F14B8" w:rsidTr="00CC5A26">
        <w:trPr>
          <w:jc w:val="center"/>
        </w:trPr>
        <w:tc>
          <w:tcPr>
            <w:tcW w:w="1931" w:type="dxa"/>
            <w:vAlign w:val="center"/>
          </w:tcPr>
          <w:p w:rsidR="00CC5A26" w:rsidRPr="006F14B8" w:rsidRDefault="00CC5A26" w:rsidP="00CC5A26">
            <w:pPr>
              <w:rPr>
                <w:szCs w:val="21"/>
              </w:rPr>
            </w:pPr>
            <w:r w:rsidRPr="006F14B8">
              <w:rPr>
                <w:szCs w:val="21"/>
              </w:rPr>
              <w:t>投资目标</w:t>
            </w:r>
          </w:p>
        </w:tc>
        <w:tc>
          <w:tcPr>
            <w:tcW w:w="6908" w:type="dxa"/>
            <w:vAlign w:val="bottom"/>
          </w:tcPr>
          <w:p w:rsidR="00CC5A26" w:rsidRPr="006F14B8" w:rsidRDefault="004C7684" w:rsidP="00CC5A26">
            <w:pPr>
              <w:rPr>
                <w:szCs w:val="21"/>
              </w:rPr>
            </w:pPr>
            <w:r w:rsidRPr="00E60957">
              <w:rPr>
                <w:color w:val="000000"/>
                <w:szCs w:val="21"/>
              </w:rPr>
              <w:t>本基金主要投资于美国房地产开发相关的股票，在有效控制投资风险的前提下，通过积极主动的投资管理，力争获取超越业绩比较基准的投资收益。</w:t>
            </w:r>
          </w:p>
        </w:tc>
      </w:tr>
      <w:tr w:rsidR="004C7684" w:rsidRPr="006F14B8" w:rsidTr="00CC5A26">
        <w:trPr>
          <w:jc w:val="center"/>
        </w:trPr>
        <w:tc>
          <w:tcPr>
            <w:tcW w:w="1931" w:type="dxa"/>
            <w:vAlign w:val="center"/>
          </w:tcPr>
          <w:p w:rsidR="004C7684" w:rsidRPr="006F14B8" w:rsidRDefault="004C7684" w:rsidP="00CC5A26">
            <w:pPr>
              <w:rPr>
                <w:szCs w:val="21"/>
              </w:rPr>
            </w:pPr>
            <w:r w:rsidRPr="006F14B8">
              <w:rPr>
                <w:szCs w:val="21"/>
              </w:rPr>
              <w:t>投资策略</w:t>
            </w:r>
          </w:p>
        </w:tc>
        <w:tc>
          <w:tcPr>
            <w:tcW w:w="6908" w:type="dxa"/>
            <w:vAlign w:val="bottom"/>
          </w:tcPr>
          <w:p w:rsidR="004C7684" w:rsidRDefault="004C7684" w:rsidP="00F26DCF">
            <w:pPr>
              <w:rPr>
                <w:color w:val="000000"/>
                <w:szCs w:val="21"/>
              </w:rPr>
            </w:pPr>
            <w:r>
              <w:rPr>
                <w:color w:val="000000"/>
                <w:szCs w:val="21"/>
              </w:rPr>
              <w:t>1</w:t>
            </w:r>
            <w:r>
              <w:rPr>
                <w:color w:val="000000"/>
                <w:szCs w:val="21"/>
              </w:rPr>
              <w:t>、大类资产配置</w:t>
            </w:r>
          </w:p>
          <w:p w:rsidR="004C7684" w:rsidRDefault="004C7684" w:rsidP="00F26DCF">
            <w:pPr>
              <w:rPr>
                <w:color w:val="000000"/>
                <w:szCs w:val="21"/>
              </w:rPr>
            </w:pPr>
            <w:r>
              <w:rPr>
                <w:color w:val="000000"/>
                <w:szCs w:val="21"/>
              </w:rPr>
              <w:t>本基金通过深入研究全球宏观经济和区域经济环境，把握全球资本市场的变化趋势，结合量化模型及宏观策略分析确定固定收益类资产、权益类资产、现金及货币市场工具等大类资产的配置比例。</w:t>
            </w:r>
          </w:p>
          <w:p w:rsidR="004C7684" w:rsidRDefault="004C7684" w:rsidP="00F26DCF">
            <w:pPr>
              <w:rPr>
                <w:color w:val="000000"/>
                <w:szCs w:val="21"/>
              </w:rPr>
            </w:pPr>
            <w:r>
              <w:rPr>
                <w:color w:val="000000"/>
                <w:szCs w:val="21"/>
              </w:rPr>
              <w:t>2</w:t>
            </w:r>
            <w:r>
              <w:rPr>
                <w:color w:val="000000"/>
                <w:szCs w:val="21"/>
              </w:rPr>
              <w:t>、股票投资策略</w:t>
            </w:r>
          </w:p>
          <w:p w:rsidR="004C7684" w:rsidRDefault="004C7684" w:rsidP="00F26DCF">
            <w:pPr>
              <w:rPr>
                <w:color w:val="000000"/>
                <w:szCs w:val="21"/>
              </w:rPr>
            </w:pPr>
            <w:r>
              <w:rPr>
                <w:color w:val="000000"/>
                <w:szCs w:val="21"/>
              </w:rPr>
              <w:t>本基金投资在美国上市的美国房地产开发相关行业股票的比例不低于基金非现金资产的</w:t>
            </w:r>
            <w:r>
              <w:rPr>
                <w:color w:val="000000"/>
                <w:szCs w:val="21"/>
              </w:rPr>
              <w:t>80%</w:t>
            </w:r>
            <w:r>
              <w:rPr>
                <w:color w:val="000000"/>
                <w:szCs w:val="21"/>
              </w:rPr>
              <w:t>。采用基本面分析、相对价值分析为主的策略。基金管理人将利用多种基本面分析指标对企业的竞争力和股票定价水平进行详尽的考察和评价，并通过对市场变动趋势的把握，选择适当的投资时机，进行股票组合的投资。</w:t>
            </w:r>
          </w:p>
          <w:p w:rsidR="004C7684" w:rsidRDefault="004C7684" w:rsidP="00F26DCF">
            <w:pPr>
              <w:rPr>
                <w:color w:val="000000"/>
                <w:szCs w:val="21"/>
              </w:rPr>
            </w:pPr>
            <w:r>
              <w:rPr>
                <w:color w:val="000000"/>
                <w:szCs w:val="21"/>
              </w:rPr>
              <w:t>3</w:t>
            </w:r>
            <w:r>
              <w:rPr>
                <w:color w:val="000000"/>
                <w:szCs w:val="21"/>
              </w:rPr>
              <w:t>、债券投资策略</w:t>
            </w:r>
          </w:p>
          <w:p w:rsidR="004C7684" w:rsidRDefault="004C7684" w:rsidP="00F26DCF">
            <w:pPr>
              <w:rPr>
                <w:color w:val="000000"/>
                <w:szCs w:val="21"/>
              </w:rPr>
            </w:pPr>
            <w:r>
              <w:rPr>
                <w:color w:val="000000"/>
                <w:szCs w:val="21"/>
              </w:rPr>
              <w:t>本基金在债券投资中将根据对经济周期和市场环境的把握，基于对财政政策、货币政策</w:t>
            </w:r>
          </w:p>
          <w:p w:rsidR="004C7684" w:rsidRDefault="004C7684" w:rsidP="00F26DCF">
            <w:pPr>
              <w:rPr>
                <w:color w:val="000000"/>
                <w:szCs w:val="21"/>
              </w:rPr>
            </w:pPr>
            <w:r>
              <w:rPr>
                <w:color w:val="000000"/>
                <w:szCs w:val="21"/>
              </w:rPr>
              <w:t>的深入分析以及对各行业的动态跟踪，灵活运用久期策略、收益率曲线策略、信用债策略等多种投资策略，构建债券资产组合，并根据对债券市场、债券收益率曲线以及各种债券价格的变化的预测，动态的对投资组合进行调整。</w:t>
            </w:r>
          </w:p>
          <w:p w:rsidR="004C7684" w:rsidRDefault="004C7684" w:rsidP="00F26DCF">
            <w:pPr>
              <w:rPr>
                <w:color w:val="000000"/>
                <w:szCs w:val="21"/>
              </w:rPr>
            </w:pPr>
            <w:r>
              <w:rPr>
                <w:color w:val="000000"/>
                <w:szCs w:val="21"/>
              </w:rPr>
              <w:t>4</w:t>
            </w:r>
            <w:r>
              <w:rPr>
                <w:color w:val="000000"/>
                <w:szCs w:val="21"/>
              </w:rPr>
              <w:t>、衍生品投资策略</w:t>
            </w:r>
          </w:p>
          <w:p w:rsidR="004C7684" w:rsidRPr="00E60957" w:rsidRDefault="004C7684" w:rsidP="00F26DCF">
            <w:pPr>
              <w:rPr>
                <w:color w:val="000000"/>
                <w:szCs w:val="21"/>
              </w:rPr>
            </w:pPr>
            <w:r w:rsidRPr="00E60957">
              <w:rPr>
                <w:color w:val="000000"/>
                <w:szCs w:val="21"/>
              </w:rPr>
              <w:t>本基金在金融衍生品的投资中主要遵循避险和有效管理两项策略和原则。在进行金融衍生品投资时，将在对这些金融衍生品对应的标的证券进行基本面研究及估值的基础上，结合数量化定价模型，确定其合理内在价值，从而构建避险、套利或其它适当目的交易组合，并严格监控这些金融衍生品的风险。</w:t>
            </w:r>
          </w:p>
        </w:tc>
      </w:tr>
      <w:tr w:rsidR="004C7684" w:rsidRPr="006F14B8" w:rsidTr="00CC5A26">
        <w:trPr>
          <w:jc w:val="center"/>
        </w:trPr>
        <w:tc>
          <w:tcPr>
            <w:tcW w:w="1931" w:type="dxa"/>
            <w:vAlign w:val="center"/>
          </w:tcPr>
          <w:p w:rsidR="004C7684" w:rsidRPr="006F14B8" w:rsidRDefault="004C7684" w:rsidP="00CC5A26">
            <w:pPr>
              <w:rPr>
                <w:szCs w:val="21"/>
              </w:rPr>
            </w:pPr>
            <w:r w:rsidRPr="006F14B8">
              <w:rPr>
                <w:szCs w:val="21"/>
              </w:rPr>
              <w:t>业绩比较基准</w:t>
            </w:r>
          </w:p>
        </w:tc>
        <w:tc>
          <w:tcPr>
            <w:tcW w:w="6908" w:type="dxa"/>
            <w:vAlign w:val="bottom"/>
          </w:tcPr>
          <w:p w:rsidR="004C7684" w:rsidRPr="006F14B8" w:rsidRDefault="004C7684" w:rsidP="00CC5A26">
            <w:pPr>
              <w:rPr>
                <w:szCs w:val="21"/>
              </w:rPr>
            </w:pPr>
            <w:r>
              <w:rPr>
                <w:color w:val="000000"/>
                <w:szCs w:val="21"/>
              </w:rPr>
              <w:t>（经估值日汇率调整后的）标普房地产开发商总收益指数（</w:t>
            </w:r>
            <w:r>
              <w:rPr>
                <w:color w:val="000000"/>
                <w:szCs w:val="21"/>
              </w:rPr>
              <w:t>S&amp;PHomebuilders Select Industry Total Return Index</w:t>
            </w:r>
            <w:r>
              <w:rPr>
                <w:color w:val="000000"/>
                <w:szCs w:val="21"/>
              </w:rPr>
              <w:t>，）。</w:t>
            </w:r>
            <w:r>
              <w:rPr>
                <w:color w:val="000000"/>
                <w:szCs w:val="21"/>
              </w:rPr>
              <w:t xml:space="preserve">Bloomberg </w:t>
            </w:r>
            <w:r>
              <w:rPr>
                <w:color w:val="000000"/>
                <w:szCs w:val="21"/>
              </w:rPr>
              <w:t>代码为</w:t>
            </w:r>
            <w:r>
              <w:rPr>
                <w:color w:val="000000"/>
                <w:szCs w:val="21"/>
              </w:rPr>
              <w:t>“SPSIHOTR</w:t>
            </w:r>
            <w:r w:rsidRPr="00E60957">
              <w:rPr>
                <w:color w:val="000000"/>
                <w:szCs w:val="21"/>
              </w:rPr>
              <w:t>Index”</w:t>
            </w:r>
            <w:r w:rsidRPr="00E60957">
              <w:rPr>
                <w:color w:val="000000"/>
                <w:szCs w:val="21"/>
              </w:rPr>
              <w:t>。</w:t>
            </w:r>
          </w:p>
        </w:tc>
      </w:tr>
      <w:tr w:rsidR="004C7684" w:rsidRPr="006F14B8" w:rsidTr="00CC5A26">
        <w:trPr>
          <w:jc w:val="center"/>
        </w:trPr>
        <w:tc>
          <w:tcPr>
            <w:tcW w:w="1931" w:type="dxa"/>
            <w:vAlign w:val="center"/>
          </w:tcPr>
          <w:p w:rsidR="004C7684" w:rsidRPr="006F14B8" w:rsidRDefault="004C7684" w:rsidP="00CC5A26">
            <w:pPr>
              <w:rPr>
                <w:szCs w:val="21"/>
              </w:rPr>
            </w:pPr>
            <w:r w:rsidRPr="006F14B8">
              <w:rPr>
                <w:szCs w:val="21"/>
              </w:rPr>
              <w:t>风险收益特征</w:t>
            </w:r>
          </w:p>
        </w:tc>
        <w:tc>
          <w:tcPr>
            <w:tcW w:w="6908" w:type="dxa"/>
            <w:vAlign w:val="bottom"/>
          </w:tcPr>
          <w:p w:rsidR="004C7684" w:rsidRPr="006F14B8" w:rsidRDefault="004C7684" w:rsidP="00CC5A26">
            <w:pPr>
              <w:rPr>
                <w:szCs w:val="21"/>
              </w:rPr>
            </w:pPr>
            <w:r w:rsidRPr="00E60957">
              <w:rPr>
                <w:color w:val="000000"/>
                <w:szCs w:val="21"/>
              </w:rPr>
              <w:t>本基金属于股票型基金，风险与收益高于混合型基金、债券型基金与货币市场基金。本基金为境外证券投资的基金，主要投资于美国证券市场中具有良好流动性的金融工具。除了需要承担与境内证券投资基金类似的市场波动风险等一般投资风险之外，本基金还面临汇率风险、美国市场风险等境外证券市场投资所面临的特别投资风险。</w:t>
            </w:r>
          </w:p>
        </w:tc>
      </w:tr>
    </w:tbl>
    <w:p w:rsidR="001548F9" w:rsidRPr="006F14B8" w:rsidRDefault="001548F9" w:rsidP="006D141C">
      <w:pPr>
        <w:autoSpaceDE w:val="0"/>
        <w:autoSpaceDN w:val="0"/>
        <w:adjustRightInd w:val="0"/>
        <w:spacing w:line="288" w:lineRule="auto"/>
        <w:jc w:val="left"/>
        <w:rPr>
          <w:color w:val="000000"/>
          <w:kern w:val="0"/>
          <w:szCs w:val="21"/>
        </w:rPr>
      </w:pPr>
    </w:p>
    <w:p w:rsidR="001548F9" w:rsidRPr="006F14B8" w:rsidRDefault="001548F9" w:rsidP="004C1748">
      <w:pPr>
        <w:pStyle w:val="20"/>
        <w:spacing w:before="0" w:after="0"/>
        <w:jc w:val="left"/>
        <w:rPr>
          <w:rFonts w:ascii="Times New Roman" w:hAnsi="Times New Roman"/>
          <w:kern w:val="0"/>
          <w:sz w:val="21"/>
          <w:szCs w:val="21"/>
        </w:rPr>
      </w:pPr>
      <w:bookmarkStart w:id="11" w:name="_Toc225498247"/>
      <w:bookmarkStart w:id="12" w:name="_Toc390421231"/>
      <w:bookmarkStart w:id="13" w:name="_Toc490670308"/>
      <w:r w:rsidRPr="006F14B8">
        <w:rPr>
          <w:rFonts w:ascii="Times New Roman" w:hAnsi="Times New Roman"/>
          <w:kern w:val="0"/>
          <w:sz w:val="21"/>
          <w:szCs w:val="21"/>
        </w:rPr>
        <w:t xml:space="preserve">2.3 </w:t>
      </w:r>
      <w:r w:rsidRPr="006F14B8">
        <w:rPr>
          <w:rFonts w:ascii="Times New Roman" w:hAnsi="Times New Roman"/>
          <w:kern w:val="0"/>
          <w:sz w:val="21"/>
          <w:szCs w:val="21"/>
        </w:rPr>
        <w:t>基金管理人和基金托管人</w:t>
      </w:r>
      <w:bookmarkEnd w:id="11"/>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371"/>
        <w:gridCol w:w="3060"/>
        <w:gridCol w:w="3060"/>
      </w:tblGrid>
      <w:tr w:rsidR="00582A99" w:rsidRPr="007715BA" w:rsidTr="00C94909">
        <w:tc>
          <w:tcPr>
            <w:tcW w:w="2631" w:type="dxa"/>
            <w:gridSpan w:val="2"/>
            <w:vAlign w:val="center"/>
          </w:tcPr>
          <w:p w:rsidR="00582A99" w:rsidRPr="007715BA" w:rsidRDefault="00582A99"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项目</w:t>
            </w:r>
          </w:p>
        </w:tc>
        <w:tc>
          <w:tcPr>
            <w:tcW w:w="3060" w:type="dxa"/>
            <w:vAlign w:val="center"/>
          </w:tcPr>
          <w:p w:rsidR="00582A99" w:rsidRPr="007715BA" w:rsidRDefault="00582A99" w:rsidP="00C94909">
            <w:pPr>
              <w:jc w:val="center"/>
              <w:rPr>
                <w:color w:val="000000"/>
                <w:szCs w:val="21"/>
              </w:rPr>
            </w:pPr>
            <w:r w:rsidRPr="007715BA">
              <w:rPr>
                <w:color w:val="000000"/>
                <w:szCs w:val="21"/>
              </w:rPr>
              <w:t>基金管理人</w:t>
            </w:r>
          </w:p>
        </w:tc>
        <w:tc>
          <w:tcPr>
            <w:tcW w:w="3060" w:type="dxa"/>
            <w:vAlign w:val="center"/>
          </w:tcPr>
          <w:p w:rsidR="00582A99" w:rsidRPr="007715BA" w:rsidRDefault="00582A99" w:rsidP="00C94909">
            <w:pPr>
              <w:jc w:val="center"/>
              <w:rPr>
                <w:color w:val="000000"/>
                <w:szCs w:val="21"/>
              </w:rPr>
            </w:pPr>
            <w:r w:rsidRPr="007715BA">
              <w:rPr>
                <w:color w:val="000000"/>
                <w:szCs w:val="21"/>
              </w:rPr>
              <w:t>基金托管人</w:t>
            </w:r>
          </w:p>
        </w:tc>
      </w:tr>
      <w:tr w:rsidR="00582A99" w:rsidRPr="007715BA" w:rsidTr="00C94909">
        <w:tc>
          <w:tcPr>
            <w:tcW w:w="2631" w:type="dxa"/>
            <w:gridSpan w:val="2"/>
            <w:vAlign w:val="center"/>
          </w:tcPr>
          <w:p w:rsidR="00582A99" w:rsidRPr="007715BA" w:rsidRDefault="00582A99" w:rsidP="00C94909">
            <w:pPr>
              <w:autoSpaceDE w:val="0"/>
              <w:autoSpaceDN w:val="0"/>
              <w:adjustRightInd w:val="0"/>
              <w:spacing w:before="29" w:line="288" w:lineRule="auto"/>
              <w:ind w:left="15"/>
              <w:rPr>
                <w:color w:val="000000"/>
                <w:kern w:val="0"/>
                <w:szCs w:val="21"/>
              </w:rPr>
            </w:pPr>
            <w:r w:rsidRPr="007715BA">
              <w:rPr>
                <w:color w:val="000000"/>
                <w:kern w:val="0"/>
                <w:szCs w:val="21"/>
              </w:rPr>
              <w:t>名称</w:t>
            </w:r>
          </w:p>
        </w:tc>
        <w:tc>
          <w:tcPr>
            <w:tcW w:w="3060" w:type="dxa"/>
            <w:vAlign w:val="center"/>
          </w:tcPr>
          <w:p w:rsidR="00582A99" w:rsidRPr="007715BA" w:rsidRDefault="00582A99"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国泰基金管理有限公司</w:t>
            </w:r>
          </w:p>
        </w:tc>
        <w:tc>
          <w:tcPr>
            <w:tcW w:w="3060" w:type="dxa"/>
            <w:vAlign w:val="center"/>
          </w:tcPr>
          <w:p w:rsidR="00582A99" w:rsidRPr="007715BA" w:rsidRDefault="00F26DCF" w:rsidP="00C94909">
            <w:pPr>
              <w:autoSpaceDE w:val="0"/>
              <w:autoSpaceDN w:val="0"/>
              <w:adjustRightInd w:val="0"/>
              <w:spacing w:before="29" w:line="288" w:lineRule="auto"/>
              <w:ind w:left="15"/>
              <w:jc w:val="center"/>
              <w:rPr>
                <w:color w:val="000000"/>
                <w:kern w:val="0"/>
                <w:szCs w:val="21"/>
              </w:rPr>
            </w:pPr>
            <w:r w:rsidRPr="00E60957">
              <w:rPr>
                <w:color w:val="000000"/>
                <w:kern w:val="0"/>
                <w:szCs w:val="21"/>
              </w:rPr>
              <w:t>中国</w:t>
            </w:r>
            <w:r w:rsidR="00BA6FB1">
              <w:rPr>
                <w:color w:val="000000"/>
                <w:kern w:val="0"/>
                <w:szCs w:val="21"/>
              </w:rPr>
              <w:t>银行股份有限公司</w:t>
            </w:r>
          </w:p>
        </w:tc>
      </w:tr>
      <w:tr w:rsidR="003B7E37" w:rsidRPr="007715BA" w:rsidTr="00C94909">
        <w:tc>
          <w:tcPr>
            <w:tcW w:w="1260" w:type="dxa"/>
            <w:vMerge w:val="restart"/>
            <w:vAlign w:val="center"/>
          </w:tcPr>
          <w:p w:rsidR="003B7E37" w:rsidRPr="007715BA" w:rsidRDefault="003B7E37" w:rsidP="00C94909">
            <w:pPr>
              <w:autoSpaceDE w:val="0"/>
              <w:autoSpaceDN w:val="0"/>
              <w:adjustRightInd w:val="0"/>
              <w:spacing w:before="29" w:line="360" w:lineRule="auto"/>
              <w:ind w:left="15"/>
              <w:rPr>
                <w:color w:val="000000"/>
                <w:kern w:val="0"/>
                <w:szCs w:val="21"/>
              </w:rPr>
            </w:pPr>
            <w:r w:rsidRPr="007715BA">
              <w:rPr>
                <w:color w:val="000000"/>
                <w:szCs w:val="21"/>
              </w:rPr>
              <w:t>信息披露负责人</w:t>
            </w:r>
          </w:p>
        </w:tc>
        <w:tc>
          <w:tcPr>
            <w:tcW w:w="1371" w:type="dxa"/>
            <w:vAlign w:val="center"/>
          </w:tcPr>
          <w:p w:rsidR="003B7E37" w:rsidRPr="007715BA" w:rsidRDefault="003B7E37" w:rsidP="00C94909">
            <w:pPr>
              <w:jc w:val="center"/>
              <w:rPr>
                <w:color w:val="000000"/>
                <w:szCs w:val="21"/>
              </w:rPr>
            </w:pPr>
            <w:r w:rsidRPr="007715BA">
              <w:rPr>
                <w:color w:val="000000"/>
                <w:szCs w:val="21"/>
              </w:rPr>
              <w:t>姓名</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李永梅</w:t>
            </w:r>
          </w:p>
        </w:tc>
        <w:tc>
          <w:tcPr>
            <w:tcW w:w="3060" w:type="dxa"/>
            <w:vAlign w:val="bottom"/>
          </w:tcPr>
          <w:p w:rsidR="003B7E37" w:rsidRPr="007715BA" w:rsidRDefault="00F26DCF" w:rsidP="00175C8F">
            <w:pPr>
              <w:autoSpaceDE w:val="0"/>
              <w:autoSpaceDN w:val="0"/>
              <w:adjustRightInd w:val="0"/>
              <w:spacing w:before="29" w:line="288" w:lineRule="auto"/>
              <w:ind w:left="15"/>
              <w:jc w:val="center"/>
              <w:rPr>
                <w:color w:val="000000"/>
                <w:kern w:val="0"/>
                <w:szCs w:val="21"/>
              </w:rPr>
            </w:pPr>
            <w:r w:rsidRPr="00E60957">
              <w:rPr>
                <w:color w:val="000000"/>
                <w:kern w:val="0"/>
                <w:szCs w:val="21"/>
              </w:rPr>
              <w:t>王永民</w:t>
            </w:r>
          </w:p>
        </w:tc>
      </w:tr>
      <w:tr w:rsidR="003B7E37" w:rsidRPr="007715BA" w:rsidTr="003B7E37">
        <w:tc>
          <w:tcPr>
            <w:tcW w:w="1260" w:type="dxa"/>
            <w:vMerge/>
            <w:vAlign w:val="center"/>
          </w:tcPr>
          <w:p w:rsidR="003B7E37" w:rsidRPr="007715BA" w:rsidRDefault="003B7E37" w:rsidP="00C94909">
            <w:pPr>
              <w:widowControl/>
              <w:jc w:val="left"/>
              <w:rPr>
                <w:color w:val="000000"/>
                <w:kern w:val="0"/>
                <w:szCs w:val="21"/>
              </w:rPr>
            </w:pPr>
          </w:p>
        </w:tc>
        <w:tc>
          <w:tcPr>
            <w:tcW w:w="1371" w:type="dxa"/>
            <w:vAlign w:val="center"/>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szCs w:val="21"/>
              </w:rPr>
              <w:t>联系电话</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021-31081600</w:t>
            </w:r>
            <w:r w:rsidRPr="007715BA">
              <w:rPr>
                <w:color w:val="000000"/>
                <w:kern w:val="0"/>
                <w:szCs w:val="21"/>
              </w:rPr>
              <w:t>转</w:t>
            </w:r>
          </w:p>
        </w:tc>
        <w:tc>
          <w:tcPr>
            <w:tcW w:w="3060" w:type="dxa"/>
            <w:vAlign w:val="bottom"/>
          </w:tcPr>
          <w:p w:rsidR="003B7E37" w:rsidRPr="007715BA" w:rsidRDefault="00F26DCF" w:rsidP="00175C8F">
            <w:pPr>
              <w:autoSpaceDE w:val="0"/>
              <w:autoSpaceDN w:val="0"/>
              <w:adjustRightInd w:val="0"/>
              <w:spacing w:before="29" w:line="288" w:lineRule="auto"/>
              <w:ind w:left="15"/>
              <w:jc w:val="center"/>
              <w:rPr>
                <w:color w:val="000000"/>
                <w:kern w:val="0"/>
                <w:szCs w:val="21"/>
              </w:rPr>
            </w:pPr>
            <w:r w:rsidRPr="00E60957">
              <w:rPr>
                <w:color w:val="000000"/>
                <w:kern w:val="0"/>
                <w:szCs w:val="21"/>
              </w:rPr>
              <w:t>010-66594896</w:t>
            </w:r>
          </w:p>
        </w:tc>
      </w:tr>
      <w:tr w:rsidR="003B7E37" w:rsidRPr="007715BA" w:rsidTr="003B7E37">
        <w:tc>
          <w:tcPr>
            <w:tcW w:w="1260" w:type="dxa"/>
            <w:vMerge/>
            <w:vAlign w:val="center"/>
          </w:tcPr>
          <w:p w:rsidR="003B7E37" w:rsidRPr="007715BA" w:rsidRDefault="003B7E37" w:rsidP="00C94909">
            <w:pPr>
              <w:widowControl/>
              <w:jc w:val="left"/>
              <w:rPr>
                <w:color w:val="000000"/>
                <w:kern w:val="0"/>
                <w:szCs w:val="21"/>
              </w:rPr>
            </w:pPr>
          </w:p>
        </w:tc>
        <w:tc>
          <w:tcPr>
            <w:tcW w:w="1371" w:type="dxa"/>
            <w:vAlign w:val="center"/>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szCs w:val="21"/>
              </w:rPr>
              <w:t>电子邮箱</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xinxipilu@gtfund.com</w:t>
            </w:r>
          </w:p>
        </w:tc>
        <w:tc>
          <w:tcPr>
            <w:tcW w:w="3060" w:type="dxa"/>
            <w:vAlign w:val="bottom"/>
          </w:tcPr>
          <w:p w:rsidR="003B7E37" w:rsidRPr="007715BA" w:rsidRDefault="00F26DCF" w:rsidP="00175C8F">
            <w:pPr>
              <w:autoSpaceDE w:val="0"/>
              <w:autoSpaceDN w:val="0"/>
              <w:adjustRightInd w:val="0"/>
              <w:spacing w:before="29" w:line="288" w:lineRule="auto"/>
              <w:ind w:left="15"/>
              <w:jc w:val="center"/>
              <w:rPr>
                <w:color w:val="000000"/>
                <w:kern w:val="0"/>
                <w:szCs w:val="21"/>
              </w:rPr>
            </w:pPr>
            <w:r w:rsidRPr="00E60957">
              <w:rPr>
                <w:color w:val="000000"/>
                <w:kern w:val="0"/>
                <w:szCs w:val="21"/>
              </w:rPr>
              <w:t>fcid@bankofchina.com</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客户服务电话</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w:t>
            </w:r>
            <w:r w:rsidRPr="007715BA">
              <w:rPr>
                <w:color w:val="000000"/>
                <w:kern w:val="0"/>
                <w:szCs w:val="21"/>
              </w:rPr>
              <w:t>021</w:t>
            </w:r>
            <w:r w:rsidRPr="007715BA">
              <w:rPr>
                <w:color w:val="000000"/>
                <w:kern w:val="0"/>
                <w:szCs w:val="21"/>
              </w:rPr>
              <w:t>）</w:t>
            </w:r>
            <w:r w:rsidRPr="007715BA">
              <w:rPr>
                <w:color w:val="000000"/>
                <w:kern w:val="0"/>
                <w:szCs w:val="21"/>
              </w:rPr>
              <w:t>31089000</w:t>
            </w:r>
            <w:r w:rsidRPr="007715BA">
              <w:rPr>
                <w:color w:val="000000"/>
                <w:kern w:val="0"/>
                <w:szCs w:val="21"/>
              </w:rPr>
              <w:t>，</w:t>
            </w:r>
            <w:r w:rsidRPr="007715BA">
              <w:rPr>
                <w:color w:val="000000"/>
                <w:kern w:val="0"/>
                <w:szCs w:val="21"/>
              </w:rPr>
              <w:t>400-888-8688</w:t>
            </w:r>
          </w:p>
        </w:tc>
        <w:tc>
          <w:tcPr>
            <w:tcW w:w="3060" w:type="dxa"/>
            <w:vAlign w:val="bottom"/>
          </w:tcPr>
          <w:p w:rsidR="003B7E37" w:rsidRPr="007715BA" w:rsidRDefault="00F26DCF" w:rsidP="00175C8F">
            <w:pPr>
              <w:autoSpaceDE w:val="0"/>
              <w:autoSpaceDN w:val="0"/>
              <w:adjustRightInd w:val="0"/>
              <w:spacing w:before="29" w:line="288" w:lineRule="auto"/>
              <w:ind w:left="15"/>
              <w:jc w:val="center"/>
              <w:rPr>
                <w:color w:val="000000"/>
                <w:kern w:val="0"/>
                <w:szCs w:val="21"/>
              </w:rPr>
            </w:pPr>
            <w:r w:rsidRPr="00E60957">
              <w:rPr>
                <w:color w:val="000000"/>
                <w:kern w:val="0"/>
                <w:szCs w:val="21"/>
              </w:rPr>
              <w:t>95566</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传真</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021-31081800</w:t>
            </w:r>
          </w:p>
        </w:tc>
        <w:tc>
          <w:tcPr>
            <w:tcW w:w="3060" w:type="dxa"/>
            <w:vAlign w:val="center"/>
          </w:tcPr>
          <w:p w:rsidR="003B7E37" w:rsidRPr="007715BA" w:rsidRDefault="00F26DCF" w:rsidP="00175C8F">
            <w:pPr>
              <w:autoSpaceDE w:val="0"/>
              <w:autoSpaceDN w:val="0"/>
              <w:adjustRightInd w:val="0"/>
              <w:spacing w:before="29" w:line="288" w:lineRule="auto"/>
              <w:ind w:left="15"/>
              <w:jc w:val="center"/>
              <w:rPr>
                <w:color w:val="000000"/>
                <w:kern w:val="0"/>
                <w:szCs w:val="21"/>
              </w:rPr>
            </w:pPr>
            <w:r w:rsidRPr="00E60957">
              <w:rPr>
                <w:color w:val="000000"/>
                <w:kern w:val="0"/>
                <w:szCs w:val="21"/>
              </w:rPr>
              <w:t>010-66594942</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注册地址</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中国（上海）自由贸易试验区世纪大道</w:t>
            </w:r>
            <w:r w:rsidRPr="007715BA">
              <w:rPr>
                <w:color w:val="000000"/>
                <w:kern w:val="0"/>
                <w:szCs w:val="21"/>
              </w:rPr>
              <w:t>100</w:t>
            </w:r>
            <w:r w:rsidRPr="007715BA">
              <w:rPr>
                <w:color w:val="000000"/>
                <w:kern w:val="0"/>
                <w:szCs w:val="21"/>
              </w:rPr>
              <w:t>号上海环球金融中心</w:t>
            </w:r>
            <w:r w:rsidRPr="007715BA">
              <w:rPr>
                <w:color w:val="000000"/>
                <w:kern w:val="0"/>
                <w:szCs w:val="21"/>
              </w:rPr>
              <w:t>39</w:t>
            </w:r>
            <w:r w:rsidRPr="007715BA">
              <w:rPr>
                <w:color w:val="000000"/>
                <w:kern w:val="0"/>
                <w:szCs w:val="21"/>
              </w:rPr>
              <w:t>楼</w:t>
            </w:r>
          </w:p>
        </w:tc>
        <w:tc>
          <w:tcPr>
            <w:tcW w:w="3060" w:type="dxa"/>
          </w:tcPr>
          <w:p w:rsidR="003B7E37" w:rsidRPr="007715BA" w:rsidRDefault="00F26DCF" w:rsidP="00175C8F">
            <w:pPr>
              <w:autoSpaceDE w:val="0"/>
              <w:autoSpaceDN w:val="0"/>
              <w:adjustRightInd w:val="0"/>
              <w:spacing w:before="29" w:line="288" w:lineRule="auto"/>
              <w:ind w:left="15"/>
              <w:jc w:val="center"/>
              <w:rPr>
                <w:color w:val="000000"/>
                <w:kern w:val="0"/>
                <w:szCs w:val="21"/>
              </w:rPr>
            </w:pPr>
            <w:r w:rsidRPr="00E60957">
              <w:rPr>
                <w:color w:val="000000"/>
                <w:kern w:val="0"/>
                <w:szCs w:val="21"/>
              </w:rPr>
              <w:t>北京西城区复兴门内大街</w:t>
            </w:r>
            <w:r w:rsidRPr="00E60957">
              <w:rPr>
                <w:color w:val="000000"/>
                <w:kern w:val="0"/>
                <w:szCs w:val="21"/>
              </w:rPr>
              <w:t>1</w:t>
            </w:r>
            <w:r w:rsidRPr="00E60957">
              <w:rPr>
                <w:color w:val="000000"/>
                <w:kern w:val="0"/>
                <w:szCs w:val="21"/>
              </w:rPr>
              <w:t>号</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办公地址</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上海市虹口区公平路</w:t>
            </w:r>
            <w:r w:rsidRPr="007715BA">
              <w:rPr>
                <w:color w:val="000000"/>
                <w:kern w:val="0"/>
                <w:szCs w:val="21"/>
              </w:rPr>
              <w:t>18</w:t>
            </w:r>
            <w:r w:rsidRPr="007715BA">
              <w:rPr>
                <w:color w:val="000000"/>
                <w:kern w:val="0"/>
                <w:szCs w:val="21"/>
              </w:rPr>
              <w:t>号</w:t>
            </w:r>
            <w:r w:rsidRPr="007715BA">
              <w:rPr>
                <w:color w:val="000000"/>
                <w:kern w:val="0"/>
                <w:szCs w:val="21"/>
              </w:rPr>
              <w:t>8</w:t>
            </w:r>
            <w:r w:rsidRPr="007715BA">
              <w:rPr>
                <w:color w:val="000000"/>
                <w:kern w:val="0"/>
                <w:szCs w:val="21"/>
              </w:rPr>
              <w:t>号楼嘉昱大厦</w:t>
            </w:r>
            <w:r w:rsidRPr="007715BA">
              <w:rPr>
                <w:color w:val="000000"/>
                <w:kern w:val="0"/>
                <w:szCs w:val="21"/>
              </w:rPr>
              <w:t>16</w:t>
            </w:r>
            <w:r w:rsidRPr="007715BA">
              <w:rPr>
                <w:color w:val="000000"/>
                <w:kern w:val="0"/>
                <w:szCs w:val="21"/>
              </w:rPr>
              <w:t>层</w:t>
            </w:r>
            <w:r w:rsidRPr="007715BA">
              <w:rPr>
                <w:color w:val="000000"/>
                <w:kern w:val="0"/>
                <w:szCs w:val="21"/>
              </w:rPr>
              <w:t>-19</w:t>
            </w:r>
            <w:r w:rsidRPr="007715BA">
              <w:rPr>
                <w:color w:val="000000"/>
                <w:kern w:val="0"/>
                <w:szCs w:val="21"/>
              </w:rPr>
              <w:t>层</w:t>
            </w:r>
          </w:p>
        </w:tc>
        <w:tc>
          <w:tcPr>
            <w:tcW w:w="3060" w:type="dxa"/>
          </w:tcPr>
          <w:p w:rsidR="003B7E37" w:rsidRPr="007715BA" w:rsidRDefault="00F26DCF" w:rsidP="00175C8F">
            <w:pPr>
              <w:autoSpaceDE w:val="0"/>
              <w:autoSpaceDN w:val="0"/>
              <w:adjustRightInd w:val="0"/>
              <w:spacing w:before="29" w:line="288" w:lineRule="auto"/>
              <w:ind w:left="15"/>
              <w:jc w:val="center"/>
              <w:rPr>
                <w:color w:val="000000"/>
                <w:kern w:val="0"/>
                <w:szCs w:val="21"/>
              </w:rPr>
            </w:pPr>
            <w:r w:rsidRPr="00E60957">
              <w:rPr>
                <w:color w:val="000000"/>
                <w:kern w:val="0"/>
                <w:szCs w:val="21"/>
              </w:rPr>
              <w:t>北京西城区复兴门内大街</w:t>
            </w:r>
            <w:r w:rsidRPr="00E60957">
              <w:rPr>
                <w:color w:val="000000"/>
                <w:kern w:val="0"/>
                <w:szCs w:val="21"/>
              </w:rPr>
              <w:t>1</w:t>
            </w:r>
            <w:r w:rsidRPr="00E60957">
              <w:rPr>
                <w:color w:val="000000"/>
                <w:kern w:val="0"/>
                <w:szCs w:val="21"/>
              </w:rPr>
              <w:t>号</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邮政编码</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200082</w:t>
            </w:r>
          </w:p>
        </w:tc>
        <w:tc>
          <w:tcPr>
            <w:tcW w:w="3060" w:type="dxa"/>
            <w:vAlign w:val="bottom"/>
          </w:tcPr>
          <w:p w:rsidR="003B7E37" w:rsidRPr="007715BA" w:rsidRDefault="00F26DCF" w:rsidP="00175C8F">
            <w:pPr>
              <w:autoSpaceDE w:val="0"/>
              <w:autoSpaceDN w:val="0"/>
              <w:adjustRightInd w:val="0"/>
              <w:spacing w:before="29" w:line="288" w:lineRule="auto"/>
              <w:ind w:left="15"/>
              <w:jc w:val="center"/>
              <w:rPr>
                <w:color w:val="000000"/>
                <w:kern w:val="0"/>
                <w:szCs w:val="21"/>
              </w:rPr>
            </w:pPr>
            <w:r w:rsidRPr="00E60957">
              <w:rPr>
                <w:color w:val="000000"/>
                <w:kern w:val="0"/>
                <w:szCs w:val="21"/>
              </w:rPr>
              <w:t>100818</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法定代表人</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陈勇胜</w:t>
            </w:r>
          </w:p>
        </w:tc>
        <w:tc>
          <w:tcPr>
            <w:tcW w:w="3060" w:type="dxa"/>
            <w:vAlign w:val="bottom"/>
          </w:tcPr>
          <w:p w:rsidR="003B7E37" w:rsidRPr="007715BA" w:rsidRDefault="00BD66DD" w:rsidP="00175C8F">
            <w:pPr>
              <w:autoSpaceDE w:val="0"/>
              <w:autoSpaceDN w:val="0"/>
              <w:adjustRightInd w:val="0"/>
              <w:spacing w:before="29" w:line="288" w:lineRule="auto"/>
              <w:ind w:left="15"/>
              <w:jc w:val="center"/>
              <w:rPr>
                <w:color w:val="000000"/>
                <w:kern w:val="0"/>
                <w:szCs w:val="21"/>
              </w:rPr>
            </w:pPr>
            <w:r>
              <w:rPr>
                <w:color w:val="000000"/>
                <w:kern w:val="0"/>
                <w:szCs w:val="21"/>
              </w:rPr>
              <w:t>陈四清</w:t>
            </w:r>
          </w:p>
        </w:tc>
      </w:tr>
    </w:tbl>
    <w:p w:rsidR="001548F9" w:rsidRPr="006F14B8" w:rsidRDefault="001548F9" w:rsidP="004C1748">
      <w:pPr>
        <w:tabs>
          <w:tab w:val="left" w:pos="1740"/>
        </w:tabs>
        <w:spacing w:line="360" w:lineRule="auto"/>
        <w:rPr>
          <w:color w:val="000000"/>
          <w:szCs w:val="21"/>
        </w:rPr>
      </w:pPr>
    </w:p>
    <w:p w:rsidR="001548F9" w:rsidRPr="006F14B8" w:rsidRDefault="0094378D" w:rsidP="00E34DD9">
      <w:pPr>
        <w:pStyle w:val="1"/>
        <w:keepNext/>
        <w:keepLines/>
        <w:widowControl w:val="0"/>
        <w:spacing w:beforeLines="100" w:afterLines="100" w:line="360" w:lineRule="auto"/>
        <w:jc w:val="center"/>
        <w:rPr>
          <w:b/>
          <w:bCs/>
          <w:sz w:val="21"/>
          <w:szCs w:val="21"/>
          <w:lang w:val="en-US"/>
        </w:rPr>
        <w:pPrChange w:id="14" w:author="ZHONGM" w:date="2018-03-09T00:37:00Z">
          <w:pPr>
            <w:pStyle w:val="1"/>
            <w:keepNext/>
            <w:keepLines/>
            <w:widowControl w:val="0"/>
            <w:spacing w:beforeLines="100" w:afterLines="100" w:line="360" w:lineRule="auto"/>
            <w:jc w:val="center"/>
          </w:pPr>
        </w:pPrChange>
      </w:pPr>
      <w:bookmarkStart w:id="15" w:name="_Toc490670309"/>
      <w:r w:rsidRPr="006F14B8">
        <w:rPr>
          <w:rFonts w:hint="eastAsia"/>
          <w:b/>
          <w:bCs/>
          <w:sz w:val="21"/>
          <w:szCs w:val="21"/>
          <w:lang w:val="en-US"/>
        </w:rPr>
        <w:t>3</w:t>
      </w:r>
      <w:r w:rsidR="00540E2A" w:rsidRPr="006F14B8">
        <w:rPr>
          <w:b/>
          <w:bCs/>
          <w:sz w:val="21"/>
          <w:szCs w:val="21"/>
          <w:lang w:val="en-US"/>
        </w:rPr>
        <w:tab/>
      </w:r>
      <w:r w:rsidR="00247376" w:rsidRPr="006F14B8">
        <w:rPr>
          <w:rFonts w:hint="eastAsia"/>
          <w:b/>
          <w:bCs/>
          <w:sz w:val="21"/>
          <w:szCs w:val="21"/>
          <w:lang w:val="en-US"/>
        </w:rPr>
        <w:t>基金最后运作日</w:t>
      </w:r>
      <w:r w:rsidR="00540E2A" w:rsidRPr="006F14B8">
        <w:rPr>
          <w:b/>
          <w:bCs/>
          <w:sz w:val="21"/>
          <w:szCs w:val="21"/>
          <w:lang w:val="en-US"/>
        </w:rPr>
        <w:t>财务会计报告（经审计）</w:t>
      </w:r>
      <w:bookmarkEnd w:id="15"/>
    </w:p>
    <w:p w:rsidR="001548F9" w:rsidRPr="006F14B8" w:rsidRDefault="0094378D" w:rsidP="004C1748">
      <w:pPr>
        <w:pStyle w:val="20"/>
        <w:spacing w:before="0" w:after="0"/>
        <w:rPr>
          <w:rFonts w:ascii="Times New Roman" w:hAnsi="Times New Roman"/>
          <w:kern w:val="0"/>
          <w:sz w:val="21"/>
          <w:szCs w:val="21"/>
        </w:rPr>
      </w:pPr>
      <w:bookmarkStart w:id="16" w:name="_Toc225498268"/>
      <w:bookmarkStart w:id="17" w:name="_Toc390421250"/>
      <w:bookmarkStart w:id="18" w:name="_Toc490670310"/>
      <w:r w:rsidRPr="006F14B8">
        <w:rPr>
          <w:rFonts w:ascii="Times New Roman" w:hAnsi="Times New Roman" w:hint="eastAsia"/>
          <w:kern w:val="0"/>
          <w:sz w:val="21"/>
          <w:szCs w:val="21"/>
        </w:rPr>
        <w:t>3</w:t>
      </w:r>
      <w:r w:rsidR="001548F9" w:rsidRPr="006F14B8">
        <w:rPr>
          <w:rFonts w:ascii="Times New Roman" w:hAnsi="Times New Roman"/>
          <w:kern w:val="0"/>
          <w:sz w:val="21"/>
          <w:szCs w:val="21"/>
        </w:rPr>
        <w:t xml:space="preserve">.1 </w:t>
      </w:r>
      <w:r w:rsidR="001548F9" w:rsidRPr="006F14B8">
        <w:rPr>
          <w:rFonts w:ascii="Times New Roman" w:hAnsi="Times New Roman"/>
          <w:kern w:val="0"/>
          <w:sz w:val="21"/>
          <w:szCs w:val="21"/>
        </w:rPr>
        <w:t>资产负债表</w:t>
      </w:r>
      <w:bookmarkEnd w:id="16"/>
      <w:bookmarkEnd w:id="17"/>
      <w:bookmarkEnd w:id="18"/>
    </w:p>
    <w:p w:rsidR="00677B43" w:rsidRPr="006F14B8" w:rsidRDefault="001548F9" w:rsidP="004C1748">
      <w:pPr>
        <w:spacing w:line="360" w:lineRule="auto"/>
        <w:rPr>
          <w:color w:val="000000"/>
          <w:szCs w:val="21"/>
        </w:rPr>
      </w:pPr>
      <w:r w:rsidRPr="006F14B8">
        <w:rPr>
          <w:color w:val="000000"/>
          <w:szCs w:val="21"/>
        </w:rPr>
        <w:t>会计主体：</w:t>
      </w:r>
      <w:r w:rsidR="00F26DCF" w:rsidRPr="00F26DCF">
        <w:rPr>
          <w:rFonts w:hint="eastAsia"/>
          <w:color w:val="000000"/>
          <w:szCs w:val="21"/>
        </w:rPr>
        <w:t>国泰美国房地产开发股票型证券投资基金</w:t>
      </w:r>
    </w:p>
    <w:p w:rsidR="001548F9" w:rsidRPr="006F14B8" w:rsidRDefault="001548F9" w:rsidP="004C1748">
      <w:pPr>
        <w:spacing w:line="360" w:lineRule="auto"/>
        <w:rPr>
          <w:color w:val="000000"/>
          <w:szCs w:val="21"/>
        </w:rPr>
      </w:pPr>
      <w:r w:rsidRPr="006F14B8">
        <w:rPr>
          <w:color w:val="000000"/>
          <w:szCs w:val="21"/>
        </w:rPr>
        <w:t>报告截止日：</w:t>
      </w:r>
      <w:r w:rsidR="00E0528B">
        <w:rPr>
          <w:color w:val="000000"/>
          <w:szCs w:val="21"/>
        </w:rPr>
        <w:t>2017</w:t>
      </w:r>
      <w:r w:rsidR="00E0528B">
        <w:rPr>
          <w:color w:val="000000"/>
          <w:szCs w:val="21"/>
        </w:rPr>
        <w:t>年</w:t>
      </w:r>
      <w:r w:rsidR="00E0528B">
        <w:rPr>
          <w:color w:val="000000"/>
          <w:szCs w:val="21"/>
        </w:rPr>
        <w:t>12</w:t>
      </w:r>
      <w:r w:rsidR="00E0528B">
        <w:rPr>
          <w:color w:val="000000"/>
          <w:szCs w:val="21"/>
        </w:rPr>
        <w:t>月</w:t>
      </w:r>
      <w:r w:rsidR="00E0528B">
        <w:rPr>
          <w:color w:val="000000"/>
          <w:szCs w:val="21"/>
        </w:rPr>
        <w:t>19</w:t>
      </w:r>
      <w:r w:rsidR="00E0528B">
        <w:rPr>
          <w:color w:val="000000"/>
          <w:szCs w:val="21"/>
        </w:rPr>
        <w:t>日</w:t>
      </w:r>
      <w:r w:rsidR="0094378D" w:rsidRPr="006F14B8">
        <w:rPr>
          <w:rFonts w:hint="eastAsia"/>
          <w:color w:val="000000"/>
          <w:szCs w:val="21"/>
        </w:rPr>
        <w:t>（基金最后运作日）</w:t>
      </w:r>
    </w:p>
    <w:p w:rsidR="001548F9" w:rsidRPr="006F14B8" w:rsidRDefault="001548F9" w:rsidP="006D141C">
      <w:pPr>
        <w:autoSpaceDE w:val="0"/>
        <w:autoSpaceDN w:val="0"/>
        <w:adjustRightInd w:val="0"/>
        <w:spacing w:before="29" w:line="288" w:lineRule="auto"/>
        <w:ind w:left="15"/>
        <w:jc w:val="right"/>
        <w:rPr>
          <w:color w:val="000000"/>
          <w:kern w:val="0"/>
          <w:szCs w:val="21"/>
        </w:rPr>
      </w:pPr>
      <w:r w:rsidRPr="006F14B8">
        <w:rPr>
          <w:color w:val="000000"/>
          <w:kern w:val="0"/>
          <w:szCs w:val="21"/>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6"/>
        <w:gridCol w:w="2955"/>
        <w:gridCol w:w="2955"/>
      </w:tblGrid>
      <w:tr w:rsidR="00CE5129" w:rsidRPr="006F14B8" w:rsidTr="00CE5129">
        <w:tc>
          <w:tcPr>
            <w:tcW w:w="1818" w:type="pct"/>
            <w:vAlign w:val="center"/>
          </w:tcPr>
          <w:p w:rsidR="00CE5129" w:rsidRPr="006F14B8" w:rsidRDefault="00CE5129" w:rsidP="00F73D0C">
            <w:pPr>
              <w:pStyle w:val="af6"/>
              <w:jc w:val="center"/>
              <w:rPr>
                <w:rFonts w:ascii="Times New Roman" w:hAnsi="Times New Roman"/>
                <w:b/>
                <w:color w:val="000000"/>
                <w:sz w:val="21"/>
                <w:szCs w:val="21"/>
              </w:rPr>
            </w:pPr>
            <w:r w:rsidRPr="006F14B8">
              <w:rPr>
                <w:rFonts w:ascii="Times New Roman" w:hAnsi="Times New Roman"/>
                <w:b/>
                <w:color w:val="000000"/>
                <w:sz w:val="21"/>
                <w:szCs w:val="21"/>
              </w:rPr>
              <w:t>资产</w:t>
            </w:r>
          </w:p>
        </w:tc>
        <w:tc>
          <w:tcPr>
            <w:tcW w:w="1591" w:type="pct"/>
            <w:vAlign w:val="center"/>
          </w:tcPr>
          <w:p w:rsidR="00CE5129" w:rsidRPr="006F14B8" w:rsidRDefault="00CE5129">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本期末</w:t>
            </w:r>
          </w:p>
          <w:p w:rsidR="00CE5129" w:rsidRPr="006F14B8" w:rsidRDefault="00E0528B" w:rsidP="0094378D">
            <w:pPr>
              <w:pStyle w:val="af6"/>
              <w:spacing w:before="0" w:beforeAutospacing="0" w:after="0" w:afterAutospacing="0"/>
              <w:jc w:val="center"/>
              <w:rPr>
                <w:rFonts w:ascii="Times New Roman" w:hAnsi="Times New Roman"/>
                <w:b/>
                <w:color w:val="000000"/>
                <w:kern w:val="2"/>
                <w:sz w:val="21"/>
                <w:szCs w:val="21"/>
              </w:rPr>
            </w:pPr>
            <w:r>
              <w:rPr>
                <w:rFonts w:ascii="Times New Roman" w:hAnsi="Times New Roman"/>
                <w:b/>
                <w:color w:val="000000"/>
                <w:kern w:val="2"/>
                <w:sz w:val="21"/>
                <w:szCs w:val="21"/>
              </w:rPr>
              <w:t>2017</w:t>
            </w:r>
            <w:r>
              <w:rPr>
                <w:rFonts w:ascii="Times New Roman" w:hAnsi="Times New Roman"/>
                <w:b/>
                <w:color w:val="000000"/>
                <w:kern w:val="2"/>
                <w:sz w:val="21"/>
                <w:szCs w:val="21"/>
              </w:rPr>
              <w:t>年</w:t>
            </w:r>
            <w:r>
              <w:rPr>
                <w:rFonts w:ascii="Times New Roman" w:hAnsi="Times New Roman"/>
                <w:b/>
                <w:color w:val="000000"/>
                <w:kern w:val="2"/>
                <w:sz w:val="21"/>
                <w:szCs w:val="21"/>
              </w:rPr>
              <w:t>12</w:t>
            </w:r>
            <w:r>
              <w:rPr>
                <w:rFonts w:ascii="Times New Roman" w:hAnsi="Times New Roman"/>
                <w:b/>
                <w:color w:val="000000"/>
                <w:kern w:val="2"/>
                <w:sz w:val="21"/>
                <w:szCs w:val="21"/>
              </w:rPr>
              <w:t>月</w:t>
            </w:r>
            <w:r>
              <w:rPr>
                <w:rFonts w:ascii="Times New Roman" w:hAnsi="Times New Roman"/>
                <w:b/>
                <w:color w:val="000000"/>
                <w:kern w:val="2"/>
                <w:sz w:val="21"/>
                <w:szCs w:val="21"/>
              </w:rPr>
              <w:t>19</w:t>
            </w:r>
            <w:r>
              <w:rPr>
                <w:rFonts w:ascii="Times New Roman" w:hAnsi="Times New Roman"/>
                <w:b/>
                <w:color w:val="000000"/>
                <w:kern w:val="2"/>
                <w:sz w:val="21"/>
                <w:szCs w:val="21"/>
              </w:rPr>
              <w:t>日</w:t>
            </w:r>
          </w:p>
          <w:p w:rsidR="00CE5129" w:rsidRPr="006F14B8" w:rsidRDefault="00CE5129" w:rsidP="0094378D">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hint="eastAsia"/>
                <w:b/>
                <w:color w:val="000000"/>
                <w:sz w:val="21"/>
                <w:szCs w:val="21"/>
              </w:rPr>
              <w:t>(</w:t>
            </w:r>
            <w:r w:rsidRPr="006F14B8">
              <w:rPr>
                <w:rFonts w:ascii="Times New Roman" w:hAnsi="Times New Roman" w:hint="eastAsia"/>
                <w:b/>
                <w:color w:val="000000"/>
                <w:sz w:val="21"/>
                <w:szCs w:val="21"/>
              </w:rPr>
              <w:t>基金最后运作日</w:t>
            </w:r>
            <w:r w:rsidRPr="006F14B8">
              <w:rPr>
                <w:rFonts w:ascii="Times New Roman" w:hAnsi="Times New Roman" w:hint="eastAsia"/>
                <w:b/>
                <w:color w:val="000000"/>
                <w:sz w:val="21"/>
                <w:szCs w:val="21"/>
              </w:rPr>
              <w:t>)</w:t>
            </w:r>
          </w:p>
        </w:tc>
        <w:tc>
          <w:tcPr>
            <w:tcW w:w="1591" w:type="pct"/>
            <w:vAlign w:val="center"/>
          </w:tcPr>
          <w:p w:rsidR="00CE5129" w:rsidRPr="006F14B8" w:rsidRDefault="00CE5129">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上年度末</w:t>
            </w:r>
          </w:p>
          <w:p w:rsidR="00CE5129" w:rsidRPr="006F14B8" w:rsidRDefault="00CE5129" w:rsidP="00677B43">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201</w:t>
            </w:r>
            <w:r w:rsidR="00677B43" w:rsidRPr="006F14B8">
              <w:rPr>
                <w:rFonts w:ascii="Times New Roman" w:hAnsi="Times New Roman" w:hint="eastAsia"/>
                <w:b/>
                <w:color w:val="000000"/>
                <w:sz w:val="21"/>
                <w:szCs w:val="21"/>
              </w:rPr>
              <w:t>6</w:t>
            </w:r>
            <w:r w:rsidRPr="006F14B8">
              <w:rPr>
                <w:rFonts w:ascii="Times New Roman" w:hAnsi="Times New Roman"/>
                <w:b/>
                <w:color w:val="000000"/>
                <w:sz w:val="21"/>
                <w:szCs w:val="21"/>
              </w:rPr>
              <w:t>年</w:t>
            </w:r>
            <w:r w:rsidRPr="006F14B8">
              <w:rPr>
                <w:rFonts w:ascii="Times New Roman" w:hAnsi="Times New Roman"/>
                <w:b/>
                <w:color w:val="000000"/>
                <w:sz w:val="21"/>
                <w:szCs w:val="21"/>
              </w:rPr>
              <w:t>12</w:t>
            </w:r>
            <w:r w:rsidRPr="006F14B8">
              <w:rPr>
                <w:rFonts w:ascii="Times New Roman" w:hAnsi="Times New Roman"/>
                <w:b/>
                <w:color w:val="000000"/>
                <w:sz w:val="21"/>
                <w:szCs w:val="21"/>
              </w:rPr>
              <w:t>月</w:t>
            </w:r>
            <w:r w:rsidRPr="006F14B8">
              <w:rPr>
                <w:rFonts w:ascii="Times New Roman" w:hAnsi="Times New Roman"/>
                <w:b/>
                <w:color w:val="000000"/>
                <w:sz w:val="21"/>
                <w:szCs w:val="21"/>
              </w:rPr>
              <w:t>31</w:t>
            </w:r>
            <w:r w:rsidRPr="006F14B8">
              <w:rPr>
                <w:rFonts w:ascii="Times New Roman" w:hAnsi="Times New Roman"/>
                <w:b/>
                <w:color w:val="000000"/>
                <w:sz w:val="21"/>
                <w:szCs w:val="21"/>
              </w:rPr>
              <w:t>日</w:t>
            </w:r>
          </w:p>
        </w:tc>
      </w:tr>
      <w:tr w:rsidR="00677B43" w:rsidRPr="006F14B8" w:rsidTr="00CE5129">
        <w:tc>
          <w:tcPr>
            <w:tcW w:w="1818" w:type="pct"/>
            <w:vAlign w:val="center"/>
          </w:tcPr>
          <w:p w:rsidR="00677B43" w:rsidRPr="006F14B8" w:rsidRDefault="00677B43" w:rsidP="00F73D0C">
            <w:pPr>
              <w:rPr>
                <w:b/>
                <w:color w:val="000000"/>
                <w:szCs w:val="21"/>
              </w:rPr>
            </w:pPr>
            <w:r w:rsidRPr="006F14B8">
              <w:rPr>
                <w:b/>
                <w:color w:val="000000"/>
                <w:szCs w:val="21"/>
              </w:rPr>
              <w:t>资产：</w:t>
            </w:r>
          </w:p>
        </w:tc>
        <w:tc>
          <w:tcPr>
            <w:tcW w:w="1591" w:type="pct"/>
            <w:vAlign w:val="bottom"/>
          </w:tcPr>
          <w:p w:rsidR="00677B43" w:rsidRPr="006F14B8" w:rsidRDefault="008B0C6B">
            <w:pPr>
              <w:jc w:val="right"/>
              <w:rPr>
                <w:color w:val="000000"/>
                <w:szCs w:val="21"/>
              </w:rPr>
            </w:pPr>
            <w:r w:rsidRPr="006F14B8">
              <w:rPr>
                <w:rFonts w:hint="eastAsia"/>
                <w:color w:val="000000"/>
                <w:szCs w:val="21"/>
              </w:rPr>
              <w:t>-</w:t>
            </w:r>
          </w:p>
        </w:tc>
        <w:tc>
          <w:tcPr>
            <w:tcW w:w="1591" w:type="pct"/>
            <w:vAlign w:val="bottom"/>
          </w:tcPr>
          <w:p w:rsidR="00677B43" w:rsidRPr="006F14B8" w:rsidRDefault="00677B43" w:rsidP="00191DAC">
            <w:pPr>
              <w:jc w:val="right"/>
              <w:rPr>
                <w:color w:val="000000"/>
                <w:szCs w:val="21"/>
              </w:rPr>
            </w:pPr>
            <w:r w:rsidRPr="006F14B8">
              <w:rPr>
                <w:color w:val="000000"/>
                <w:szCs w:val="21"/>
              </w:rPr>
              <w:t>-</w:t>
            </w:r>
          </w:p>
        </w:tc>
      </w:tr>
      <w:tr w:rsidR="00AA43C6" w:rsidRPr="006F14B8" w:rsidTr="004A7CE8">
        <w:tc>
          <w:tcPr>
            <w:tcW w:w="1818" w:type="pct"/>
            <w:vAlign w:val="center"/>
          </w:tcPr>
          <w:p w:rsidR="00AA43C6" w:rsidRPr="006F14B8" w:rsidRDefault="00AA43C6" w:rsidP="00F73D0C">
            <w:pPr>
              <w:rPr>
                <w:color w:val="000000"/>
                <w:szCs w:val="21"/>
              </w:rPr>
            </w:pPr>
            <w:r w:rsidRPr="006F14B8">
              <w:rPr>
                <w:color w:val="000000"/>
                <w:szCs w:val="21"/>
              </w:rPr>
              <w:t>银行存款</w:t>
            </w:r>
          </w:p>
        </w:tc>
        <w:tc>
          <w:tcPr>
            <w:tcW w:w="1591" w:type="pct"/>
            <w:vAlign w:val="bottom"/>
          </w:tcPr>
          <w:p w:rsidR="00AA43C6" w:rsidRPr="006F14B8" w:rsidRDefault="00AA43C6" w:rsidP="00C87528">
            <w:pPr>
              <w:jc w:val="right"/>
              <w:rPr>
                <w:rFonts w:ascii="宋体" w:hAnsi="宋体" w:cs="宋体"/>
                <w:color w:val="000000"/>
                <w:sz w:val="22"/>
                <w:szCs w:val="22"/>
              </w:rPr>
            </w:pPr>
            <w:r w:rsidRPr="00AA43C6">
              <w:rPr>
                <w:color w:val="000000"/>
                <w:sz w:val="22"/>
                <w:szCs w:val="22"/>
              </w:rPr>
              <w:t>3</w:t>
            </w:r>
            <w:r>
              <w:rPr>
                <w:rFonts w:hint="eastAsia"/>
                <w:color w:val="000000"/>
                <w:sz w:val="22"/>
                <w:szCs w:val="22"/>
              </w:rPr>
              <w:t>,</w:t>
            </w:r>
            <w:r w:rsidRPr="00AA43C6">
              <w:rPr>
                <w:color w:val="000000"/>
                <w:sz w:val="22"/>
                <w:szCs w:val="22"/>
              </w:rPr>
              <w:t>571</w:t>
            </w:r>
            <w:r>
              <w:rPr>
                <w:rFonts w:hint="eastAsia"/>
                <w:color w:val="000000"/>
                <w:sz w:val="22"/>
                <w:szCs w:val="22"/>
              </w:rPr>
              <w:t>,</w:t>
            </w:r>
            <w:r w:rsidRPr="00AA43C6">
              <w:rPr>
                <w:color w:val="000000"/>
                <w:sz w:val="22"/>
                <w:szCs w:val="22"/>
              </w:rPr>
              <w:t>694.21</w:t>
            </w:r>
          </w:p>
        </w:tc>
        <w:tc>
          <w:tcPr>
            <w:tcW w:w="1591" w:type="pct"/>
            <w:vAlign w:val="center"/>
          </w:tcPr>
          <w:p w:rsidR="00AA43C6" w:rsidRPr="00E60957" w:rsidRDefault="00AA43C6" w:rsidP="00AA43C6">
            <w:pPr>
              <w:jc w:val="right"/>
              <w:rPr>
                <w:color w:val="000000"/>
                <w:szCs w:val="21"/>
              </w:rPr>
            </w:pPr>
            <w:r w:rsidRPr="00E60957">
              <w:rPr>
                <w:color w:val="000000"/>
                <w:szCs w:val="21"/>
              </w:rPr>
              <w:t>1,308,036.72</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结算备付金</w:t>
            </w:r>
          </w:p>
        </w:tc>
        <w:tc>
          <w:tcPr>
            <w:tcW w:w="1591" w:type="pct"/>
            <w:vAlign w:val="center"/>
          </w:tcPr>
          <w:p w:rsidR="00B954BF" w:rsidRPr="00E60957" w:rsidRDefault="00B954BF" w:rsidP="004A7CE8">
            <w:pPr>
              <w:jc w:val="right"/>
              <w:rPr>
                <w:color w:val="000000"/>
                <w:szCs w:val="21"/>
              </w:rPr>
            </w:pPr>
            <w:r w:rsidRPr="00E60957">
              <w:rPr>
                <w:color w:val="000000"/>
                <w:szCs w:val="21"/>
              </w:rPr>
              <w:t>-</w:t>
            </w:r>
          </w:p>
        </w:tc>
        <w:tc>
          <w:tcPr>
            <w:tcW w:w="1591" w:type="pct"/>
            <w:vAlign w:val="center"/>
          </w:tcPr>
          <w:p w:rsidR="00B954BF" w:rsidRPr="00E60957" w:rsidRDefault="00B954BF" w:rsidP="00AA43C6">
            <w:pPr>
              <w:jc w:val="right"/>
              <w:rPr>
                <w:color w:val="000000"/>
                <w:szCs w:val="21"/>
              </w:rPr>
            </w:pPr>
            <w:r w:rsidRPr="00E60957">
              <w:rPr>
                <w:color w:val="000000"/>
                <w:szCs w:val="21"/>
              </w:rPr>
              <w:t>-</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存出保证金</w:t>
            </w:r>
          </w:p>
        </w:tc>
        <w:tc>
          <w:tcPr>
            <w:tcW w:w="1591" w:type="pct"/>
            <w:vAlign w:val="center"/>
          </w:tcPr>
          <w:p w:rsidR="00B954BF" w:rsidRPr="00E60957" w:rsidRDefault="00B954BF" w:rsidP="004A7CE8">
            <w:pPr>
              <w:jc w:val="right"/>
              <w:rPr>
                <w:color w:val="000000"/>
                <w:szCs w:val="21"/>
              </w:rPr>
            </w:pPr>
            <w:r w:rsidRPr="00E60957">
              <w:rPr>
                <w:color w:val="000000"/>
                <w:szCs w:val="21"/>
              </w:rPr>
              <w:t>-</w:t>
            </w:r>
          </w:p>
        </w:tc>
        <w:tc>
          <w:tcPr>
            <w:tcW w:w="1591" w:type="pct"/>
            <w:vAlign w:val="center"/>
          </w:tcPr>
          <w:p w:rsidR="00B954BF" w:rsidRPr="00E60957" w:rsidRDefault="00B954BF" w:rsidP="00AA43C6">
            <w:pPr>
              <w:jc w:val="right"/>
              <w:rPr>
                <w:color w:val="000000"/>
                <w:szCs w:val="21"/>
              </w:rPr>
            </w:pPr>
            <w:r w:rsidRPr="00E60957">
              <w:rPr>
                <w:color w:val="000000"/>
                <w:szCs w:val="21"/>
              </w:rPr>
              <w:t>-</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交易性金融资产</w:t>
            </w:r>
          </w:p>
        </w:tc>
        <w:tc>
          <w:tcPr>
            <w:tcW w:w="1591" w:type="pct"/>
            <w:vAlign w:val="center"/>
          </w:tcPr>
          <w:p w:rsidR="00B954BF" w:rsidRPr="00B954BF" w:rsidRDefault="00B954BF">
            <w:pPr>
              <w:jc w:val="right"/>
              <w:rPr>
                <w:color w:val="000000"/>
                <w:sz w:val="22"/>
                <w:szCs w:val="22"/>
              </w:rPr>
            </w:pPr>
            <w:r w:rsidRPr="00B954BF">
              <w:rPr>
                <w:color w:val="000000"/>
                <w:sz w:val="22"/>
                <w:szCs w:val="22"/>
              </w:rPr>
              <w:t>13,110,289.45</w:t>
            </w:r>
          </w:p>
        </w:tc>
        <w:tc>
          <w:tcPr>
            <w:tcW w:w="1591" w:type="pct"/>
            <w:vAlign w:val="center"/>
          </w:tcPr>
          <w:p w:rsidR="00B954BF" w:rsidRPr="00E60957" w:rsidRDefault="00B954BF" w:rsidP="00AA43C6">
            <w:pPr>
              <w:jc w:val="right"/>
              <w:rPr>
                <w:color w:val="000000"/>
                <w:szCs w:val="21"/>
              </w:rPr>
            </w:pPr>
            <w:r w:rsidRPr="00E60957">
              <w:rPr>
                <w:color w:val="000000"/>
                <w:szCs w:val="21"/>
              </w:rPr>
              <w:t>14,367,822.47</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其中：股票投资</w:t>
            </w:r>
          </w:p>
        </w:tc>
        <w:tc>
          <w:tcPr>
            <w:tcW w:w="1591" w:type="pct"/>
            <w:vAlign w:val="center"/>
          </w:tcPr>
          <w:p w:rsidR="00B954BF" w:rsidRPr="00B954BF" w:rsidRDefault="00B954BF">
            <w:pPr>
              <w:jc w:val="right"/>
              <w:rPr>
                <w:color w:val="000000"/>
                <w:sz w:val="22"/>
                <w:szCs w:val="22"/>
              </w:rPr>
            </w:pPr>
            <w:r w:rsidRPr="00B954BF">
              <w:rPr>
                <w:color w:val="000000"/>
                <w:sz w:val="22"/>
                <w:szCs w:val="22"/>
              </w:rPr>
              <w:t>13,110,289.45</w:t>
            </w:r>
          </w:p>
        </w:tc>
        <w:tc>
          <w:tcPr>
            <w:tcW w:w="1591" w:type="pct"/>
            <w:vAlign w:val="center"/>
          </w:tcPr>
          <w:p w:rsidR="00B954BF" w:rsidRPr="00E60957" w:rsidRDefault="00B954BF" w:rsidP="00AA43C6">
            <w:pPr>
              <w:jc w:val="right"/>
              <w:rPr>
                <w:color w:val="000000"/>
                <w:szCs w:val="21"/>
              </w:rPr>
            </w:pPr>
            <w:r w:rsidRPr="00E60957">
              <w:rPr>
                <w:color w:val="000000"/>
                <w:szCs w:val="21"/>
              </w:rPr>
              <w:t>14,367,822.47</w:t>
            </w:r>
          </w:p>
        </w:tc>
      </w:tr>
      <w:tr w:rsidR="00677B43" w:rsidRPr="006F14B8" w:rsidTr="00CE5129">
        <w:tc>
          <w:tcPr>
            <w:tcW w:w="1818" w:type="pct"/>
            <w:vAlign w:val="center"/>
          </w:tcPr>
          <w:p w:rsidR="00677B43" w:rsidRPr="006F14B8" w:rsidRDefault="00677B43" w:rsidP="005B2B01">
            <w:pPr>
              <w:pStyle w:val="af6"/>
              <w:ind w:firstLineChars="300" w:firstLine="630"/>
              <w:jc w:val="both"/>
              <w:rPr>
                <w:rFonts w:ascii="Times New Roman" w:hAnsi="Times New Roman"/>
                <w:color w:val="000000"/>
                <w:sz w:val="21"/>
                <w:szCs w:val="21"/>
              </w:rPr>
            </w:pPr>
            <w:r w:rsidRPr="006F14B8">
              <w:rPr>
                <w:rFonts w:ascii="Times New Roman" w:hAnsi="Times New Roman"/>
                <w:color w:val="000000"/>
                <w:sz w:val="21"/>
                <w:szCs w:val="21"/>
              </w:rPr>
              <w:t>基金投资</w:t>
            </w:r>
          </w:p>
        </w:tc>
        <w:tc>
          <w:tcPr>
            <w:tcW w:w="1591" w:type="pct"/>
            <w:vAlign w:val="bottom"/>
          </w:tcPr>
          <w:p w:rsidR="00677B43" w:rsidRPr="006F14B8" w:rsidRDefault="00B954BF" w:rsidP="00DF2AAC">
            <w:pPr>
              <w:jc w:val="right"/>
              <w:rPr>
                <w:color w:val="000000"/>
                <w:szCs w:val="21"/>
              </w:rPr>
            </w:pPr>
            <w:r w:rsidRPr="00E60957">
              <w:rPr>
                <w:color w:val="000000"/>
                <w:szCs w:val="21"/>
              </w:rPr>
              <w:t>-</w:t>
            </w:r>
          </w:p>
        </w:tc>
        <w:tc>
          <w:tcPr>
            <w:tcW w:w="1591" w:type="pct"/>
            <w:vAlign w:val="bottom"/>
          </w:tcPr>
          <w:p w:rsidR="00677B43" w:rsidRPr="006F14B8" w:rsidRDefault="00677B43" w:rsidP="00191DAC">
            <w:pPr>
              <w:jc w:val="right"/>
              <w:rPr>
                <w:color w:val="000000"/>
                <w:sz w:val="22"/>
                <w:szCs w:val="22"/>
              </w:rPr>
            </w:pPr>
            <w:r w:rsidRPr="006F14B8">
              <w:rPr>
                <w:color w:val="000000"/>
                <w:sz w:val="22"/>
                <w:szCs w:val="22"/>
              </w:rPr>
              <w:t>-</w:t>
            </w:r>
          </w:p>
        </w:tc>
      </w:tr>
      <w:tr w:rsidR="00AA43C6" w:rsidRPr="006F14B8" w:rsidTr="00CE5129">
        <w:tc>
          <w:tcPr>
            <w:tcW w:w="1818" w:type="pct"/>
            <w:vAlign w:val="center"/>
          </w:tcPr>
          <w:p w:rsidR="00AA43C6" w:rsidRPr="006F14B8" w:rsidRDefault="00AA43C6" w:rsidP="005B2B01">
            <w:pPr>
              <w:ind w:firstLineChars="300" w:firstLine="630"/>
              <w:rPr>
                <w:color w:val="000000"/>
                <w:szCs w:val="21"/>
              </w:rPr>
            </w:pPr>
            <w:r w:rsidRPr="006F14B8">
              <w:rPr>
                <w:color w:val="000000"/>
                <w:szCs w:val="21"/>
              </w:rPr>
              <w:t>债券投资</w:t>
            </w:r>
          </w:p>
        </w:tc>
        <w:tc>
          <w:tcPr>
            <w:tcW w:w="1591" w:type="pct"/>
            <w:vAlign w:val="bottom"/>
          </w:tcPr>
          <w:p w:rsidR="00AA43C6" w:rsidRPr="006F14B8" w:rsidRDefault="00AA43C6" w:rsidP="00DF2AAC">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AA43C6" w:rsidRPr="006F14B8" w:rsidTr="00CE5129">
        <w:tc>
          <w:tcPr>
            <w:tcW w:w="1818" w:type="pct"/>
            <w:vAlign w:val="center"/>
          </w:tcPr>
          <w:p w:rsidR="00AA43C6" w:rsidRPr="006F14B8" w:rsidRDefault="00AA43C6" w:rsidP="005B2B01">
            <w:pPr>
              <w:ind w:firstLineChars="300" w:firstLine="630"/>
              <w:rPr>
                <w:color w:val="000000"/>
                <w:szCs w:val="21"/>
              </w:rPr>
            </w:pPr>
            <w:r w:rsidRPr="006F14B8">
              <w:rPr>
                <w:color w:val="000000"/>
                <w:szCs w:val="21"/>
              </w:rPr>
              <w:t>资产支持证券投资</w:t>
            </w:r>
          </w:p>
        </w:tc>
        <w:tc>
          <w:tcPr>
            <w:tcW w:w="1591" w:type="pct"/>
            <w:vAlign w:val="bottom"/>
          </w:tcPr>
          <w:p w:rsidR="00AA43C6" w:rsidRPr="006F14B8" w:rsidRDefault="00AA43C6" w:rsidP="00DF2AAC">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677B43" w:rsidRPr="006F14B8" w:rsidTr="00CE5129">
        <w:tc>
          <w:tcPr>
            <w:tcW w:w="1818" w:type="pct"/>
            <w:vAlign w:val="center"/>
          </w:tcPr>
          <w:p w:rsidR="00677B43" w:rsidRPr="006F14B8" w:rsidRDefault="00677B43" w:rsidP="00997072">
            <w:pPr>
              <w:spacing w:line="360" w:lineRule="auto"/>
              <w:ind w:firstLineChars="300" w:firstLine="630"/>
              <w:rPr>
                <w:rFonts w:eastAsiaTheme="minorEastAsia"/>
                <w:color w:val="000000"/>
                <w:szCs w:val="21"/>
              </w:rPr>
            </w:pPr>
            <w:r w:rsidRPr="006F14B8">
              <w:t>贵金属投资</w:t>
            </w:r>
          </w:p>
        </w:tc>
        <w:tc>
          <w:tcPr>
            <w:tcW w:w="1591" w:type="pct"/>
            <w:vAlign w:val="center"/>
          </w:tcPr>
          <w:p w:rsidR="00677B43" w:rsidRPr="006F14B8" w:rsidRDefault="008B0C6B" w:rsidP="00DF2AAC">
            <w:pPr>
              <w:spacing w:line="360" w:lineRule="auto"/>
              <w:jc w:val="right"/>
              <w:rPr>
                <w:rFonts w:eastAsiaTheme="minorEastAsia"/>
                <w:color w:val="000000"/>
                <w:szCs w:val="21"/>
              </w:rPr>
            </w:pPr>
            <w:r w:rsidRPr="006F14B8">
              <w:rPr>
                <w:rFonts w:eastAsiaTheme="minorEastAsia" w:hint="eastAsia"/>
                <w:color w:val="000000"/>
                <w:szCs w:val="21"/>
              </w:rPr>
              <w:t>-</w:t>
            </w:r>
          </w:p>
        </w:tc>
        <w:tc>
          <w:tcPr>
            <w:tcW w:w="1591" w:type="pct"/>
            <w:vAlign w:val="center"/>
          </w:tcPr>
          <w:p w:rsidR="00677B43" w:rsidRPr="006F14B8" w:rsidRDefault="00677B43" w:rsidP="00C975A1">
            <w:pPr>
              <w:jc w:val="right"/>
              <w:rPr>
                <w:color w:val="000000"/>
                <w:sz w:val="22"/>
                <w:szCs w:val="22"/>
              </w:rPr>
            </w:pPr>
            <w:r w:rsidRPr="006F14B8">
              <w:rPr>
                <w:color w:val="000000"/>
                <w:sz w:val="22"/>
                <w:szCs w:val="22"/>
              </w:rPr>
              <w:t>-</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衍生金融资产</w:t>
            </w:r>
          </w:p>
        </w:tc>
        <w:tc>
          <w:tcPr>
            <w:tcW w:w="1591" w:type="pct"/>
            <w:vAlign w:val="bottom"/>
          </w:tcPr>
          <w:p w:rsidR="00677B43" w:rsidRPr="006F14B8" w:rsidRDefault="008B0C6B" w:rsidP="00DF2AAC">
            <w:pPr>
              <w:jc w:val="right"/>
              <w:rPr>
                <w:color w:val="000000"/>
                <w:szCs w:val="21"/>
              </w:rPr>
            </w:pPr>
            <w:r w:rsidRPr="006F14B8">
              <w:rPr>
                <w:rFonts w:hint="eastAsia"/>
                <w:color w:val="000000"/>
                <w:szCs w:val="21"/>
              </w:rPr>
              <w:t>-</w:t>
            </w:r>
          </w:p>
        </w:tc>
        <w:tc>
          <w:tcPr>
            <w:tcW w:w="1591" w:type="pct"/>
            <w:vAlign w:val="bottom"/>
          </w:tcPr>
          <w:p w:rsidR="00677B43" w:rsidRPr="006F14B8" w:rsidRDefault="00677B43" w:rsidP="00191DAC">
            <w:pPr>
              <w:jc w:val="right"/>
              <w:rPr>
                <w:color w:val="000000"/>
                <w:sz w:val="22"/>
                <w:szCs w:val="22"/>
              </w:rPr>
            </w:pPr>
            <w:r w:rsidRPr="006F14B8">
              <w:rPr>
                <w:color w:val="000000"/>
                <w:sz w:val="22"/>
                <w:szCs w:val="22"/>
              </w:rPr>
              <w:t>-</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买入返售金融资产</w:t>
            </w:r>
          </w:p>
        </w:tc>
        <w:tc>
          <w:tcPr>
            <w:tcW w:w="1591" w:type="pct"/>
            <w:vAlign w:val="bottom"/>
          </w:tcPr>
          <w:p w:rsidR="00677B43" w:rsidRPr="006F14B8" w:rsidRDefault="008B0C6B" w:rsidP="00DF2AAC">
            <w:pPr>
              <w:jc w:val="right"/>
              <w:rPr>
                <w:color w:val="000000"/>
                <w:szCs w:val="21"/>
              </w:rPr>
            </w:pPr>
            <w:r w:rsidRPr="006F14B8">
              <w:rPr>
                <w:rFonts w:hint="eastAsia"/>
                <w:color w:val="000000"/>
                <w:szCs w:val="21"/>
              </w:rPr>
              <w:t>-</w:t>
            </w:r>
          </w:p>
        </w:tc>
        <w:tc>
          <w:tcPr>
            <w:tcW w:w="1591" w:type="pct"/>
            <w:vAlign w:val="bottom"/>
          </w:tcPr>
          <w:p w:rsidR="00677B43" w:rsidRPr="006F14B8" w:rsidRDefault="00677B43" w:rsidP="00191DAC">
            <w:pPr>
              <w:jc w:val="right"/>
              <w:rPr>
                <w:color w:val="000000"/>
                <w:sz w:val="22"/>
                <w:szCs w:val="22"/>
              </w:rPr>
            </w:pPr>
            <w:r w:rsidRPr="006F14B8">
              <w:rPr>
                <w:color w:val="000000"/>
                <w:sz w:val="22"/>
                <w:szCs w:val="22"/>
              </w:rPr>
              <w:t>-</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应收证券清算款</w:t>
            </w:r>
          </w:p>
        </w:tc>
        <w:tc>
          <w:tcPr>
            <w:tcW w:w="1591" w:type="pct"/>
            <w:vAlign w:val="center"/>
          </w:tcPr>
          <w:p w:rsidR="00B954BF" w:rsidRPr="00B954BF" w:rsidRDefault="00B954BF" w:rsidP="00B954BF">
            <w:pPr>
              <w:jc w:val="right"/>
              <w:rPr>
                <w:color w:val="000000"/>
                <w:sz w:val="22"/>
                <w:szCs w:val="22"/>
              </w:rPr>
            </w:pPr>
            <w:r w:rsidRPr="00B954BF">
              <w:rPr>
                <w:color w:val="000000"/>
                <w:sz w:val="22"/>
                <w:szCs w:val="22"/>
              </w:rPr>
              <w:t>1,664,868.62</w:t>
            </w:r>
          </w:p>
        </w:tc>
        <w:tc>
          <w:tcPr>
            <w:tcW w:w="1591" w:type="pct"/>
            <w:vAlign w:val="bottom"/>
          </w:tcPr>
          <w:p w:rsidR="00B954BF" w:rsidRPr="006F14B8" w:rsidRDefault="00B954BF" w:rsidP="00B954BF">
            <w:pPr>
              <w:jc w:val="right"/>
              <w:rPr>
                <w:color w:val="000000"/>
                <w:sz w:val="22"/>
                <w:szCs w:val="22"/>
              </w:rPr>
            </w:pPr>
            <w:r w:rsidRPr="006F14B8">
              <w:rPr>
                <w:color w:val="000000"/>
                <w:sz w:val="22"/>
                <w:szCs w:val="22"/>
              </w:rPr>
              <w:t>-</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应收利息</w:t>
            </w:r>
          </w:p>
        </w:tc>
        <w:tc>
          <w:tcPr>
            <w:tcW w:w="1591" w:type="pct"/>
            <w:vAlign w:val="center"/>
          </w:tcPr>
          <w:p w:rsidR="00B954BF" w:rsidRPr="00B954BF" w:rsidRDefault="00B954BF" w:rsidP="00B954BF">
            <w:pPr>
              <w:jc w:val="right"/>
              <w:rPr>
                <w:color w:val="000000"/>
                <w:sz w:val="22"/>
                <w:szCs w:val="22"/>
              </w:rPr>
            </w:pPr>
            <w:r w:rsidRPr="00B954BF">
              <w:rPr>
                <w:color w:val="000000"/>
                <w:sz w:val="22"/>
                <w:szCs w:val="22"/>
              </w:rPr>
              <w:t>15,433.15</w:t>
            </w:r>
          </w:p>
        </w:tc>
        <w:tc>
          <w:tcPr>
            <w:tcW w:w="1591" w:type="pct"/>
            <w:vAlign w:val="center"/>
          </w:tcPr>
          <w:p w:rsidR="00B954BF" w:rsidRPr="00E60957" w:rsidRDefault="00B954BF" w:rsidP="00B954BF">
            <w:pPr>
              <w:jc w:val="right"/>
              <w:rPr>
                <w:color w:val="000000"/>
                <w:szCs w:val="21"/>
              </w:rPr>
            </w:pPr>
            <w:r w:rsidRPr="00E60957">
              <w:rPr>
                <w:color w:val="000000"/>
                <w:szCs w:val="21"/>
              </w:rPr>
              <w:t>360.06</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应收股利</w:t>
            </w:r>
          </w:p>
        </w:tc>
        <w:tc>
          <w:tcPr>
            <w:tcW w:w="1591" w:type="pct"/>
            <w:vAlign w:val="center"/>
          </w:tcPr>
          <w:p w:rsidR="00B954BF" w:rsidRPr="00B954BF" w:rsidRDefault="00B954BF" w:rsidP="00B954BF">
            <w:pPr>
              <w:jc w:val="right"/>
              <w:rPr>
                <w:color w:val="000000"/>
                <w:sz w:val="22"/>
                <w:szCs w:val="22"/>
              </w:rPr>
            </w:pPr>
            <w:r w:rsidRPr="00B954BF">
              <w:rPr>
                <w:color w:val="000000"/>
                <w:sz w:val="22"/>
                <w:szCs w:val="22"/>
              </w:rPr>
              <w:t>6,382.03</w:t>
            </w:r>
          </w:p>
        </w:tc>
        <w:tc>
          <w:tcPr>
            <w:tcW w:w="1591" w:type="pct"/>
            <w:vAlign w:val="center"/>
          </w:tcPr>
          <w:p w:rsidR="00B954BF" w:rsidRPr="00E60957" w:rsidRDefault="00B954BF" w:rsidP="00B954BF">
            <w:pPr>
              <w:jc w:val="right"/>
              <w:rPr>
                <w:color w:val="000000"/>
                <w:szCs w:val="21"/>
              </w:rPr>
            </w:pPr>
            <w:r w:rsidRPr="00E60957">
              <w:rPr>
                <w:color w:val="000000"/>
                <w:szCs w:val="21"/>
              </w:rPr>
              <w:t>10,431.44</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应收申购款</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7715BA" w:rsidRDefault="00AA43C6" w:rsidP="00175C8F">
            <w:pPr>
              <w:jc w:val="right"/>
              <w:rPr>
                <w:color w:val="000000"/>
                <w:szCs w:val="21"/>
              </w:rPr>
            </w:pPr>
            <w:r w:rsidRPr="006F14B8">
              <w:rPr>
                <w:rFonts w:hint="eastAsia"/>
                <w:color w:val="000000"/>
                <w:szCs w:val="21"/>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递延所得税资产</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其他资产</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b/>
                <w:color w:val="000000"/>
                <w:szCs w:val="21"/>
              </w:rPr>
            </w:pPr>
            <w:r w:rsidRPr="006F14B8">
              <w:rPr>
                <w:b/>
                <w:color w:val="000000"/>
                <w:szCs w:val="21"/>
              </w:rPr>
              <w:t>资产总计</w:t>
            </w:r>
          </w:p>
        </w:tc>
        <w:tc>
          <w:tcPr>
            <w:tcW w:w="1591" w:type="pct"/>
            <w:vAlign w:val="bottom"/>
          </w:tcPr>
          <w:p w:rsidR="008A5F02" w:rsidRPr="00B954BF" w:rsidRDefault="00B954BF" w:rsidP="00B954BF">
            <w:pPr>
              <w:jc w:val="right"/>
              <w:rPr>
                <w:b/>
                <w:color w:val="000000"/>
                <w:szCs w:val="21"/>
              </w:rPr>
            </w:pPr>
            <w:r w:rsidRPr="00B954BF">
              <w:rPr>
                <w:b/>
                <w:color w:val="000000"/>
                <w:szCs w:val="21"/>
              </w:rPr>
              <w:t>18,368,667.46</w:t>
            </w:r>
          </w:p>
        </w:tc>
        <w:tc>
          <w:tcPr>
            <w:tcW w:w="1591" w:type="pct"/>
            <w:vAlign w:val="bottom"/>
          </w:tcPr>
          <w:p w:rsidR="008A5F02" w:rsidRPr="006F14B8" w:rsidRDefault="00AA43C6" w:rsidP="00191DAC">
            <w:pPr>
              <w:jc w:val="right"/>
              <w:rPr>
                <w:b/>
                <w:color w:val="000000"/>
                <w:sz w:val="22"/>
                <w:szCs w:val="22"/>
              </w:rPr>
            </w:pPr>
            <w:r w:rsidRPr="00E60957">
              <w:rPr>
                <w:b/>
                <w:color w:val="000000"/>
                <w:szCs w:val="21"/>
              </w:rPr>
              <w:t>15,686,650.69</w:t>
            </w:r>
          </w:p>
        </w:tc>
      </w:tr>
      <w:tr w:rsidR="008A5F02" w:rsidRPr="006F14B8" w:rsidTr="00CE5129">
        <w:tc>
          <w:tcPr>
            <w:tcW w:w="1818" w:type="pct"/>
            <w:vAlign w:val="center"/>
          </w:tcPr>
          <w:p w:rsidR="008A5F02" w:rsidRPr="006F14B8" w:rsidRDefault="008A5F02" w:rsidP="00554B1A">
            <w:pPr>
              <w:pStyle w:val="af6"/>
              <w:jc w:val="both"/>
              <w:rPr>
                <w:rFonts w:ascii="Times New Roman" w:hAnsi="Times New Roman"/>
                <w:b/>
                <w:color w:val="000000"/>
                <w:sz w:val="21"/>
                <w:szCs w:val="21"/>
              </w:rPr>
            </w:pPr>
            <w:r w:rsidRPr="006F14B8">
              <w:rPr>
                <w:rFonts w:ascii="Times New Roman" w:hAnsi="Times New Roman"/>
                <w:b/>
                <w:color w:val="000000"/>
                <w:sz w:val="21"/>
                <w:szCs w:val="21"/>
              </w:rPr>
              <w:t>负债和所有者权益</w:t>
            </w:r>
          </w:p>
        </w:tc>
        <w:tc>
          <w:tcPr>
            <w:tcW w:w="1591" w:type="pct"/>
            <w:vAlign w:val="center"/>
          </w:tcPr>
          <w:p w:rsidR="008A5F02" w:rsidRPr="006F14B8" w:rsidRDefault="008A5F02" w:rsidP="00C87528">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本期末</w:t>
            </w:r>
          </w:p>
          <w:p w:rsidR="008A5F02" w:rsidRPr="006F14B8" w:rsidRDefault="008A5F02" w:rsidP="00C87528">
            <w:pPr>
              <w:pStyle w:val="af6"/>
              <w:spacing w:before="0" w:beforeAutospacing="0" w:after="0" w:afterAutospacing="0"/>
              <w:jc w:val="center"/>
              <w:rPr>
                <w:rFonts w:ascii="Times New Roman" w:hAnsi="Times New Roman"/>
                <w:b/>
                <w:color w:val="000000"/>
                <w:kern w:val="2"/>
                <w:sz w:val="21"/>
                <w:szCs w:val="21"/>
              </w:rPr>
            </w:pPr>
            <w:r>
              <w:rPr>
                <w:rFonts w:ascii="Times New Roman" w:hAnsi="Times New Roman"/>
                <w:b/>
                <w:color w:val="000000"/>
                <w:kern w:val="2"/>
                <w:sz w:val="21"/>
                <w:szCs w:val="21"/>
              </w:rPr>
              <w:t>2017</w:t>
            </w:r>
            <w:r>
              <w:rPr>
                <w:rFonts w:ascii="Times New Roman" w:hAnsi="Times New Roman"/>
                <w:b/>
                <w:color w:val="000000"/>
                <w:kern w:val="2"/>
                <w:sz w:val="21"/>
                <w:szCs w:val="21"/>
              </w:rPr>
              <w:t>年</w:t>
            </w:r>
            <w:r>
              <w:rPr>
                <w:rFonts w:ascii="Times New Roman" w:hAnsi="Times New Roman"/>
                <w:b/>
                <w:color w:val="000000"/>
                <w:kern w:val="2"/>
                <w:sz w:val="21"/>
                <w:szCs w:val="21"/>
              </w:rPr>
              <w:t>12</w:t>
            </w:r>
            <w:r>
              <w:rPr>
                <w:rFonts w:ascii="Times New Roman" w:hAnsi="Times New Roman"/>
                <w:b/>
                <w:color w:val="000000"/>
                <w:kern w:val="2"/>
                <w:sz w:val="21"/>
                <w:szCs w:val="21"/>
              </w:rPr>
              <w:t>月</w:t>
            </w:r>
            <w:r>
              <w:rPr>
                <w:rFonts w:ascii="Times New Roman" w:hAnsi="Times New Roman"/>
                <w:b/>
                <w:color w:val="000000"/>
                <w:kern w:val="2"/>
                <w:sz w:val="21"/>
                <w:szCs w:val="21"/>
              </w:rPr>
              <w:t>19</w:t>
            </w:r>
            <w:r>
              <w:rPr>
                <w:rFonts w:ascii="Times New Roman" w:hAnsi="Times New Roman"/>
                <w:b/>
                <w:color w:val="000000"/>
                <w:kern w:val="2"/>
                <w:sz w:val="21"/>
                <w:szCs w:val="21"/>
              </w:rPr>
              <w:t>日</w:t>
            </w:r>
          </w:p>
          <w:p w:rsidR="008A5F02" w:rsidRPr="006F14B8" w:rsidRDefault="008A5F02" w:rsidP="00C87528">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hint="eastAsia"/>
                <w:b/>
                <w:color w:val="000000"/>
                <w:sz w:val="21"/>
                <w:szCs w:val="21"/>
              </w:rPr>
              <w:t>(</w:t>
            </w:r>
            <w:r w:rsidRPr="006F14B8">
              <w:rPr>
                <w:rFonts w:ascii="Times New Roman" w:hAnsi="Times New Roman" w:hint="eastAsia"/>
                <w:b/>
                <w:color w:val="000000"/>
                <w:sz w:val="21"/>
                <w:szCs w:val="21"/>
              </w:rPr>
              <w:t>基金最后运作日</w:t>
            </w:r>
            <w:r w:rsidRPr="006F14B8">
              <w:rPr>
                <w:rFonts w:ascii="Times New Roman" w:hAnsi="Times New Roman" w:hint="eastAsia"/>
                <w:b/>
                <w:color w:val="000000"/>
                <w:sz w:val="21"/>
                <w:szCs w:val="21"/>
              </w:rPr>
              <w:t>)</w:t>
            </w:r>
          </w:p>
        </w:tc>
        <w:tc>
          <w:tcPr>
            <w:tcW w:w="1591" w:type="pct"/>
            <w:vAlign w:val="center"/>
          </w:tcPr>
          <w:p w:rsidR="008A5F02" w:rsidRPr="006F14B8" w:rsidRDefault="008A5F02">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上年度末</w:t>
            </w:r>
          </w:p>
          <w:p w:rsidR="008A5F02" w:rsidRPr="006F14B8" w:rsidRDefault="008A5F02" w:rsidP="00677B43">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201</w:t>
            </w:r>
            <w:r w:rsidRPr="006F14B8">
              <w:rPr>
                <w:rFonts w:ascii="Times New Roman" w:hAnsi="Times New Roman" w:hint="eastAsia"/>
                <w:b/>
                <w:color w:val="000000"/>
                <w:sz w:val="21"/>
                <w:szCs w:val="21"/>
              </w:rPr>
              <w:t>6</w:t>
            </w:r>
            <w:r w:rsidRPr="006F14B8">
              <w:rPr>
                <w:rFonts w:ascii="Times New Roman" w:hAnsi="Times New Roman"/>
                <w:b/>
                <w:color w:val="000000"/>
                <w:sz w:val="21"/>
                <w:szCs w:val="21"/>
              </w:rPr>
              <w:t>年</w:t>
            </w:r>
            <w:r w:rsidRPr="006F14B8">
              <w:rPr>
                <w:rFonts w:ascii="Times New Roman" w:hAnsi="Times New Roman"/>
                <w:b/>
                <w:color w:val="000000"/>
                <w:sz w:val="21"/>
                <w:szCs w:val="21"/>
              </w:rPr>
              <w:t>12</w:t>
            </w:r>
            <w:r w:rsidRPr="006F14B8">
              <w:rPr>
                <w:rFonts w:ascii="Times New Roman" w:hAnsi="Times New Roman"/>
                <w:b/>
                <w:color w:val="000000"/>
                <w:sz w:val="21"/>
                <w:szCs w:val="21"/>
              </w:rPr>
              <w:t>月</w:t>
            </w:r>
            <w:r w:rsidRPr="006F14B8">
              <w:rPr>
                <w:rFonts w:ascii="Times New Roman" w:hAnsi="Times New Roman"/>
                <w:b/>
                <w:color w:val="000000"/>
                <w:sz w:val="21"/>
                <w:szCs w:val="21"/>
              </w:rPr>
              <w:t>31</w:t>
            </w:r>
            <w:r w:rsidRPr="006F14B8">
              <w:rPr>
                <w:rFonts w:ascii="Times New Roman" w:hAnsi="Times New Roman"/>
                <w:b/>
                <w:color w:val="000000"/>
                <w:sz w:val="21"/>
                <w:szCs w:val="21"/>
              </w:rPr>
              <w:t>日</w:t>
            </w:r>
          </w:p>
        </w:tc>
      </w:tr>
      <w:tr w:rsidR="00AA43C6" w:rsidRPr="006F14B8" w:rsidTr="00CE5129">
        <w:tc>
          <w:tcPr>
            <w:tcW w:w="1818" w:type="pct"/>
            <w:vAlign w:val="center"/>
          </w:tcPr>
          <w:p w:rsidR="00AA43C6" w:rsidRPr="006F14B8" w:rsidRDefault="00AA43C6" w:rsidP="00F73D0C">
            <w:pPr>
              <w:rPr>
                <w:b/>
                <w:color w:val="000000"/>
                <w:szCs w:val="21"/>
              </w:rPr>
            </w:pPr>
            <w:r w:rsidRPr="006F14B8">
              <w:rPr>
                <w:b/>
                <w:color w:val="000000"/>
                <w:szCs w:val="21"/>
              </w:rPr>
              <w:t>负债：</w:t>
            </w:r>
          </w:p>
        </w:tc>
        <w:tc>
          <w:tcPr>
            <w:tcW w:w="1591" w:type="pct"/>
            <w:vAlign w:val="bottom"/>
          </w:tcPr>
          <w:p w:rsidR="00AA43C6" w:rsidRPr="006F14B8" w:rsidRDefault="00AA43C6">
            <w:pPr>
              <w:jc w:val="right"/>
              <w:rPr>
                <w:b/>
                <w:color w:val="000000"/>
                <w:szCs w:val="21"/>
              </w:rPr>
            </w:pPr>
            <w:r w:rsidRPr="006F14B8">
              <w:rPr>
                <w:rFonts w:hint="eastAsia"/>
                <w:b/>
                <w:color w:val="000000"/>
                <w:szCs w:val="21"/>
              </w:rPr>
              <w:t>-</w:t>
            </w:r>
          </w:p>
        </w:tc>
        <w:tc>
          <w:tcPr>
            <w:tcW w:w="1591" w:type="pct"/>
            <w:vAlign w:val="bottom"/>
          </w:tcPr>
          <w:p w:rsidR="00AA43C6" w:rsidRPr="006F14B8" w:rsidRDefault="00AA43C6" w:rsidP="004A7CE8">
            <w:pPr>
              <w:jc w:val="right"/>
              <w:rPr>
                <w:b/>
                <w:color w:val="000000"/>
                <w:szCs w:val="21"/>
              </w:rPr>
            </w:pPr>
            <w:r w:rsidRPr="006F14B8">
              <w:rPr>
                <w:rFonts w:hint="eastAsia"/>
                <w:b/>
                <w:color w:val="000000"/>
                <w:szCs w:val="21"/>
              </w:rPr>
              <w:t>-</w:t>
            </w:r>
          </w:p>
        </w:tc>
      </w:tr>
      <w:tr w:rsidR="00AA43C6" w:rsidRPr="006F14B8" w:rsidTr="00CE5129">
        <w:tc>
          <w:tcPr>
            <w:tcW w:w="1818" w:type="pct"/>
            <w:vAlign w:val="center"/>
          </w:tcPr>
          <w:p w:rsidR="00AA43C6" w:rsidRPr="006F14B8" w:rsidRDefault="00AA43C6" w:rsidP="00F73D0C">
            <w:pPr>
              <w:rPr>
                <w:color w:val="000000"/>
                <w:szCs w:val="21"/>
              </w:rPr>
            </w:pPr>
            <w:r w:rsidRPr="006F14B8">
              <w:rPr>
                <w:color w:val="000000"/>
                <w:szCs w:val="21"/>
              </w:rPr>
              <w:t>短期借款</w:t>
            </w:r>
          </w:p>
        </w:tc>
        <w:tc>
          <w:tcPr>
            <w:tcW w:w="1591" w:type="pct"/>
            <w:vAlign w:val="bottom"/>
          </w:tcPr>
          <w:p w:rsidR="00AA43C6" w:rsidRPr="006F14B8" w:rsidRDefault="00AA43C6">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AA43C6" w:rsidRPr="006F14B8" w:rsidTr="00CE5129">
        <w:tc>
          <w:tcPr>
            <w:tcW w:w="1818" w:type="pct"/>
            <w:vAlign w:val="center"/>
          </w:tcPr>
          <w:p w:rsidR="00AA43C6" w:rsidRPr="006F14B8" w:rsidRDefault="00AA43C6" w:rsidP="00F73D0C">
            <w:pPr>
              <w:rPr>
                <w:color w:val="000000"/>
                <w:szCs w:val="21"/>
              </w:rPr>
            </w:pPr>
            <w:r w:rsidRPr="006F14B8">
              <w:rPr>
                <w:color w:val="000000"/>
                <w:szCs w:val="21"/>
              </w:rPr>
              <w:t>交易性金融负债</w:t>
            </w:r>
          </w:p>
        </w:tc>
        <w:tc>
          <w:tcPr>
            <w:tcW w:w="1591" w:type="pct"/>
            <w:vAlign w:val="bottom"/>
          </w:tcPr>
          <w:p w:rsidR="00AA43C6" w:rsidRPr="006F14B8" w:rsidRDefault="00AA43C6">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AA43C6" w:rsidRPr="006F14B8" w:rsidTr="00CE5129">
        <w:tc>
          <w:tcPr>
            <w:tcW w:w="1818" w:type="pct"/>
            <w:vAlign w:val="center"/>
          </w:tcPr>
          <w:p w:rsidR="00AA43C6" w:rsidRPr="006F14B8" w:rsidRDefault="00AA43C6" w:rsidP="00F73D0C">
            <w:pPr>
              <w:rPr>
                <w:color w:val="000000"/>
                <w:szCs w:val="21"/>
              </w:rPr>
            </w:pPr>
            <w:r w:rsidRPr="006F14B8">
              <w:rPr>
                <w:color w:val="000000"/>
                <w:szCs w:val="21"/>
              </w:rPr>
              <w:t>衍生金融负债</w:t>
            </w:r>
          </w:p>
        </w:tc>
        <w:tc>
          <w:tcPr>
            <w:tcW w:w="1591" w:type="pct"/>
            <w:vAlign w:val="bottom"/>
          </w:tcPr>
          <w:p w:rsidR="00AA43C6" w:rsidRPr="006F14B8" w:rsidRDefault="00AA43C6">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AA43C6" w:rsidRPr="006F14B8" w:rsidTr="00CE5129">
        <w:tc>
          <w:tcPr>
            <w:tcW w:w="1818" w:type="pct"/>
            <w:vAlign w:val="center"/>
          </w:tcPr>
          <w:p w:rsidR="00AA43C6" w:rsidRPr="006F14B8" w:rsidRDefault="00AA43C6" w:rsidP="00F73D0C">
            <w:pPr>
              <w:rPr>
                <w:color w:val="000000"/>
                <w:szCs w:val="21"/>
              </w:rPr>
            </w:pPr>
            <w:r w:rsidRPr="006F14B8">
              <w:rPr>
                <w:color w:val="000000"/>
                <w:szCs w:val="21"/>
              </w:rPr>
              <w:t>卖出回购金融资产款</w:t>
            </w:r>
          </w:p>
        </w:tc>
        <w:tc>
          <w:tcPr>
            <w:tcW w:w="1591" w:type="pct"/>
            <w:vAlign w:val="bottom"/>
          </w:tcPr>
          <w:p w:rsidR="00AA43C6" w:rsidRPr="006F14B8" w:rsidRDefault="00AA43C6">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AA43C6" w:rsidRPr="006F14B8" w:rsidTr="00CE5129">
        <w:tc>
          <w:tcPr>
            <w:tcW w:w="1818" w:type="pct"/>
            <w:vAlign w:val="center"/>
          </w:tcPr>
          <w:p w:rsidR="00AA43C6" w:rsidRPr="006F14B8" w:rsidRDefault="00AA43C6" w:rsidP="00F73D0C">
            <w:pPr>
              <w:rPr>
                <w:color w:val="000000"/>
                <w:szCs w:val="21"/>
              </w:rPr>
            </w:pPr>
            <w:r w:rsidRPr="006F14B8">
              <w:rPr>
                <w:color w:val="000000"/>
                <w:szCs w:val="21"/>
              </w:rPr>
              <w:t>应付证券清算款</w:t>
            </w:r>
          </w:p>
        </w:tc>
        <w:tc>
          <w:tcPr>
            <w:tcW w:w="1591" w:type="pct"/>
            <w:vAlign w:val="bottom"/>
          </w:tcPr>
          <w:p w:rsidR="00AA43C6" w:rsidRPr="006F14B8" w:rsidRDefault="00AA43C6" w:rsidP="00DF2AAC">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应付赎回款</w:t>
            </w:r>
          </w:p>
        </w:tc>
        <w:tc>
          <w:tcPr>
            <w:tcW w:w="1591" w:type="pct"/>
            <w:vAlign w:val="center"/>
          </w:tcPr>
          <w:p w:rsidR="00B954BF" w:rsidRPr="00B954BF" w:rsidRDefault="00B954BF">
            <w:pPr>
              <w:jc w:val="right"/>
              <w:rPr>
                <w:color w:val="000000"/>
                <w:szCs w:val="21"/>
              </w:rPr>
            </w:pPr>
            <w:r w:rsidRPr="00B954BF">
              <w:rPr>
                <w:color w:val="000000"/>
                <w:szCs w:val="21"/>
              </w:rPr>
              <w:t>3,210,011.47</w:t>
            </w:r>
          </w:p>
        </w:tc>
        <w:tc>
          <w:tcPr>
            <w:tcW w:w="1591" w:type="pct"/>
            <w:vAlign w:val="center"/>
          </w:tcPr>
          <w:p w:rsidR="00B954BF" w:rsidRPr="00E60957" w:rsidRDefault="00B954BF" w:rsidP="00AA43C6">
            <w:pPr>
              <w:jc w:val="right"/>
              <w:rPr>
                <w:color w:val="000000"/>
                <w:szCs w:val="21"/>
              </w:rPr>
            </w:pPr>
            <w:r w:rsidRPr="00E60957">
              <w:rPr>
                <w:color w:val="000000"/>
                <w:szCs w:val="21"/>
              </w:rPr>
              <w:t>193,156.58</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应付管理人报酬</w:t>
            </w:r>
          </w:p>
        </w:tc>
        <w:tc>
          <w:tcPr>
            <w:tcW w:w="1591" w:type="pct"/>
            <w:vAlign w:val="center"/>
          </w:tcPr>
          <w:p w:rsidR="00B954BF" w:rsidRPr="00B954BF" w:rsidRDefault="00B954BF">
            <w:pPr>
              <w:jc w:val="right"/>
              <w:rPr>
                <w:color w:val="000000"/>
                <w:szCs w:val="21"/>
              </w:rPr>
            </w:pPr>
            <w:r w:rsidRPr="00B954BF">
              <w:rPr>
                <w:color w:val="000000"/>
                <w:szCs w:val="21"/>
              </w:rPr>
              <w:t>14,545.35</w:t>
            </w:r>
          </w:p>
        </w:tc>
        <w:tc>
          <w:tcPr>
            <w:tcW w:w="1591" w:type="pct"/>
            <w:vAlign w:val="center"/>
          </w:tcPr>
          <w:p w:rsidR="00B954BF" w:rsidRPr="00E60957" w:rsidRDefault="00B954BF" w:rsidP="00AA43C6">
            <w:pPr>
              <w:jc w:val="right"/>
              <w:rPr>
                <w:color w:val="000000"/>
                <w:szCs w:val="21"/>
              </w:rPr>
            </w:pPr>
            <w:r w:rsidRPr="00E60957">
              <w:rPr>
                <w:color w:val="000000"/>
                <w:szCs w:val="21"/>
              </w:rPr>
              <w:t>20,433.13</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应付托管费</w:t>
            </w:r>
          </w:p>
        </w:tc>
        <w:tc>
          <w:tcPr>
            <w:tcW w:w="1591" w:type="pct"/>
            <w:vAlign w:val="center"/>
          </w:tcPr>
          <w:p w:rsidR="00B954BF" w:rsidRPr="00B954BF" w:rsidRDefault="00B954BF">
            <w:pPr>
              <w:jc w:val="right"/>
              <w:rPr>
                <w:color w:val="000000"/>
                <w:szCs w:val="21"/>
              </w:rPr>
            </w:pPr>
            <w:r w:rsidRPr="00B954BF">
              <w:rPr>
                <w:color w:val="000000"/>
                <w:szCs w:val="21"/>
              </w:rPr>
              <w:t>3,393.91</w:t>
            </w:r>
          </w:p>
        </w:tc>
        <w:tc>
          <w:tcPr>
            <w:tcW w:w="1591" w:type="pct"/>
            <w:vAlign w:val="center"/>
          </w:tcPr>
          <w:p w:rsidR="00B954BF" w:rsidRPr="00E60957" w:rsidRDefault="00B954BF" w:rsidP="00AA43C6">
            <w:pPr>
              <w:jc w:val="right"/>
              <w:rPr>
                <w:color w:val="000000"/>
                <w:szCs w:val="21"/>
              </w:rPr>
            </w:pPr>
            <w:r w:rsidRPr="00E60957">
              <w:rPr>
                <w:color w:val="000000"/>
                <w:szCs w:val="21"/>
              </w:rPr>
              <w:t>4,767.73</w:t>
            </w:r>
          </w:p>
        </w:tc>
      </w:tr>
      <w:tr w:rsidR="00AA43C6" w:rsidRPr="006F14B8" w:rsidTr="00CE5129">
        <w:tc>
          <w:tcPr>
            <w:tcW w:w="1818" w:type="pct"/>
            <w:vAlign w:val="center"/>
          </w:tcPr>
          <w:p w:rsidR="00AA43C6" w:rsidRPr="006F14B8" w:rsidRDefault="00AA43C6" w:rsidP="00F73D0C">
            <w:pPr>
              <w:rPr>
                <w:color w:val="000000"/>
                <w:szCs w:val="21"/>
              </w:rPr>
            </w:pPr>
            <w:r w:rsidRPr="006F14B8">
              <w:rPr>
                <w:color w:val="000000"/>
                <w:szCs w:val="21"/>
              </w:rPr>
              <w:t>应付销售服务费</w:t>
            </w:r>
          </w:p>
        </w:tc>
        <w:tc>
          <w:tcPr>
            <w:tcW w:w="1591" w:type="pct"/>
            <w:vAlign w:val="bottom"/>
          </w:tcPr>
          <w:p w:rsidR="00AA43C6" w:rsidRPr="006F14B8" w:rsidRDefault="00B954BF" w:rsidP="00DF2AAC">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AA43C6" w:rsidRPr="006F14B8" w:rsidTr="00CE5129">
        <w:tc>
          <w:tcPr>
            <w:tcW w:w="1818" w:type="pct"/>
            <w:vAlign w:val="center"/>
          </w:tcPr>
          <w:p w:rsidR="00AA43C6" w:rsidRPr="006F14B8" w:rsidRDefault="00AA43C6" w:rsidP="00F73D0C">
            <w:pPr>
              <w:rPr>
                <w:color w:val="000000"/>
                <w:szCs w:val="21"/>
              </w:rPr>
            </w:pPr>
            <w:r w:rsidRPr="006F14B8">
              <w:rPr>
                <w:color w:val="000000"/>
                <w:szCs w:val="21"/>
              </w:rPr>
              <w:t>应付交易费用</w:t>
            </w:r>
          </w:p>
        </w:tc>
        <w:tc>
          <w:tcPr>
            <w:tcW w:w="1591" w:type="pct"/>
            <w:vAlign w:val="bottom"/>
          </w:tcPr>
          <w:p w:rsidR="00AA43C6" w:rsidRPr="006F14B8" w:rsidRDefault="00AA43C6" w:rsidP="00DF2AAC">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AA43C6" w:rsidRPr="006F14B8" w:rsidTr="00CE5129">
        <w:tc>
          <w:tcPr>
            <w:tcW w:w="1818" w:type="pct"/>
            <w:vAlign w:val="center"/>
          </w:tcPr>
          <w:p w:rsidR="00AA43C6" w:rsidRPr="006F14B8" w:rsidRDefault="00AA43C6" w:rsidP="00F73D0C">
            <w:pPr>
              <w:rPr>
                <w:color w:val="000000"/>
                <w:szCs w:val="21"/>
              </w:rPr>
            </w:pPr>
            <w:r w:rsidRPr="006F14B8">
              <w:rPr>
                <w:color w:val="000000"/>
                <w:szCs w:val="21"/>
              </w:rPr>
              <w:t>应交税费</w:t>
            </w:r>
          </w:p>
        </w:tc>
        <w:tc>
          <w:tcPr>
            <w:tcW w:w="1591" w:type="pct"/>
            <w:vAlign w:val="bottom"/>
          </w:tcPr>
          <w:p w:rsidR="00AA43C6" w:rsidRPr="006F14B8" w:rsidRDefault="00AA43C6" w:rsidP="00DF2AAC">
            <w:pPr>
              <w:jc w:val="right"/>
              <w:rPr>
                <w:color w:val="000000"/>
                <w:szCs w:val="21"/>
              </w:rPr>
            </w:pPr>
            <w:r w:rsidRPr="006F14B8">
              <w:rPr>
                <w:rFonts w:hint="eastAsia"/>
                <w:color w:val="000000"/>
                <w:szCs w:val="21"/>
              </w:rPr>
              <w:t>-</w:t>
            </w:r>
          </w:p>
        </w:tc>
        <w:tc>
          <w:tcPr>
            <w:tcW w:w="1591" w:type="pct"/>
            <w:vAlign w:val="bottom"/>
          </w:tcPr>
          <w:p w:rsidR="00AA43C6" w:rsidRPr="006F14B8" w:rsidRDefault="00AA43C6" w:rsidP="004A7CE8">
            <w:pPr>
              <w:jc w:val="right"/>
              <w:rPr>
                <w:color w:val="000000"/>
                <w:szCs w:val="21"/>
              </w:rPr>
            </w:pPr>
            <w:r w:rsidRPr="006F14B8">
              <w:rPr>
                <w:rFonts w:hint="eastAsia"/>
                <w:color w:val="000000"/>
                <w:szCs w:val="21"/>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应付利息</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7715BA" w:rsidRDefault="00AA43C6" w:rsidP="00175C8F">
            <w:pPr>
              <w:jc w:val="right"/>
              <w:rPr>
                <w:color w:val="000000"/>
                <w:szCs w:val="21"/>
              </w:rPr>
            </w:pPr>
            <w:r w:rsidRPr="006F14B8">
              <w:rPr>
                <w:rFonts w:hint="eastAsia"/>
                <w:color w:val="000000"/>
                <w:szCs w:val="21"/>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应付利润</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递延所得税负债</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其他负债</w:t>
            </w:r>
          </w:p>
        </w:tc>
        <w:tc>
          <w:tcPr>
            <w:tcW w:w="1591" w:type="pct"/>
            <w:vAlign w:val="center"/>
          </w:tcPr>
          <w:p w:rsidR="00B954BF" w:rsidRPr="00B954BF" w:rsidRDefault="00B954BF">
            <w:pPr>
              <w:jc w:val="right"/>
              <w:rPr>
                <w:color w:val="000000"/>
                <w:szCs w:val="21"/>
              </w:rPr>
            </w:pPr>
            <w:r w:rsidRPr="00B954BF">
              <w:rPr>
                <w:color w:val="000000"/>
                <w:szCs w:val="21"/>
              </w:rPr>
              <w:t>150,938.54</w:t>
            </w:r>
          </w:p>
        </w:tc>
        <w:tc>
          <w:tcPr>
            <w:tcW w:w="1591" w:type="pct"/>
            <w:vAlign w:val="bottom"/>
          </w:tcPr>
          <w:p w:rsidR="00B954BF" w:rsidRPr="007715BA" w:rsidRDefault="00B954BF" w:rsidP="00175C8F">
            <w:pPr>
              <w:jc w:val="right"/>
              <w:rPr>
                <w:color w:val="000000"/>
                <w:szCs w:val="21"/>
              </w:rPr>
            </w:pPr>
            <w:r w:rsidRPr="00E60957">
              <w:rPr>
                <w:color w:val="000000"/>
                <w:szCs w:val="21"/>
              </w:rPr>
              <w:t>72,367.35</w:t>
            </w:r>
          </w:p>
        </w:tc>
      </w:tr>
      <w:tr w:rsidR="00B954BF" w:rsidRPr="006F14B8" w:rsidTr="004A7CE8">
        <w:tc>
          <w:tcPr>
            <w:tcW w:w="1818" w:type="pct"/>
            <w:vAlign w:val="center"/>
          </w:tcPr>
          <w:p w:rsidR="00B954BF" w:rsidRPr="006F14B8" w:rsidRDefault="00B954BF" w:rsidP="00F73D0C">
            <w:pPr>
              <w:pStyle w:val="af6"/>
              <w:jc w:val="both"/>
              <w:rPr>
                <w:rFonts w:ascii="Times New Roman" w:hAnsi="Times New Roman"/>
                <w:b/>
                <w:color w:val="000000"/>
                <w:sz w:val="21"/>
                <w:szCs w:val="21"/>
              </w:rPr>
            </w:pPr>
            <w:r w:rsidRPr="006F14B8">
              <w:rPr>
                <w:rFonts w:ascii="Times New Roman" w:hAnsi="Times New Roman"/>
                <w:b/>
                <w:color w:val="000000"/>
                <w:sz w:val="21"/>
                <w:szCs w:val="21"/>
              </w:rPr>
              <w:t>负债合计</w:t>
            </w:r>
          </w:p>
        </w:tc>
        <w:tc>
          <w:tcPr>
            <w:tcW w:w="1591" w:type="pct"/>
            <w:vAlign w:val="center"/>
          </w:tcPr>
          <w:p w:rsidR="00B954BF" w:rsidRPr="00B954BF" w:rsidRDefault="00B954BF">
            <w:pPr>
              <w:jc w:val="right"/>
              <w:rPr>
                <w:b/>
                <w:color w:val="000000"/>
                <w:szCs w:val="21"/>
              </w:rPr>
            </w:pPr>
            <w:r w:rsidRPr="00B954BF">
              <w:rPr>
                <w:b/>
                <w:color w:val="000000"/>
                <w:szCs w:val="21"/>
              </w:rPr>
              <w:t>3,378,889.27</w:t>
            </w:r>
          </w:p>
        </w:tc>
        <w:tc>
          <w:tcPr>
            <w:tcW w:w="1591" w:type="pct"/>
            <w:vAlign w:val="bottom"/>
          </w:tcPr>
          <w:p w:rsidR="00B954BF" w:rsidRPr="007715BA" w:rsidRDefault="00B954BF" w:rsidP="00175C8F">
            <w:pPr>
              <w:jc w:val="right"/>
              <w:rPr>
                <w:b/>
                <w:color w:val="000000"/>
                <w:szCs w:val="21"/>
              </w:rPr>
            </w:pPr>
            <w:r w:rsidRPr="00E60957">
              <w:rPr>
                <w:b/>
                <w:color w:val="000000"/>
                <w:szCs w:val="21"/>
              </w:rPr>
              <w:t>290,724.79</w:t>
            </w:r>
          </w:p>
        </w:tc>
      </w:tr>
      <w:tr w:rsidR="008A5F02" w:rsidRPr="006F14B8" w:rsidTr="00CE5129">
        <w:tc>
          <w:tcPr>
            <w:tcW w:w="1818" w:type="pct"/>
            <w:vAlign w:val="center"/>
          </w:tcPr>
          <w:p w:rsidR="008A5F02" w:rsidRPr="006F14B8" w:rsidRDefault="008A5F02" w:rsidP="00F73D0C">
            <w:pPr>
              <w:rPr>
                <w:b/>
                <w:color w:val="000000"/>
                <w:szCs w:val="21"/>
              </w:rPr>
            </w:pPr>
            <w:r w:rsidRPr="006F14B8">
              <w:rPr>
                <w:b/>
                <w:color w:val="000000"/>
                <w:szCs w:val="21"/>
              </w:rPr>
              <w:t>所有者权益：</w:t>
            </w:r>
          </w:p>
        </w:tc>
        <w:tc>
          <w:tcPr>
            <w:tcW w:w="1591" w:type="pct"/>
            <w:vAlign w:val="bottom"/>
          </w:tcPr>
          <w:p w:rsidR="008A5F02" w:rsidRPr="00B954BF" w:rsidRDefault="008A5F02" w:rsidP="00DF2AAC">
            <w:pPr>
              <w:jc w:val="right"/>
              <w:rPr>
                <w:color w:val="000000"/>
                <w:szCs w:val="21"/>
              </w:rPr>
            </w:pPr>
            <w:r w:rsidRPr="00B954BF">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实收基金</w:t>
            </w:r>
          </w:p>
        </w:tc>
        <w:tc>
          <w:tcPr>
            <w:tcW w:w="1591" w:type="pct"/>
            <w:vAlign w:val="center"/>
          </w:tcPr>
          <w:p w:rsidR="00B954BF" w:rsidRPr="00B954BF" w:rsidRDefault="00B954BF">
            <w:pPr>
              <w:jc w:val="right"/>
              <w:rPr>
                <w:color w:val="000000"/>
                <w:szCs w:val="21"/>
              </w:rPr>
            </w:pPr>
            <w:r w:rsidRPr="00B954BF">
              <w:rPr>
                <w:color w:val="000000"/>
                <w:szCs w:val="21"/>
              </w:rPr>
              <w:t>10,146,579.83</w:t>
            </w:r>
          </w:p>
        </w:tc>
        <w:tc>
          <w:tcPr>
            <w:tcW w:w="1591" w:type="pct"/>
            <w:vAlign w:val="center"/>
          </w:tcPr>
          <w:p w:rsidR="00B954BF" w:rsidRPr="00E60957" w:rsidRDefault="00B954BF" w:rsidP="00AA43C6">
            <w:pPr>
              <w:jc w:val="right"/>
              <w:rPr>
                <w:color w:val="000000"/>
                <w:szCs w:val="21"/>
              </w:rPr>
            </w:pPr>
            <w:r w:rsidRPr="00E60957">
              <w:rPr>
                <w:color w:val="000000"/>
                <w:szCs w:val="21"/>
              </w:rPr>
              <w:t>12,910,890.48</w:t>
            </w:r>
          </w:p>
        </w:tc>
      </w:tr>
      <w:tr w:rsidR="00B954BF" w:rsidRPr="006F14B8" w:rsidTr="004A7CE8">
        <w:tc>
          <w:tcPr>
            <w:tcW w:w="1818" w:type="pct"/>
            <w:vAlign w:val="center"/>
          </w:tcPr>
          <w:p w:rsidR="00B954BF" w:rsidRPr="006F14B8" w:rsidRDefault="00B954BF" w:rsidP="00F73D0C">
            <w:pPr>
              <w:rPr>
                <w:color w:val="000000"/>
                <w:szCs w:val="21"/>
              </w:rPr>
            </w:pPr>
            <w:r w:rsidRPr="006F14B8">
              <w:rPr>
                <w:color w:val="000000"/>
                <w:szCs w:val="21"/>
              </w:rPr>
              <w:t>未分配利润</w:t>
            </w:r>
          </w:p>
        </w:tc>
        <w:tc>
          <w:tcPr>
            <w:tcW w:w="1591" w:type="pct"/>
            <w:vAlign w:val="center"/>
          </w:tcPr>
          <w:p w:rsidR="00B954BF" w:rsidRPr="00B954BF" w:rsidRDefault="00B954BF">
            <w:pPr>
              <w:jc w:val="right"/>
              <w:rPr>
                <w:color w:val="000000"/>
                <w:szCs w:val="21"/>
              </w:rPr>
            </w:pPr>
            <w:r w:rsidRPr="00B954BF">
              <w:rPr>
                <w:color w:val="000000"/>
                <w:szCs w:val="21"/>
              </w:rPr>
              <w:t>4,843,198.36</w:t>
            </w:r>
          </w:p>
        </w:tc>
        <w:tc>
          <w:tcPr>
            <w:tcW w:w="1591" w:type="pct"/>
            <w:vAlign w:val="center"/>
          </w:tcPr>
          <w:p w:rsidR="00B954BF" w:rsidRPr="00E60957" w:rsidRDefault="00B954BF" w:rsidP="00AA43C6">
            <w:pPr>
              <w:jc w:val="right"/>
              <w:rPr>
                <w:color w:val="000000"/>
                <w:szCs w:val="21"/>
              </w:rPr>
            </w:pPr>
            <w:r w:rsidRPr="00E60957">
              <w:rPr>
                <w:color w:val="000000"/>
                <w:szCs w:val="21"/>
              </w:rPr>
              <w:t>2,485,035.42</w:t>
            </w:r>
          </w:p>
        </w:tc>
      </w:tr>
      <w:tr w:rsidR="00B954BF" w:rsidRPr="006F14B8" w:rsidTr="004A7CE8">
        <w:tc>
          <w:tcPr>
            <w:tcW w:w="1818" w:type="pct"/>
            <w:vAlign w:val="center"/>
          </w:tcPr>
          <w:p w:rsidR="00B954BF" w:rsidRPr="006F14B8" w:rsidRDefault="00B954BF" w:rsidP="00F73D0C">
            <w:pPr>
              <w:rPr>
                <w:b/>
                <w:color w:val="000000"/>
                <w:szCs w:val="21"/>
              </w:rPr>
            </w:pPr>
            <w:r w:rsidRPr="006F14B8">
              <w:rPr>
                <w:b/>
                <w:color w:val="000000"/>
                <w:szCs w:val="21"/>
              </w:rPr>
              <w:t>所有者权益合计</w:t>
            </w:r>
          </w:p>
        </w:tc>
        <w:tc>
          <w:tcPr>
            <w:tcW w:w="1591" w:type="pct"/>
            <w:vAlign w:val="center"/>
          </w:tcPr>
          <w:p w:rsidR="00B954BF" w:rsidRPr="00B954BF" w:rsidRDefault="00B954BF">
            <w:pPr>
              <w:jc w:val="right"/>
              <w:rPr>
                <w:b/>
                <w:color w:val="000000"/>
                <w:szCs w:val="21"/>
              </w:rPr>
            </w:pPr>
            <w:r w:rsidRPr="00B954BF">
              <w:rPr>
                <w:b/>
                <w:color w:val="000000"/>
                <w:szCs w:val="21"/>
              </w:rPr>
              <w:t>14,989,778.19</w:t>
            </w:r>
          </w:p>
        </w:tc>
        <w:tc>
          <w:tcPr>
            <w:tcW w:w="1591" w:type="pct"/>
            <w:vAlign w:val="center"/>
          </w:tcPr>
          <w:p w:rsidR="00B954BF" w:rsidRPr="00E60957" w:rsidRDefault="00B954BF" w:rsidP="00AA43C6">
            <w:pPr>
              <w:jc w:val="right"/>
              <w:rPr>
                <w:b/>
                <w:color w:val="000000"/>
                <w:szCs w:val="21"/>
              </w:rPr>
            </w:pPr>
            <w:r w:rsidRPr="00E60957">
              <w:rPr>
                <w:b/>
                <w:color w:val="000000"/>
                <w:szCs w:val="21"/>
              </w:rPr>
              <w:t>15,395,925.90</w:t>
            </w:r>
          </w:p>
        </w:tc>
      </w:tr>
      <w:tr w:rsidR="00AA43C6" w:rsidRPr="006F14B8" w:rsidTr="004A7CE8">
        <w:tc>
          <w:tcPr>
            <w:tcW w:w="1818" w:type="pct"/>
            <w:vAlign w:val="center"/>
          </w:tcPr>
          <w:p w:rsidR="00AA43C6" w:rsidRPr="006F14B8" w:rsidRDefault="00AA43C6" w:rsidP="00F73D0C">
            <w:pPr>
              <w:rPr>
                <w:b/>
                <w:color w:val="000000"/>
                <w:szCs w:val="21"/>
              </w:rPr>
            </w:pPr>
            <w:r w:rsidRPr="006F14B8">
              <w:rPr>
                <w:b/>
                <w:color w:val="000000"/>
                <w:szCs w:val="21"/>
              </w:rPr>
              <w:t>负债和所有者权益总计</w:t>
            </w:r>
          </w:p>
        </w:tc>
        <w:tc>
          <w:tcPr>
            <w:tcW w:w="1591" w:type="pct"/>
            <w:vAlign w:val="bottom"/>
          </w:tcPr>
          <w:p w:rsidR="00AA43C6" w:rsidRPr="00B954BF" w:rsidRDefault="00B954BF" w:rsidP="00B954BF">
            <w:pPr>
              <w:jc w:val="right"/>
              <w:rPr>
                <w:b/>
                <w:color w:val="000000"/>
                <w:szCs w:val="21"/>
              </w:rPr>
            </w:pPr>
            <w:r w:rsidRPr="00B954BF">
              <w:rPr>
                <w:b/>
                <w:color w:val="000000"/>
                <w:szCs w:val="21"/>
              </w:rPr>
              <w:t>18,368,667.46</w:t>
            </w:r>
          </w:p>
        </w:tc>
        <w:tc>
          <w:tcPr>
            <w:tcW w:w="1591" w:type="pct"/>
            <w:vAlign w:val="center"/>
          </w:tcPr>
          <w:p w:rsidR="00AA43C6" w:rsidRPr="00E60957" w:rsidRDefault="00AA43C6" w:rsidP="00AA43C6">
            <w:pPr>
              <w:jc w:val="right"/>
              <w:rPr>
                <w:b/>
                <w:color w:val="000000"/>
                <w:szCs w:val="21"/>
              </w:rPr>
            </w:pPr>
            <w:r w:rsidRPr="00E60957">
              <w:rPr>
                <w:b/>
                <w:color w:val="000000"/>
                <w:szCs w:val="21"/>
              </w:rPr>
              <w:t>15,686,650.69</w:t>
            </w:r>
          </w:p>
        </w:tc>
      </w:tr>
    </w:tbl>
    <w:p w:rsidR="001548F9" w:rsidRPr="006F14B8" w:rsidRDefault="001548F9" w:rsidP="00DD2845">
      <w:pPr>
        <w:tabs>
          <w:tab w:val="left" w:pos="426"/>
        </w:tabs>
        <w:spacing w:line="360" w:lineRule="auto"/>
        <w:jc w:val="left"/>
        <w:rPr>
          <w:kern w:val="0"/>
          <w:szCs w:val="21"/>
        </w:rPr>
      </w:pPr>
      <w:r w:rsidRPr="006F14B8">
        <w:rPr>
          <w:kern w:val="0"/>
          <w:szCs w:val="21"/>
        </w:rPr>
        <w:t>注：报告截止日</w:t>
      </w:r>
      <w:r w:rsidR="00E0528B">
        <w:rPr>
          <w:kern w:val="0"/>
          <w:szCs w:val="21"/>
        </w:rPr>
        <w:t>2017</w:t>
      </w:r>
      <w:r w:rsidR="00E0528B">
        <w:rPr>
          <w:kern w:val="0"/>
          <w:szCs w:val="21"/>
        </w:rPr>
        <w:t>年</w:t>
      </w:r>
      <w:r w:rsidR="00E0528B">
        <w:rPr>
          <w:kern w:val="0"/>
          <w:szCs w:val="21"/>
        </w:rPr>
        <w:t>12</w:t>
      </w:r>
      <w:r w:rsidR="00E0528B">
        <w:rPr>
          <w:kern w:val="0"/>
          <w:szCs w:val="21"/>
        </w:rPr>
        <w:t>月</w:t>
      </w:r>
      <w:r w:rsidR="00E0528B">
        <w:rPr>
          <w:kern w:val="0"/>
          <w:szCs w:val="21"/>
        </w:rPr>
        <w:t>19</w:t>
      </w:r>
      <w:r w:rsidR="00E0528B">
        <w:rPr>
          <w:kern w:val="0"/>
          <w:szCs w:val="21"/>
        </w:rPr>
        <w:t>日</w:t>
      </w:r>
      <w:r w:rsidR="00E645C8" w:rsidRPr="006F14B8">
        <w:rPr>
          <w:rFonts w:hint="eastAsia"/>
          <w:kern w:val="0"/>
          <w:szCs w:val="21"/>
        </w:rPr>
        <w:t>(</w:t>
      </w:r>
      <w:r w:rsidR="00E645C8" w:rsidRPr="006F14B8">
        <w:rPr>
          <w:rFonts w:hint="eastAsia"/>
          <w:kern w:val="0"/>
          <w:szCs w:val="21"/>
        </w:rPr>
        <w:t>基金最后运作日</w:t>
      </w:r>
      <w:r w:rsidR="00E645C8" w:rsidRPr="006F14B8">
        <w:rPr>
          <w:rFonts w:hint="eastAsia"/>
          <w:kern w:val="0"/>
          <w:szCs w:val="21"/>
        </w:rPr>
        <w:t>)</w:t>
      </w:r>
      <w:r w:rsidRPr="006F14B8">
        <w:rPr>
          <w:kern w:val="0"/>
          <w:szCs w:val="21"/>
        </w:rPr>
        <w:t>，基金</w:t>
      </w:r>
      <w:r w:rsidR="00E645C8" w:rsidRPr="006F14B8">
        <w:rPr>
          <w:rFonts w:hint="eastAsia"/>
          <w:kern w:val="0"/>
          <w:szCs w:val="21"/>
        </w:rPr>
        <w:t>单位</w:t>
      </w:r>
      <w:r w:rsidRPr="006F14B8">
        <w:rPr>
          <w:kern w:val="0"/>
          <w:szCs w:val="21"/>
        </w:rPr>
        <w:t>份额净值</w:t>
      </w:r>
      <w:r w:rsidR="00B954BF" w:rsidRPr="00B954BF">
        <w:rPr>
          <w:kern w:val="0"/>
          <w:szCs w:val="21"/>
        </w:rPr>
        <w:t>1.477</w:t>
      </w:r>
      <w:r w:rsidRPr="006F14B8">
        <w:rPr>
          <w:kern w:val="0"/>
          <w:szCs w:val="21"/>
        </w:rPr>
        <w:t>元，基金份额总额</w:t>
      </w:r>
      <w:r w:rsidR="00B954BF" w:rsidRPr="00B954BF">
        <w:rPr>
          <w:kern w:val="0"/>
          <w:szCs w:val="21"/>
        </w:rPr>
        <w:t>10,146,579.83</w:t>
      </w:r>
      <w:r w:rsidRPr="006F14B8">
        <w:rPr>
          <w:kern w:val="0"/>
          <w:szCs w:val="21"/>
        </w:rPr>
        <w:t>份。</w:t>
      </w:r>
    </w:p>
    <w:p w:rsidR="001548F9" w:rsidRPr="006F14B8" w:rsidRDefault="001548F9" w:rsidP="004C1748">
      <w:pPr>
        <w:spacing w:line="360" w:lineRule="auto"/>
        <w:rPr>
          <w:color w:val="000000"/>
          <w:kern w:val="0"/>
          <w:szCs w:val="21"/>
        </w:rPr>
      </w:pPr>
    </w:p>
    <w:p w:rsidR="001548F9" w:rsidRPr="006F14B8" w:rsidRDefault="0030612F" w:rsidP="004C1748">
      <w:pPr>
        <w:pStyle w:val="20"/>
        <w:spacing w:before="0" w:after="0"/>
        <w:rPr>
          <w:rFonts w:ascii="Times New Roman" w:hAnsi="Times New Roman"/>
          <w:kern w:val="0"/>
          <w:sz w:val="21"/>
          <w:szCs w:val="21"/>
        </w:rPr>
      </w:pPr>
      <w:bookmarkStart w:id="19" w:name="_Toc225498269"/>
      <w:bookmarkStart w:id="20" w:name="_Toc390421251"/>
      <w:bookmarkStart w:id="21" w:name="_Toc490670311"/>
      <w:r w:rsidRPr="006F14B8">
        <w:rPr>
          <w:rFonts w:ascii="Times New Roman" w:hAnsi="Times New Roman" w:hint="eastAsia"/>
          <w:kern w:val="0"/>
          <w:sz w:val="21"/>
          <w:szCs w:val="21"/>
        </w:rPr>
        <w:t>3</w:t>
      </w:r>
      <w:r w:rsidR="001548F9" w:rsidRPr="006F14B8">
        <w:rPr>
          <w:rFonts w:ascii="Times New Roman" w:hAnsi="Times New Roman"/>
          <w:kern w:val="0"/>
          <w:sz w:val="21"/>
          <w:szCs w:val="21"/>
        </w:rPr>
        <w:t xml:space="preserve">.2 </w:t>
      </w:r>
      <w:r w:rsidR="001548F9" w:rsidRPr="006F14B8">
        <w:rPr>
          <w:rFonts w:ascii="Times New Roman" w:hAnsi="Times New Roman"/>
          <w:kern w:val="0"/>
          <w:sz w:val="21"/>
          <w:szCs w:val="21"/>
        </w:rPr>
        <w:t>利润表</w:t>
      </w:r>
      <w:bookmarkEnd w:id="19"/>
      <w:bookmarkEnd w:id="20"/>
      <w:bookmarkEnd w:id="21"/>
    </w:p>
    <w:p w:rsidR="001548F9" w:rsidRPr="006F14B8" w:rsidRDefault="001548F9" w:rsidP="004C1748">
      <w:pPr>
        <w:spacing w:line="360" w:lineRule="auto"/>
        <w:rPr>
          <w:kern w:val="0"/>
          <w:szCs w:val="21"/>
        </w:rPr>
      </w:pPr>
      <w:r w:rsidRPr="006F14B8">
        <w:rPr>
          <w:color w:val="000000"/>
          <w:szCs w:val="21"/>
        </w:rPr>
        <w:t>会计主体：</w:t>
      </w:r>
      <w:r w:rsidR="00F26DCF" w:rsidRPr="00E60957">
        <w:rPr>
          <w:color w:val="000000"/>
          <w:szCs w:val="21"/>
        </w:rPr>
        <w:t>国泰美国房地产开发股票型证券投资基金</w:t>
      </w:r>
    </w:p>
    <w:p w:rsidR="001548F9" w:rsidRPr="006F14B8" w:rsidRDefault="001548F9" w:rsidP="004C1748">
      <w:pPr>
        <w:spacing w:line="360" w:lineRule="auto"/>
        <w:rPr>
          <w:color w:val="000000"/>
          <w:kern w:val="0"/>
          <w:szCs w:val="21"/>
        </w:rPr>
      </w:pPr>
      <w:r w:rsidRPr="006F14B8">
        <w:rPr>
          <w:color w:val="000000"/>
          <w:szCs w:val="21"/>
        </w:rPr>
        <w:t>本报告期：</w:t>
      </w:r>
      <w:r w:rsidRPr="006F14B8">
        <w:rPr>
          <w:kern w:val="0"/>
          <w:szCs w:val="21"/>
        </w:rPr>
        <w:t>201</w:t>
      </w:r>
      <w:r w:rsidR="00C87528" w:rsidRPr="006F14B8">
        <w:rPr>
          <w:rFonts w:hint="eastAsia"/>
          <w:kern w:val="0"/>
          <w:szCs w:val="21"/>
        </w:rPr>
        <w:t>7</w:t>
      </w:r>
      <w:r w:rsidRPr="006F14B8">
        <w:rPr>
          <w:kern w:val="0"/>
          <w:szCs w:val="21"/>
        </w:rPr>
        <w:t>年</w:t>
      </w:r>
      <w:r w:rsidRPr="006F14B8">
        <w:rPr>
          <w:kern w:val="0"/>
          <w:szCs w:val="21"/>
        </w:rPr>
        <w:t>1</w:t>
      </w:r>
      <w:r w:rsidRPr="006F14B8">
        <w:rPr>
          <w:kern w:val="0"/>
          <w:szCs w:val="21"/>
        </w:rPr>
        <w:t>月</w:t>
      </w:r>
      <w:r w:rsidRPr="006F14B8">
        <w:rPr>
          <w:kern w:val="0"/>
          <w:szCs w:val="21"/>
        </w:rPr>
        <w:t>1</w:t>
      </w:r>
      <w:r w:rsidRPr="006F14B8">
        <w:rPr>
          <w:kern w:val="0"/>
          <w:szCs w:val="21"/>
        </w:rPr>
        <w:t>日至</w:t>
      </w:r>
      <w:r w:rsidR="00E0528B">
        <w:rPr>
          <w:color w:val="000000"/>
          <w:szCs w:val="21"/>
        </w:rPr>
        <w:t>2017</w:t>
      </w:r>
      <w:r w:rsidR="00E0528B">
        <w:rPr>
          <w:color w:val="000000"/>
          <w:szCs w:val="21"/>
        </w:rPr>
        <w:t>年</w:t>
      </w:r>
      <w:r w:rsidR="00E0528B">
        <w:rPr>
          <w:color w:val="000000"/>
          <w:szCs w:val="21"/>
        </w:rPr>
        <w:t>12</w:t>
      </w:r>
      <w:r w:rsidR="00E0528B">
        <w:rPr>
          <w:color w:val="000000"/>
          <w:szCs w:val="21"/>
        </w:rPr>
        <w:t>月</w:t>
      </w:r>
      <w:r w:rsidR="00E0528B">
        <w:rPr>
          <w:color w:val="000000"/>
          <w:szCs w:val="21"/>
        </w:rPr>
        <w:t>19</w:t>
      </w:r>
      <w:r w:rsidR="00E0528B">
        <w:rPr>
          <w:color w:val="000000"/>
          <w:szCs w:val="21"/>
        </w:rPr>
        <w:t>日</w:t>
      </w:r>
      <w:r w:rsidR="00C87528" w:rsidRPr="006F14B8">
        <w:rPr>
          <w:rFonts w:hint="eastAsia"/>
          <w:color w:val="000000"/>
          <w:szCs w:val="21"/>
        </w:rPr>
        <w:t>（基金最后运作日）</w:t>
      </w:r>
    </w:p>
    <w:p w:rsidR="001548F9" w:rsidRPr="006F14B8" w:rsidRDefault="001548F9" w:rsidP="006D141C">
      <w:pPr>
        <w:autoSpaceDE w:val="0"/>
        <w:autoSpaceDN w:val="0"/>
        <w:adjustRightInd w:val="0"/>
        <w:spacing w:before="29" w:line="288" w:lineRule="auto"/>
        <w:ind w:left="15"/>
        <w:jc w:val="right"/>
        <w:rPr>
          <w:color w:val="000000"/>
          <w:kern w:val="0"/>
          <w:szCs w:val="21"/>
        </w:rPr>
      </w:pPr>
      <w:r w:rsidRPr="006F14B8">
        <w:rPr>
          <w:color w:val="000000"/>
          <w:kern w:val="0"/>
          <w:szCs w:val="21"/>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2"/>
        <w:gridCol w:w="2637"/>
        <w:gridCol w:w="2637"/>
      </w:tblGrid>
      <w:tr w:rsidR="00CE5129" w:rsidRPr="006F14B8" w:rsidTr="00C87528">
        <w:tc>
          <w:tcPr>
            <w:tcW w:w="2160" w:type="pct"/>
            <w:vAlign w:val="center"/>
          </w:tcPr>
          <w:p w:rsidR="00CE5129" w:rsidRPr="006F14B8" w:rsidRDefault="00CE5129">
            <w:pPr>
              <w:pStyle w:val="af6"/>
              <w:jc w:val="center"/>
              <w:rPr>
                <w:rFonts w:ascii="Times New Roman" w:hAnsi="Times New Roman"/>
                <w:b/>
                <w:color w:val="000000"/>
                <w:sz w:val="21"/>
                <w:szCs w:val="21"/>
              </w:rPr>
            </w:pPr>
            <w:r w:rsidRPr="006F14B8">
              <w:rPr>
                <w:rFonts w:ascii="Times New Roman" w:hAnsi="Times New Roman"/>
                <w:b/>
                <w:color w:val="000000"/>
                <w:sz w:val="21"/>
                <w:szCs w:val="21"/>
              </w:rPr>
              <w:t>项目</w:t>
            </w:r>
          </w:p>
        </w:tc>
        <w:tc>
          <w:tcPr>
            <w:tcW w:w="1420" w:type="pct"/>
            <w:vAlign w:val="center"/>
          </w:tcPr>
          <w:p w:rsidR="00CE5129" w:rsidRPr="006F14B8" w:rsidRDefault="00CE5129">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w:t>
            </w:r>
          </w:p>
          <w:p w:rsidR="00CE5129" w:rsidRPr="006F14B8" w:rsidRDefault="00CE5129" w:rsidP="00C87528">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sz w:val="21"/>
                <w:szCs w:val="21"/>
              </w:rPr>
              <w:t>201</w:t>
            </w:r>
            <w:r w:rsidR="00C87528" w:rsidRPr="006F14B8">
              <w:rPr>
                <w:rFonts w:ascii="Times New Roman" w:hAnsi="Times New Roman" w:hint="eastAsia"/>
                <w:b/>
                <w:sz w:val="21"/>
                <w:szCs w:val="21"/>
              </w:rPr>
              <w:t>7</w:t>
            </w:r>
            <w:r w:rsidRPr="006F14B8">
              <w:rPr>
                <w:rFonts w:ascii="Times New Roman" w:hAnsi="Times New Roman"/>
                <w:b/>
                <w:sz w:val="21"/>
                <w:szCs w:val="21"/>
              </w:rPr>
              <w:t>年</w:t>
            </w:r>
            <w:r w:rsidRPr="006F14B8">
              <w:rPr>
                <w:rFonts w:ascii="Times New Roman" w:hAnsi="Times New Roman"/>
                <w:b/>
                <w:sz w:val="21"/>
                <w:szCs w:val="21"/>
              </w:rPr>
              <w:t>1</w:t>
            </w:r>
            <w:r w:rsidRPr="006F14B8">
              <w:rPr>
                <w:rFonts w:ascii="Times New Roman" w:hAnsi="Times New Roman"/>
                <w:b/>
                <w:sz w:val="21"/>
                <w:szCs w:val="21"/>
              </w:rPr>
              <w:t>月</w:t>
            </w:r>
            <w:r w:rsidRPr="006F14B8">
              <w:rPr>
                <w:rFonts w:ascii="Times New Roman" w:hAnsi="Times New Roman"/>
                <w:b/>
                <w:sz w:val="21"/>
                <w:szCs w:val="21"/>
              </w:rPr>
              <w:t>1</w:t>
            </w:r>
            <w:r w:rsidRPr="006F14B8">
              <w:rPr>
                <w:rFonts w:ascii="Times New Roman" w:hAnsi="Times New Roman"/>
                <w:b/>
                <w:sz w:val="21"/>
                <w:szCs w:val="21"/>
              </w:rPr>
              <w:t>日至</w:t>
            </w:r>
            <w:r w:rsidR="00E0528B">
              <w:rPr>
                <w:rFonts w:ascii="Times New Roman" w:hAnsi="Times New Roman"/>
                <w:b/>
                <w:sz w:val="21"/>
                <w:szCs w:val="21"/>
              </w:rPr>
              <w:t>2017</w:t>
            </w:r>
            <w:r w:rsidR="00E0528B">
              <w:rPr>
                <w:rFonts w:ascii="Times New Roman" w:hAnsi="Times New Roman"/>
                <w:b/>
                <w:sz w:val="21"/>
                <w:szCs w:val="21"/>
              </w:rPr>
              <w:t>年</w:t>
            </w:r>
            <w:r w:rsidR="00E0528B">
              <w:rPr>
                <w:rFonts w:ascii="Times New Roman" w:hAnsi="Times New Roman"/>
                <w:b/>
                <w:sz w:val="21"/>
                <w:szCs w:val="21"/>
              </w:rPr>
              <w:t>12</w:t>
            </w:r>
            <w:r w:rsidR="00E0528B">
              <w:rPr>
                <w:rFonts w:ascii="Times New Roman" w:hAnsi="Times New Roman"/>
                <w:b/>
                <w:sz w:val="21"/>
                <w:szCs w:val="21"/>
              </w:rPr>
              <w:t>月</w:t>
            </w:r>
            <w:r w:rsidR="00E0528B">
              <w:rPr>
                <w:rFonts w:ascii="Times New Roman" w:hAnsi="Times New Roman"/>
                <w:b/>
                <w:sz w:val="21"/>
                <w:szCs w:val="21"/>
              </w:rPr>
              <w:t>19</w:t>
            </w:r>
            <w:r w:rsidR="00E0528B">
              <w:rPr>
                <w:rFonts w:ascii="Times New Roman" w:hAnsi="Times New Roman"/>
                <w:b/>
                <w:sz w:val="21"/>
                <w:szCs w:val="21"/>
              </w:rPr>
              <w:t>日</w:t>
            </w:r>
            <w:r w:rsidR="00C87528" w:rsidRPr="006F14B8">
              <w:rPr>
                <w:rFonts w:ascii="Times New Roman" w:hAnsi="Times New Roman" w:hint="eastAsia"/>
                <w:b/>
                <w:sz w:val="21"/>
                <w:szCs w:val="21"/>
              </w:rPr>
              <w:t>（基金最后运作日）</w:t>
            </w:r>
            <w:r w:rsidRPr="006F14B8">
              <w:rPr>
                <w:rFonts w:ascii="Times New Roman" w:hAnsi="Times New Roman" w:hint="eastAsia"/>
                <w:b/>
                <w:sz w:val="21"/>
                <w:szCs w:val="21"/>
              </w:rPr>
              <w:t>止期间</w:t>
            </w:r>
          </w:p>
        </w:tc>
        <w:tc>
          <w:tcPr>
            <w:tcW w:w="1420" w:type="pct"/>
            <w:vAlign w:val="center"/>
          </w:tcPr>
          <w:p w:rsidR="00CE5129" w:rsidRPr="006F14B8" w:rsidRDefault="00CE5129">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上年度可比期间</w:t>
            </w:r>
          </w:p>
          <w:p w:rsidR="00CE5129" w:rsidRPr="006F14B8" w:rsidRDefault="00CE5129" w:rsidP="00C87528">
            <w:pPr>
              <w:pStyle w:val="af6"/>
              <w:spacing w:before="0" w:beforeAutospacing="0" w:after="0" w:afterAutospacing="0"/>
              <w:jc w:val="center"/>
              <w:rPr>
                <w:rFonts w:ascii="Times New Roman" w:hAnsi="Times New Roman"/>
                <w:color w:val="000000"/>
                <w:sz w:val="21"/>
                <w:szCs w:val="21"/>
              </w:rPr>
            </w:pPr>
            <w:r w:rsidRPr="006F14B8">
              <w:rPr>
                <w:rFonts w:ascii="Times New Roman" w:hAnsi="Times New Roman" w:hint="eastAsia"/>
                <w:b/>
                <w:color w:val="000000"/>
                <w:sz w:val="21"/>
                <w:szCs w:val="21"/>
              </w:rPr>
              <w:t>201</w:t>
            </w:r>
            <w:r w:rsidR="00C87528" w:rsidRPr="006F14B8">
              <w:rPr>
                <w:rFonts w:ascii="Times New Roman" w:hAnsi="Times New Roman" w:hint="eastAsia"/>
                <w:b/>
                <w:color w:val="000000"/>
                <w:sz w:val="21"/>
                <w:szCs w:val="21"/>
              </w:rPr>
              <w:t>6</w:t>
            </w:r>
            <w:r w:rsidRPr="006F14B8">
              <w:rPr>
                <w:rFonts w:ascii="Times New Roman" w:hAnsi="Times New Roman" w:hint="eastAsia"/>
                <w:b/>
                <w:color w:val="000000"/>
                <w:sz w:val="21"/>
                <w:szCs w:val="21"/>
              </w:rPr>
              <w:t>年度</w:t>
            </w:r>
          </w:p>
        </w:tc>
      </w:tr>
      <w:tr w:rsidR="00B954BF" w:rsidRPr="006F14B8" w:rsidTr="004A7CE8">
        <w:tc>
          <w:tcPr>
            <w:tcW w:w="2160" w:type="pct"/>
            <w:vAlign w:val="center"/>
          </w:tcPr>
          <w:p w:rsidR="00B954BF" w:rsidRPr="006F14B8" w:rsidRDefault="00B954BF" w:rsidP="00C57F58">
            <w:pPr>
              <w:rPr>
                <w:b/>
                <w:color w:val="000000"/>
                <w:szCs w:val="21"/>
              </w:rPr>
            </w:pPr>
            <w:r w:rsidRPr="006F14B8">
              <w:rPr>
                <w:b/>
                <w:color w:val="000000"/>
                <w:szCs w:val="21"/>
              </w:rPr>
              <w:t>一、收入</w:t>
            </w:r>
          </w:p>
        </w:tc>
        <w:tc>
          <w:tcPr>
            <w:tcW w:w="1420" w:type="pct"/>
            <w:vAlign w:val="center"/>
          </w:tcPr>
          <w:p w:rsidR="00B954BF" w:rsidRPr="0033700B" w:rsidRDefault="00B954BF">
            <w:pPr>
              <w:jc w:val="right"/>
              <w:rPr>
                <w:b/>
                <w:color w:val="000000"/>
                <w:szCs w:val="21"/>
              </w:rPr>
            </w:pPr>
            <w:r w:rsidRPr="0033700B">
              <w:rPr>
                <w:b/>
                <w:color w:val="000000"/>
                <w:szCs w:val="21"/>
              </w:rPr>
              <w:t>4,522,187.98</w:t>
            </w:r>
          </w:p>
        </w:tc>
        <w:tc>
          <w:tcPr>
            <w:tcW w:w="1420" w:type="pct"/>
            <w:vAlign w:val="center"/>
          </w:tcPr>
          <w:p w:rsidR="00B954BF" w:rsidRPr="00E60957" w:rsidRDefault="00B954BF" w:rsidP="00B954BF">
            <w:pPr>
              <w:jc w:val="right"/>
              <w:rPr>
                <w:b/>
                <w:color w:val="000000"/>
                <w:szCs w:val="21"/>
              </w:rPr>
            </w:pPr>
            <w:r w:rsidRPr="00E60957">
              <w:rPr>
                <w:b/>
                <w:color w:val="000000"/>
                <w:szCs w:val="21"/>
              </w:rPr>
              <w:t>1,707,928.96</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1.</w:t>
            </w:r>
            <w:r w:rsidRPr="006F14B8">
              <w:rPr>
                <w:color w:val="000000"/>
                <w:szCs w:val="21"/>
              </w:rPr>
              <w:t>利息收入</w:t>
            </w:r>
          </w:p>
        </w:tc>
        <w:tc>
          <w:tcPr>
            <w:tcW w:w="1420" w:type="pct"/>
            <w:vAlign w:val="center"/>
          </w:tcPr>
          <w:p w:rsidR="00B954BF" w:rsidRPr="0033700B" w:rsidRDefault="00B954BF">
            <w:pPr>
              <w:jc w:val="right"/>
              <w:rPr>
                <w:color w:val="000000"/>
                <w:szCs w:val="21"/>
              </w:rPr>
            </w:pPr>
            <w:r w:rsidRPr="0033700B">
              <w:rPr>
                <w:color w:val="000000"/>
                <w:szCs w:val="21"/>
              </w:rPr>
              <w:t>21,230.52</w:t>
            </w:r>
          </w:p>
        </w:tc>
        <w:tc>
          <w:tcPr>
            <w:tcW w:w="1420" w:type="pct"/>
            <w:vAlign w:val="center"/>
          </w:tcPr>
          <w:p w:rsidR="00B954BF" w:rsidRPr="00E60957" w:rsidRDefault="00B954BF" w:rsidP="00B954BF">
            <w:pPr>
              <w:jc w:val="right"/>
              <w:rPr>
                <w:color w:val="000000"/>
                <w:szCs w:val="21"/>
              </w:rPr>
            </w:pPr>
            <w:r w:rsidRPr="00E60957">
              <w:rPr>
                <w:color w:val="000000"/>
                <w:szCs w:val="21"/>
              </w:rPr>
              <w:t>9,705.09</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其中：存款利息收入</w:t>
            </w:r>
          </w:p>
        </w:tc>
        <w:tc>
          <w:tcPr>
            <w:tcW w:w="1420" w:type="pct"/>
            <w:vAlign w:val="center"/>
          </w:tcPr>
          <w:p w:rsidR="00B954BF" w:rsidRPr="0033700B" w:rsidRDefault="00B954BF">
            <w:pPr>
              <w:jc w:val="right"/>
              <w:rPr>
                <w:color w:val="000000"/>
                <w:szCs w:val="21"/>
              </w:rPr>
            </w:pPr>
            <w:r w:rsidRPr="0033700B">
              <w:rPr>
                <w:color w:val="000000"/>
                <w:szCs w:val="21"/>
              </w:rPr>
              <w:t>21,230.52</w:t>
            </w:r>
          </w:p>
        </w:tc>
        <w:tc>
          <w:tcPr>
            <w:tcW w:w="1420" w:type="pct"/>
            <w:vAlign w:val="center"/>
          </w:tcPr>
          <w:p w:rsidR="00B954BF" w:rsidRPr="00E60957" w:rsidRDefault="00B954BF" w:rsidP="00B954BF">
            <w:pPr>
              <w:jc w:val="right"/>
              <w:rPr>
                <w:color w:val="000000"/>
                <w:szCs w:val="21"/>
              </w:rPr>
            </w:pPr>
            <w:r w:rsidRPr="00E60957">
              <w:rPr>
                <w:color w:val="000000"/>
                <w:szCs w:val="21"/>
              </w:rPr>
              <w:t>9,705.09</w:t>
            </w:r>
          </w:p>
        </w:tc>
      </w:tr>
      <w:tr w:rsidR="00B954BF" w:rsidRPr="006F14B8" w:rsidTr="004A7CE8">
        <w:tc>
          <w:tcPr>
            <w:tcW w:w="2160" w:type="pct"/>
            <w:vAlign w:val="center"/>
          </w:tcPr>
          <w:p w:rsidR="00B954BF" w:rsidRPr="006F14B8" w:rsidRDefault="00B954BF" w:rsidP="00C57F58">
            <w:pPr>
              <w:ind w:firstLineChars="250" w:firstLine="525"/>
              <w:rPr>
                <w:color w:val="000000"/>
                <w:szCs w:val="21"/>
              </w:rPr>
            </w:pPr>
            <w:r w:rsidRPr="006F14B8">
              <w:rPr>
                <w:color w:val="000000"/>
                <w:szCs w:val="21"/>
              </w:rPr>
              <w:t>债券利息收入</w:t>
            </w:r>
          </w:p>
        </w:tc>
        <w:tc>
          <w:tcPr>
            <w:tcW w:w="1420" w:type="pct"/>
            <w:vAlign w:val="center"/>
          </w:tcPr>
          <w:p w:rsidR="00B954BF" w:rsidRPr="0033700B" w:rsidRDefault="00B954BF" w:rsidP="004A7CE8">
            <w:pPr>
              <w:jc w:val="right"/>
              <w:rPr>
                <w:color w:val="000000"/>
                <w:szCs w:val="21"/>
              </w:rPr>
            </w:pPr>
            <w:r w:rsidRPr="0033700B">
              <w:rPr>
                <w:color w:val="000000"/>
                <w:szCs w:val="21"/>
              </w:rPr>
              <w:t>-</w:t>
            </w:r>
          </w:p>
        </w:tc>
        <w:tc>
          <w:tcPr>
            <w:tcW w:w="1420" w:type="pct"/>
            <w:vAlign w:val="center"/>
          </w:tcPr>
          <w:p w:rsidR="00B954BF" w:rsidRPr="006F14B8" w:rsidRDefault="00B954BF" w:rsidP="00B954BF">
            <w:pPr>
              <w:jc w:val="right"/>
              <w:rPr>
                <w:color w:val="000000"/>
                <w:sz w:val="22"/>
                <w:szCs w:val="22"/>
              </w:rPr>
            </w:pPr>
            <w:r w:rsidRPr="006F14B8">
              <w:rPr>
                <w:color w:val="000000"/>
                <w:sz w:val="22"/>
                <w:szCs w:val="22"/>
              </w:rPr>
              <w:t>-</w:t>
            </w:r>
          </w:p>
        </w:tc>
      </w:tr>
      <w:tr w:rsidR="00B954BF" w:rsidRPr="006F14B8" w:rsidTr="004A7CE8">
        <w:tc>
          <w:tcPr>
            <w:tcW w:w="2160" w:type="pct"/>
            <w:vAlign w:val="center"/>
          </w:tcPr>
          <w:p w:rsidR="00B954BF" w:rsidRPr="006F14B8" w:rsidRDefault="00B954BF" w:rsidP="00C57F58">
            <w:pPr>
              <w:ind w:firstLineChars="250" w:firstLine="525"/>
              <w:rPr>
                <w:color w:val="000000"/>
                <w:szCs w:val="21"/>
              </w:rPr>
            </w:pPr>
            <w:r w:rsidRPr="006F14B8">
              <w:rPr>
                <w:color w:val="000000"/>
                <w:szCs w:val="21"/>
              </w:rPr>
              <w:t>资产支持证券利息收入</w:t>
            </w:r>
          </w:p>
        </w:tc>
        <w:tc>
          <w:tcPr>
            <w:tcW w:w="1420" w:type="pct"/>
            <w:vAlign w:val="center"/>
          </w:tcPr>
          <w:p w:rsidR="00B954BF" w:rsidRPr="0033700B" w:rsidRDefault="00B954BF" w:rsidP="004A7CE8">
            <w:pPr>
              <w:jc w:val="right"/>
              <w:rPr>
                <w:color w:val="000000"/>
                <w:szCs w:val="21"/>
              </w:rPr>
            </w:pPr>
            <w:r w:rsidRPr="0033700B">
              <w:rPr>
                <w:color w:val="000000"/>
                <w:szCs w:val="21"/>
              </w:rPr>
              <w:t>-</w:t>
            </w:r>
          </w:p>
        </w:tc>
        <w:tc>
          <w:tcPr>
            <w:tcW w:w="1420" w:type="pct"/>
            <w:vAlign w:val="center"/>
          </w:tcPr>
          <w:p w:rsidR="00B954BF" w:rsidRPr="006F14B8" w:rsidRDefault="00B954BF" w:rsidP="00B954BF">
            <w:pPr>
              <w:jc w:val="right"/>
              <w:rPr>
                <w:color w:val="000000"/>
                <w:sz w:val="22"/>
                <w:szCs w:val="22"/>
              </w:rPr>
            </w:pPr>
            <w:r w:rsidRPr="006F14B8">
              <w:rPr>
                <w:color w:val="000000"/>
                <w:sz w:val="22"/>
                <w:szCs w:val="22"/>
              </w:rPr>
              <w:t>-</w:t>
            </w:r>
          </w:p>
        </w:tc>
      </w:tr>
      <w:tr w:rsidR="00B954BF" w:rsidRPr="006F14B8" w:rsidTr="004A7CE8">
        <w:tc>
          <w:tcPr>
            <w:tcW w:w="2160" w:type="pct"/>
            <w:vAlign w:val="center"/>
          </w:tcPr>
          <w:p w:rsidR="00B954BF" w:rsidRPr="006F14B8" w:rsidRDefault="00B954BF" w:rsidP="00C57F58">
            <w:pPr>
              <w:ind w:firstLineChars="250" w:firstLine="525"/>
              <w:rPr>
                <w:color w:val="000000"/>
                <w:szCs w:val="21"/>
              </w:rPr>
            </w:pPr>
            <w:r w:rsidRPr="006F14B8">
              <w:rPr>
                <w:color w:val="000000"/>
                <w:szCs w:val="21"/>
              </w:rPr>
              <w:t>买入返售金融资产收入</w:t>
            </w:r>
          </w:p>
        </w:tc>
        <w:tc>
          <w:tcPr>
            <w:tcW w:w="1420" w:type="pct"/>
            <w:vAlign w:val="center"/>
          </w:tcPr>
          <w:p w:rsidR="00B954BF" w:rsidRPr="0033700B" w:rsidRDefault="00B954BF" w:rsidP="004A7CE8">
            <w:pPr>
              <w:jc w:val="right"/>
              <w:rPr>
                <w:color w:val="000000"/>
                <w:szCs w:val="21"/>
              </w:rPr>
            </w:pPr>
            <w:r w:rsidRPr="0033700B">
              <w:rPr>
                <w:color w:val="000000"/>
                <w:szCs w:val="21"/>
              </w:rPr>
              <w:t>-</w:t>
            </w:r>
          </w:p>
        </w:tc>
        <w:tc>
          <w:tcPr>
            <w:tcW w:w="1420" w:type="pct"/>
            <w:vAlign w:val="center"/>
          </w:tcPr>
          <w:p w:rsidR="00B954BF" w:rsidRPr="006F14B8" w:rsidRDefault="00B954BF" w:rsidP="00B954BF">
            <w:pPr>
              <w:jc w:val="right"/>
              <w:rPr>
                <w:color w:val="000000"/>
                <w:sz w:val="22"/>
                <w:szCs w:val="22"/>
              </w:rPr>
            </w:pPr>
            <w:r w:rsidRPr="006F14B8">
              <w:rPr>
                <w:color w:val="000000"/>
                <w:sz w:val="22"/>
                <w:szCs w:val="22"/>
              </w:rPr>
              <w:t>-</w:t>
            </w:r>
          </w:p>
        </w:tc>
      </w:tr>
      <w:tr w:rsidR="00B954BF" w:rsidRPr="006F14B8" w:rsidTr="004A7CE8">
        <w:tc>
          <w:tcPr>
            <w:tcW w:w="2160" w:type="pct"/>
            <w:vAlign w:val="center"/>
          </w:tcPr>
          <w:p w:rsidR="00B954BF" w:rsidRPr="006F14B8" w:rsidRDefault="00B954BF" w:rsidP="00C57F58">
            <w:pPr>
              <w:ind w:firstLineChars="250" w:firstLine="525"/>
              <w:rPr>
                <w:color w:val="000000"/>
                <w:szCs w:val="21"/>
              </w:rPr>
            </w:pPr>
            <w:r w:rsidRPr="006F14B8">
              <w:rPr>
                <w:color w:val="000000"/>
                <w:szCs w:val="21"/>
              </w:rPr>
              <w:t>其他利息收入</w:t>
            </w:r>
          </w:p>
        </w:tc>
        <w:tc>
          <w:tcPr>
            <w:tcW w:w="1420" w:type="pct"/>
            <w:vAlign w:val="center"/>
          </w:tcPr>
          <w:p w:rsidR="00B954BF" w:rsidRPr="0033700B" w:rsidRDefault="00B954BF" w:rsidP="004A7CE8">
            <w:pPr>
              <w:jc w:val="right"/>
              <w:rPr>
                <w:color w:val="000000"/>
                <w:szCs w:val="21"/>
              </w:rPr>
            </w:pPr>
            <w:r w:rsidRPr="0033700B">
              <w:rPr>
                <w:color w:val="000000"/>
                <w:szCs w:val="21"/>
              </w:rPr>
              <w:t>-</w:t>
            </w:r>
          </w:p>
        </w:tc>
        <w:tc>
          <w:tcPr>
            <w:tcW w:w="1420" w:type="pct"/>
            <w:vAlign w:val="center"/>
          </w:tcPr>
          <w:p w:rsidR="00B954BF" w:rsidRPr="006F14B8" w:rsidRDefault="00B954BF" w:rsidP="00B954BF">
            <w:pPr>
              <w:jc w:val="right"/>
              <w:rPr>
                <w:color w:val="000000"/>
                <w:sz w:val="22"/>
                <w:szCs w:val="22"/>
              </w:rPr>
            </w:pPr>
            <w:r w:rsidRPr="006F14B8">
              <w:rPr>
                <w:color w:val="000000"/>
                <w:sz w:val="22"/>
                <w:szCs w:val="22"/>
              </w:rPr>
              <w:t>-</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2.</w:t>
            </w:r>
            <w:r w:rsidRPr="006F14B8">
              <w:rPr>
                <w:color w:val="000000"/>
                <w:szCs w:val="21"/>
              </w:rPr>
              <w:t>投资收益（损失以</w:t>
            </w:r>
            <w:r w:rsidRPr="006F14B8">
              <w:rPr>
                <w:color w:val="000000"/>
                <w:szCs w:val="21"/>
              </w:rPr>
              <w:t>“-”</w:t>
            </w:r>
            <w:r w:rsidRPr="006F14B8">
              <w:rPr>
                <w:color w:val="000000"/>
                <w:szCs w:val="21"/>
              </w:rPr>
              <w:t>填列）</w:t>
            </w:r>
          </w:p>
        </w:tc>
        <w:tc>
          <w:tcPr>
            <w:tcW w:w="1420" w:type="pct"/>
            <w:vAlign w:val="center"/>
          </w:tcPr>
          <w:p w:rsidR="00B954BF" w:rsidRPr="0033700B" w:rsidRDefault="00B954BF">
            <w:pPr>
              <w:jc w:val="right"/>
              <w:rPr>
                <w:color w:val="000000"/>
                <w:szCs w:val="21"/>
              </w:rPr>
            </w:pPr>
            <w:r w:rsidRPr="0033700B">
              <w:rPr>
                <w:color w:val="000000"/>
                <w:szCs w:val="21"/>
              </w:rPr>
              <w:t>771,924.39</w:t>
            </w:r>
          </w:p>
        </w:tc>
        <w:tc>
          <w:tcPr>
            <w:tcW w:w="1420" w:type="pct"/>
            <w:vAlign w:val="center"/>
          </w:tcPr>
          <w:p w:rsidR="00B954BF" w:rsidRPr="00E60957" w:rsidRDefault="00B954BF" w:rsidP="00B954BF">
            <w:pPr>
              <w:jc w:val="right"/>
              <w:rPr>
                <w:color w:val="000000"/>
                <w:szCs w:val="21"/>
              </w:rPr>
            </w:pPr>
            <w:r w:rsidRPr="00E60957">
              <w:rPr>
                <w:color w:val="000000"/>
                <w:szCs w:val="21"/>
              </w:rPr>
              <w:t>1,359,185.28</w:t>
            </w:r>
          </w:p>
        </w:tc>
      </w:tr>
      <w:tr w:rsidR="00B954BF" w:rsidRPr="006F14B8" w:rsidTr="00175C8F">
        <w:tc>
          <w:tcPr>
            <w:tcW w:w="2160" w:type="pct"/>
            <w:vAlign w:val="center"/>
          </w:tcPr>
          <w:p w:rsidR="00B954BF" w:rsidRPr="006F14B8" w:rsidRDefault="00B954BF" w:rsidP="00C57F58">
            <w:pPr>
              <w:rPr>
                <w:color w:val="000000"/>
                <w:szCs w:val="21"/>
              </w:rPr>
            </w:pPr>
            <w:r w:rsidRPr="006F14B8">
              <w:rPr>
                <w:color w:val="000000"/>
                <w:szCs w:val="21"/>
              </w:rPr>
              <w:t>其中：股票投资收益</w:t>
            </w:r>
          </w:p>
        </w:tc>
        <w:tc>
          <w:tcPr>
            <w:tcW w:w="1420" w:type="pct"/>
            <w:vAlign w:val="center"/>
          </w:tcPr>
          <w:p w:rsidR="00B954BF" w:rsidRPr="0033700B" w:rsidRDefault="00B954BF">
            <w:pPr>
              <w:jc w:val="right"/>
              <w:rPr>
                <w:color w:val="000000"/>
                <w:szCs w:val="21"/>
              </w:rPr>
            </w:pPr>
            <w:r w:rsidRPr="0033700B">
              <w:rPr>
                <w:color w:val="000000"/>
                <w:szCs w:val="21"/>
              </w:rPr>
              <w:t>581,809.21</w:t>
            </w:r>
          </w:p>
        </w:tc>
        <w:tc>
          <w:tcPr>
            <w:tcW w:w="1420" w:type="pct"/>
            <w:vAlign w:val="center"/>
          </w:tcPr>
          <w:p w:rsidR="00B954BF" w:rsidRPr="00E60957" w:rsidRDefault="00B954BF" w:rsidP="00B954BF">
            <w:pPr>
              <w:jc w:val="right"/>
              <w:rPr>
                <w:color w:val="000000"/>
                <w:szCs w:val="21"/>
              </w:rPr>
            </w:pPr>
            <w:r w:rsidRPr="00E60957">
              <w:rPr>
                <w:color w:val="000000"/>
                <w:szCs w:val="21"/>
              </w:rPr>
              <w:t>1,226,839.09</w:t>
            </w:r>
          </w:p>
        </w:tc>
      </w:tr>
      <w:tr w:rsidR="00B954BF" w:rsidRPr="006F14B8" w:rsidTr="00175C8F">
        <w:tc>
          <w:tcPr>
            <w:tcW w:w="2160" w:type="pct"/>
            <w:vAlign w:val="center"/>
          </w:tcPr>
          <w:p w:rsidR="00B954BF" w:rsidRPr="006F14B8" w:rsidRDefault="00B954BF" w:rsidP="00C57F58">
            <w:pPr>
              <w:ind w:firstLineChars="300" w:firstLine="630"/>
              <w:rPr>
                <w:color w:val="000000"/>
                <w:szCs w:val="21"/>
              </w:rPr>
            </w:pPr>
            <w:r w:rsidRPr="006F14B8">
              <w:rPr>
                <w:color w:val="000000"/>
                <w:szCs w:val="21"/>
              </w:rPr>
              <w:t>基金投资收益</w:t>
            </w:r>
          </w:p>
        </w:tc>
        <w:tc>
          <w:tcPr>
            <w:tcW w:w="1420" w:type="pct"/>
            <w:vAlign w:val="center"/>
          </w:tcPr>
          <w:p w:rsidR="00B954BF" w:rsidRPr="0033700B" w:rsidRDefault="00B954BF" w:rsidP="00B954BF">
            <w:pPr>
              <w:jc w:val="right"/>
              <w:rPr>
                <w:color w:val="000000"/>
                <w:szCs w:val="21"/>
              </w:rPr>
            </w:pPr>
            <w:r w:rsidRPr="0033700B">
              <w:rPr>
                <w:color w:val="000000"/>
                <w:szCs w:val="21"/>
              </w:rPr>
              <w:t>57,101.07</w:t>
            </w:r>
          </w:p>
        </w:tc>
        <w:tc>
          <w:tcPr>
            <w:tcW w:w="1420" w:type="pct"/>
            <w:vAlign w:val="center"/>
          </w:tcPr>
          <w:p w:rsidR="00B954BF" w:rsidRPr="00E60957" w:rsidRDefault="00B954BF" w:rsidP="00B954BF">
            <w:pPr>
              <w:jc w:val="right"/>
              <w:rPr>
                <w:color w:val="000000"/>
                <w:szCs w:val="21"/>
              </w:rPr>
            </w:pPr>
            <w:r w:rsidRPr="00E60957">
              <w:rPr>
                <w:color w:val="000000"/>
                <w:szCs w:val="21"/>
              </w:rPr>
              <w:t>-38,171.47</w:t>
            </w:r>
          </w:p>
        </w:tc>
      </w:tr>
      <w:tr w:rsidR="00B954BF" w:rsidRPr="006F14B8" w:rsidTr="004A7CE8">
        <w:tc>
          <w:tcPr>
            <w:tcW w:w="2160" w:type="pct"/>
            <w:vAlign w:val="center"/>
          </w:tcPr>
          <w:p w:rsidR="00B954BF" w:rsidRPr="006F14B8" w:rsidRDefault="00B954BF" w:rsidP="00C57F58">
            <w:pPr>
              <w:ind w:firstLineChars="300" w:firstLine="630"/>
              <w:rPr>
                <w:color w:val="000000"/>
                <w:szCs w:val="21"/>
              </w:rPr>
            </w:pPr>
            <w:r w:rsidRPr="006F14B8">
              <w:rPr>
                <w:color w:val="000000"/>
                <w:szCs w:val="21"/>
              </w:rPr>
              <w:t>债券投资收益</w:t>
            </w:r>
          </w:p>
        </w:tc>
        <w:tc>
          <w:tcPr>
            <w:tcW w:w="1420" w:type="pct"/>
            <w:vAlign w:val="center"/>
          </w:tcPr>
          <w:p w:rsidR="00B954BF" w:rsidRPr="0033700B" w:rsidRDefault="00B954BF" w:rsidP="004A7CE8">
            <w:pPr>
              <w:jc w:val="right"/>
              <w:rPr>
                <w:color w:val="000000"/>
                <w:szCs w:val="21"/>
              </w:rPr>
            </w:pPr>
            <w:r w:rsidRPr="0033700B">
              <w:rPr>
                <w:color w:val="000000"/>
                <w:szCs w:val="21"/>
              </w:rPr>
              <w:t>-</w:t>
            </w:r>
          </w:p>
        </w:tc>
        <w:tc>
          <w:tcPr>
            <w:tcW w:w="1420" w:type="pct"/>
            <w:vAlign w:val="center"/>
          </w:tcPr>
          <w:p w:rsidR="00B954BF" w:rsidRPr="006F14B8" w:rsidRDefault="00B954BF" w:rsidP="00B954BF">
            <w:pPr>
              <w:jc w:val="right"/>
              <w:rPr>
                <w:color w:val="000000"/>
                <w:sz w:val="22"/>
                <w:szCs w:val="22"/>
              </w:rPr>
            </w:pPr>
            <w:r w:rsidRPr="006F14B8">
              <w:rPr>
                <w:color w:val="000000"/>
                <w:sz w:val="22"/>
                <w:szCs w:val="22"/>
              </w:rPr>
              <w:t>-</w:t>
            </w:r>
          </w:p>
        </w:tc>
      </w:tr>
      <w:tr w:rsidR="00B954BF" w:rsidRPr="006F14B8" w:rsidTr="004A7CE8">
        <w:tc>
          <w:tcPr>
            <w:tcW w:w="2160" w:type="pct"/>
            <w:vAlign w:val="center"/>
          </w:tcPr>
          <w:p w:rsidR="00B954BF" w:rsidRPr="006F14B8" w:rsidRDefault="00B954BF" w:rsidP="00C57F58">
            <w:pPr>
              <w:ind w:firstLineChars="300" w:firstLine="630"/>
              <w:rPr>
                <w:color w:val="000000"/>
                <w:szCs w:val="21"/>
              </w:rPr>
            </w:pPr>
            <w:r w:rsidRPr="006F14B8">
              <w:rPr>
                <w:color w:val="000000"/>
                <w:szCs w:val="21"/>
              </w:rPr>
              <w:t>资产支持证券投资收益</w:t>
            </w:r>
          </w:p>
        </w:tc>
        <w:tc>
          <w:tcPr>
            <w:tcW w:w="1420" w:type="pct"/>
            <w:vAlign w:val="center"/>
          </w:tcPr>
          <w:p w:rsidR="00B954BF" w:rsidRPr="0033700B" w:rsidRDefault="00B954BF" w:rsidP="004A7CE8">
            <w:pPr>
              <w:jc w:val="right"/>
              <w:rPr>
                <w:color w:val="000000"/>
                <w:szCs w:val="21"/>
              </w:rPr>
            </w:pPr>
            <w:r w:rsidRPr="0033700B">
              <w:rPr>
                <w:color w:val="000000"/>
                <w:szCs w:val="21"/>
              </w:rPr>
              <w:t>-</w:t>
            </w:r>
          </w:p>
        </w:tc>
        <w:tc>
          <w:tcPr>
            <w:tcW w:w="1420" w:type="pct"/>
            <w:vAlign w:val="center"/>
          </w:tcPr>
          <w:p w:rsidR="00B954BF" w:rsidRPr="006F14B8" w:rsidRDefault="00B954BF" w:rsidP="00B954BF">
            <w:pPr>
              <w:jc w:val="right"/>
              <w:rPr>
                <w:color w:val="000000"/>
                <w:sz w:val="22"/>
                <w:szCs w:val="22"/>
              </w:rPr>
            </w:pPr>
            <w:r w:rsidRPr="006F14B8">
              <w:rPr>
                <w:color w:val="000000"/>
                <w:sz w:val="22"/>
                <w:szCs w:val="22"/>
              </w:rPr>
              <w:t>-</w:t>
            </w:r>
          </w:p>
        </w:tc>
      </w:tr>
      <w:tr w:rsidR="005F37B9" w:rsidRPr="006F14B8" w:rsidTr="00C87528">
        <w:tc>
          <w:tcPr>
            <w:tcW w:w="2160" w:type="pct"/>
            <w:vAlign w:val="center"/>
          </w:tcPr>
          <w:p w:rsidR="005F37B9" w:rsidRPr="006F14B8" w:rsidRDefault="005F37B9" w:rsidP="00C57F58">
            <w:pPr>
              <w:spacing w:line="360" w:lineRule="auto"/>
              <w:ind w:firstLineChars="300" w:firstLine="630"/>
              <w:rPr>
                <w:rFonts w:eastAsiaTheme="minorEastAsia"/>
                <w:color w:val="000000"/>
                <w:szCs w:val="21"/>
              </w:rPr>
            </w:pPr>
            <w:r w:rsidRPr="006F14B8">
              <w:t>贵金属投资收益</w:t>
            </w:r>
          </w:p>
        </w:tc>
        <w:tc>
          <w:tcPr>
            <w:tcW w:w="1420" w:type="pct"/>
            <w:vAlign w:val="center"/>
          </w:tcPr>
          <w:p w:rsidR="005F37B9" w:rsidRPr="0033700B" w:rsidRDefault="005F37B9" w:rsidP="0033700B">
            <w:pPr>
              <w:jc w:val="right"/>
              <w:rPr>
                <w:color w:val="000000"/>
                <w:szCs w:val="21"/>
              </w:rPr>
            </w:pPr>
            <w:r w:rsidRPr="0033700B">
              <w:rPr>
                <w:rFonts w:hint="eastAsia"/>
                <w:color w:val="000000"/>
                <w:szCs w:val="21"/>
              </w:rPr>
              <w:t>-</w:t>
            </w:r>
          </w:p>
        </w:tc>
        <w:tc>
          <w:tcPr>
            <w:tcW w:w="1420" w:type="pct"/>
            <w:vAlign w:val="center"/>
          </w:tcPr>
          <w:p w:rsidR="005F37B9" w:rsidRPr="006F14B8" w:rsidRDefault="005F37B9" w:rsidP="00B954BF">
            <w:pPr>
              <w:jc w:val="right"/>
              <w:rPr>
                <w:color w:val="000000"/>
                <w:sz w:val="22"/>
                <w:szCs w:val="22"/>
              </w:rPr>
            </w:pPr>
            <w:r w:rsidRPr="006F14B8">
              <w:rPr>
                <w:color w:val="000000"/>
                <w:sz w:val="22"/>
                <w:szCs w:val="22"/>
              </w:rPr>
              <w:t>-</w:t>
            </w:r>
          </w:p>
        </w:tc>
      </w:tr>
      <w:tr w:rsidR="005F37B9" w:rsidRPr="006F14B8" w:rsidTr="00C87528">
        <w:tc>
          <w:tcPr>
            <w:tcW w:w="2160" w:type="pct"/>
            <w:vAlign w:val="center"/>
          </w:tcPr>
          <w:p w:rsidR="005F37B9" w:rsidRPr="006F14B8" w:rsidRDefault="005F37B9" w:rsidP="00C57F58">
            <w:pPr>
              <w:ind w:firstLineChars="300" w:firstLine="630"/>
              <w:rPr>
                <w:color w:val="000000"/>
                <w:szCs w:val="21"/>
              </w:rPr>
            </w:pPr>
            <w:r w:rsidRPr="006F14B8">
              <w:rPr>
                <w:color w:val="000000"/>
                <w:szCs w:val="21"/>
              </w:rPr>
              <w:t>衍生工具收益</w:t>
            </w:r>
          </w:p>
        </w:tc>
        <w:tc>
          <w:tcPr>
            <w:tcW w:w="1420" w:type="pct"/>
            <w:vAlign w:val="bottom"/>
          </w:tcPr>
          <w:p w:rsidR="005F37B9" w:rsidRPr="006F14B8" w:rsidRDefault="005F37B9">
            <w:pPr>
              <w:jc w:val="right"/>
              <w:rPr>
                <w:color w:val="000000"/>
                <w:szCs w:val="21"/>
              </w:rPr>
            </w:pPr>
            <w:r w:rsidRPr="006F14B8">
              <w:rPr>
                <w:rFonts w:hint="eastAsia"/>
                <w:color w:val="000000"/>
                <w:szCs w:val="21"/>
              </w:rPr>
              <w:t>-</w:t>
            </w:r>
          </w:p>
        </w:tc>
        <w:tc>
          <w:tcPr>
            <w:tcW w:w="1420" w:type="pct"/>
            <w:vAlign w:val="center"/>
          </w:tcPr>
          <w:p w:rsidR="005F37B9" w:rsidRPr="006F14B8" w:rsidRDefault="005F37B9" w:rsidP="00B954BF">
            <w:pPr>
              <w:jc w:val="right"/>
              <w:rPr>
                <w:color w:val="000000"/>
                <w:sz w:val="22"/>
                <w:szCs w:val="22"/>
              </w:rPr>
            </w:pPr>
            <w:r w:rsidRPr="006F14B8">
              <w:rPr>
                <w:color w:val="000000"/>
                <w:sz w:val="22"/>
                <w:szCs w:val="22"/>
              </w:rPr>
              <w:t>-</w:t>
            </w:r>
          </w:p>
        </w:tc>
      </w:tr>
      <w:tr w:rsidR="005F37B9" w:rsidRPr="006F14B8" w:rsidTr="00C87528">
        <w:tc>
          <w:tcPr>
            <w:tcW w:w="2160" w:type="pct"/>
            <w:vAlign w:val="center"/>
          </w:tcPr>
          <w:p w:rsidR="005F37B9" w:rsidRPr="006F14B8" w:rsidRDefault="005F37B9" w:rsidP="00C57F58">
            <w:pPr>
              <w:ind w:firstLineChars="300" w:firstLine="630"/>
              <w:rPr>
                <w:color w:val="000000"/>
                <w:szCs w:val="21"/>
              </w:rPr>
            </w:pPr>
            <w:r w:rsidRPr="006F14B8">
              <w:rPr>
                <w:color w:val="000000"/>
                <w:szCs w:val="21"/>
              </w:rPr>
              <w:t>股利收益</w:t>
            </w:r>
          </w:p>
        </w:tc>
        <w:tc>
          <w:tcPr>
            <w:tcW w:w="1420" w:type="pct"/>
            <w:vAlign w:val="bottom"/>
          </w:tcPr>
          <w:p w:rsidR="005F37B9" w:rsidRPr="0033700B" w:rsidRDefault="00B954BF" w:rsidP="00B954BF">
            <w:pPr>
              <w:jc w:val="right"/>
              <w:rPr>
                <w:color w:val="000000"/>
                <w:szCs w:val="21"/>
              </w:rPr>
            </w:pPr>
            <w:r w:rsidRPr="0033700B">
              <w:rPr>
                <w:color w:val="000000"/>
                <w:szCs w:val="21"/>
              </w:rPr>
              <w:t>133,014.</w:t>
            </w:r>
            <w:r w:rsidRPr="0033700B">
              <w:rPr>
                <w:rFonts w:hint="eastAsia"/>
                <w:color w:val="000000"/>
                <w:szCs w:val="21"/>
              </w:rPr>
              <w:t>11</w:t>
            </w:r>
          </w:p>
        </w:tc>
        <w:tc>
          <w:tcPr>
            <w:tcW w:w="1420" w:type="pct"/>
            <w:vAlign w:val="center"/>
          </w:tcPr>
          <w:p w:rsidR="005F37B9" w:rsidRPr="006F14B8" w:rsidRDefault="00B954BF" w:rsidP="00B954BF">
            <w:pPr>
              <w:jc w:val="right"/>
              <w:rPr>
                <w:color w:val="000000"/>
                <w:sz w:val="22"/>
                <w:szCs w:val="22"/>
              </w:rPr>
            </w:pPr>
            <w:r w:rsidRPr="00E60957">
              <w:rPr>
                <w:color w:val="000000"/>
                <w:szCs w:val="21"/>
              </w:rPr>
              <w:t>170,517.66</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3.</w:t>
            </w:r>
            <w:r w:rsidRPr="006F14B8">
              <w:rPr>
                <w:color w:val="000000"/>
                <w:szCs w:val="21"/>
              </w:rPr>
              <w:t>公允价值变动收益（损失以</w:t>
            </w:r>
            <w:r w:rsidRPr="006F14B8">
              <w:rPr>
                <w:color w:val="000000"/>
                <w:szCs w:val="21"/>
              </w:rPr>
              <w:t>“-”</w:t>
            </w:r>
            <w:r w:rsidRPr="006F14B8">
              <w:rPr>
                <w:color w:val="000000"/>
                <w:szCs w:val="21"/>
              </w:rPr>
              <w:t>号填列）</w:t>
            </w:r>
          </w:p>
        </w:tc>
        <w:tc>
          <w:tcPr>
            <w:tcW w:w="1420" w:type="pct"/>
            <w:vAlign w:val="center"/>
          </w:tcPr>
          <w:p w:rsidR="00B954BF" w:rsidRPr="0033700B" w:rsidRDefault="00B954BF">
            <w:pPr>
              <w:jc w:val="right"/>
              <w:rPr>
                <w:color w:val="000000"/>
                <w:szCs w:val="21"/>
              </w:rPr>
            </w:pPr>
            <w:r w:rsidRPr="0033700B">
              <w:rPr>
                <w:color w:val="000000"/>
                <w:szCs w:val="21"/>
              </w:rPr>
              <w:t>3,690,081.74</w:t>
            </w:r>
          </w:p>
        </w:tc>
        <w:tc>
          <w:tcPr>
            <w:tcW w:w="1420" w:type="pct"/>
            <w:vAlign w:val="center"/>
          </w:tcPr>
          <w:p w:rsidR="00B954BF" w:rsidRPr="00E60957" w:rsidRDefault="00B954BF" w:rsidP="00B954BF">
            <w:pPr>
              <w:jc w:val="right"/>
              <w:rPr>
                <w:color w:val="000000"/>
                <w:szCs w:val="21"/>
              </w:rPr>
            </w:pPr>
            <w:r w:rsidRPr="00E60957">
              <w:rPr>
                <w:color w:val="000000"/>
                <w:szCs w:val="21"/>
              </w:rPr>
              <w:t>262,671.42</w:t>
            </w:r>
          </w:p>
        </w:tc>
      </w:tr>
      <w:tr w:rsidR="00B954BF" w:rsidRPr="006F14B8" w:rsidTr="004A7CE8">
        <w:tc>
          <w:tcPr>
            <w:tcW w:w="2160" w:type="pct"/>
            <w:vAlign w:val="center"/>
          </w:tcPr>
          <w:p w:rsidR="00B954BF" w:rsidRPr="006F14B8" w:rsidRDefault="00B954BF" w:rsidP="00C57F58">
            <w:pPr>
              <w:pStyle w:val="af6"/>
              <w:jc w:val="both"/>
              <w:rPr>
                <w:rFonts w:ascii="Times New Roman" w:hAnsi="Times New Roman"/>
                <w:color w:val="000000"/>
                <w:sz w:val="21"/>
                <w:szCs w:val="21"/>
              </w:rPr>
            </w:pPr>
            <w:r w:rsidRPr="006F14B8">
              <w:rPr>
                <w:rFonts w:ascii="Times New Roman" w:hAnsi="Times New Roman"/>
                <w:color w:val="000000"/>
                <w:sz w:val="21"/>
                <w:szCs w:val="21"/>
              </w:rPr>
              <w:t>4.</w:t>
            </w:r>
            <w:r w:rsidRPr="006F14B8">
              <w:rPr>
                <w:rFonts w:ascii="Times New Roman" w:hAnsi="Times New Roman"/>
                <w:color w:val="000000"/>
                <w:sz w:val="21"/>
                <w:szCs w:val="21"/>
              </w:rPr>
              <w:t>汇兑收益（损失以</w:t>
            </w:r>
            <w:r w:rsidRPr="006F14B8">
              <w:rPr>
                <w:rFonts w:ascii="Times New Roman" w:hAnsi="Times New Roman"/>
                <w:color w:val="000000"/>
                <w:sz w:val="21"/>
                <w:szCs w:val="21"/>
              </w:rPr>
              <w:t>“</w:t>
            </w:r>
            <w:r w:rsidRPr="006F14B8">
              <w:rPr>
                <w:rFonts w:ascii="Times New Roman" w:hAnsi="Times New Roman"/>
                <w:color w:val="000000"/>
                <w:sz w:val="21"/>
                <w:szCs w:val="21"/>
              </w:rPr>
              <w:t>－</w:t>
            </w:r>
            <w:r w:rsidRPr="006F14B8">
              <w:rPr>
                <w:rFonts w:ascii="Times New Roman" w:hAnsi="Times New Roman"/>
                <w:color w:val="000000"/>
                <w:sz w:val="21"/>
                <w:szCs w:val="21"/>
              </w:rPr>
              <w:t>”</w:t>
            </w:r>
            <w:r w:rsidRPr="006F14B8">
              <w:rPr>
                <w:rFonts w:ascii="Times New Roman" w:hAnsi="Times New Roman"/>
                <w:color w:val="000000"/>
                <w:sz w:val="21"/>
                <w:szCs w:val="21"/>
              </w:rPr>
              <w:t>号填列）</w:t>
            </w:r>
          </w:p>
        </w:tc>
        <w:tc>
          <w:tcPr>
            <w:tcW w:w="1420" w:type="pct"/>
            <w:vAlign w:val="center"/>
          </w:tcPr>
          <w:p w:rsidR="00B954BF" w:rsidRPr="0033700B" w:rsidRDefault="00B954BF">
            <w:pPr>
              <w:jc w:val="right"/>
              <w:rPr>
                <w:color w:val="000000"/>
                <w:szCs w:val="21"/>
              </w:rPr>
            </w:pPr>
            <w:r w:rsidRPr="0033700B">
              <w:rPr>
                <w:color w:val="000000"/>
                <w:szCs w:val="21"/>
              </w:rPr>
              <w:t>-16,446.14</w:t>
            </w:r>
          </w:p>
        </w:tc>
        <w:tc>
          <w:tcPr>
            <w:tcW w:w="1420" w:type="pct"/>
            <w:vAlign w:val="center"/>
          </w:tcPr>
          <w:p w:rsidR="00B954BF" w:rsidRPr="00E60957" w:rsidRDefault="00B954BF" w:rsidP="00B954BF">
            <w:pPr>
              <w:jc w:val="right"/>
              <w:rPr>
                <w:color w:val="000000"/>
                <w:szCs w:val="21"/>
              </w:rPr>
            </w:pPr>
            <w:r w:rsidRPr="00E60957">
              <w:rPr>
                <w:color w:val="000000"/>
                <w:szCs w:val="21"/>
              </w:rPr>
              <w:t>58,700.45</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5.</w:t>
            </w:r>
            <w:r w:rsidRPr="006F14B8">
              <w:rPr>
                <w:color w:val="000000"/>
                <w:szCs w:val="21"/>
              </w:rPr>
              <w:t>其他收入（损失以</w:t>
            </w:r>
            <w:r w:rsidRPr="006F14B8">
              <w:rPr>
                <w:color w:val="000000"/>
                <w:szCs w:val="21"/>
              </w:rPr>
              <w:t>“-”</w:t>
            </w:r>
            <w:r w:rsidRPr="006F14B8">
              <w:rPr>
                <w:color w:val="000000"/>
                <w:szCs w:val="21"/>
              </w:rPr>
              <w:t>号填列）</w:t>
            </w:r>
          </w:p>
        </w:tc>
        <w:tc>
          <w:tcPr>
            <w:tcW w:w="1420" w:type="pct"/>
            <w:vAlign w:val="center"/>
          </w:tcPr>
          <w:p w:rsidR="00B954BF" w:rsidRPr="0033700B" w:rsidRDefault="00B954BF">
            <w:pPr>
              <w:jc w:val="right"/>
              <w:rPr>
                <w:color w:val="000000"/>
                <w:szCs w:val="21"/>
              </w:rPr>
            </w:pPr>
            <w:r w:rsidRPr="0033700B">
              <w:rPr>
                <w:color w:val="000000"/>
                <w:szCs w:val="21"/>
              </w:rPr>
              <w:t>55,397.47</w:t>
            </w:r>
          </w:p>
        </w:tc>
        <w:tc>
          <w:tcPr>
            <w:tcW w:w="1420" w:type="pct"/>
            <w:vAlign w:val="center"/>
          </w:tcPr>
          <w:p w:rsidR="00B954BF" w:rsidRPr="00E60957" w:rsidRDefault="00B954BF" w:rsidP="00B954BF">
            <w:pPr>
              <w:jc w:val="right"/>
              <w:rPr>
                <w:color w:val="000000"/>
                <w:szCs w:val="21"/>
              </w:rPr>
            </w:pPr>
            <w:r w:rsidRPr="00E60957">
              <w:rPr>
                <w:color w:val="000000"/>
                <w:szCs w:val="21"/>
              </w:rPr>
              <w:t>17,666.72</w:t>
            </w:r>
          </w:p>
        </w:tc>
      </w:tr>
      <w:tr w:rsidR="00B954BF" w:rsidRPr="006F14B8" w:rsidTr="004A7CE8">
        <w:tc>
          <w:tcPr>
            <w:tcW w:w="2160" w:type="pct"/>
            <w:vAlign w:val="center"/>
          </w:tcPr>
          <w:p w:rsidR="00B954BF" w:rsidRPr="006F14B8" w:rsidRDefault="00B954BF" w:rsidP="00C57F58">
            <w:pPr>
              <w:rPr>
                <w:b/>
                <w:color w:val="000000"/>
                <w:szCs w:val="21"/>
              </w:rPr>
            </w:pPr>
            <w:r w:rsidRPr="006F14B8">
              <w:rPr>
                <w:b/>
                <w:color w:val="000000"/>
                <w:szCs w:val="21"/>
              </w:rPr>
              <w:t>减：二、费用</w:t>
            </w:r>
          </w:p>
        </w:tc>
        <w:tc>
          <w:tcPr>
            <w:tcW w:w="1420" w:type="pct"/>
            <w:vAlign w:val="center"/>
          </w:tcPr>
          <w:p w:rsidR="00B954BF" w:rsidRPr="0033700B" w:rsidRDefault="00B954BF">
            <w:pPr>
              <w:jc w:val="right"/>
              <w:rPr>
                <w:b/>
                <w:color w:val="000000"/>
                <w:szCs w:val="21"/>
              </w:rPr>
            </w:pPr>
            <w:r w:rsidRPr="0033700B">
              <w:rPr>
                <w:b/>
                <w:color w:val="000000"/>
                <w:szCs w:val="21"/>
              </w:rPr>
              <w:t>512,828.81</w:t>
            </w:r>
          </w:p>
        </w:tc>
        <w:tc>
          <w:tcPr>
            <w:tcW w:w="1420" w:type="pct"/>
            <w:vAlign w:val="center"/>
          </w:tcPr>
          <w:p w:rsidR="00B954BF" w:rsidRPr="00E60957" w:rsidRDefault="00B954BF" w:rsidP="00B954BF">
            <w:pPr>
              <w:jc w:val="right"/>
              <w:rPr>
                <w:b/>
                <w:color w:val="000000"/>
                <w:szCs w:val="21"/>
              </w:rPr>
            </w:pPr>
            <w:r w:rsidRPr="00E60957">
              <w:rPr>
                <w:b/>
                <w:color w:val="000000"/>
                <w:szCs w:val="21"/>
              </w:rPr>
              <w:t>774,784.10</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1</w:t>
            </w:r>
            <w:r w:rsidRPr="006F14B8">
              <w:rPr>
                <w:color w:val="000000"/>
                <w:szCs w:val="21"/>
              </w:rPr>
              <w:t>．管理人报酬</w:t>
            </w:r>
          </w:p>
        </w:tc>
        <w:tc>
          <w:tcPr>
            <w:tcW w:w="1420" w:type="pct"/>
            <w:vAlign w:val="center"/>
          </w:tcPr>
          <w:p w:rsidR="00B954BF" w:rsidRPr="0033700B" w:rsidRDefault="00B954BF">
            <w:pPr>
              <w:jc w:val="right"/>
              <w:rPr>
                <w:color w:val="000000"/>
                <w:szCs w:val="21"/>
              </w:rPr>
            </w:pPr>
            <w:r w:rsidRPr="0033700B">
              <w:rPr>
                <w:color w:val="000000"/>
                <w:szCs w:val="21"/>
              </w:rPr>
              <w:t>252,195.03</w:t>
            </w:r>
          </w:p>
        </w:tc>
        <w:tc>
          <w:tcPr>
            <w:tcW w:w="1420" w:type="pct"/>
            <w:vAlign w:val="center"/>
          </w:tcPr>
          <w:p w:rsidR="00B954BF" w:rsidRPr="00E60957" w:rsidRDefault="00B954BF" w:rsidP="00B954BF">
            <w:pPr>
              <w:jc w:val="right"/>
              <w:rPr>
                <w:color w:val="000000"/>
                <w:szCs w:val="21"/>
              </w:rPr>
            </w:pPr>
            <w:r w:rsidRPr="00E60957">
              <w:rPr>
                <w:color w:val="000000"/>
                <w:szCs w:val="21"/>
              </w:rPr>
              <w:t>319,861.39</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2</w:t>
            </w:r>
            <w:r w:rsidRPr="006F14B8">
              <w:rPr>
                <w:color w:val="000000"/>
                <w:szCs w:val="21"/>
              </w:rPr>
              <w:t>．托管费</w:t>
            </w:r>
          </w:p>
        </w:tc>
        <w:tc>
          <w:tcPr>
            <w:tcW w:w="1420" w:type="pct"/>
            <w:vAlign w:val="center"/>
          </w:tcPr>
          <w:p w:rsidR="00B954BF" w:rsidRPr="0033700B" w:rsidRDefault="00B954BF">
            <w:pPr>
              <w:jc w:val="right"/>
              <w:rPr>
                <w:color w:val="000000"/>
                <w:szCs w:val="21"/>
              </w:rPr>
            </w:pPr>
            <w:r w:rsidRPr="0033700B">
              <w:rPr>
                <w:color w:val="000000"/>
                <w:szCs w:val="21"/>
              </w:rPr>
              <w:t>58,845.55</w:t>
            </w:r>
          </w:p>
        </w:tc>
        <w:tc>
          <w:tcPr>
            <w:tcW w:w="1420" w:type="pct"/>
            <w:vAlign w:val="center"/>
          </w:tcPr>
          <w:p w:rsidR="00B954BF" w:rsidRPr="00E60957" w:rsidRDefault="00B954BF" w:rsidP="00B954BF">
            <w:pPr>
              <w:jc w:val="right"/>
              <w:rPr>
                <w:color w:val="000000"/>
                <w:szCs w:val="21"/>
              </w:rPr>
            </w:pPr>
            <w:r w:rsidRPr="00E60957">
              <w:rPr>
                <w:color w:val="000000"/>
                <w:szCs w:val="21"/>
              </w:rPr>
              <w:t>74,634.25</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3</w:t>
            </w:r>
            <w:r w:rsidRPr="006F14B8">
              <w:rPr>
                <w:color w:val="000000"/>
                <w:szCs w:val="21"/>
              </w:rPr>
              <w:t>．销售服务费</w:t>
            </w:r>
          </w:p>
        </w:tc>
        <w:tc>
          <w:tcPr>
            <w:tcW w:w="1420" w:type="pct"/>
            <w:vAlign w:val="center"/>
          </w:tcPr>
          <w:p w:rsidR="00B954BF" w:rsidRPr="0033700B" w:rsidRDefault="00B954BF">
            <w:pPr>
              <w:jc w:val="right"/>
              <w:rPr>
                <w:color w:val="000000"/>
                <w:szCs w:val="21"/>
              </w:rPr>
            </w:pPr>
            <w:r w:rsidRPr="0033700B">
              <w:rPr>
                <w:color w:val="000000"/>
                <w:szCs w:val="21"/>
              </w:rPr>
              <w:t xml:space="preserve">　</w:t>
            </w:r>
          </w:p>
        </w:tc>
        <w:tc>
          <w:tcPr>
            <w:tcW w:w="1420" w:type="pct"/>
            <w:vAlign w:val="center"/>
          </w:tcPr>
          <w:p w:rsidR="00B954BF" w:rsidRPr="00E60957" w:rsidRDefault="00B954BF" w:rsidP="00B954BF">
            <w:pPr>
              <w:jc w:val="right"/>
              <w:rPr>
                <w:color w:val="000000"/>
                <w:szCs w:val="21"/>
              </w:rPr>
            </w:pPr>
            <w:r w:rsidRPr="00E60957">
              <w:rPr>
                <w:color w:val="000000"/>
                <w:szCs w:val="21"/>
              </w:rPr>
              <w:t>-</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4</w:t>
            </w:r>
            <w:r w:rsidRPr="006F14B8">
              <w:rPr>
                <w:color w:val="000000"/>
                <w:szCs w:val="21"/>
              </w:rPr>
              <w:t>．交易费用</w:t>
            </w:r>
          </w:p>
        </w:tc>
        <w:tc>
          <w:tcPr>
            <w:tcW w:w="1420" w:type="pct"/>
            <w:vAlign w:val="center"/>
          </w:tcPr>
          <w:p w:rsidR="00B954BF" w:rsidRPr="0033700B" w:rsidRDefault="00B954BF">
            <w:pPr>
              <w:jc w:val="right"/>
              <w:rPr>
                <w:color w:val="000000"/>
                <w:szCs w:val="21"/>
              </w:rPr>
            </w:pPr>
            <w:r w:rsidRPr="0033700B">
              <w:rPr>
                <w:color w:val="000000"/>
                <w:szCs w:val="21"/>
              </w:rPr>
              <w:t>9,438.23</w:t>
            </w:r>
          </w:p>
        </w:tc>
        <w:tc>
          <w:tcPr>
            <w:tcW w:w="1420" w:type="pct"/>
            <w:vAlign w:val="center"/>
          </w:tcPr>
          <w:p w:rsidR="00B954BF" w:rsidRPr="00E60957" w:rsidRDefault="00B954BF" w:rsidP="00B954BF">
            <w:pPr>
              <w:jc w:val="right"/>
              <w:rPr>
                <w:color w:val="000000"/>
                <w:szCs w:val="21"/>
              </w:rPr>
            </w:pPr>
            <w:r w:rsidRPr="00E60957">
              <w:rPr>
                <w:color w:val="000000"/>
                <w:szCs w:val="21"/>
              </w:rPr>
              <w:t>7,893.46</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5</w:t>
            </w:r>
            <w:r w:rsidRPr="006F14B8">
              <w:rPr>
                <w:color w:val="000000"/>
                <w:szCs w:val="21"/>
              </w:rPr>
              <w:t>．利息支出</w:t>
            </w:r>
          </w:p>
        </w:tc>
        <w:tc>
          <w:tcPr>
            <w:tcW w:w="1420" w:type="pct"/>
            <w:vAlign w:val="center"/>
          </w:tcPr>
          <w:p w:rsidR="00B954BF" w:rsidRPr="0033700B" w:rsidRDefault="00B954BF">
            <w:pPr>
              <w:jc w:val="right"/>
              <w:rPr>
                <w:color w:val="000000"/>
                <w:szCs w:val="21"/>
              </w:rPr>
            </w:pPr>
            <w:r w:rsidRPr="0033700B">
              <w:rPr>
                <w:color w:val="000000"/>
                <w:szCs w:val="21"/>
              </w:rPr>
              <w:t xml:space="preserve">　</w:t>
            </w:r>
          </w:p>
        </w:tc>
        <w:tc>
          <w:tcPr>
            <w:tcW w:w="1420" w:type="pct"/>
            <w:vAlign w:val="center"/>
          </w:tcPr>
          <w:p w:rsidR="00B954BF" w:rsidRPr="00E60957" w:rsidRDefault="00B954BF" w:rsidP="00B954BF">
            <w:pPr>
              <w:jc w:val="right"/>
              <w:rPr>
                <w:color w:val="000000"/>
                <w:szCs w:val="21"/>
              </w:rPr>
            </w:pPr>
            <w:r w:rsidRPr="00E60957">
              <w:rPr>
                <w:color w:val="000000"/>
                <w:szCs w:val="21"/>
              </w:rPr>
              <w:t>-</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其中：卖出回购金融资产支出</w:t>
            </w:r>
          </w:p>
        </w:tc>
        <w:tc>
          <w:tcPr>
            <w:tcW w:w="1420" w:type="pct"/>
            <w:vAlign w:val="center"/>
          </w:tcPr>
          <w:p w:rsidR="00B954BF" w:rsidRPr="0033700B" w:rsidRDefault="00B954BF">
            <w:pPr>
              <w:jc w:val="right"/>
              <w:rPr>
                <w:color w:val="000000"/>
                <w:szCs w:val="21"/>
              </w:rPr>
            </w:pPr>
            <w:r w:rsidRPr="0033700B">
              <w:rPr>
                <w:color w:val="000000"/>
                <w:szCs w:val="21"/>
              </w:rPr>
              <w:t xml:space="preserve">　</w:t>
            </w:r>
          </w:p>
        </w:tc>
        <w:tc>
          <w:tcPr>
            <w:tcW w:w="1420" w:type="pct"/>
            <w:vAlign w:val="center"/>
          </w:tcPr>
          <w:p w:rsidR="00B954BF" w:rsidRPr="00E60957" w:rsidRDefault="00B954BF" w:rsidP="00B954BF">
            <w:pPr>
              <w:jc w:val="right"/>
              <w:rPr>
                <w:color w:val="000000"/>
                <w:szCs w:val="21"/>
              </w:rPr>
            </w:pPr>
            <w:r w:rsidRPr="00E60957">
              <w:rPr>
                <w:color w:val="000000"/>
                <w:szCs w:val="21"/>
              </w:rPr>
              <w:t>-</w:t>
            </w:r>
          </w:p>
        </w:tc>
      </w:tr>
      <w:tr w:rsidR="00B954BF" w:rsidRPr="006F14B8" w:rsidTr="004A7CE8">
        <w:tc>
          <w:tcPr>
            <w:tcW w:w="2160" w:type="pct"/>
            <w:vAlign w:val="center"/>
          </w:tcPr>
          <w:p w:rsidR="00B954BF" w:rsidRPr="006F14B8" w:rsidRDefault="00B954BF" w:rsidP="00C57F58">
            <w:pPr>
              <w:rPr>
                <w:color w:val="000000"/>
                <w:szCs w:val="21"/>
              </w:rPr>
            </w:pPr>
            <w:r w:rsidRPr="006F14B8">
              <w:rPr>
                <w:color w:val="000000"/>
                <w:szCs w:val="21"/>
              </w:rPr>
              <w:t>6</w:t>
            </w:r>
            <w:r w:rsidRPr="006F14B8">
              <w:rPr>
                <w:color w:val="000000"/>
                <w:szCs w:val="21"/>
              </w:rPr>
              <w:t>．其他费用</w:t>
            </w:r>
          </w:p>
        </w:tc>
        <w:tc>
          <w:tcPr>
            <w:tcW w:w="1420" w:type="pct"/>
            <w:vAlign w:val="center"/>
          </w:tcPr>
          <w:p w:rsidR="00B954BF" w:rsidRPr="0033700B" w:rsidRDefault="00B954BF">
            <w:pPr>
              <w:jc w:val="right"/>
              <w:rPr>
                <w:color w:val="000000"/>
                <w:szCs w:val="21"/>
              </w:rPr>
            </w:pPr>
            <w:r w:rsidRPr="0033700B">
              <w:rPr>
                <w:color w:val="000000"/>
                <w:szCs w:val="21"/>
              </w:rPr>
              <w:t>192,350.00</w:t>
            </w:r>
          </w:p>
        </w:tc>
        <w:tc>
          <w:tcPr>
            <w:tcW w:w="1420" w:type="pct"/>
            <w:vAlign w:val="center"/>
          </w:tcPr>
          <w:p w:rsidR="00B954BF" w:rsidRPr="00E60957" w:rsidRDefault="00B954BF" w:rsidP="00B954BF">
            <w:pPr>
              <w:jc w:val="right"/>
              <w:rPr>
                <w:color w:val="000000"/>
                <w:szCs w:val="21"/>
              </w:rPr>
            </w:pPr>
            <w:r w:rsidRPr="00E60957">
              <w:rPr>
                <w:color w:val="000000"/>
                <w:szCs w:val="21"/>
              </w:rPr>
              <w:t>372,395.00</w:t>
            </w:r>
          </w:p>
        </w:tc>
      </w:tr>
      <w:tr w:rsidR="00B954BF" w:rsidRPr="006F14B8" w:rsidTr="00191DAC">
        <w:tc>
          <w:tcPr>
            <w:tcW w:w="2160" w:type="pct"/>
            <w:vAlign w:val="center"/>
          </w:tcPr>
          <w:p w:rsidR="00B954BF" w:rsidRPr="006F14B8" w:rsidRDefault="00B954BF" w:rsidP="00C57F58">
            <w:pPr>
              <w:rPr>
                <w:b/>
                <w:color w:val="000000"/>
                <w:szCs w:val="21"/>
              </w:rPr>
            </w:pPr>
            <w:r w:rsidRPr="006F14B8">
              <w:rPr>
                <w:b/>
                <w:color w:val="000000"/>
                <w:szCs w:val="21"/>
              </w:rPr>
              <w:t>三、利润总额（亏损总额以</w:t>
            </w:r>
            <w:r w:rsidRPr="006F14B8">
              <w:rPr>
                <w:b/>
                <w:color w:val="000000"/>
                <w:szCs w:val="21"/>
              </w:rPr>
              <w:t>“-”</w:t>
            </w:r>
            <w:r w:rsidRPr="006F14B8">
              <w:rPr>
                <w:b/>
                <w:color w:val="000000"/>
                <w:szCs w:val="21"/>
              </w:rPr>
              <w:t>号填列）</w:t>
            </w:r>
          </w:p>
        </w:tc>
        <w:tc>
          <w:tcPr>
            <w:tcW w:w="1420" w:type="pct"/>
            <w:vAlign w:val="bottom"/>
          </w:tcPr>
          <w:p w:rsidR="00B954BF" w:rsidRPr="00B556A8" w:rsidRDefault="0033700B">
            <w:pPr>
              <w:jc w:val="right"/>
              <w:rPr>
                <w:rFonts w:ascii="宋体" w:hAnsi="宋体" w:cs="宋体"/>
                <w:b/>
                <w:color w:val="000000"/>
                <w:sz w:val="22"/>
                <w:szCs w:val="22"/>
              </w:rPr>
            </w:pPr>
            <w:r w:rsidRPr="0033700B">
              <w:rPr>
                <w:b/>
                <w:color w:val="000000"/>
                <w:sz w:val="22"/>
                <w:szCs w:val="22"/>
              </w:rPr>
              <w:t>4,009,359.17</w:t>
            </w:r>
          </w:p>
        </w:tc>
        <w:tc>
          <w:tcPr>
            <w:tcW w:w="1420" w:type="pct"/>
            <w:vAlign w:val="center"/>
          </w:tcPr>
          <w:p w:rsidR="00B954BF" w:rsidRPr="00E60957" w:rsidRDefault="00B954BF" w:rsidP="00B954BF">
            <w:pPr>
              <w:jc w:val="right"/>
              <w:rPr>
                <w:b/>
                <w:color w:val="000000"/>
                <w:szCs w:val="21"/>
              </w:rPr>
            </w:pPr>
            <w:r w:rsidRPr="00E60957">
              <w:rPr>
                <w:b/>
                <w:color w:val="000000"/>
                <w:szCs w:val="21"/>
              </w:rPr>
              <w:t>933,144.86</w:t>
            </w:r>
          </w:p>
        </w:tc>
      </w:tr>
      <w:tr w:rsidR="00B954BF" w:rsidRPr="006F14B8" w:rsidTr="004A7CE8">
        <w:tc>
          <w:tcPr>
            <w:tcW w:w="2160" w:type="pct"/>
            <w:vAlign w:val="center"/>
          </w:tcPr>
          <w:p w:rsidR="00B954BF" w:rsidRPr="006F14B8" w:rsidRDefault="00B954BF" w:rsidP="00C57F58">
            <w:pPr>
              <w:rPr>
                <w:b/>
                <w:color w:val="000000"/>
                <w:szCs w:val="21"/>
              </w:rPr>
            </w:pPr>
            <w:r w:rsidRPr="006F14B8">
              <w:rPr>
                <w:szCs w:val="21"/>
              </w:rPr>
              <w:t>减：所得税费用</w:t>
            </w:r>
          </w:p>
        </w:tc>
        <w:tc>
          <w:tcPr>
            <w:tcW w:w="1420" w:type="pct"/>
            <w:vAlign w:val="bottom"/>
          </w:tcPr>
          <w:p w:rsidR="00B954BF" w:rsidRDefault="00B954BF">
            <w:pPr>
              <w:jc w:val="right"/>
              <w:rPr>
                <w:rFonts w:ascii="宋体" w:hAnsi="宋体" w:cs="宋体"/>
                <w:color w:val="000000"/>
                <w:sz w:val="22"/>
                <w:szCs w:val="22"/>
              </w:rPr>
            </w:pPr>
            <w:r w:rsidRPr="007715BA">
              <w:rPr>
                <w:color w:val="000000"/>
                <w:szCs w:val="21"/>
              </w:rPr>
              <w:t>-</w:t>
            </w:r>
          </w:p>
        </w:tc>
        <w:tc>
          <w:tcPr>
            <w:tcW w:w="1420" w:type="pct"/>
            <w:vAlign w:val="center"/>
          </w:tcPr>
          <w:p w:rsidR="00B954BF" w:rsidRPr="00E60957" w:rsidRDefault="00B954BF" w:rsidP="00B954BF">
            <w:pPr>
              <w:jc w:val="right"/>
              <w:rPr>
                <w:color w:val="000000"/>
                <w:szCs w:val="21"/>
              </w:rPr>
            </w:pPr>
            <w:r w:rsidRPr="00E60957">
              <w:rPr>
                <w:color w:val="000000"/>
                <w:szCs w:val="21"/>
              </w:rPr>
              <w:t>-</w:t>
            </w:r>
          </w:p>
        </w:tc>
      </w:tr>
      <w:tr w:rsidR="00B954BF" w:rsidRPr="006F14B8" w:rsidTr="004A7CE8">
        <w:tc>
          <w:tcPr>
            <w:tcW w:w="2160" w:type="pct"/>
            <w:vAlign w:val="center"/>
          </w:tcPr>
          <w:p w:rsidR="00B954BF" w:rsidRPr="006F14B8" w:rsidRDefault="00B954BF" w:rsidP="00C57F58">
            <w:pPr>
              <w:rPr>
                <w:b/>
                <w:color w:val="000000"/>
                <w:szCs w:val="21"/>
              </w:rPr>
            </w:pPr>
            <w:r w:rsidRPr="006F14B8">
              <w:rPr>
                <w:b/>
                <w:color w:val="000000"/>
                <w:szCs w:val="21"/>
              </w:rPr>
              <w:t>四、净利润（净亏损以</w:t>
            </w:r>
            <w:r w:rsidRPr="006F14B8">
              <w:rPr>
                <w:b/>
                <w:color w:val="000000"/>
                <w:szCs w:val="21"/>
              </w:rPr>
              <w:t>“-”</w:t>
            </w:r>
            <w:r w:rsidRPr="006F14B8">
              <w:rPr>
                <w:b/>
                <w:color w:val="000000"/>
                <w:szCs w:val="21"/>
              </w:rPr>
              <w:t>号填列）</w:t>
            </w:r>
          </w:p>
        </w:tc>
        <w:tc>
          <w:tcPr>
            <w:tcW w:w="1420" w:type="pct"/>
            <w:vAlign w:val="bottom"/>
          </w:tcPr>
          <w:p w:rsidR="00B954BF" w:rsidRPr="00B556A8" w:rsidRDefault="0033700B">
            <w:pPr>
              <w:jc w:val="right"/>
              <w:rPr>
                <w:b/>
                <w:color w:val="000000"/>
                <w:szCs w:val="21"/>
              </w:rPr>
            </w:pPr>
            <w:r w:rsidRPr="0033700B">
              <w:rPr>
                <w:b/>
                <w:color w:val="000000"/>
                <w:sz w:val="22"/>
                <w:szCs w:val="22"/>
              </w:rPr>
              <w:t>4,009,359.17</w:t>
            </w:r>
          </w:p>
        </w:tc>
        <w:tc>
          <w:tcPr>
            <w:tcW w:w="1420" w:type="pct"/>
            <w:vAlign w:val="center"/>
          </w:tcPr>
          <w:p w:rsidR="00B954BF" w:rsidRPr="00E60957" w:rsidRDefault="00B954BF" w:rsidP="00B954BF">
            <w:pPr>
              <w:jc w:val="right"/>
              <w:rPr>
                <w:b/>
                <w:color w:val="000000"/>
                <w:szCs w:val="21"/>
              </w:rPr>
            </w:pPr>
            <w:r w:rsidRPr="00E60957">
              <w:rPr>
                <w:b/>
                <w:color w:val="000000"/>
                <w:szCs w:val="21"/>
              </w:rPr>
              <w:t>933,144.86</w:t>
            </w:r>
          </w:p>
        </w:tc>
      </w:tr>
    </w:tbl>
    <w:p w:rsidR="001548F9" w:rsidRPr="006F14B8" w:rsidRDefault="001548F9" w:rsidP="006D141C">
      <w:pPr>
        <w:spacing w:line="288" w:lineRule="auto"/>
        <w:rPr>
          <w:color w:val="000000"/>
          <w:szCs w:val="21"/>
        </w:rPr>
      </w:pPr>
    </w:p>
    <w:p w:rsidR="001548F9" w:rsidRPr="006F14B8" w:rsidRDefault="0030612F" w:rsidP="004C1748">
      <w:pPr>
        <w:pStyle w:val="20"/>
        <w:spacing w:before="0" w:after="0"/>
        <w:rPr>
          <w:rFonts w:ascii="Times New Roman" w:hAnsi="Times New Roman"/>
          <w:kern w:val="0"/>
          <w:sz w:val="21"/>
          <w:szCs w:val="21"/>
        </w:rPr>
      </w:pPr>
      <w:bookmarkStart w:id="22" w:name="_Toc225498270"/>
      <w:bookmarkStart w:id="23" w:name="_Toc390421252"/>
      <w:bookmarkStart w:id="24" w:name="_Toc490670312"/>
      <w:r w:rsidRPr="006F14B8">
        <w:rPr>
          <w:rFonts w:ascii="Times New Roman" w:hAnsi="Times New Roman" w:hint="eastAsia"/>
          <w:kern w:val="0"/>
          <w:sz w:val="21"/>
          <w:szCs w:val="21"/>
        </w:rPr>
        <w:t>3</w:t>
      </w:r>
      <w:r w:rsidR="001548F9" w:rsidRPr="006F14B8">
        <w:rPr>
          <w:rFonts w:ascii="Times New Roman" w:hAnsi="Times New Roman"/>
          <w:kern w:val="0"/>
          <w:sz w:val="21"/>
          <w:szCs w:val="21"/>
        </w:rPr>
        <w:t xml:space="preserve">.3 </w:t>
      </w:r>
      <w:r w:rsidR="001548F9" w:rsidRPr="006F14B8">
        <w:rPr>
          <w:rFonts w:ascii="Times New Roman" w:hAnsi="Times New Roman"/>
          <w:kern w:val="0"/>
          <w:sz w:val="21"/>
          <w:szCs w:val="21"/>
        </w:rPr>
        <w:t>所有者权益（基金净值）变动表</w:t>
      </w:r>
      <w:bookmarkEnd w:id="22"/>
      <w:bookmarkEnd w:id="23"/>
      <w:bookmarkEnd w:id="24"/>
    </w:p>
    <w:p w:rsidR="00CA136A" w:rsidRPr="006F14B8" w:rsidRDefault="00CA136A" w:rsidP="00CA136A">
      <w:pPr>
        <w:spacing w:line="360" w:lineRule="auto"/>
        <w:rPr>
          <w:kern w:val="0"/>
          <w:szCs w:val="21"/>
        </w:rPr>
      </w:pPr>
      <w:r w:rsidRPr="006F14B8">
        <w:rPr>
          <w:color w:val="000000"/>
          <w:szCs w:val="21"/>
        </w:rPr>
        <w:t>会计主体：</w:t>
      </w:r>
      <w:r w:rsidR="00F26DCF" w:rsidRPr="00E60957">
        <w:rPr>
          <w:color w:val="000000"/>
          <w:szCs w:val="21"/>
        </w:rPr>
        <w:t>国泰美国房地产开发股票型证券投资基金</w:t>
      </w:r>
    </w:p>
    <w:p w:rsidR="00CA136A" w:rsidRPr="006F14B8" w:rsidRDefault="00CA136A" w:rsidP="00CA136A">
      <w:pPr>
        <w:spacing w:line="360" w:lineRule="auto"/>
        <w:rPr>
          <w:color w:val="000000"/>
          <w:kern w:val="0"/>
          <w:szCs w:val="21"/>
        </w:rPr>
      </w:pPr>
      <w:r w:rsidRPr="006F14B8">
        <w:rPr>
          <w:color w:val="000000"/>
          <w:szCs w:val="21"/>
        </w:rPr>
        <w:t>本报告期：</w:t>
      </w:r>
      <w:r w:rsidRPr="006F14B8">
        <w:rPr>
          <w:kern w:val="0"/>
          <w:szCs w:val="21"/>
        </w:rPr>
        <w:t>201</w:t>
      </w:r>
      <w:r w:rsidRPr="006F14B8">
        <w:rPr>
          <w:rFonts w:hint="eastAsia"/>
          <w:kern w:val="0"/>
          <w:szCs w:val="21"/>
        </w:rPr>
        <w:t>7</w:t>
      </w:r>
      <w:r w:rsidRPr="006F14B8">
        <w:rPr>
          <w:kern w:val="0"/>
          <w:szCs w:val="21"/>
        </w:rPr>
        <w:t>年</w:t>
      </w:r>
      <w:r w:rsidRPr="006F14B8">
        <w:rPr>
          <w:kern w:val="0"/>
          <w:szCs w:val="21"/>
        </w:rPr>
        <w:t>1</w:t>
      </w:r>
      <w:r w:rsidRPr="006F14B8">
        <w:rPr>
          <w:kern w:val="0"/>
          <w:szCs w:val="21"/>
        </w:rPr>
        <w:t>月</w:t>
      </w:r>
      <w:r w:rsidRPr="006F14B8">
        <w:rPr>
          <w:kern w:val="0"/>
          <w:szCs w:val="21"/>
        </w:rPr>
        <w:t>1</w:t>
      </w:r>
      <w:r w:rsidRPr="006F14B8">
        <w:rPr>
          <w:kern w:val="0"/>
          <w:szCs w:val="21"/>
        </w:rPr>
        <w:t>日至</w:t>
      </w:r>
      <w:r w:rsidR="00E0528B">
        <w:rPr>
          <w:color w:val="000000"/>
          <w:szCs w:val="21"/>
        </w:rPr>
        <w:t>2017</w:t>
      </w:r>
      <w:r w:rsidR="00E0528B">
        <w:rPr>
          <w:color w:val="000000"/>
          <w:szCs w:val="21"/>
        </w:rPr>
        <w:t>年</w:t>
      </w:r>
      <w:r w:rsidR="00E0528B">
        <w:rPr>
          <w:color w:val="000000"/>
          <w:szCs w:val="21"/>
        </w:rPr>
        <w:t>12</w:t>
      </w:r>
      <w:r w:rsidR="00E0528B">
        <w:rPr>
          <w:color w:val="000000"/>
          <w:szCs w:val="21"/>
        </w:rPr>
        <w:t>月</w:t>
      </w:r>
      <w:r w:rsidR="00E0528B">
        <w:rPr>
          <w:color w:val="000000"/>
          <w:szCs w:val="21"/>
        </w:rPr>
        <w:t>19</w:t>
      </w:r>
      <w:r w:rsidR="00E0528B">
        <w:rPr>
          <w:color w:val="000000"/>
          <w:szCs w:val="21"/>
        </w:rPr>
        <w:t>日</w:t>
      </w:r>
      <w:r w:rsidRPr="006F14B8">
        <w:rPr>
          <w:rFonts w:hint="eastAsia"/>
          <w:color w:val="000000"/>
          <w:szCs w:val="21"/>
        </w:rPr>
        <w:t>（基金最后运作日）</w:t>
      </w:r>
    </w:p>
    <w:p w:rsidR="001548F9" w:rsidRPr="006F14B8" w:rsidRDefault="001548F9" w:rsidP="006D141C">
      <w:pPr>
        <w:autoSpaceDE w:val="0"/>
        <w:autoSpaceDN w:val="0"/>
        <w:adjustRightInd w:val="0"/>
        <w:spacing w:before="29" w:line="288" w:lineRule="auto"/>
        <w:ind w:left="15"/>
        <w:jc w:val="right"/>
        <w:rPr>
          <w:color w:val="000000"/>
          <w:kern w:val="0"/>
          <w:szCs w:val="21"/>
        </w:rPr>
      </w:pPr>
      <w:r w:rsidRPr="006F14B8">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1548F9" w:rsidRPr="006F14B8" w:rsidTr="001A4BE3">
        <w:tc>
          <w:tcPr>
            <w:tcW w:w="2552" w:type="dxa"/>
            <w:vMerge w:val="restart"/>
            <w:vAlign w:val="center"/>
          </w:tcPr>
          <w:p w:rsidR="001548F9" w:rsidRPr="006F14B8" w:rsidRDefault="001548F9">
            <w:pPr>
              <w:jc w:val="center"/>
              <w:rPr>
                <w:b/>
                <w:color w:val="000000"/>
                <w:szCs w:val="21"/>
              </w:rPr>
            </w:pPr>
            <w:r w:rsidRPr="006F14B8">
              <w:rPr>
                <w:b/>
                <w:color w:val="000000"/>
                <w:szCs w:val="21"/>
              </w:rPr>
              <w:t>项目</w:t>
            </w:r>
          </w:p>
        </w:tc>
        <w:tc>
          <w:tcPr>
            <w:tcW w:w="6448" w:type="dxa"/>
            <w:gridSpan w:val="3"/>
            <w:vAlign w:val="center"/>
          </w:tcPr>
          <w:p w:rsidR="001548F9" w:rsidRPr="006F14B8" w:rsidRDefault="001548F9">
            <w:pPr>
              <w:jc w:val="center"/>
              <w:rPr>
                <w:b/>
                <w:color w:val="000000"/>
                <w:szCs w:val="21"/>
              </w:rPr>
            </w:pPr>
            <w:r w:rsidRPr="006F14B8">
              <w:rPr>
                <w:b/>
                <w:color w:val="000000"/>
                <w:szCs w:val="21"/>
              </w:rPr>
              <w:t>本期</w:t>
            </w:r>
          </w:p>
          <w:p w:rsidR="001548F9" w:rsidRPr="006F14B8" w:rsidRDefault="001548F9" w:rsidP="00B236FC">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sz w:val="21"/>
                <w:szCs w:val="21"/>
              </w:rPr>
              <w:t>201</w:t>
            </w:r>
            <w:r w:rsidR="00B236FC" w:rsidRPr="006F14B8">
              <w:rPr>
                <w:rFonts w:ascii="Times New Roman" w:hAnsi="Times New Roman" w:hint="eastAsia"/>
                <w:b/>
                <w:sz w:val="21"/>
                <w:szCs w:val="21"/>
              </w:rPr>
              <w:t>7</w:t>
            </w:r>
            <w:r w:rsidRPr="006F14B8">
              <w:rPr>
                <w:rFonts w:ascii="Times New Roman" w:hAnsi="Times New Roman"/>
                <w:b/>
                <w:sz w:val="21"/>
                <w:szCs w:val="21"/>
              </w:rPr>
              <w:t>年</w:t>
            </w:r>
            <w:r w:rsidRPr="006F14B8">
              <w:rPr>
                <w:rFonts w:ascii="Times New Roman" w:hAnsi="Times New Roman"/>
                <w:b/>
                <w:sz w:val="21"/>
                <w:szCs w:val="21"/>
              </w:rPr>
              <w:t>1</w:t>
            </w:r>
            <w:r w:rsidRPr="006F14B8">
              <w:rPr>
                <w:rFonts w:ascii="Times New Roman" w:hAnsi="Times New Roman"/>
                <w:b/>
                <w:sz w:val="21"/>
                <w:szCs w:val="21"/>
              </w:rPr>
              <w:t>月</w:t>
            </w:r>
            <w:r w:rsidRPr="006F14B8">
              <w:rPr>
                <w:rFonts w:ascii="Times New Roman" w:hAnsi="Times New Roman"/>
                <w:b/>
                <w:sz w:val="21"/>
                <w:szCs w:val="21"/>
              </w:rPr>
              <w:t>1</w:t>
            </w:r>
            <w:r w:rsidRPr="006F14B8">
              <w:rPr>
                <w:rFonts w:ascii="Times New Roman" w:hAnsi="Times New Roman"/>
                <w:b/>
                <w:sz w:val="21"/>
                <w:szCs w:val="21"/>
              </w:rPr>
              <w:t>日至</w:t>
            </w:r>
            <w:r w:rsidR="00E0528B">
              <w:rPr>
                <w:rFonts w:ascii="Times New Roman" w:hAnsi="Times New Roman"/>
                <w:b/>
                <w:sz w:val="21"/>
                <w:szCs w:val="21"/>
              </w:rPr>
              <w:t>2017</w:t>
            </w:r>
            <w:r w:rsidR="00E0528B">
              <w:rPr>
                <w:rFonts w:ascii="Times New Roman" w:hAnsi="Times New Roman"/>
                <w:b/>
                <w:sz w:val="21"/>
                <w:szCs w:val="21"/>
              </w:rPr>
              <w:t>年</w:t>
            </w:r>
            <w:r w:rsidR="00E0528B">
              <w:rPr>
                <w:rFonts w:ascii="Times New Roman" w:hAnsi="Times New Roman"/>
                <w:b/>
                <w:sz w:val="21"/>
                <w:szCs w:val="21"/>
              </w:rPr>
              <w:t>12</w:t>
            </w:r>
            <w:r w:rsidR="00E0528B">
              <w:rPr>
                <w:rFonts w:ascii="Times New Roman" w:hAnsi="Times New Roman"/>
                <w:b/>
                <w:sz w:val="21"/>
                <w:szCs w:val="21"/>
              </w:rPr>
              <w:t>月</w:t>
            </w:r>
            <w:r w:rsidR="00E0528B">
              <w:rPr>
                <w:rFonts w:ascii="Times New Roman" w:hAnsi="Times New Roman"/>
                <w:b/>
                <w:sz w:val="21"/>
                <w:szCs w:val="21"/>
              </w:rPr>
              <w:t>19</w:t>
            </w:r>
            <w:r w:rsidR="00E0528B">
              <w:rPr>
                <w:rFonts w:ascii="Times New Roman" w:hAnsi="Times New Roman"/>
                <w:b/>
                <w:sz w:val="21"/>
                <w:szCs w:val="21"/>
              </w:rPr>
              <w:t>日</w:t>
            </w:r>
            <w:r w:rsidR="009A192C" w:rsidRPr="006F14B8">
              <w:rPr>
                <w:rFonts w:ascii="Times New Roman" w:hAnsi="Times New Roman" w:hint="eastAsia"/>
                <w:b/>
                <w:sz w:val="21"/>
                <w:szCs w:val="21"/>
              </w:rPr>
              <w:t>（基金最后运作日）止期间</w:t>
            </w:r>
          </w:p>
        </w:tc>
      </w:tr>
      <w:tr w:rsidR="001548F9" w:rsidRPr="006F14B8" w:rsidTr="001A4BE3">
        <w:tc>
          <w:tcPr>
            <w:tcW w:w="2552" w:type="dxa"/>
            <w:vMerge/>
            <w:vAlign w:val="center"/>
          </w:tcPr>
          <w:p w:rsidR="001548F9" w:rsidRPr="006F14B8" w:rsidRDefault="001548F9">
            <w:pPr>
              <w:widowControl/>
              <w:jc w:val="left"/>
              <w:rPr>
                <w:b/>
                <w:color w:val="000000"/>
                <w:szCs w:val="21"/>
              </w:rPr>
            </w:pPr>
          </w:p>
        </w:tc>
        <w:tc>
          <w:tcPr>
            <w:tcW w:w="2149" w:type="dxa"/>
            <w:vAlign w:val="center"/>
          </w:tcPr>
          <w:p w:rsidR="001548F9" w:rsidRPr="006F14B8" w:rsidRDefault="001548F9">
            <w:pPr>
              <w:jc w:val="center"/>
              <w:rPr>
                <w:b/>
                <w:color w:val="000000"/>
                <w:szCs w:val="21"/>
              </w:rPr>
            </w:pPr>
            <w:r w:rsidRPr="006F14B8">
              <w:rPr>
                <w:b/>
                <w:color w:val="000000"/>
                <w:szCs w:val="21"/>
              </w:rPr>
              <w:t>实收基金</w:t>
            </w:r>
          </w:p>
        </w:tc>
        <w:tc>
          <w:tcPr>
            <w:tcW w:w="2149" w:type="dxa"/>
            <w:vAlign w:val="center"/>
          </w:tcPr>
          <w:p w:rsidR="001548F9" w:rsidRPr="006F14B8" w:rsidRDefault="001548F9">
            <w:pPr>
              <w:jc w:val="center"/>
              <w:rPr>
                <w:b/>
                <w:color w:val="000000"/>
                <w:szCs w:val="21"/>
              </w:rPr>
            </w:pPr>
            <w:r w:rsidRPr="006F14B8">
              <w:rPr>
                <w:b/>
                <w:color w:val="000000"/>
                <w:szCs w:val="21"/>
              </w:rPr>
              <w:t>未分配利润</w:t>
            </w:r>
          </w:p>
        </w:tc>
        <w:tc>
          <w:tcPr>
            <w:tcW w:w="2150" w:type="dxa"/>
            <w:vAlign w:val="center"/>
          </w:tcPr>
          <w:p w:rsidR="001548F9" w:rsidRPr="006F14B8" w:rsidRDefault="001548F9">
            <w:pPr>
              <w:jc w:val="center"/>
              <w:rPr>
                <w:color w:val="000000"/>
                <w:szCs w:val="21"/>
              </w:rPr>
            </w:pPr>
            <w:r w:rsidRPr="006F14B8">
              <w:rPr>
                <w:b/>
                <w:color w:val="000000"/>
                <w:szCs w:val="21"/>
              </w:rPr>
              <w:t>所有者权益合计</w:t>
            </w:r>
          </w:p>
        </w:tc>
      </w:tr>
      <w:tr w:rsidR="004F590E" w:rsidRPr="006F14B8" w:rsidTr="007E5F28">
        <w:tc>
          <w:tcPr>
            <w:tcW w:w="2552" w:type="dxa"/>
          </w:tcPr>
          <w:p w:rsidR="004F590E" w:rsidRPr="006F14B8" w:rsidRDefault="004F590E">
            <w:pPr>
              <w:rPr>
                <w:color w:val="000000"/>
                <w:szCs w:val="21"/>
              </w:rPr>
            </w:pPr>
            <w:r w:rsidRPr="006F14B8">
              <w:rPr>
                <w:color w:val="000000"/>
                <w:szCs w:val="21"/>
              </w:rPr>
              <w:t>一、期初所有者权益（基金净值）</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12,910,890.48</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2,485,035.42</w:t>
            </w:r>
          </w:p>
        </w:tc>
        <w:tc>
          <w:tcPr>
            <w:tcW w:w="2150"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15,395,925.90 </w:t>
            </w:r>
          </w:p>
        </w:tc>
      </w:tr>
      <w:tr w:rsidR="004F590E" w:rsidRPr="006F14B8" w:rsidTr="007E5F28">
        <w:tc>
          <w:tcPr>
            <w:tcW w:w="2552" w:type="dxa"/>
          </w:tcPr>
          <w:p w:rsidR="004F590E" w:rsidRPr="006F14B8" w:rsidRDefault="004F590E">
            <w:pPr>
              <w:rPr>
                <w:color w:val="000000"/>
                <w:szCs w:val="21"/>
              </w:rPr>
            </w:pPr>
            <w:r w:rsidRPr="006F14B8">
              <w:rPr>
                <w:color w:val="000000"/>
                <w:szCs w:val="21"/>
              </w:rPr>
              <w:t>二、本期经营活动产生的基金净值变动数（本期利润）</w:t>
            </w:r>
          </w:p>
        </w:tc>
        <w:tc>
          <w:tcPr>
            <w:tcW w:w="2149" w:type="dxa"/>
            <w:vAlign w:val="center"/>
          </w:tcPr>
          <w:p w:rsidR="004F590E" w:rsidRPr="004F590E" w:rsidRDefault="004F590E" w:rsidP="004F590E">
            <w:pPr>
              <w:spacing w:line="360" w:lineRule="auto"/>
              <w:jc w:val="right"/>
              <w:rPr>
                <w:color w:val="000000"/>
                <w:szCs w:val="21"/>
              </w:rPr>
            </w:pPr>
            <w:r>
              <w:rPr>
                <w:color w:val="000000"/>
                <w:szCs w:val="21"/>
              </w:rPr>
              <w:t>-</w:t>
            </w:r>
            <w:r w:rsidRPr="004F590E">
              <w:rPr>
                <w:rFonts w:hint="eastAsia"/>
                <w:color w:val="000000"/>
                <w:szCs w:val="21"/>
              </w:rPr>
              <w:t xml:space="preserve">　</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4,009,359.17 </w:t>
            </w:r>
          </w:p>
        </w:tc>
        <w:tc>
          <w:tcPr>
            <w:tcW w:w="2150"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4,009,359.17 </w:t>
            </w:r>
          </w:p>
        </w:tc>
      </w:tr>
      <w:tr w:rsidR="004F590E" w:rsidRPr="006F14B8" w:rsidTr="001B7EE2">
        <w:tc>
          <w:tcPr>
            <w:tcW w:w="2552" w:type="dxa"/>
          </w:tcPr>
          <w:p w:rsidR="004F590E" w:rsidRPr="006F14B8" w:rsidRDefault="004F590E">
            <w:pPr>
              <w:rPr>
                <w:color w:val="000000"/>
                <w:szCs w:val="21"/>
              </w:rPr>
            </w:pPr>
            <w:r w:rsidRPr="006F14B8">
              <w:rPr>
                <w:color w:val="000000"/>
                <w:szCs w:val="21"/>
              </w:rPr>
              <w:t>三、本期基金份额交易产生的基金净值变动数（净值减少以</w:t>
            </w:r>
            <w:r w:rsidRPr="006F14B8">
              <w:rPr>
                <w:color w:val="000000"/>
                <w:szCs w:val="21"/>
              </w:rPr>
              <w:t>“-”</w:t>
            </w:r>
            <w:r w:rsidRPr="006F14B8">
              <w:rPr>
                <w:color w:val="000000"/>
                <w:szCs w:val="21"/>
              </w:rPr>
              <w:t>号填列）</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-2,764,310.65 </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-1,651,196.23 </w:t>
            </w:r>
          </w:p>
        </w:tc>
        <w:tc>
          <w:tcPr>
            <w:tcW w:w="2150"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-4,415,506.88 </w:t>
            </w:r>
          </w:p>
        </w:tc>
      </w:tr>
      <w:tr w:rsidR="004F590E" w:rsidRPr="006F14B8" w:rsidTr="001B7EE2">
        <w:tc>
          <w:tcPr>
            <w:tcW w:w="2552" w:type="dxa"/>
          </w:tcPr>
          <w:p w:rsidR="004F590E" w:rsidRPr="006F14B8" w:rsidRDefault="004F590E">
            <w:pPr>
              <w:rPr>
                <w:color w:val="000000"/>
                <w:szCs w:val="21"/>
              </w:rPr>
            </w:pPr>
            <w:r w:rsidRPr="006F14B8">
              <w:rPr>
                <w:color w:val="000000"/>
                <w:szCs w:val="21"/>
              </w:rPr>
              <w:t>其中：</w:t>
            </w:r>
            <w:r w:rsidRPr="006F14B8">
              <w:rPr>
                <w:color w:val="000000"/>
                <w:szCs w:val="21"/>
              </w:rPr>
              <w:t>1.</w:t>
            </w:r>
            <w:r w:rsidRPr="006F14B8">
              <w:rPr>
                <w:color w:val="000000"/>
                <w:szCs w:val="21"/>
              </w:rPr>
              <w:t>基金申购款</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34,453,735.55 </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13,543,666.81 </w:t>
            </w:r>
          </w:p>
        </w:tc>
        <w:tc>
          <w:tcPr>
            <w:tcW w:w="2150"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47,997,402.36 </w:t>
            </w:r>
          </w:p>
        </w:tc>
      </w:tr>
      <w:tr w:rsidR="004F590E" w:rsidRPr="006F14B8" w:rsidTr="001B7EE2">
        <w:tc>
          <w:tcPr>
            <w:tcW w:w="2552" w:type="dxa"/>
          </w:tcPr>
          <w:p w:rsidR="004F590E" w:rsidRPr="006F14B8" w:rsidRDefault="004F590E" w:rsidP="005B2B01">
            <w:pPr>
              <w:ind w:firstLineChars="300" w:firstLine="630"/>
              <w:rPr>
                <w:color w:val="000000"/>
                <w:szCs w:val="21"/>
              </w:rPr>
            </w:pPr>
            <w:r w:rsidRPr="006F14B8">
              <w:rPr>
                <w:color w:val="000000"/>
                <w:szCs w:val="21"/>
              </w:rPr>
              <w:t>2.</w:t>
            </w:r>
            <w:r w:rsidRPr="006F14B8">
              <w:rPr>
                <w:color w:val="000000"/>
                <w:szCs w:val="21"/>
              </w:rPr>
              <w:t>基金赎回款</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-37,218,046.20 </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-15,194,863.04 </w:t>
            </w:r>
          </w:p>
        </w:tc>
        <w:tc>
          <w:tcPr>
            <w:tcW w:w="2150"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-52,412,909.24 </w:t>
            </w:r>
          </w:p>
        </w:tc>
      </w:tr>
      <w:tr w:rsidR="004F590E" w:rsidRPr="006F14B8" w:rsidTr="001B7EE2">
        <w:tc>
          <w:tcPr>
            <w:tcW w:w="2552" w:type="dxa"/>
          </w:tcPr>
          <w:p w:rsidR="004F590E" w:rsidRPr="006F14B8" w:rsidRDefault="004F590E">
            <w:pPr>
              <w:rPr>
                <w:color w:val="000000"/>
                <w:szCs w:val="21"/>
              </w:rPr>
            </w:pPr>
            <w:r w:rsidRPr="006F14B8">
              <w:rPr>
                <w:color w:val="000000"/>
                <w:szCs w:val="21"/>
              </w:rPr>
              <w:t>四、本期向基金份额持有人分配利润产生的基金净值变动（净值减少以</w:t>
            </w:r>
            <w:r w:rsidRPr="006F14B8">
              <w:rPr>
                <w:color w:val="000000"/>
                <w:szCs w:val="21"/>
              </w:rPr>
              <w:t>“-”</w:t>
            </w:r>
            <w:r w:rsidRPr="006F14B8">
              <w:rPr>
                <w:color w:val="000000"/>
                <w:szCs w:val="21"/>
              </w:rPr>
              <w:t>号填列）</w:t>
            </w:r>
          </w:p>
        </w:tc>
        <w:tc>
          <w:tcPr>
            <w:tcW w:w="2149" w:type="dxa"/>
            <w:vAlign w:val="center"/>
          </w:tcPr>
          <w:p w:rsidR="004F590E" w:rsidRDefault="004F590E" w:rsidP="004A7CE8">
            <w:pPr>
              <w:spacing w:line="360" w:lineRule="auto"/>
              <w:jc w:val="right"/>
              <w:rPr>
                <w:color w:val="000000"/>
                <w:szCs w:val="21"/>
              </w:rPr>
            </w:pPr>
            <w:r>
              <w:rPr>
                <w:color w:val="000000"/>
                <w:szCs w:val="21"/>
              </w:rPr>
              <w:t>-</w:t>
            </w:r>
          </w:p>
        </w:tc>
        <w:tc>
          <w:tcPr>
            <w:tcW w:w="2149" w:type="dxa"/>
            <w:vAlign w:val="center"/>
          </w:tcPr>
          <w:p w:rsidR="004F590E" w:rsidRDefault="004F590E" w:rsidP="004A7CE8">
            <w:pPr>
              <w:spacing w:line="360" w:lineRule="auto"/>
              <w:jc w:val="right"/>
              <w:rPr>
                <w:color w:val="000000"/>
                <w:szCs w:val="21"/>
              </w:rPr>
            </w:pPr>
            <w:r>
              <w:rPr>
                <w:color w:val="000000"/>
                <w:szCs w:val="21"/>
              </w:rPr>
              <w:t>-</w:t>
            </w:r>
          </w:p>
        </w:tc>
        <w:tc>
          <w:tcPr>
            <w:tcW w:w="2150" w:type="dxa"/>
            <w:vAlign w:val="center"/>
          </w:tcPr>
          <w:p w:rsidR="004F590E" w:rsidRDefault="004F590E" w:rsidP="004A7CE8">
            <w:pPr>
              <w:spacing w:line="360" w:lineRule="auto"/>
              <w:jc w:val="right"/>
              <w:rPr>
                <w:color w:val="000000"/>
                <w:szCs w:val="21"/>
              </w:rPr>
            </w:pPr>
            <w:r>
              <w:rPr>
                <w:color w:val="000000"/>
                <w:szCs w:val="21"/>
              </w:rPr>
              <w:t>-</w:t>
            </w:r>
          </w:p>
        </w:tc>
      </w:tr>
      <w:tr w:rsidR="004F590E" w:rsidRPr="006F14B8" w:rsidTr="001B7EE2">
        <w:tc>
          <w:tcPr>
            <w:tcW w:w="2552" w:type="dxa"/>
          </w:tcPr>
          <w:p w:rsidR="004F590E" w:rsidRPr="006F14B8" w:rsidRDefault="004F590E">
            <w:pPr>
              <w:rPr>
                <w:color w:val="000000"/>
                <w:szCs w:val="21"/>
              </w:rPr>
            </w:pPr>
            <w:r w:rsidRPr="006F14B8">
              <w:rPr>
                <w:color w:val="000000"/>
                <w:szCs w:val="21"/>
              </w:rPr>
              <w:t>五、期末所有者权益（基金净值）</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10,146,579.83 </w:t>
            </w:r>
          </w:p>
        </w:tc>
        <w:tc>
          <w:tcPr>
            <w:tcW w:w="2149"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4,843,198.36 </w:t>
            </w:r>
          </w:p>
        </w:tc>
        <w:tc>
          <w:tcPr>
            <w:tcW w:w="2150" w:type="dxa"/>
            <w:vAlign w:val="center"/>
          </w:tcPr>
          <w:p w:rsidR="004F590E" w:rsidRPr="004F590E" w:rsidRDefault="004F590E" w:rsidP="004F590E">
            <w:pPr>
              <w:spacing w:line="360" w:lineRule="auto"/>
              <w:jc w:val="right"/>
              <w:rPr>
                <w:color w:val="000000"/>
                <w:szCs w:val="21"/>
              </w:rPr>
            </w:pPr>
            <w:r w:rsidRPr="004F590E">
              <w:rPr>
                <w:rFonts w:hint="eastAsia"/>
                <w:color w:val="000000"/>
                <w:szCs w:val="21"/>
              </w:rPr>
              <w:t xml:space="preserve">  14,989,778.19 </w:t>
            </w:r>
          </w:p>
        </w:tc>
      </w:tr>
      <w:tr w:rsidR="001548F9" w:rsidRPr="006F14B8" w:rsidTr="001A4BE3">
        <w:tc>
          <w:tcPr>
            <w:tcW w:w="2552" w:type="dxa"/>
            <w:vMerge w:val="restart"/>
            <w:vAlign w:val="center"/>
          </w:tcPr>
          <w:p w:rsidR="001548F9" w:rsidRPr="006F14B8" w:rsidRDefault="001548F9">
            <w:pPr>
              <w:jc w:val="center"/>
              <w:rPr>
                <w:color w:val="000000"/>
                <w:szCs w:val="21"/>
              </w:rPr>
            </w:pPr>
            <w:r w:rsidRPr="006F14B8">
              <w:rPr>
                <w:b/>
                <w:color w:val="000000"/>
                <w:szCs w:val="21"/>
              </w:rPr>
              <w:t>项目</w:t>
            </w:r>
          </w:p>
        </w:tc>
        <w:tc>
          <w:tcPr>
            <w:tcW w:w="6448" w:type="dxa"/>
            <w:gridSpan w:val="3"/>
            <w:vAlign w:val="center"/>
          </w:tcPr>
          <w:p w:rsidR="001548F9" w:rsidRPr="006F14B8" w:rsidRDefault="001548F9">
            <w:pPr>
              <w:jc w:val="center"/>
              <w:rPr>
                <w:b/>
                <w:color w:val="000000"/>
                <w:szCs w:val="21"/>
              </w:rPr>
            </w:pPr>
            <w:r w:rsidRPr="006F14B8">
              <w:rPr>
                <w:b/>
                <w:color w:val="000000"/>
                <w:szCs w:val="21"/>
              </w:rPr>
              <w:t>上年度可比期间</w:t>
            </w:r>
          </w:p>
          <w:p w:rsidR="001548F9" w:rsidRPr="006F14B8" w:rsidRDefault="001548F9" w:rsidP="00CA136A">
            <w:pPr>
              <w:pStyle w:val="af6"/>
              <w:spacing w:before="0" w:beforeAutospacing="0" w:after="0" w:afterAutospacing="0"/>
              <w:jc w:val="center"/>
              <w:rPr>
                <w:rFonts w:ascii="Times New Roman" w:hAnsi="Times New Roman"/>
                <w:color w:val="000000"/>
                <w:sz w:val="21"/>
                <w:szCs w:val="21"/>
              </w:rPr>
            </w:pPr>
            <w:r w:rsidRPr="006F14B8">
              <w:rPr>
                <w:rFonts w:ascii="Times New Roman" w:hAnsi="Times New Roman"/>
                <w:b/>
                <w:color w:val="000000"/>
                <w:sz w:val="21"/>
                <w:szCs w:val="21"/>
              </w:rPr>
              <w:t>201</w:t>
            </w:r>
            <w:r w:rsidR="00CA136A" w:rsidRPr="006F14B8">
              <w:rPr>
                <w:rFonts w:ascii="Times New Roman" w:hAnsi="Times New Roman" w:hint="eastAsia"/>
                <w:b/>
                <w:color w:val="000000"/>
                <w:sz w:val="21"/>
                <w:szCs w:val="21"/>
              </w:rPr>
              <w:t>6</w:t>
            </w:r>
            <w:r w:rsidRPr="006F14B8">
              <w:rPr>
                <w:rFonts w:ascii="Times New Roman" w:hAnsi="Times New Roman"/>
                <w:b/>
                <w:color w:val="000000"/>
                <w:sz w:val="21"/>
                <w:szCs w:val="21"/>
              </w:rPr>
              <w:t>年</w:t>
            </w:r>
            <w:r w:rsidR="006B5C08" w:rsidRPr="006F14B8">
              <w:rPr>
                <w:rFonts w:ascii="Times New Roman" w:hAnsi="Times New Roman" w:hint="eastAsia"/>
                <w:b/>
                <w:color w:val="000000"/>
                <w:sz w:val="21"/>
                <w:szCs w:val="21"/>
              </w:rPr>
              <w:t>度</w:t>
            </w:r>
          </w:p>
        </w:tc>
      </w:tr>
      <w:tr w:rsidR="001548F9" w:rsidRPr="006F14B8" w:rsidTr="001A4BE3">
        <w:tc>
          <w:tcPr>
            <w:tcW w:w="2552" w:type="dxa"/>
            <w:vMerge/>
            <w:vAlign w:val="center"/>
          </w:tcPr>
          <w:p w:rsidR="001548F9" w:rsidRPr="006F14B8" w:rsidRDefault="001548F9">
            <w:pPr>
              <w:widowControl/>
              <w:jc w:val="left"/>
              <w:rPr>
                <w:color w:val="000000"/>
                <w:szCs w:val="21"/>
              </w:rPr>
            </w:pPr>
          </w:p>
        </w:tc>
        <w:tc>
          <w:tcPr>
            <w:tcW w:w="2149" w:type="dxa"/>
            <w:vAlign w:val="center"/>
          </w:tcPr>
          <w:p w:rsidR="001548F9" w:rsidRPr="006F14B8" w:rsidRDefault="001548F9">
            <w:pPr>
              <w:jc w:val="center"/>
              <w:rPr>
                <w:color w:val="000000"/>
                <w:szCs w:val="21"/>
              </w:rPr>
            </w:pPr>
            <w:r w:rsidRPr="006F14B8">
              <w:rPr>
                <w:b/>
                <w:color w:val="000000"/>
                <w:szCs w:val="21"/>
              </w:rPr>
              <w:t>实收基金</w:t>
            </w:r>
          </w:p>
        </w:tc>
        <w:tc>
          <w:tcPr>
            <w:tcW w:w="2149" w:type="dxa"/>
          </w:tcPr>
          <w:p w:rsidR="001548F9" w:rsidRPr="006F14B8" w:rsidRDefault="001548F9">
            <w:pPr>
              <w:jc w:val="center"/>
              <w:rPr>
                <w:color w:val="000000"/>
                <w:szCs w:val="21"/>
              </w:rPr>
            </w:pPr>
            <w:r w:rsidRPr="006F14B8">
              <w:rPr>
                <w:b/>
                <w:color w:val="000000"/>
                <w:szCs w:val="21"/>
              </w:rPr>
              <w:t>未分配利润</w:t>
            </w:r>
          </w:p>
        </w:tc>
        <w:tc>
          <w:tcPr>
            <w:tcW w:w="2150" w:type="dxa"/>
            <w:vAlign w:val="center"/>
          </w:tcPr>
          <w:p w:rsidR="001548F9" w:rsidRPr="006F14B8" w:rsidRDefault="001548F9">
            <w:pPr>
              <w:jc w:val="center"/>
              <w:rPr>
                <w:b/>
                <w:color w:val="000000"/>
                <w:szCs w:val="21"/>
              </w:rPr>
            </w:pPr>
            <w:r w:rsidRPr="006F14B8">
              <w:rPr>
                <w:b/>
                <w:color w:val="000000"/>
                <w:szCs w:val="21"/>
              </w:rPr>
              <w:t>所有者权益合计</w:t>
            </w:r>
          </w:p>
        </w:tc>
      </w:tr>
      <w:tr w:rsidR="0033700B" w:rsidRPr="006F14B8" w:rsidTr="00850FCB">
        <w:tc>
          <w:tcPr>
            <w:tcW w:w="2552" w:type="dxa"/>
          </w:tcPr>
          <w:p w:rsidR="0033700B" w:rsidRPr="006F14B8" w:rsidRDefault="0033700B">
            <w:pPr>
              <w:rPr>
                <w:color w:val="000000"/>
                <w:szCs w:val="21"/>
              </w:rPr>
            </w:pPr>
            <w:r w:rsidRPr="006F14B8">
              <w:rPr>
                <w:color w:val="000000"/>
                <w:szCs w:val="21"/>
              </w:rPr>
              <w:t>一、期初所有者权益（基金净值）</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26,292,961.42</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3,239,580.16</w:t>
            </w:r>
          </w:p>
        </w:tc>
        <w:tc>
          <w:tcPr>
            <w:tcW w:w="2150" w:type="dxa"/>
            <w:vAlign w:val="center"/>
          </w:tcPr>
          <w:p w:rsidR="0033700B" w:rsidRPr="00E60957" w:rsidRDefault="0033700B" w:rsidP="004A7CE8">
            <w:pPr>
              <w:spacing w:line="360" w:lineRule="auto"/>
              <w:jc w:val="right"/>
              <w:rPr>
                <w:color w:val="000000"/>
                <w:szCs w:val="21"/>
              </w:rPr>
            </w:pPr>
            <w:r w:rsidRPr="00E60957">
              <w:rPr>
                <w:color w:val="000000"/>
                <w:szCs w:val="21"/>
              </w:rPr>
              <w:t>29,532,541.58</w:t>
            </w:r>
          </w:p>
        </w:tc>
      </w:tr>
      <w:tr w:rsidR="0033700B" w:rsidRPr="006F14B8" w:rsidTr="00850FCB">
        <w:tc>
          <w:tcPr>
            <w:tcW w:w="2552" w:type="dxa"/>
          </w:tcPr>
          <w:p w:rsidR="0033700B" w:rsidRPr="006F14B8" w:rsidRDefault="0033700B">
            <w:pPr>
              <w:rPr>
                <w:color w:val="000000"/>
                <w:szCs w:val="21"/>
              </w:rPr>
            </w:pPr>
            <w:r w:rsidRPr="006F14B8">
              <w:rPr>
                <w:color w:val="000000"/>
                <w:szCs w:val="21"/>
              </w:rPr>
              <w:t>二、本期经营活动产生的基金净值变动数（本期利润）</w:t>
            </w:r>
          </w:p>
        </w:tc>
        <w:tc>
          <w:tcPr>
            <w:tcW w:w="2149" w:type="dxa"/>
            <w:vAlign w:val="center"/>
          </w:tcPr>
          <w:p w:rsidR="0033700B" w:rsidRDefault="0033700B" w:rsidP="000315A8">
            <w:pPr>
              <w:spacing w:line="360" w:lineRule="auto"/>
              <w:jc w:val="right"/>
              <w:rPr>
                <w:color w:val="000000"/>
                <w:szCs w:val="21"/>
              </w:rPr>
            </w:pPr>
            <w:r>
              <w:rPr>
                <w:color w:val="000000"/>
                <w:szCs w:val="21"/>
              </w:rPr>
              <w:t>-</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933,144.86</w:t>
            </w:r>
          </w:p>
        </w:tc>
        <w:tc>
          <w:tcPr>
            <w:tcW w:w="2150" w:type="dxa"/>
            <w:vAlign w:val="center"/>
          </w:tcPr>
          <w:p w:rsidR="0033700B" w:rsidRPr="00E60957" w:rsidRDefault="0033700B" w:rsidP="004A7CE8">
            <w:pPr>
              <w:spacing w:line="360" w:lineRule="auto"/>
              <w:jc w:val="right"/>
              <w:rPr>
                <w:color w:val="000000"/>
                <w:szCs w:val="21"/>
              </w:rPr>
            </w:pPr>
            <w:r w:rsidRPr="00E60957">
              <w:rPr>
                <w:color w:val="000000"/>
                <w:szCs w:val="21"/>
              </w:rPr>
              <w:t>933,144.86</w:t>
            </w:r>
          </w:p>
        </w:tc>
      </w:tr>
      <w:tr w:rsidR="0033700B" w:rsidRPr="006F14B8" w:rsidTr="00850FCB">
        <w:tc>
          <w:tcPr>
            <w:tcW w:w="2552" w:type="dxa"/>
          </w:tcPr>
          <w:p w:rsidR="0033700B" w:rsidRPr="006F14B8" w:rsidRDefault="0033700B">
            <w:pPr>
              <w:rPr>
                <w:color w:val="000000"/>
                <w:szCs w:val="21"/>
              </w:rPr>
            </w:pPr>
            <w:r w:rsidRPr="006F14B8">
              <w:rPr>
                <w:color w:val="000000"/>
                <w:szCs w:val="21"/>
              </w:rPr>
              <w:t>三、本期基金份额交易产生的基金净值变动数（净值减少以</w:t>
            </w:r>
            <w:r w:rsidRPr="006F14B8">
              <w:rPr>
                <w:color w:val="000000"/>
                <w:szCs w:val="21"/>
              </w:rPr>
              <w:t>“-”</w:t>
            </w:r>
            <w:r w:rsidRPr="006F14B8">
              <w:rPr>
                <w:color w:val="000000"/>
                <w:szCs w:val="21"/>
              </w:rPr>
              <w:t>号填列）</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-13,382,070.94</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-1,687,689.60</w:t>
            </w:r>
          </w:p>
        </w:tc>
        <w:tc>
          <w:tcPr>
            <w:tcW w:w="2150" w:type="dxa"/>
            <w:vAlign w:val="center"/>
          </w:tcPr>
          <w:p w:rsidR="0033700B" w:rsidRPr="00E60957" w:rsidRDefault="0033700B" w:rsidP="004A7CE8">
            <w:pPr>
              <w:spacing w:line="360" w:lineRule="auto"/>
              <w:jc w:val="right"/>
              <w:rPr>
                <w:color w:val="000000"/>
                <w:szCs w:val="21"/>
              </w:rPr>
            </w:pPr>
            <w:r w:rsidRPr="00E60957">
              <w:rPr>
                <w:color w:val="000000"/>
                <w:szCs w:val="21"/>
              </w:rPr>
              <w:t>-15,069,760.54</w:t>
            </w:r>
          </w:p>
        </w:tc>
      </w:tr>
      <w:tr w:rsidR="0033700B" w:rsidRPr="006F14B8" w:rsidTr="00850FCB">
        <w:tc>
          <w:tcPr>
            <w:tcW w:w="2552" w:type="dxa"/>
          </w:tcPr>
          <w:p w:rsidR="0033700B" w:rsidRPr="006F14B8" w:rsidRDefault="0033700B">
            <w:pPr>
              <w:rPr>
                <w:color w:val="000000"/>
                <w:szCs w:val="21"/>
              </w:rPr>
            </w:pPr>
            <w:r w:rsidRPr="006F14B8">
              <w:rPr>
                <w:color w:val="000000"/>
                <w:szCs w:val="21"/>
              </w:rPr>
              <w:t>其中：</w:t>
            </w:r>
            <w:r w:rsidRPr="006F14B8">
              <w:rPr>
                <w:color w:val="000000"/>
                <w:szCs w:val="21"/>
              </w:rPr>
              <w:t>1.</w:t>
            </w:r>
            <w:r w:rsidRPr="006F14B8">
              <w:rPr>
                <w:color w:val="000000"/>
                <w:szCs w:val="21"/>
              </w:rPr>
              <w:t>基金申购款</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2,419,099.84</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136,737.35</w:t>
            </w:r>
          </w:p>
        </w:tc>
        <w:tc>
          <w:tcPr>
            <w:tcW w:w="2150" w:type="dxa"/>
            <w:vAlign w:val="center"/>
          </w:tcPr>
          <w:p w:rsidR="0033700B" w:rsidRPr="00E60957" w:rsidRDefault="0033700B" w:rsidP="004A7CE8">
            <w:pPr>
              <w:spacing w:line="360" w:lineRule="auto"/>
              <w:jc w:val="right"/>
              <w:rPr>
                <w:color w:val="000000"/>
                <w:szCs w:val="21"/>
              </w:rPr>
            </w:pPr>
            <w:r w:rsidRPr="00E60957">
              <w:rPr>
                <w:color w:val="000000"/>
                <w:szCs w:val="21"/>
              </w:rPr>
              <w:t>2,555,837.19</w:t>
            </w:r>
          </w:p>
        </w:tc>
      </w:tr>
      <w:tr w:rsidR="0033700B" w:rsidRPr="006F14B8" w:rsidTr="00850FCB">
        <w:tc>
          <w:tcPr>
            <w:tcW w:w="2552" w:type="dxa"/>
          </w:tcPr>
          <w:p w:rsidR="0033700B" w:rsidRPr="006F14B8" w:rsidRDefault="0033700B" w:rsidP="005B2B01">
            <w:pPr>
              <w:ind w:firstLineChars="300" w:firstLine="630"/>
              <w:rPr>
                <w:color w:val="000000"/>
                <w:szCs w:val="21"/>
              </w:rPr>
            </w:pPr>
            <w:r w:rsidRPr="006F14B8">
              <w:rPr>
                <w:color w:val="000000"/>
                <w:szCs w:val="21"/>
              </w:rPr>
              <w:t>2.</w:t>
            </w:r>
            <w:r w:rsidRPr="006F14B8">
              <w:rPr>
                <w:color w:val="000000"/>
                <w:szCs w:val="21"/>
              </w:rPr>
              <w:t>基金赎回款</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-15,801,170.78</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-1,824,426.95</w:t>
            </w:r>
          </w:p>
        </w:tc>
        <w:tc>
          <w:tcPr>
            <w:tcW w:w="2150" w:type="dxa"/>
            <w:vAlign w:val="center"/>
          </w:tcPr>
          <w:p w:rsidR="0033700B" w:rsidRPr="00E60957" w:rsidRDefault="0033700B" w:rsidP="004A7CE8">
            <w:pPr>
              <w:spacing w:line="360" w:lineRule="auto"/>
              <w:jc w:val="right"/>
              <w:rPr>
                <w:color w:val="000000"/>
                <w:szCs w:val="21"/>
              </w:rPr>
            </w:pPr>
            <w:r w:rsidRPr="00E60957">
              <w:rPr>
                <w:color w:val="000000"/>
                <w:szCs w:val="21"/>
              </w:rPr>
              <w:t>-17,625,597.73</w:t>
            </w:r>
          </w:p>
        </w:tc>
      </w:tr>
      <w:tr w:rsidR="00B556A8" w:rsidRPr="006F14B8" w:rsidTr="00850FCB">
        <w:tc>
          <w:tcPr>
            <w:tcW w:w="2552" w:type="dxa"/>
          </w:tcPr>
          <w:p w:rsidR="00B556A8" w:rsidRPr="006F14B8" w:rsidRDefault="00B556A8">
            <w:pPr>
              <w:rPr>
                <w:color w:val="000000"/>
                <w:szCs w:val="21"/>
              </w:rPr>
            </w:pPr>
            <w:r w:rsidRPr="006F14B8">
              <w:rPr>
                <w:color w:val="000000"/>
                <w:szCs w:val="21"/>
              </w:rPr>
              <w:t>四、本期向基金份额持有人分配利润产生的基金净值变动（净值减少以</w:t>
            </w:r>
            <w:r w:rsidRPr="006F14B8">
              <w:rPr>
                <w:color w:val="000000"/>
                <w:szCs w:val="21"/>
              </w:rPr>
              <w:t>“-”</w:t>
            </w:r>
            <w:r w:rsidRPr="006F14B8">
              <w:rPr>
                <w:color w:val="000000"/>
                <w:szCs w:val="21"/>
              </w:rPr>
              <w:t>号填列）</w:t>
            </w:r>
          </w:p>
        </w:tc>
        <w:tc>
          <w:tcPr>
            <w:tcW w:w="2149" w:type="dxa"/>
            <w:vAlign w:val="center"/>
          </w:tcPr>
          <w:p w:rsidR="00B556A8" w:rsidRDefault="00B556A8" w:rsidP="000315A8">
            <w:pPr>
              <w:spacing w:line="360" w:lineRule="auto"/>
              <w:jc w:val="right"/>
              <w:rPr>
                <w:color w:val="000000"/>
                <w:szCs w:val="21"/>
              </w:rPr>
            </w:pPr>
            <w:r>
              <w:rPr>
                <w:color w:val="000000"/>
                <w:szCs w:val="21"/>
              </w:rPr>
              <w:t>-</w:t>
            </w:r>
          </w:p>
        </w:tc>
        <w:tc>
          <w:tcPr>
            <w:tcW w:w="2149" w:type="dxa"/>
            <w:vAlign w:val="center"/>
          </w:tcPr>
          <w:p w:rsidR="00B556A8" w:rsidRDefault="00B556A8" w:rsidP="000315A8">
            <w:pPr>
              <w:spacing w:line="360" w:lineRule="auto"/>
              <w:jc w:val="right"/>
              <w:rPr>
                <w:color w:val="000000"/>
                <w:szCs w:val="21"/>
              </w:rPr>
            </w:pPr>
            <w:r>
              <w:rPr>
                <w:color w:val="000000"/>
                <w:szCs w:val="21"/>
              </w:rPr>
              <w:t>-</w:t>
            </w:r>
          </w:p>
        </w:tc>
        <w:tc>
          <w:tcPr>
            <w:tcW w:w="2150" w:type="dxa"/>
            <w:vAlign w:val="center"/>
          </w:tcPr>
          <w:p w:rsidR="00B556A8" w:rsidRDefault="00B556A8" w:rsidP="000315A8">
            <w:pPr>
              <w:spacing w:line="360" w:lineRule="auto"/>
              <w:jc w:val="right"/>
              <w:rPr>
                <w:color w:val="000000"/>
                <w:szCs w:val="21"/>
              </w:rPr>
            </w:pPr>
            <w:r>
              <w:rPr>
                <w:color w:val="000000"/>
                <w:szCs w:val="21"/>
              </w:rPr>
              <w:t>-</w:t>
            </w:r>
          </w:p>
        </w:tc>
      </w:tr>
      <w:tr w:rsidR="0033700B" w:rsidRPr="00D42BE5" w:rsidTr="00850FCB">
        <w:tc>
          <w:tcPr>
            <w:tcW w:w="2552" w:type="dxa"/>
          </w:tcPr>
          <w:p w:rsidR="0033700B" w:rsidRPr="006F14B8" w:rsidRDefault="0033700B">
            <w:pPr>
              <w:rPr>
                <w:color w:val="000000"/>
                <w:szCs w:val="21"/>
              </w:rPr>
            </w:pPr>
            <w:r w:rsidRPr="006F14B8">
              <w:rPr>
                <w:color w:val="000000"/>
                <w:szCs w:val="21"/>
              </w:rPr>
              <w:t>五、期末所有者权益（基金净值）</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12,910,890.48</w:t>
            </w:r>
          </w:p>
        </w:tc>
        <w:tc>
          <w:tcPr>
            <w:tcW w:w="2149" w:type="dxa"/>
            <w:vAlign w:val="center"/>
          </w:tcPr>
          <w:p w:rsidR="0033700B" w:rsidRPr="00E60957" w:rsidRDefault="0033700B" w:rsidP="004A7CE8">
            <w:pPr>
              <w:spacing w:line="360" w:lineRule="auto"/>
              <w:jc w:val="right"/>
              <w:rPr>
                <w:color w:val="000000"/>
                <w:szCs w:val="21"/>
              </w:rPr>
            </w:pPr>
            <w:r w:rsidRPr="00E60957">
              <w:rPr>
                <w:color w:val="000000"/>
                <w:szCs w:val="21"/>
              </w:rPr>
              <w:t>2,485,035.42</w:t>
            </w:r>
          </w:p>
        </w:tc>
        <w:tc>
          <w:tcPr>
            <w:tcW w:w="2150" w:type="dxa"/>
            <w:vAlign w:val="center"/>
          </w:tcPr>
          <w:p w:rsidR="0033700B" w:rsidRPr="00E60957" w:rsidRDefault="0033700B" w:rsidP="004A7CE8">
            <w:pPr>
              <w:spacing w:line="360" w:lineRule="auto"/>
              <w:jc w:val="right"/>
              <w:rPr>
                <w:color w:val="000000"/>
                <w:szCs w:val="21"/>
              </w:rPr>
            </w:pPr>
            <w:r w:rsidRPr="00E60957">
              <w:rPr>
                <w:color w:val="000000"/>
                <w:szCs w:val="21"/>
              </w:rPr>
              <w:t>15,395,925.90</w:t>
            </w:r>
          </w:p>
        </w:tc>
      </w:tr>
    </w:tbl>
    <w:p w:rsidR="00C825CB" w:rsidRPr="00D42BE5" w:rsidRDefault="00C825CB" w:rsidP="005B2B01">
      <w:pPr>
        <w:spacing w:line="288" w:lineRule="auto"/>
        <w:ind w:firstLineChars="200" w:firstLine="420"/>
        <w:jc w:val="left"/>
        <w:rPr>
          <w:color w:val="000000"/>
          <w:kern w:val="0"/>
          <w:szCs w:val="21"/>
        </w:rPr>
      </w:pPr>
    </w:p>
    <w:p w:rsidR="0011359C" w:rsidRPr="0011359C" w:rsidRDefault="0011359C" w:rsidP="0011359C">
      <w:pPr>
        <w:spacing w:line="360" w:lineRule="auto"/>
        <w:ind w:firstLineChars="200" w:firstLine="420"/>
        <w:rPr>
          <w:rFonts w:asciiTheme="minorEastAsia" w:eastAsiaTheme="minorEastAsia" w:hAnsiTheme="minorEastAsia"/>
          <w:szCs w:val="21"/>
        </w:rPr>
      </w:pPr>
      <w:bookmarkStart w:id="25" w:name="_Toc225498272"/>
    </w:p>
    <w:p w:rsidR="00C825CB" w:rsidRDefault="004D1916" w:rsidP="00E34DD9">
      <w:pPr>
        <w:pStyle w:val="1"/>
        <w:keepNext/>
        <w:keepLines/>
        <w:widowControl w:val="0"/>
        <w:spacing w:beforeLines="100" w:afterLines="100" w:line="360" w:lineRule="auto"/>
        <w:jc w:val="center"/>
        <w:rPr>
          <w:b/>
          <w:bCs/>
          <w:sz w:val="21"/>
          <w:szCs w:val="21"/>
          <w:lang w:val="en-US"/>
        </w:rPr>
        <w:pPrChange w:id="26" w:author="ZHONGM" w:date="2018-03-09T00:37:00Z">
          <w:pPr>
            <w:pStyle w:val="1"/>
            <w:keepNext/>
            <w:keepLines/>
            <w:widowControl w:val="0"/>
            <w:spacing w:beforeLines="100" w:afterLines="100" w:line="360" w:lineRule="auto"/>
            <w:jc w:val="center"/>
          </w:pPr>
        </w:pPrChange>
      </w:pPr>
      <w:bookmarkStart w:id="27" w:name="_Toc490670313"/>
      <w:bookmarkStart w:id="28" w:name="_Toc225500055"/>
      <w:bookmarkEnd w:id="25"/>
      <w:r>
        <w:rPr>
          <w:rFonts w:hint="eastAsia"/>
          <w:b/>
          <w:bCs/>
          <w:sz w:val="21"/>
          <w:szCs w:val="21"/>
          <w:lang w:val="en-US"/>
        </w:rPr>
        <w:t>4</w:t>
      </w:r>
      <w:r w:rsidR="00C825CB">
        <w:rPr>
          <w:rFonts w:hint="eastAsia"/>
          <w:b/>
          <w:bCs/>
          <w:sz w:val="21"/>
          <w:szCs w:val="21"/>
          <w:lang w:val="en-US"/>
        </w:rPr>
        <w:t>清盘事项说明</w:t>
      </w:r>
      <w:bookmarkEnd w:id="27"/>
    </w:p>
    <w:p w:rsidR="003B0EE4" w:rsidRDefault="004D1916">
      <w:pPr>
        <w:pStyle w:val="20"/>
        <w:spacing w:before="0" w:after="0"/>
        <w:rPr>
          <w:b w:val="0"/>
          <w:kern w:val="0"/>
          <w:szCs w:val="21"/>
        </w:rPr>
      </w:pPr>
      <w:bookmarkStart w:id="29" w:name="_Toc490670314"/>
      <w:r>
        <w:rPr>
          <w:rFonts w:ascii="Times New Roman" w:hAnsi="Times New Roman" w:hint="eastAsia"/>
          <w:kern w:val="0"/>
          <w:sz w:val="21"/>
          <w:szCs w:val="21"/>
        </w:rPr>
        <w:t>4</w:t>
      </w:r>
      <w:r w:rsidR="00BE362C" w:rsidRPr="00BE362C">
        <w:rPr>
          <w:rFonts w:ascii="Times New Roman" w:hAnsi="Times New Roman"/>
          <w:kern w:val="0"/>
          <w:sz w:val="21"/>
          <w:szCs w:val="21"/>
        </w:rPr>
        <w:t xml:space="preserve">.1 </w:t>
      </w:r>
      <w:r w:rsidR="00BE362C" w:rsidRPr="00BE362C">
        <w:rPr>
          <w:rFonts w:ascii="Times New Roman" w:hAnsi="Times New Roman" w:hint="eastAsia"/>
          <w:kern w:val="0"/>
          <w:sz w:val="21"/>
          <w:szCs w:val="21"/>
        </w:rPr>
        <w:t>基金基本情况</w:t>
      </w:r>
      <w:bookmarkEnd w:id="29"/>
    </w:p>
    <w:p w:rsidR="00F26DCF" w:rsidRPr="00F26DCF" w:rsidRDefault="00F26DCF" w:rsidP="00F26DCF">
      <w:pPr>
        <w:spacing w:line="360" w:lineRule="auto"/>
        <w:ind w:firstLineChars="200" w:firstLine="420"/>
        <w:rPr>
          <w:color w:val="000000"/>
          <w:szCs w:val="21"/>
        </w:rPr>
      </w:pPr>
      <w:r w:rsidRPr="00F26DCF">
        <w:rPr>
          <w:rFonts w:hint="eastAsia"/>
          <w:color w:val="000000"/>
          <w:szCs w:val="21"/>
        </w:rPr>
        <w:t>国泰美国房地产开发股票型证券投资基金</w:t>
      </w:r>
      <w:r w:rsidRPr="00F26DCF">
        <w:rPr>
          <w:rFonts w:hint="eastAsia"/>
          <w:color w:val="000000"/>
          <w:szCs w:val="21"/>
        </w:rPr>
        <w:t>(</w:t>
      </w:r>
      <w:r w:rsidRPr="00F26DCF">
        <w:rPr>
          <w:rFonts w:hint="eastAsia"/>
          <w:color w:val="000000"/>
          <w:szCs w:val="21"/>
        </w:rPr>
        <w:t>以下简称“本基金”</w:t>
      </w:r>
      <w:r w:rsidRPr="00F26DCF">
        <w:rPr>
          <w:rFonts w:hint="eastAsia"/>
          <w:color w:val="000000"/>
          <w:szCs w:val="21"/>
        </w:rPr>
        <w:t>)</w:t>
      </w:r>
      <w:r w:rsidRPr="00F26DCF">
        <w:rPr>
          <w:rFonts w:hint="eastAsia"/>
          <w:color w:val="000000"/>
          <w:szCs w:val="21"/>
        </w:rPr>
        <w:t>经中国证券监督管理委员会</w:t>
      </w:r>
      <w:r w:rsidRPr="00F26DCF">
        <w:rPr>
          <w:rFonts w:hint="eastAsia"/>
          <w:color w:val="000000"/>
          <w:szCs w:val="21"/>
        </w:rPr>
        <w:t>(</w:t>
      </w:r>
      <w:r w:rsidRPr="00F26DCF">
        <w:rPr>
          <w:rFonts w:hint="eastAsia"/>
          <w:color w:val="000000"/>
          <w:szCs w:val="21"/>
        </w:rPr>
        <w:t>以下简称“中国证监会”</w:t>
      </w:r>
      <w:r w:rsidRPr="00F26DCF">
        <w:rPr>
          <w:rFonts w:hint="eastAsia"/>
          <w:color w:val="000000"/>
          <w:szCs w:val="21"/>
        </w:rPr>
        <w:t>)</w:t>
      </w:r>
      <w:r w:rsidRPr="00F26DCF">
        <w:rPr>
          <w:rFonts w:hint="eastAsia"/>
          <w:color w:val="000000"/>
          <w:szCs w:val="21"/>
        </w:rPr>
        <w:t>证监许可</w:t>
      </w:r>
      <w:r w:rsidRPr="00F26DCF">
        <w:rPr>
          <w:rFonts w:hint="eastAsia"/>
          <w:color w:val="000000"/>
          <w:szCs w:val="21"/>
        </w:rPr>
        <w:t>[2013]646</w:t>
      </w:r>
      <w:r w:rsidRPr="00F26DCF">
        <w:rPr>
          <w:rFonts w:hint="eastAsia"/>
          <w:color w:val="000000"/>
          <w:szCs w:val="21"/>
        </w:rPr>
        <w:t>号《关于核准国泰美国房地产开发股票型证券投资基金募集的批复》核准，由国泰基金管理有限公司依照《中华人民共和国证券投资基金法》、《合格境内机构投资者境外证券投资管理试行办法》和《国泰美国房地产开发股票型证券投资基金基金合同》负责公开募集。本基金为契约型开放式，存续期限不定，首次设立募集不包括认购资金利息共募集人民币</w:t>
      </w:r>
      <w:r w:rsidRPr="00F26DCF">
        <w:rPr>
          <w:rFonts w:hint="eastAsia"/>
          <w:color w:val="000000"/>
          <w:szCs w:val="21"/>
        </w:rPr>
        <w:t>211,991,980.05</w:t>
      </w:r>
      <w:r w:rsidRPr="00F26DCF">
        <w:rPr>
          <w:rFonts w:hint="eastAsia"/>
          <w:color w:val="000000"/>
          <w:szCs w:val="21"/>
        </w:rPr>
        <w:t>元，业经普华永道中天会计师事务所</w:t>
      </w:r>
      <w:r w:rsidRPr="00F26DCF">
        <w:rPr>
          <w:rFonts w:hint="eastAsia"/>
          <w:color w:val="000000"/>
          <w:szCs w:val="21"/>
        </w:rPr>
        <w:t>(</w:t>
      </w:r>
      <w:r w:rsidRPr="00F26DCF">
        <w:rPr>
          <w:rFonts w:hint="eastAsia"/>
          <w:color w:val="000000"/>
          <w:szCs w:val="21"/>
        </w:rPr>
        <w:t>特殊普通合伙</w:t>
      </w:r>
      <w:r w:rsidRPr="00F26DCF">
        <w:rPr>
          <w:rFonts w:hint="eastAsia"/>
          <w:color w:val="000000"/>
          <w:szCs w:val="21"/>
        </w:rPr>
        <w:t>)</w:t>
      </w:r>
      <w:r w:rsidRPr="00F26DCF">
        <w:rPr>
          <w:rFonts w:hint="eastAsia"/>
          <w:color w:val="000000"/>
          <w:szCs w:val="21"/>
        </w:rPr>
        <w:t>普华永道中天验字</w:t>
      </w:r>
      <w:r w:rsidRPr="00F26DCF">
        <w:rPr>
          <w:rFonts w:hint="eastAsia"/>
          <w:color w:val="000000"/>
          <w:szCs w:val="21"/>
        </w:rPr>
        <w:t>(2013)</w:t>
      </w:r>
      <w:r w:rsidRPr="00F26DCF">
        <w:rPr>
          <w:rFonts w:hint="eastAsia"/>
          <w:color w:val="000000"/>
          <w:szCs w:val="21"/>
        </w:rPr>
        <w:t>第</w:t>
      </w:r>
      <w:r w:rsidRPr="00F26DCF">
        <w:rPr>
          <w:rFonts w:hint="eastAsia"/>
          <w:color w:val="000000"/>
          <w:szCs w:val="21"/>
        </w:rPr>
        <w:t>401</w:t>
      </w:r>
      <w:r w:rsidRPr="00F26DCF">
        <w:rPr>
          <w:rFonts w:hint="eastAsia"/>
          <w:color w:val="000000"/>
          <w:szCs w:val="21"/>
        </w:rPr>
        <w:t>号验资报告予以验证。经向中国证监会备案，《国泰美国房地产开发股票型证券投资基金基金合同》于</w:t>
      </w:r>
      <w:r w:rsidRPr="00F26DCF">
        <w:rPr>
          <w:rFonts w:hint="eastAsia"/>
          <w:color w:val="000000"/>
          <w:szCs w:val="21"/>
        </w:rPr>
        <w:t>2013</w:t>
      </w:r>
      <w:r w:rsidRPr="00F26DCF">
        <w:rPr>
          <w:rFonts w:hint="eastAsia"/>
          <w:color w:val="000000"/>
          <w:szCs w:val="21"/>
        </w:rPr>
        <w:t>年</w:t>
      </w:r>
      <w:r w:rsidRPr="00F26DCF">
        <w:rPr>
          <w:rFonts w:hint="eastAsia"/>
          <w:color w:val="000000"/>
          <w:szCs w:val="21"/>
        </w:rPr>
        <w:t>8</w:t>
      </w:r>
      <w:r w:rsidRPr="00F26DCF">
        <w:rPr>
          <w:rFonts w:hint="eastAsia"/>
          <w:color w:val="000000"/>
          <w:szCs w:val="21"/>
        </w:rPr>
        <w:t>月</w:t>
      </w:r>
      <w:r w:rsidRPr="00F26DCF">
        <w:rPr>
          <w:rFonts w:hint="eastAsia"/>
          <w:color w:val="000000"/>
          <w:szCs w:val="21"/>
        </w:rPr>
        <w:t>7</w:t>
      </w:r>
      <w:r w:rsidRPr="00F26DCF">
        <w:rPr>
          <w:rFonts w:hint="eastAsia"/>
          <w:color w:val="000000"/>
          <w:szCs w:val="21"/>
        </w:rPr>
        <w:t>日正式生效，基金合同生效日的基金份额总额为</w:t>
      </w:r>
      <w:r w:rsidRPr="00F26DCF">
        <w:rPr>
          <w:rFonts w:hint="eastAsia"/>
          <w:color w:val="000000"/>
          <w:szCs w:val="21"/>
        </w:rPr>
        <w:t>212,041,583.97</w:t>
      </w:r>
      <w:r w:rsidRPr="00F26DCF">
        <w:rPr>
          <w:rFonts w:hint="eastAsia"/>
          <w:color w:val="000000"/>
          <w:szCs w:val="21"/>
        </w:rPr>
        <w:t>份基金份额，其中认购资金利息折合</w:t>
      </w:r>
      <w:r w:rsidRPr="00F26DCF">
        <w:rPr>
          <w:rFonts w:hint="eastAsia"/>
          <w:color w:val="000000"/>
          <w:szCs w:val="21"/>
        </w:rPr>
        <w:t>49,603.92</w:t>
      </w:r>
      <w:r w:rsidRPr="00F26DCF">
        <w:rPr>
          <w:rFonts w:hint="eastAsia"/>
          <w:color w:val="000000"/>
          <w:szCs w:val="21"/>
        </w:rPr>
        <w:t>份基金份额。本基金的基金管理人为国泰基金管理有限公司，基金托管人为中国银行股份有限公司。</w:t>
      </w:r>
    </w:p>
    <w:p w:rsidR="00994A41" w:rsidRPr="006F14B8" w:rsidRDefault="00F26DCF" w:rsidP="00F26DCF">
      <w:pPr>
        <w:spacing w:line="360" w:lineRule="auto"/>
        <w:ind w:firstLineChars="200" w:firstLine="420"/>
        <w:rPr>
          <w:color w:val="000000"/>
          <w:szCs w:val="21"/>
        </w:rPr>
      </w:pPr>
      <w:r w:rsidRPr="00F26DCF">
        <w:rPr>
          <w:rFonts w:hint="eastAsia"/>
          <w:color w:val="000000"/>
          <w:szCs w:val="21"/>
        </w:rPr>
        <w:t>根据《中华人民共和国证券投资基金法》、《合格境内机构投资者境外证券投资管理试行办法》和《国泰美国房地产开发股票型证券投资基金基金合同》的有关规定，本基金的投资范围为全球证券市场中具有良好流动性的金融工具，包括股票、债券、基金</w:t>
      </w:r>
      <w:r w:rsidRPr="00F26DCF">
        <w:rPr>
          <w:rFonts w:hint="eastAsia"/>
          <w:color w:val="000000"/>
          <w:szCs w:val="21"/>
        </w:rPr>
        <w:t>(</w:t>
      </w:r>
      <w:r w:rsidRPr="00F26DCF">
        <w:rPr>
          <w:rFonts w:hint="eastAsia"/>
          <w:color w:val="000000"/>
          <w:szCs w:val="21"/>
        </w:rPr>
        <w:t>包括</w:t>
      </w:r>
      <w:r w:rsidRPr="00F26DCF">
        <w:rPr>
          <w:rFonts w:hint="eastAsia"/>
          <w:color w:val="000000"/>
          <w:szCs w:val="21"/>
        </w:rPr>
        <w:t>ETF)</w:t>
      </w:r>
      <w:r w:rsidRPr="00F26DCF">
        <w:rPr>
          <w:rFonts w:hint="eastAsia"/>
          <w:color w:val="000000"/>
          <w:szCs w:val="21"/>
        </w:rPr>
        <w:t>、房地产信托投资基金</w:t>
      </w:r>
      <w:r w:rsidRPr="00F26DCF">
        <w:rPr>
          <w:rFonts w:hint="eastAsia"/>
          <w:color w:val="000000"/>
          <w:szCs w:val="21"/>
        </w:rPr>
        <w:t>(REITs)</w:t>
      </w:r>
      <w:r w:rsidRPr="00F26DCF">
        <w:rPr>
          <w:rFonts w:hint="eastAsia"/>
          <w:color w:val="000000"/>
          <w:szCs w:val="21"/>
        </w:rPr>
        <w:t>、资产支持证券、货币市场工具、结构性投资产品、信用违约互换</w:t>
      </w:r>
      <w:r w:rsidRPr="00F26DCF">
        <w:rPr>
          <w:rFonts w:hint="eastAsia"/>
          <w:color w:val="000000"/>
          <w:szCs w:val="21"/>
        </w:rPr>
        <w:t>(CDS)</w:t>
      </w:r>
      <w:r w:rsidRPr="00F26DCF">
        <w:rPr>
          <w:rFonts w:hint="eastAsia"/>
          <w:color w:val="000000"/>
          <w:szCs w:val="21"/>
        </w:rPr>
        <w:t>等金融衍生品以及法律法规或中国证监会允许基金投资的其他金融工具</w:t>
      </w:r>
      <w:r w:rsidRPr="00F26DCF">
        <w:rPr>
          <w:rFonts w:hint="eastAsia"/>
          <w:color w:val="000000"/>
          <w:szCs w:val="21"/>
        </w:rPr>
        <w:t>(</w:t>
      </w:r>
      <w:r w:rsidRPr="00F26DCF">
        <w:rPr>
          <w:rFonts w:hint="eastAsia"/>
          <w:color w:val="000000"/>
          <w:szCs w:val="21"/>
        </w:rPr>
        <w:t>但须符合中国证监会的相关规定</w:t>
      </w:r>
      <w:r w:rsidRPr="00F26DCF">
        <w:rPr>
          <w:rFonts w:hint="eastAsia"/>
          <w:color w:val="000000"/>
          <w:szCs w:val="21"/>
        </w:rPr>
        <w:t>)</w:t>
      </w:r>
      <w:r w:rsidRPr="00F26DCF">
        <w:rPr>
          <w:rFonts w:hint="eastAsia"/>
          <w:color w:val="000000"/>
          <w:szCs w:val="21"/>
        </w:rPr>
        <w:t>。本基金的投资组合比例为：投资的股票类资产合计不低于基金资产的</w:t>
      </w:r>
      <w:r w:rsidRPr="00F26DCF">
        <w:rPr>
          <w:rFonts w:hint="eastAsia"/>
          <w:color w:val="000000"/>
          <w:szCs w:val="21"/>
        </w:rPr>
        <w:t>80%</w:t>
      </w:r>
      <w:r w:rsidRPr="00F26DCF">
        <w:rPr>
          <w:rFonts w:hint="eastAsia"/>
          <w:color w:val="000000"/>
          <w:szCs w:val="21"/>
        </w:rPr>
        <w:t>。其中，投资在美国上市的美国房地产开发相关股票的比例不低于基金非现金资产的</w:t>
      </w:r>
      <w:r w:rsidRPr="00F26DCF">
        <w:rPr>
          <w:rFonts w:hint="eastAsia"/>
          <w:color w:val="000000"/>
          <w:szCs w:val="21"/>
        </w:rPr>
        <w:t>80%</w:t>
      </w:r>
      <w:r w:rsidRPr="00F26DCF">
        <w:rPr>
          <w:rFonts w:hint="eastAsia"/>
          <w:color w:val="000000"/>
          <w:szCs w:val="21"/>
        </w:rPr>
        <w:t>。美国房地产开发相关的行业有房屋建筑、建材、家具、装修零售、家具零售、家电、房贷机构等。现金或者到期日在</w:t>
      </w:r>
      <w:r w:rsidRPr="00F26DCF">
        <w:rPr>
          <w:rFonts w:hint="eastAsia"/>
          <w:color w:val="000000"/>
          <w:szCs w:val="21"/>
        </w:rPr>
        <w:t>1</w:t>
      </w:r>
      <w:r w:rsidRPr="00F26DCF">
        <w:rPr>
          <w:rFonts w:hint="eastAsia"/>
          <w:color w:val="000000"/>
          <w:szCs w:val="21"/>
        </w:rPr>
        <w:t>年以内的政府债券不低于基金资产净值的</w:t>
      </w:r>
      <w:r w:rsidRPr="00F26DCF">
        <w:rPr>
          <w:rFonts w:hint="eastAsia"/>
          <w:color w:val="000000"/>
          <w:szCs w:val="21"/>
        </w:rPr>
        <w:t>5%</w:t>
      </w:r>
      <w:r w:rsidRPr="00F26DCF">
        <w:rPr>
          <w:rFonts w:hint="eastAsia"/>
          <w:color w:val="000000"/>
          <w:szCs w:val="21"/>
        </w:rPr>
        <w:t>。本基金的业绩比较基准为：</w:t>
      </w:r>
      <w:r w:rsidRPr="00F26DCF">
        <w:rPr>
          <w:rFonts w:hint="eastAsia"/>
          <w:color w:val="000000"/>
          <w:szCs w:val="21"/>
        </w:rPr>
        <w:t>(</w:t>
      </w:r>
      <w:r w:rsidRPr="00F26DCF">
        <w:rPr>
          <w:rFonts w:hint="eastAsia"/>
          <w:color w:val="000000"/>
          <w:szCs w:val="21"/>
        </w:rPr>
        <w:t>经估值日汇率调整后的</w:t>
      </w:r>
      <w:r w:rsidRPr="00F26DCF">
        <w:rPr>
          <w:rFonts w:hint="eastAsia"/>
          <w:color w:val="000000"/>
          <w:szCs w:val="21"/>
        </w:rPr>
        <w:t>)</w:t>
      </w:r>
      <w:r w:rsidRPr="00F26DCF">
        <w:rPr>
          <w:rFonts w:hint="eastAsia"/>
          <w:color w:val="000000"/>
          <w:szCs w:val="21"/>
        </w:rPr>
        <w:t>标普房地产开发商总收益指数</w:t>
      </w:r>
      <w:r w:rsidRPr="00F26DCF">
        <w:rPr>
          <w:rFonts w:hint="eastAsia"/>
          <w:color w:val="000000"/>
          <w:szCs w:val="21"/>
        </w:rPr>
        <w:t>(S&amp;P Homebuilders Select Industry Total Return Index)</w:t>
      </w:r>
      <w:r w:rsidRPr="00F26DCF">
        <w:rPr>
          <w:rFonts w:hint="eastAsia"/>
          <w:color w:val="000000"/>
          <w:szCs w:val="21"/>
        </w:rPr>
        <w:t>。</w:t>
      </w:r>
    </w:p>
    <w:p w:rsidR="00F26DCF" w:rsidRPr="006F14B8" w:rsidRDefault="00BD66DD" w:rsidP="00F26DCF">
      <w:pPr>
        <w:spacing w:line="360" w:lineRule="auto"/>
        <w:ind w:firstLineChars="200" w:firstLine="420"/>
        <w:rPr>
          <w:color w:val="000000"/>
          <w:szCs w:val="21"/>
        </w:rPr>
      </w:pPr>
      <w:r w:rsidRPr="00406694">
        <w:rPr>
          <w:rFonts w:hint="eastAsia"/>
          <w:color w:val="000000"/>
          <w:szCs w:val="21"/>
        </w:rPr>
        <w:t>根据市场</w:t>
      </w:r>
      <w:r>
        <w:rPr>
          <w:color w:val="000000"/>
          <w:szCs w:val="21"/>
        </w:rPr>
        <w:t>环境变化</w:t>
      </w:r>
      <w:r>
        <w:rPr>
          <w:rFonts w:hint="eastAsia"/>
          <w:color w:val="000000"/>
          <w:szCs w:val="21"/>
        </w:rPr>
        <w:t>，</w:t>
      </w:r>
      <w:r>
        <w:rPr>
          <w:color w:val="000000"/>
          <w:szCs w:val="21"/>
        </w:rPr>
        <w:t>为维护基金份额持有人利益</w:t>
      </w:r>
      <w:r>
        <w:rPr>
          <w:rFonts w:hint="eastAsia"/>
          <w:color w:val="000000"/>
          <w:szCs w:val="21"/>
        </w:rPr>
        <w:t>，</w:t>
      </w:r>
      <w:r>
        <w:rPr>
          <w:color w:val="000000"/>
          <w:szCs w:val="21"/>
        </w:rPr>
        <w:t>基金管理人根据</w:t>
      </w:r>
      <w:r>
        <w:rPr>
          <w:rFonts w:hint="eastAsia"/>
          <w:color w:val="000000"/>
          <w:szCs w:val="21"/>
        </w:rPr>
        <w:t>《中华人民共和国证券投资基金法》、《公开募集证券投资基金运作管理办法》和《基金合同》的有关规定，提议终止《基金合同》。本基金于</w:t>
      </w:r>
      <w:r>
        <w:rPr>
          <w:rFonts w:hint="eastAsia"/>
          <w:color w:val="000000"/>
          <w:szCs w:val="21"/>
        </w:rPr>
        <w:t>2017</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19</w:t>
      </w:r>
      <w:r>
        <w:rPr>
          <w:rFonts w:hint="eastAsia"/>
          <w:color w:val="000000"/>
          <w:szCs w:val="21"/>
        </w:rPr>
        <w:t>日在上海以</w:t>
      </w:r>
      <w:r>
        <w:rPr>
          <w:color w:val="000000"/>
          <w:szCs w:val="21"/>
        </w:rPr>
        <w:t>现场开会方式</w:t>
      </w:r>
      <w:r>
        <w:rPr>
          <w:rFonts w:hint="eastAsia"/>
          <w:color w:val="000000"/>
          <w:szCs w:val="21"/>
        </w:rPr>
        <w:t>召开了基金份额持有人大会，会议审议通过了《关于终止国泰</w:t>
      </w:r>
      <w:r>
        <w:rPr>
          <w:color w:val="000000"/>
          <w:kern w:val="0"/>
          <w:szCs w:val="21"/>
        </w:rPr>
        <w:t>美国房地产开发股票</w:t>
      </w:r>
      <w:r>
        <w:rPr>
          <w:rFonts w:hint="eastAsia"/>
          <w:color w:val="000000"/>
          <w:szCs w:val="21"/>
        </w:rPr>
        <w:t>型证券投资基金基金合同有关事项的议案》。自该日起本次基金份额持有人大会决议生效。基金管理人于</w:t>
      </w:r>
      <w:r>
        <w:rPr>
          <w:rFonts w:hint="eastAsia"/>
          <w:color w:val="000000"/>
          <w:szCs w:val="21"/>
        </w:rPr>
        <w:t>2017</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20</w:t>
      </w:r>
      <w:r>
        <w:rPr>
          <w:rFonts w:hint="eastAsia"/>
          <w:color w:val="000000"/>
          <w:szCs w:val="21"/>
        </w:rPr>
        <w:t>日在《中国证券报》、《上海证券报》、《证券时报》和基金管理人网站刊登了《国泰</w:t>
      </w:r>
      <w:r>
        <w:rPr>
          <w:color w:val="000000"/>
          <w:kern w:val="0"/>
          <w:szCs w:val="21"/>
        </w:rPr>
        <w:t>美国房地产开发股票</w:t>
      </w:r>
      <w:r>
        <w:rPr>
          <w:rFonts w:hint="eastAsia"/>
          <w:color w:val="000000"/>
          <w:szCs w:val="21"/>
        </w:rPr>
        <w:t>型证券投资基金基金份额持有人大会表决结果暨决议生效的公告》。依据生效的基金份额持有人大会决议，本基金从</w:t>
      </w:r>
      <w:r>
        <w:rPr>
          <w:rFonts w:hint="eastAsia"/>
          <w:color w:val="000000"/>
          <w:szCs w:val="21"/>
        </w:rPr>
        <w:t>2017</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20</w:t>
      </w:r>
      <w:r>
        <w:rPr>
          <w:rFonts w:hint="eastAsia"/>
          <w:color w:val="000000"/>
          <w:szCs w:val="21"/>
        </w:rPr>
        <w:t>日起进入清算期。</w:t>
      </w:r>
    </w:p>
    <w:p w:rsidR="00CE5129" w:rsidRPr="001A2767" w:rsidRDefault="00F26DCF" w:rsidP="00F26DCF">
      <w:pPr>
        <w:spacing w:line="360" w:lineRule="auto"/>
        <w:ind w:firstLineChars="200" w:firstLine="420"/>
        <w:rPr>
          <w:color w:val="000000" w:themeColor="text1"/>
          <w:szCs w:val="21"/>
        </w:rPr>
      </w:pPr>
      <w:r w:rsidRPr="006F14B8">
        <w:rPr>
          <w:rFonts w:hint="eastAsia"/>
          <w:color w:val="000000"/>
          <w:szCs w:val="21"/>
        </w:rPr>
        <w:t>本基金清算期为</w:t>
      </w:r>
      <w:r>
        <w:rPr>
          <w:color w:val="000000"/>
          <w:szCs w:val="21"/>
        </w:rPr>
        <w:t>2017</w:t>
      </w:r>
      <w:r>
        <w:rPr>
          <w:color w:val="000000"/>
          <w:szCs w:val="21"/>
        </w:rPr>
        <w:t>年</w:t>
      </w:r>
      <w:r>
        <w:rPr>
          <w:color w:val="000000"/>
          <w:szCs w:val="21"/>
        </w:rPr>
        <w:t>12</w:t>
      </w:r>
      <w:r>
        <w:rPr>
          <w:color w:val="000000"/>
          <w:szCs w:val="21"/>
        </w:rPr>
        <w:t>月</w:t>
      </w:r>
      <w:r>
        <w:rPr>
          <w:rFonts w:hint="eastAsia"/>
          <w:color w:val="000000"/>
          <w:szCs w:val="21"/>
        </w:rPr>
        <w:t>20</w:t>
      </w:r>
      <w:r>
        <w:rPr>
          <w:color w:val="000000"/>
          <w:szCs w:val="21"/>
        </w:rPr>
        <w:t>日</w:t>
      </w:r>
      <w:r w:rsidRPr="006F14B8">
        <w:rPr>
          <w:rFonts w:hint="eastAsia"/>
          <w:color w:val="000000"/>
          <w:szCs w:val="21"/>
        </w:rPr>
        <w:t>到</w:t>
      </w:r>
      <w:r w:rsidRPr="00AC1939">
        <w:rPr>
          <w:color w:val="000000"/>
          <w:szCs w:val="21"/>
        </w:rPr>
        <w:t>2018</w:t>
      </w:r>
      <w:r w:rsidRPr="00AC1939">
        <w:rPr>
          <w:rFonts w:hint="eastAsia"/>
          <w:color w:val="000000"/>
          <w:szCs w:val="21"/>
        </w:rPr>
        <w:t>年</w:t>
      </w:r>
      <w:r w:rsidR="00AD5F1D" w:rsidRPr="00AC1939">
        <w:rPr>
          <w:color w:val="000000"/>
          <w:szCs w:val="21"/>
        </w:rPr>
        <w:t>1</w:t>
      </w:r>
      <w:r w:rsidRPr="00AC1939">
        <w:rPr>
          <w:rFonts w:hint="eastAsia"/>
          <w:color w:val="000000"/>
          <w:szCs w:val="21"/>
        </w:rPr>
        <w:t>月</w:t>
      </w:r>
      <w:r w:rsidR="00AD5F1D" w:rsidRPr="00AC1939">
        <w:rPr>
          <w:color w:val="000000"/>
          <w:szCs w:val="21"/>
        </w:rPr>
        <w:t>15</w:t>
      </w:r>
      <w:r w:rsidRPr="00AC1939">
        <w:rPr>
          <w:rFonts w:hint="eastAsia"/>
          <w:color w:val="000000"/>
          <w:szCs w:val="21"/>
        </w:rPr>
        <w:t>日</w:t>
      </w:r>
      <w:r w:rsidRPr="006F14B8">
        <w:rPr>
          <w:rFonts w:hint="eastAsia"/>
          <w:color w:val="000000"/>
          <w:szCs w:val="21"/>
        </w:rPr>
        <w:t>。由基金管理人国泰基金管理有限公司、基金托管人</w:t>
      </w:r>
      <w:r>
        <w:rPr>
          <w:rFonts w:hint="eastAsia"/>
          <w:color w:val="000000"/>
          <w:szCs w:val="21"/>
        </w:rPr>
        <w:t>中国银行股份有限公司</w:t>
      </w:r>
      <w:r w:rsidRPr="006F14B8">
        <w:rPr>
          <w:rFonts w:hint="eastAsia"/>
          <w:color w:val="000000"/>
          <w:szCs w:val="21"/>
        </w:rPr>
        <w:t>、普华永道中天会计师事务所（</w:t>
      </w:r>
      <w:r w:rsidRPr="001A2767">
        <w:rPr>
          <w:rFonts w:hint="eastAsia"/>
          <w:color w:val="000000" w:themeColor="text1"/>
          <w:szCs w:val="21"/>
        </w:rPr>
        <w:t>特殊普通合伙）和上海市通力律师事务所于</w:t>
      </w:r>
      <w:r>
        <w:rPr>
          <w:color w:val="000000" w:themeColor="text1"/>
          <w:szCs w:val="21"/>
        </w:rPr>
        <w:t>2017</w:t>
      </w:r>
      <w:r>
        <w:rPr>
          <w:color w:val="000000" w:themeColor="text1"/>
          <w:szCs w:val="21"/>
        </w:rPr>
        <w:t>年</w:t>
      </w:r>
      <w:r>
        <w:rPr>
          <w:color w:val="000000" w:themeColor="text1"/>
          <w:szCs w:val="21"/>
        </w:rPr>
        <w:t>12</w:t>
      </w:r>
      <w:r>
        <w:rPr>
          <w:color w:val="000000" w:themeColor="text1"/>
          <w:szCs w:val="21"/>
        </w:rPr>
        <w:t>月</w:t>
      </w:r>
      <w:r>
        <w:rPr>
          <w:rFonts w:hint="eastAsia"/>
          <w:color w:val="000000" w:themeColor="text1"/>
          <w:szCs w:val="21"/>
        </w:rPr>
        <w:t>20</w:t>
      </w:r>
      <w:r>
        <w:rPr>
          <w:color w:val="000000" w:themeColor="text1"/>
          <w:szCs w:val="21"/>
        </w:rPr>
        <w:t>日</w:t>
      </w:r>
      <w:r w:rsidRPr="001A2767">
        <w:rPr>
          <w:rFonts w:hint="eastAsia"/>
          <w:color w:val="000000" w:themeColor="text1"/>
          <w:szCs w:val="21"/>
        </w:rPr>
        <w:t>组成基金财产清算组履行基金财产清算程序，并由普华永道中天会计师事务所（特殊普通合伙）对清算报告进行审计，上海市通力律师</w:t>
      </w:r>
      <w:r w:rsidRPr="006F14B8">
        <w:rPr>
          <w:rFonts w:hint="eastAsia"/>
          <w:szCs w:val="21"/>
        </w:rPr>
        <w:t>事务所对清算报告出具法律意见。</w:t>
      </w:r>
    </w:p>
    <w:p w:rsidR="00135DDD" w:rsidRPr="001A2767" w:rsidRDefault="004D1916" w:rsidP="00135DDD">
      <w:pPr>
        <w:pStyle w:val="20"/>
        <w:spacing w:before="0" w:after="0"/>
        <w:rPr>
          <w:rFonts w:ascii="Times New Roman" w:hAnsi="Times New Roman"/>
          <w:color w:val="000000" w:themeColor="text1"/>
          <w:kern w:val="0"/>
          <w:sz w:val="21"/>
          <w:szCs w:val="21"/>
        </w:rPr>
      </w:pPr>
      <w:bookmarkStart w:id="30" w:name="_Toc490670315"/>
      <w:r w:rsidRPr="001A2767">
        <w:rPr>
          <w:rFonts w:ascii="Times New Roman" w:hAnsi="Times New Roman" w:hint="eastAsia"/>
          <w:color w:val="000000" w:themeColor="text1"/>
          <w:kern w:val="0"/>
          <w:sz w:val="21"/>
          <w:szCs w:val="21"/>
        </w:rPr>
        <w:t>4</w:t>
      </w:r>
      <w:r w:rsidR="00135DDD" w:rsidRPr="001A2767">
        <w:rPr>
          <w:rFonts w:ascii="Times New Roman" w:hAnsi="Times New Roman"/>
          <w:color w:val="000000" w:themeColor="text1"/>
          <w:kern w:val="0"/>
          <w:sz w:val="21"/>
          <w:szCs w:val="21"/>
        </w:rPr>
        <w:t>.</w:t>
      </w:r>
      <w:r w:rsidR="00135DDD" w:rsidRPr="001A2767">
        <w:rPr>
          <w:rFonts w:ascii="Times New Roman" w:hAnsi="Times New Roman" w:hint="eastAsia"/>
          <w:color w:val="000000" w:themeColor="text1"/>
          <w:kern w:val="0"/>
          <w:sz w:val="21"/>
          <w:szCs w:val="21"/>
        </w:rPr>
        <w:t xml:space="preserve">2 </w:t>
      </w:r>
      <w:r w:rsidR="00135DDD" w:rsidRPr="001A2767">
        <w:rPr>
          <w:rFonts w:ascii="Times New Roman" w:hAnsi="Times New Roman" w:hint="eastAsia"/>
          <w:color w:val="000000" w:themeColor="text1"/>
          <w:kern w:val="0"/>
          <w:sz w:val="21"/>
          <w:szCs w:val="21"/>
        </w:rPr>
        <w:t>清算原因</w:t>
      </w:r>
      <w:bookmarkEnd w:id="30"/>
    </w:p>
    <w:p w:rsidR="00F26111" w:rsidRDefault="00727C5F" w:rsidP="00F26111">
      <w:pPr>
        <w:spacing w:line="360" w:lineRule="auto"/>
        <w:ind w:firstLineChars="200" w:firstLine="420"/>
        <w:rPr>
          <w:color w:val="000000"/>
          <w:szCs w:val="21"/>
        </w:rPr>
      </w:pPr>
      <w:bookmarkStart w:id="31" w:name="_Toc490670316"/>
      <w:r w:rsidRPr="00406694">
        <w:rPr>
          <w:rFonts w:hint="eastAsia"/>
          <w:color w:val="000000"/>
          <w:szCs w:val="21"/>
        </w:rPr>
        <w:t>本基金</w:t>
      </w:r>
      <w:r>
        <w:rPr>
          <w:rFonts w:hint="eastAsia"/>
          <w:color w:val="000000"/>
          <w:szCs w:val="21"/>
        </w:rPr>
        <w:t>基金份额持有人大会审议通过《关于终止国泰</w:t>
      </w:r>
      <w:r>
        <w:rPr>
          <w:color w:val="000000"/>
          <w:kern w:val="0"/>
          <w:szCs w:val="21"/>
        </w:rPr>
        <w:t>美国房地产开发股票</w:t>
      </w:r>
      <w:r>
        <w:rPr>
          <w:rFonts w:hint="eastAsia"/>
          <w:color w:val="000000"/>
          <w:szCs w:val="21"/>
        </w:rPr>
        <w:t>型证券投资基金基金合同有关事项的议案》。</w:t>
      </w:r>
    </w:p>
    <w:p w:rsidR="00135DDD" w:rsidRPr="00C825CB" w:rsidRDefault="004D1916" w:rsidP="001A2767">
      <w:pPr>
        <w:pStyle w:val="20"/>
        <w:spacing w:before="0" w:after="0"/>
        <w:rPr>
          <w:rFonts w:ascii="Times New Roman" w:hAnsi="Times New Roman"/>
          <w:kern w:val="0"/>
          <w:sz w:val="21"/>
          <w:szCs w:val="21"/>
        </w:rPr>
      </w:pPr>
      <w:r>
        <w:rPr>
          <w:rFonts w:ascii="Times New Roman" w:hAnsi="Times New Roman" w:hint="eastAsia"/>
          <w:kern w:val="0"/>
          <w:sz w:val="21"/>
          <w:szCs w:val="21"/>
        </w:rPr>
        <w:t>4</w:t>
      </w:r>
      <w:r w:rsidR="00135DDD" w:rsidRPr="00C825CB">
        <w:rPr>
          <w:rFonts w:ascii="Times New Roman" w:hAnsi="Times New Roman"/>
          <w:kern w:val="0"/>
          <w:sz w:val="21"/>
          <w:szCs w:val="21"/>
        </w:rPr>
        <w:t>.</w:t>
      </w:r>
      <w:r w:rsidR="00135DDD">
        <w:rPr>
          <w:rFonts w:ascii="Times New Roman" w:hAnsi="Times New Roman" w:hint="eastAsia"/>
          <w:kern w:val="0"/>
          <w:sz w:val="21"/>
          <w:szCs w:val="21"/>
        </w:rPr>
        <w:t>3</w:t>
      </w:r>
      <w:r w:rsidR="00135DDD">
        <w:rPr>
          <w:rFonts w:ascii="Times New Roman" w:hAnsi="Times New Roman" w:hint="eastAsia"/>
          <w:kern w:val="0"/>
          <w:sz w:val="21"/>
          <w:szCs w:val="21"/>
        </w:rPr>
        <w:t>清算起始日</w:t>
      </w:r>
      <w:bookmarkEnd w:id="31"/>
    </w:p>
    <w:p w:rsidR="00135DDD" w:rsidRPr="006F14B8" w:rsidRDefault="00DD18F6" w:rsidP="00C825CB">
      <w:pPr>
        <w:tabs>
          <w:tab w:val="left" w:pos="2265"/>
        </w:tabs>
        <w:spacing w:line="360" w:lineRule="auto"/>
        <w:ind w:firstLineChars="200" w:firstLine="420"/>
        <w:rPr>
          <w:color w:val="000000"/>
          <w:szCs w:val="21"/>
        </w:rPr>
      </w:pPr>
      <w:r>
        <w:rPr>
          <w:rFonts w:hint="eastAsia"/>
          <w:color w:val="000000"/>
          <w:szCs w:val="21"/>
        </w:rPr>
        <w:t>根据生效的本基金基金份额持有人大会决议，本基金于</w:t>
      </w:r>
      <w:r w:rsidR="00BA6FB1">
        <w:rPr>
          <w:rFonts w:hint="eastAsia"/>
          <w:color w:val="000000"/>
          <w:szCs w:val="21"/>
        </w:rPr>
        <w:t>2017</w:t>
      </w:r>
      <w:r w:rsidR="00BA6FB1">
        <w:rPr>
          <w:rFonts w:hint="eastAsia"/>
          <w:color w:val="000000"/>
          <w:szCs w:val="21"/>
        </w:rPr>
        <w:t>年</w:t>
      </w:r>
      <w:r w:rsidR="00BA6FB1">
        <w:rPr>
          <w:rFonts w:hint="eastAsia"/>
          <w:color w:val="000000"/>
          <w:szCs w:val="21"/>
        </w:rPr>
        <w:t>12</w:t>
      </w:r>
      <w:r w:rsidR="00BA6FB1">
        <w:rPr>
          <w:rFonts w:hint="eastAsia"/>
          <w:color w:val="000000"/>
          <w:szCs w:val="21"/>
        </w:rPr>
        <w:t>月</w:t>
      </w:r>
      <w:r w:rsidR="003B7E37">
        <w:rPr>
          <w:rFonts w:hint="eastAsia"/>
          <w:color w:val="000000"/>
          <w:szCs w:val="21"/>
        </w:rPr>
        <w:t>20</w:t>
      </w:r>
      <w:r w:rsidR="00BA6FB1">
        <w:rPr>
          <w:rFonts w:hint="eastAsia"/>
          <w:color w:val="000000"/>
          <w:szCs w:val="21"/>
        </w:rPr>
        <w:t>日</w:t>
      </w:r>
      <w:r>
        <w:rPr>
          <w:rFonts w:hint="eastAsia"/>
          <w:color w:val="000000"/>
          <w:szCs w:val="21"/>
        </w:rPr>
        <w:t>起进入清算期，清算期为</w:t>
      </w:r>
      <w:r w:rsidR="00BA6FB1">
        <w:rPr>
          <w:rFonts w:hint="eastAsia"/>
          <w:color w:val="000000"/>
          <w:szCs w:val="21"/>
        </w:rPr>
        <w:t>2017</w:t>
      </w:r>
      <w:r w:rsidR="00BA6FB1">
        <w:rPr>
          <w:rFonts w:hint="eastAsia"/>
          <w:color w:val="000000"/>
          <w:szCs w:val="21"/>
        </w:rPr>
        <w:t>年</w:t>
      </w:r>
      <w:r w:rsidR="00BA6FB1">
        <w:rPr>
          <w:rFonts w:hint="eastAsia"/>
          <w:color w:val="000000"/>
          <w:szCs w:val="21"/>
        </w:rPr>
        <w:t>12</w:t>
      </w:r>
      <w:r w:rsidR="00BA6FB1">
        <w:rPr>
          <w:rFonts w:hint="eastAsia"/>
          <w:color w:val="000000"/>
          <w:szCs w:val="21"/>
        </w:rPr>
        <w:t>月</w:t>
      </w:r>
      <w:r w:rsidR="003B7E37">
        <w:rPr>
          <w:rFonts w:hint="eastAsia"/>
          <w:color w:val="000000"/>
          <w:szCs w:val="21"/>
        </w:rPr>
        <w:t>20</w:t>
      </w:r>
      <w:r w:rsidR="00BA6FB1">
        <w:rPr>
          <w:rFonts w:hint="eastAsia"/>
          <w:color w:val="000000"/>
          <w:szCs w:val="21"/>
        </w:rPr>
        <w:t>日</w:t>
      </w:r>
      <w:r w:rsidRPr="006F14B8">
        <w:rPr>
          <w:rFonts w:hint="eastAsia"/>
          <w:color w:val="000000"/>
          <w:szCs w:val="21"/>
        </w:rPr>
        <w:t>至</w:t>
      </w:r>
      <w:r w:rsidRPr="00AC1939">
        <w:rPr>
          <w:color w:val="000000"/>
          <w:szCs w:val="21"/>
        </w:rPr>
        <w:t>201</w:t>
      </w:r>
      <w:r w:rsidR="00490A02" w:rsidRPr="00AC1939">
        <w:rPr>
          <w:color w:val="000000"/>
          <w:szCs w:val="21"/>
        </w:rPr>
        <w:t>8</w:t>
      </w:r>
      <w:r w:rsidRPr="00AC1939">
        <w:rPr>
          <w:rFonts w:hint="eastAsia"/>
          <w:color w:val="000000"/>
          <w:szCs w:val="21"/>
        </w:rPr>
        <w:t>年</w:t>
      </w:r>
      <w:r w:rsidR="00AD5F1D" w:rsidRPr="00AC1939">
        <w:rPr>
          <w:color w:val="000000"/>
          <w:szCs w:val="21"/>
        </w:rPr>
        <w:t>1</w:t>
      </w:r>
      <w:r w:rsidRPr="00AC1939">
        <w:rPr>
          <w:rFonts w:hint="eastAsia"/>
          <w:color w:val="000000"/>
          <w:szCs w:val="21"/>
        </w:rPr>
        <w:t>月</w:t>
      </w:r>
      <w:r w:rsidR="00AD5F1D" w:rsidRPr="00AC1939">
        <w:rPr>
          <w:color w:val="000000"/>
          <w:szCs w:val="21"/>
        </w:rPr>
        <w:t>15</w:t>
      </w:r>
      <w:r w:rsidRPr="00AC1939">
        <w:rPr>
          <w:rFonts w:hint="eastAsia"/>
          <w:color w:val="000000"/>
          <w:szCs w:val="21"/>
        </w:rPr>
        <w:t>日</w:t>
      </w:r>
      <w:r w:rsidRPr="006F14B8">
        <w:rPr>
          <w:rFonts w:hint="eastAsia"/>
          <w:color w:val="000000"/>
          <w:szCs w:val="21"/>
        </w:rPr>
        <w:t>。</w:t>
      </w:r>
    </w:p>
    <w:p w:rsidR="00C825CB" w:rsidRPr="006F14B8" w:rsidRDefault="004D1916" w:rsidP="004D1916">
      <w:pPr>
        <w:pStyle w:val="20"/>
        <w:spacing w:before="0" w:after="0"/>
        <w:rPr>
          <w:rFonts w:ascii="Times New Roman" w:hAnsi="Times New Roman"/>
          <w:kern w:val="0"/>
          <w:sz w:val="21"/>
          <w:szCs w:val="21"/>
        </w:rPr>
      </w:pPr>
      <w:bookmarkStart w:id="32" w:name="_Toc490670317"/>
      <w:r w:rsidRPr="006F14B8">
        <w:rPr>
          <w:rFonts w:ascii="Times New Roman" w:hAnsi="Times New Roman" w:hint="eastAsia"/>
          <w:kern w:val="0"/>
          <w:sz w:val="21"/>
          <w:szCs w:val="21"/>
        </w:rPr>
        <w:t>4</w:t>
      </w:r>
      <w:r w:rsidR="00BE362C" w:rsidRPr="006F14B8">
        <w:rPr>
          <w:rFonts w:ascii="Times New Roman" w:hAnsi="Times New Roman"/>
          <w:kern w:val="0"/>
          <w:sz w:val="21"/>
          <w:szCs w:val="21"/>
        </w:rPr>
        <w:t xml:space="preserve">.4  </w:t>
      </w:r>
      <w:r w:rsidR="00BE362C" w:rsidRPr="006F14B8">
        <w:rPr>
          <w:rFonts w:ascii="Times New Roman" w:hAnsi="Times New Roman" w:hint="eastAsia"/>
          <w:kern w:val="0"/>
          <w:sz w:val="21"/>
          <w:szCs w:val="21"/>
        </w:rPr>
        <w:t>清算报表编制基础</w:t>
      </w:r>
      <w:bookmarkEnd w:id="32"/>
    </w:p>
    <w:p w:rsidR="00DD18F6" w:rsidRPr="006F14B8" w:rsidRDefault="00DD18F6" w:rsidP="00C825CB">
      <w:pPr>
        <w:spacing w:line="360" w:lineRule="auto"/>
        <w:ind w:firstLineChars="200" w:firstLine="420"/>
        <w:rPr>
          <w:color w:val="000000"/>
          <w:szCs w:val="21"/>
        </w:rPr>
      </w:pPr>
      <w:r w:rsidRPr="006F14B8">
        <w:rPr>
          <w:rFonts w:hint="eastAsia"/>
          <w:color w:val="000000"/>
          <w:szCs w:val="21"/>
        </w:rPr>
        <w:t>本基金的清算报表是在非持续经营的前提下参考《企业会计准则》及《证券投资基金会计核算业务指引》的有关规定编制。自本基金最后运作日起，资产负债按清算价格计价。由于报告性质所致，本清算报表并无比较期间的相关数据列示。</w:t>
      </w:r>
    </w:p>
    <w:p w:rsidR="00657EB0" w:rsidRPr="006F14B8" w:rsidRDefault="004D1916" w:rsidP="00E34DD9">
      <w:pPr>
        <w:pStyle w:val="1"/>
        <w:keepNext/>
        <w:keepLines/>
        <w:widowControl w:val="0"/>
        <w:spacing w:beforeLines="100" w:afterLines="100" w:line="360" w:lineRule="auto"/>
        <w:jc w:val="center"/>
        <w:rPr>
          <w:b/>
          <w:bCs/>
          <w:sz w:val="21"/>
          <w:szCs w:val="21"/>
          <w:lang w:val="en-US"/>
        </w:rPr>
        <w:pPrChange w:id="33" w:author="ZHONGM" w:date="2018-03-09T00:37:00Z">
          <w:pPr>
            <w:pStyle w:val="1"/>
            <w:keepNext/>
            <w:keepLines/>
            <w:widowControl w:val="0"/>
            <w:spacing w:beforeLines="100" w:afterLines="100" w:line="360" w:lineRule="auto"/>
            <w:jc w:val="center"/>
          </w:pPr>
        </w:pPrChange>
      </w:pPr>
      <w:bookmarkStart w:id="34" w:name="_Toc490670318"/>
      <w:r w:rsidRPr="006F14B8">
        <w:rPr>
          <w:rFonts w:hint="eastAsia"/>
          <w:b/>
          <w:kern w:val="2"/>
          <w:sz w:val="21"/>
          <w:szCs w:val="24"/>
          <w:lang w:val="en-US"/>
        </w:rPr>
        <w:t>5</w:t>
      </w:r>
      <w:r w:rsidR="00657EB0" w:rsidRPr="006F14B8">
        <w:rPr>
          <w:rFonts w:hint="eastAsia"/>
          <w:b/>
          <w:bCs/>
          <w:sz w:val="21"/>
          <w:szCs w:val="21"/>
          <w:lang w:val="en-US"/>
        </w:rPr>
        <w:t>清算情况</w:t>
      </w:r>
      <w:bookmarkEnd w:id="34"/>
    </w:p>
    <w:p w:rsidR="00EE3859" w:rsidRDefault="00DD18F6" w:rsidP="003B0EE4">
      <w:pPr>
        <w:tabs>
          <w:tab w:val="left" w:pos="2265"/>
        </w:tabs>
        <w:spacing w:before="312" w:after="312" w:line="360" w:lineRule="auto"/>
        <w:ind w:firstLineChars="200" w:firstLine="420"/>
        <w:rPr>
          <w:color w:val="000000"/>
          <w:szCs w:val="21"/>
        </w:rPr>
      </w:pPr>
      <w:r w:rsidRPr="006F14B8">
        <w:rPr>
          <w:rFonts w:hint="eastAsia"/>
          <w:color w:val="000000"/>
          <w:szCs w:val="21"/>
        </w:rPr>
        <w:t>自</w:t>
      </w:r>
      <w:r w:rsidR="00BA6FB1">
        <w:rPr>
          <w:rFonts w:hint="eastAsia"/>
          <w:color w:val="000000"/>
          <w:szCs w:val="21"/>
        </w:rPr>
        <w:t>2017</w:t>
      </w:r>
      <w:r w:rsidR="00BA6FB1">
        <w:rPr>
          <w:rFonts w:hint="eastAsia"/>
          <w:color w:val="000000"/>
          <w:szCs w:val="21"/>
        </w:rPr>
        <w:t>年</w:t>
      </w:r>
      <w:r w:rsidR="00BA6FB1">
        <w:rPr>
          <w:rFonts w:hint="eastAsia"/>
          <w:color w:val="000000"/>
          <w:szCs w:val="21"/>
        </w:rPr>
        <w:t>12</w:t>
      </w:r>
      <w:r w:rsidR="00BA6FB1">
        <w:rPr>
          <w:rFonts w:hint="eastAsia"/>
          <w:color w:val="000000"/>
          <w:szCs w:val="21"/>
        </w:rPr>
        <w:t>月</w:t>
      </w:r>
      <w:r w:rsidR="003B7E37">
        <w:rPr>
          <w:rFonts w:hint="eastAsia"/>
          <w:color w:val="000000"/>
          <w:szCs w:val="21"/>
        </w:rPr>
        <w:t>20</w:t>
      </w:r>
      <w:r w:rsidR="00BA6FB1">
        <w:rPr>
          <w:rFonts w:hint="eastAsia"/>
          <w:color w:val="000000"/>
          <w:szCs w:val="21"/>
        </w:rPr>
        <w:t>日</w:t>
      </w:r>
      <w:r w:rsidRPr="006F14B8">
        <w:rPr>
          <w:rFonts w:hint="eastAsia"/>
          <w:color w:val="000000"/>
          <w:szCs w:val="21"/>
        </w:rPr>
        <w:t>至</w:t>
      </w:r>
      <w:r w:rsidRPr="00AC1939">
        <w:rPr>
          <w:color w:val="000000"/>
          <w:szCs w:val="21"/>
        </w:rPr>
        <w:t>201</w:t>
      </w:r>
      <w:r w:rsidR="00727C5F" w:rsidRPr="00AC1939">
        <w:rPr>
          <w:color w:val="000000"/>
          <w:szCs w:val="21"/>
        </w:rPr>
        <w:t>8</w:t>
      </w:r>
      <w:r w:rsidRPr="00AC1939">
        <w:rPr>
          <w:rFonts w:hint="eastAsia"/>
          <w:color w:val="000000"/>
          <w:szCs w:val="21"/>
        </w:rPr>
        <w:t>年</w:t>
      </w:r>
      <w:r w:rsidR="00AD5F1D" w:rsidRPr="00AC1939">
        <w:rPr>
          <w:color w:val="000000"/>
          <w:szCs w:val="21"/>
        </w:rPr>
        <w:t>1</w:t>
      </w:r>
      <w:r w:rsidRPr="00AC1939">
        <w:rPr>
          <w:rFonts w:hint="eastAsia"/>
          <w:color w:val="000000"/>
          <w:szCs w:val="21"/>
        </w:rPr>
        <w:t>月</w:t>
      </w:r>
      <w:r w:rsidR="00AD5F1D" w:rsidRPr="00AC1939">
        <w:rPr>
          <w:color w:val="000000"/>
          <w:szCs w:val="21"/>
        </w:rPr>
        <w:t>15</w:t>
      </w:r>
      <w:r w:rsidRPr="00AC1939">
        <w:rPr>
          <w:rFonts w:hint="eastAsia"/>
          <w:color w:val="000000"/>
          <w:szCs w:val="21"/>
        </w:rPr>
        <w:t>日</w:t>
      </w:r>
      <w:r w:rsidRPr="006F14B8">
        <w:rPr>
          <w:rFonts w:hint="eastAsia"/>
          <w:color w:val="000000"/>
          <w:szCs w:val="21"/>
        </w:rPr>
        <w:t>清算期间，基金财产清算组对本基金的资产、负债进行清算，全部清算工作按清算原则和清算手续进行。具体清算情况如下</w:t>
      </w:r>
      <w:r w:rsidR="00EE3859" w:rsidRPr="006F14B8">
        <w:rPr>
          <w:rFonts w:hint="eastAsia"/>
          <w:color w:val="000000"/>
          <w:szCs w:val="21"/>
        </w:rPr>
        <w:t>：</w:t>
      </w:r>
    </w:p>
    <w:p w:rsidR="003B0EE4" w:rsidRPr="00776F4F" w:rsidRDefault="004D1916" w:rsidP="00EE3859">
      <w:pPr>
        <w:pStyle w:val="20"/>
        <w:spacing w:before="0" w:after="0"/>
        <w:rPr>
          <w:rFonts w:ascii="Times New Roman" w:hAnsi="Times New Roman"/>
          <w:color w:val="000000" w:themeColor="text1"/>
          <w:kern w:val="0"/>
          <w:sz w:val="21"/>
          <w:szCs w:val="21"/>
        </w:rPr>
      </w:pPr>
      <w:bookmarkStart w:id="35" w:name="_Toc490670319"/>
      <w:r>
        <w:rPr>
          <w:rFonts w:ascii="Times New Roman" w:hAnsi="Times New Roman" w:hint="eastAsia"/>
          <w:kern w:val="0"/>
          <w:sz w:val="21"/>
          <w:szCs w:val="21"/>
        </w:rPr>
        <w:t>5</w:t>
      </w:r>
      <w:r w:rsidR="00DD18F6" w:rsidRPr="00EE3859">
        <w:rPr>
          <w:rFonts w:ascii="Times New Roman" w:hAnsi="Times New Roman"/>
          <w:kern w:val="0"/>
          <w:sz w:val="21"/>
          <w:szCs w:val="21"/>
        </w:rPr>
        <w:t>.</w:t>
      </w:r>
      <w:r w:rsidR="00DD18F6" w:rsidRPr="00776F4F">
        <w:rPr>
          <w:rFonts w:ascii="Times New Roman" w:hAnsi="Times New Roman"/>
          <w:color w:val="000000" w:themeColor="text1"/>
          <w:kern w:val="0"/>
          <w:sz w:val="21"/>
          <w:szCs w:val="21"/>
        </w:rPr>
        <w:t xml:space="preserve">1 </w:t>
      </w:r>
      <w:r w:rsidR="00DD18F6" w:rsidRPr="00776F4F">
        <w:rPr>
          <w:rFonts w:ascii="Times New Roman" w:hAnsi="Times New Roman" w:hint="eastAsia"/>
          <w:color w:val="000000" w:themeColor="text1"/>
          <w:kern w:val="0"/>
          <w:sz w:val="21"/>
          <w:szCs w:val="21"/>
        </w:rPr>
        <w:t>清算费用</w:t>
      </w:r>
      <w:bookmarkEnd w:id="35"/>
    </w:p>
    <w:p w:rsidR="00F26111" w:rsidRDefault="00F26111" w:rsidP="00F26111">
      <w:pPr>
        <w:pStyle w:val="a0"/>
        <w:spacing w:line="360" w:lineRule="auto"/>
      </w:pPr>
      <w:r>
        <w:t>按照</w:t>
      </w:r>
      <w:r>
        <w:rPr>
          <w:rFonts w:hint="eastAsia"/>
        </w:rPr>
        <w:t>《</w:t>
      </w:r>
      <w:r>
        <w:t>国泰</w:t>
      </w:r>
      <w:r w:rsidR="00727C5F">
        <w:rPr>
          <w:color w:val="000000"/>
          <w:kern w:val="0"/>
          <w:szCs w:val="21"/>
        </w:rPr>
        <w:t>美国房地产开发股票</w:t>
      </w:r>
      <w:r>
        <w:t>型证券投资基金</w:t>
      </w:r>
      <w:r>
        <w:rPr>
          <w:rFonts w:hint="eastAsia"/>
        </w:rPr>
        <w:t>基金合同》第</w:t>
      </w:r>
      <w:r w:rsidR="00CB1CE0">
        <w:rPr>
          <w:rFonts w:hint="eastAsia"/>
        </w:rPr>
        <w:t>二十二</w:t>
      </w:r>
      <w:r>
        <w:rPr>
          <w:rFonts w:hint="eastAsia"/>
        </w:rPr>
        <w:t>部分“基金合同的变更、终止与基金财产的清算”的规定，清算费用是指基金财产清算组在进行基金清算过程中发生的所有合理费用，清算费用由基金财产清算组优先从基金财产中支付。</w:t>
      </w:r>
    </w:p>
    <w:p w:rsidR="003B0EE4" w:rsidRPr="00EE3859" w:rsidRDefault="00EE3859" w:rsidP="00EE3859">
      <w:pPr>
        <w:pStyle w:val="a0"/>
        <w:spacing w:line="360" w:lineRule="auto"/>
      </w:pPr>
      <w:r>
        <w:rPr>
          <w:rFonts w:hint="eastAsia"/>
        </w:rPr>
        <w:t>考虑到本基金清算的实际情况，从保护基金份额持有人利益的角度出发，本基金的清算费用将由基金管理人代为支付。</w:t>
      </w:r>
    </w:p>
    <w:p w:rsidR="00DD18F6" w:rsidRDefault="004D1916" w:rsidP="00657EB0">
      <w:pPr>
        <w:pStyle w:val="20"/>
        <w:spacing w:before="0" w:after="0"/>
        <w:rPr>
          <w:rFonts w:ascii="Times New Roman" w:hAnsi="Times New Roman"/>
          <w:kern w:val="0"/>
          <w:sz w:val="21"/>
          <w:szCs w:val="21"/>
        </w:rPr>
      </w:pPr>
      <w:bookmarkStart w:id="36" w:name="_Toc490670320"/>
      <w:r>
        <w:rPr>
          <w:rFonts w:ascii="Times New Roman" w:hAnsi="Times New Roman" w:hint="eastAsia"/>
          <w:kern w:val="0"/>
          <w:sz w:val="21"/>
          <w:szCs w:val="21"/>
        </w:rPr>
        <w:t>5</w:t>
      </w:r>
      <w:r w:rsidR="00657EB0" w:rsidRPr="00D42BE5">
        <w:rPr>
          <w:rFonts w:ascii="Times New Roman" w:hAnsi="Times New Roman"/>
          <w:kern w:val="0"/>
          <w:sz w:val="21"/>
          <w:szCs w:val="21"/>
        </w:rPr>
        <w:t>.</w:t>
      </w:r>
      <w:r w:rsidR="00DD18F6">
        <w:rPr>
          <w:rFonts w:ascii="Times New Roman" w:hAnsi="Times New Roman" w:hint="eastAsia"/>
          <w:kern w:val="0"/>
          <w:sz w:val="21"/>
          <w:szCs w:val="21"/>
        </w:rPr>
        <w:t>2</w:t>
      </w:r>
      <w:r w:rsidR="00DD18F6">
        <w:rPr>
          <w:rFonts w:ascii="Times New Roman" w:hAnsi="Times New Roman" w:hint="eastAsia"/>
          <w:kern w:val="0"/>
          <w:sz w:val="21"/>
          <w:szCs w:val="21"/>
        </w:rPr>
        <w:t>资产处置情况</w:t>
      </w:r>
      <w:bookmarkEnd w:id="36"/>
    </w:p>
    <w:p w:rsidR="00CB1CE0" w:rsidRDefault="00CB1CE0" w:rsidP="006C1110">
      <w:pPr>
        <w:pStyle w:val="a0"/>
        <w:spacing w:line="360" w:lineRule="auto"/>
      </w:pPr>
      <w:r w:rsidRPr="006F14B8">
        <w:rPr>
          <w:rFonts w:hint="eastAsia"/>
        </w:rPr>
        <w:t>（</w:t>
      </w:r>
      <w:r w:rsidRPr="006F14B8">
        <w:rPr>
          <w:rFonts w:hint="eastAsia"/>
        </w:rPr>
        <w:t>1</w:t>
      </w:r>
      <w:r w:rsidRPr="006F14B8">
        <w:rPr>
          <w:rFonts w:hint="eastAsia"/>
        </w:rPr>
        <w:t>）本基金最后运作日</w:t>
      </w:r>
      <w:r w:rsidRPr="006C1110">
        <w:t>活期存款包括人民币活期存款</w:t>
      </w:r>
      <w:r w:rsidRPr="006C1110">
        <w:t>2</w:t>
      </w:r>
      <w:r w:rsidRPr="006C1110">
        <w:rPr>
          <w:rFonts w:hint="eastAsia"/>
        </w:rPr>
        <w:t>,</w:t>
      </w:r>
      <w:r w:rsidRPr="006C1110">
        <w:t>564</w:t>
      </w:r>
      <w:r w:rsidRPr="006C1110">
        <w:rPr>
          <w:rFonts w:hint="eastAsia"/>
        </w:rPr>
        <w:t>,</w:t>
      </w:r>
      <w:r w:rsidRPr="006C1110">
        <w:t>601.29</w:t>
      </w:r>
      <w:r w:rsidRPr="006C1110">
        <w:t>元，美元活期存款</w:t>
      </w:r>
      <w:r w:rsidRPr="006C1110">
        <w:rPr>
          <w:rFonts w:hint="eastAsia"/>
        </w:rPr>
        <w:t>152,363.60</w:t>
      </w:r>
      <w:r w:rsidR="00AD5F1D">
        <w:rPr>
          <w:rFonts w:hint="eastAsia"/>
        </w:rPr>
        <w:t>美</w:t>
      </w:r>
      <w:r w:rsidRPr="006C1110">
        <w:t>元</w:t>
      </w:r>
      <w:r w:rsidRPr="006C1110">
        <w:t>(</w:t>
      </w:r>
      <w:r w:rsidRPr="006C1110">
        <w:t>折合人民币</w:t>
      </w:r>
      <w:r w:rsidR="00B843D1">
        <w:rPr>
          <w:rStyle w:val="af5"/>
        </w:rPr>
        <w:footnoteReference w:id="2"/>
      </w:r>
      <w:r w:rsidRPr="006C1110">
        <w:rPr>
          <w:rFonts w:hint="eastAsia"/>
        </w:rPr>
        <w:t>1,007,092.92</w:t>
      </w:r>
      <w:r w:rsidRPr="006C1110">
        <w:t>元</w:t>
      </w:r>
      <w:r w:rsidRPr="006C1110">
        <w:t>)</w:t>
      </w:r>
      <w:r>
        <w:rPr>
          <w:rFonts w:hint="eastAsia"/>
        </w:rPr>
        <w:t>，截至清算</w:t>
      </w:r>
      <w:r w:rsidR="002B1D6B">
        <w:rPr>
          <w:rFonts w:hint="eastAsia"/>
        </w:rPr>
        <w:t>结束</w:t>
      </w:r>
      <w:r>
        <w:rPr>
          <w:rFonts w:hint="eastAsia"/>
        </w:rPr>
        <w:t>日</w:t>
      </w:r>
      <w:r w:rsidRPr="00AC1939">
        <w:t>2018</w:t>
      </w:r>
      <w:r w:rsidRPr="00AC1939">
        <w:rPr>
          <w:rFonts w:hint="eastAsia"/>
        </w:rPr>
        <w:t>年</w:t>
      </w:r>
      <w:r w:rsidR="00AD5F1D" w:rsidRPr="00AC1939">
        <w:t>1</w:t>
      </w:r>
      <w:r w:rsidRPr="00AC1939">
        <w:rPr>
          <w:rFonts w:hint="eastAsia"/>
        </w:rPr>
        <w:t>月</w:t>
      </w:r>
      <w:r w:rsidR="00AD5F1D" w:rsidRPr="00AC1939">
        <w:t>15</w:t>
      </w:r>
      <w:r w:rsidRPr="00AC1939">
        <w:rPr>
          <w:rFonts w:hint="eastAsia"/>
        </w:rPr>
        <w:t>日</w:t>
      </w:r>
      <w:r w:rsidR="00AD5F1D" w:rsidRPr="00AC1939">
        <w:rPr>
          <w:rFonts w:hint="eastAsia"/>
        </w:rPr>
        <w:t>，</w:t>
      </w:r>
      <w:r w:rsidR="00AD5F1D" w:rsidRPr="00AD5F1D">
        <w:rPr>
          <w:rFonts w:hint="eastAsia"/>
        </w:rPr>
        <w:t>人民币活期存款</w:t>
      </w:r>
      <w:r w:rsidRPr="00AC1939">
        <w:rPr>
          <w:rFonts w:hint="eastAsia"/>
        </w:rPr>
        <w:t>余额为</w:t>
      </w:r>
      <w:r w:rsidR="00AD5F1D" w:rsidRPr="00AC1939">
        <w:t>14,798,264.32</w:t>
      </w:r>
      <w:r w:rsidRPr="00AC1939">
        <w:rPr>
          <w:rFonts w:hint="eastAsia"/>
        </w:rPr>
        <w:t>元</w:t>
      </w:r>
      <w:r w:rsidR="00AD5F1D">
        <w:rPr>
          <w:rFonts w:hint="eastAsia"/>
        </w:rPr>
        <w:t>，</w:t>
      </w:r>
      <w:r w:rsidR="00AD5F1D" w:rsidRPr="006C1110">
        <w:t>美元活期存款</w:t>
      </w:r>
      <w:r w:rsidR="00AD5F1D">
        <w:rPr>
          <w:rFonts w:hint="eastAsia"/>
        </w:rPr>
        <w:t>余额</w:t>
      </w:r>
      <w:r w:rsidR="00AD5F1D">
        <w:t>为</w:t>
      </w:r>
      <w:r w:rsidR="00AD5F1D">
        <w:rPr>
          <w:rFonts w:hint="eastAsia"/>
        </w:rPr>
        <w:t>469.80</w:t>
      </w:r>
      <w:r w:rsidR="00AD5F1D">
        <w:rPr>
          <w:rFonts w:hint="eastAsia"/>
        </w:rPr>
        <w:t>美元</w:t>
      </w:r>
      <w:r w:rsidR="00AD5F1D">
        <w:t>（</w:t>
      </w:r>
      <w:r w:rsidR="00AD5F1D">
        <w:rPr>
          <w:rFonts w:hint="eastAsia"/>
        </w:rPr>
        <w:t>折合</w:t>
      </w:r>
      <w:r w:rsidR="00AD5F1D">
        <w:t>人民币</w:t>
      </w:r>
      <w:r w:rsidR="00AD5F1D">
        <w:rPr>
          <w:rFonts w:hint="eastAsia"/>
        </w:rPr>
        <w:t>3,033.69</w:t>
      </w:r>
      <w:r w:rsidR="00AD5F1D">
        <w:rPr>
          <w:rFonts w:hint="eastAsia"/>
        </w:rPr>
        <w:t>元</w:t>
      </w:r>
      <w:r w:rsidR="00AD5F1D">
        <w:t>）</w:t>
      </w:r>
      <w:r w:rsidRPr="006C1110">
        <w:rPr>
          <w:rFonts w:hint="eastAsia"/>
        </w:rPr>
        <w:t>。</w:t>
      </w:r>
    </w:p>
    <w:p w:rsidR="00B843D1" w:rsidRPr="006C1110" w:rsidRDefault="00B843D1" w:rsidP="006C1110">
      <w:pPr>
        <w:pStyle w:val="a0"/>
        <w:spacing w:line="360" w:lineRule="auto"/>
      </w:pPr>
      <w:r w:rsidRPr="006F14B8">
        <w:rPr>
          <w:rFonts w:hint="eastAsia"/>
        </w:rPr>
        <w:t>（</w:t>
      </w:r>
      <w:r>
        <w:rPr>
          <w:rFonts w:hint="eastAsia"/>
        </w:rPr>
        <w:t>2</w:t>
      </w:r>
      <w:r w:rsidRPr="006F14B8">
        <w:rPr>
          <w:rFonts w:hint="eastAsia"/>
        </w:rPr>
        <w:t>）本基金最后运作日应收</w:t>
      </w:r>
      <w:r>
        <w:rPr>
          <w:rFonts w:hint="eastAsia"/>
        </w:rPr>
        <w:t>股利为</w:t>
      </w:r>
      <w:r w:rsidRPr="00B843D1">
        <w:t>965.54</w:t>
      </w:r>
      <w:r>
        <w:rPr>
          <w:rFonts w:hint="eastAsia"/>
        </w:rPr>
        <w:t>美元（折合人民币</w:t>
      </w:r>
      <w:r w:rsidRPr="00B843D1">
        <w:t>6</w:t>
      </w:r>
      <w:r>
        <w:rPr>
          <w:rFonts w:hint="eastAsia"/>
        </w:rPr>
        <w:t>,</w:t>
      </w:r>
      <w:r w:rsidRPr="00B843D1">
        <w:t>382.03</w:t>
      </w:r>
      <w:r>
        <w:rPr>
          <w:rFonts w:hint="eastAsia"/>
        </w:rPr>
        <w:t>元</w:t>
      </w:r>
      <w:r w:rsidR="00182327">
        <w:rPr>
          <w:rFonts w:hint="eastAsia"/>
        </w:rPr>
        <w:t>）</w:t>
      </w:r>
      <w:r>
        <w:rPr>
          <w:rFonts w:hint="eastAsia"/>
        </w:rPr>
        <w:t>，于</w:t>
      </w:r>
      <w:r>
        <w:rPr>
          <w:rFonts w:hint="eastAsia"/>
          <w:color w:val="000000" w:themeColor="text1"/>
        </w:rPr>
        <w:t>2017</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20</w:t>
      </w:r>
      <w:r>
        <w:rPr>
          <w:rFonts w:hint="eastAsia"/>
          <w:color w:val="000000" w:themeColor="text1"/>
        </w:rPr>
        <w:t>日至</w:t>
      </w:r>
      <w:r>
        <w:rPr>
          <w:rFonts w:hint="eastAsia"/>
        </w:rPr>
        <w:t>2018</w:t>
      </w:r>
      <w:r>
        <w:rPr>
          <w:rFonts w:hint="eastAsia"/>
        </w:rPr>
        <w:t>年</w:t>
      </w:r>
      <w:r>
        <w:rPr>
          <w:rFonts w:hint="eastAsia"/>
        </w:rPr>
        <w:t>1</w:t>
      </w:r>
      <w:r>
        <w:rPr>
          <w:rFonts w:hint="eastAsia"/>
        </w:rPr>
        <w:t>月</w:t>
      </w:r>
      <w:r>
        <w:rPr>
          <w:rFonts w:hint="eastAsia"/>
        </w:rPr>
        <w:t>12</w:t>
      </w:r>
      <w:r>
        <w:rPr>
          <w:rFonts w:hint="eastAsia"/>
        </w:rPr>
        <w:t>日派发至美元银行存款。</w:t>
      </w:r>
    </w:p>
    <w:p w:rsidR="00CB1CE0" w:rsidRDefault="00CB1CE0" w:rsidP="00AC1939">
      <w:pPr>
        <w:pStyle w:val="a0"/>
        <w:spacing w:line="360" w:lineRule="auto"/>
      </w:pPr>
      <w:r w:rsidRPr="00C318DB">
        <w:rPr>
          <w:rFonts w:hint="eastAsia"/>
          <w:color w:val="000000" w:themeColor="text1"/>
        </w:rPr>
        <w:t>（</w:t>
      </w:r>
      <w:r w:rsidR="00B843D1">
        <w:rPr>
          <w:rFonts w:hint="eastAsia"/>
          <w:color w:val="000000" w:themeColor="text1"/>
        </w:rPr>
        <w:t>3</w:t>
      </w:r>
      <w:r w:rsidRPr="00C318DB">
        <w:rPr>
          <w:rFonts w:hint="eastAsia"/>
          <w:color w:val="000000" w:themeColor="text1"/>
        </w:rPr>
        <w:t>）本基金最后运作日</w:t>
      </w:r>
      <w:r>
        <w:rPr>
          <w:rFonts w:hint="eastAsia"/>
          <w:color w:val="000000" w:themeColor="text1"/>
        </w:rPr>
        <w:t>股票投资美元市值为</w:t>
      </w:r>
      <w:r w:rsidRPr="00CB1CE0">
        <w:rPr>
          <w:color w:val="000000" w:themeColor="text1"/>
        </w:rPr>
        <w:t>1</w:t>
      </w:r>
      <w:r>
        <w:rPr>
          <w:rFonts w:hint="eastAsia"/>
          <w:color w:val="000000" w:themeColor="text1"/>
        </w:rPr>
        <w:t>,</w:t>
      </w:r>
      <w:r w:rsidRPr="00CB1CE0">
        <w:rPr>
          <w:color w:val="000000" w:themeColor="text1"/>
        </w:rPr>
        <w:t>983</w:t>
      </w:r>
      <w:r>
        <w:rPr>
          <w:rFonts w:hint="eastAsia"/>
          <w:color w:val="000000" w:themeColor="text1"/>
        </w:rPr>
        <w:t>,</w:t>
      </w:r>
      <w:r w:rsidRPr="00CB1CE0">
        <w:rPr>
          <w:color w:val="000000" w:themeColor="text1"/>
        </w:rPr>
        <w:t>462.35</w:t>
      </w:r>
      <w:r w:rsidR="006C1110">
        <w:rPr>
          <w:rFonts w:hint="eastAsia"/>
          <w:color w:val="000000" w:themeColor="text1"/>
        </w:rPr>
        <w:t>美</w:t>
      </w:r>
      <w:r w:rsidRPr="00C318DB">
        <w:rPr>
          <w:rFonts w:hint="eastAsia"/>
          <w:color w:val="000000" w:themeColor="text1"/>
        </w:rPr>
        <w:t>元</w:t>
      </w:r>
      <w:r w:rsidR="00B51AC6">
        <w:rPr>
          <w:rFonts w:hint="eastAsia"/>
          <w:color w:val="000000" w:themeColor="text1"/>
        </w:rPr>
        <w:t>（</w:t>
      </w:r>
      <w:r w:rsidR="006C1110" w:rsidRPr="00E60957">
        <w:rPr>
          <w:color w:val="000000"/>
          <w:kern w:val="0"/>
          <w:szCs w:val="21"/>
        </w:rPr>
        <w:t>折合人民币</w:t>
      </w:r>
      <w:r w:rsidR="006C1110" w:rsidRPr="00CB1CE0">
        <w:rPr>
          <w:color w:val="000000"/>
          <w:kern w:val="0"/>
          <w:szCs w:val="21"/>
        </w:rPr>
        <w:t>13</w:t>
      </w:r>
      <w:r w:rsidR="006C1110">
        <w:rPr>
          <w:rFonts w:hint="eastAsia"/>
          <w:color w:val="000000"/>
          <w:kern w:val="0"/>
          <w:szCs w:val="21"/>
        </w:rPr>
        <w:t>,</w:t>
      </w:r>
      <w:r w:rsidR="006C1110" w:rsidRPr="00CB1CE0">
        <w:rPr>
          <w:color w:val="000000"/>
          <w:kern w:val="0"/>
          <w:szCs w:val="21"/>
        </w:rPr>
        <w:t>110</w:t>
      </w:r>
      <w:r w:rsidR="006C1110">
        <w:rPr>
          <w:rFonts w:hint="eastAsia"/>
          <w:color w:val="000000"/>
          <w:kern w:val="0"/>
          <w:szCs w:val="21"/>
        </w:rPr>
        <w:t>,</w:t>
      </w:r>
      <w:r w:rsidR="006C1110" w:rsidRPr="00CB1CE0">
        <w:rPr>
          <w:color w:val="000000"/>
          <w:kern w:val="0"/>
          <w:szCs w:val="21"/>
        </w:rPr>
        <w:t>289.45</w:t>
      </w:r>
      <w:r w:rsidR="006C1110" w:rsidRPr="00E60957">
        <w:rPr>
          <w:color w:val="000000"/>
          <w:kern w:val="0"/>
          <w:szCs w:val="21"/>
        </w:rPr>
        <w:t>元</w:t>
      </w:r>
      <w:r w:rsidR="00182327">
        <w:rPr>
          <w:rFonts w:hint="eastAsia"/>
          <w:color w:val="000000"/>
          <w:kern w:val="0"/>
          <w:szCs w:val="21"/>
        </w:rPr>
        <w:t>）</w:t>
      </w:r>
      <w:r w:rsidR="00B51AC6">
        <w:rPr>
          <w:rFonts w:hint="eastAsia"/>
          <w:color w:val="000000" w:themeColor="text1"/>
        </w:rPr>
        <w:t>，</w:t>
      </w:r>
      <w:r>
        <w:rPr>
          <w:rFonts w:hint="eastAsia"/>
          <w:color w:val="000000" w:themeColor="text1"/>
        </w:rPr>
        <w:t>于</w:t>
      </w:r>
      <w:r>
        <w:rPr>
          <w:rFonts w:hint="eastAsia"/>
          <w:color w:val="000000" w:themeColor="text1"/>
        </w:rPr>
        <w:t>2017</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20</w:t>
      </w:r>
      <w:r>
        <w:rPr>
          <w:rFonts w:hint="eastAsia"/>
          <w:color w:val="000000" w:themeColor="text1"/>
        </w:rPr>
        <w:t>日</w:t>
      </w:r>
      <w:r w:rsidR="00D462B4">
        <w:rPr>
          <w:rFonts w:hint="eastAsia"/>
          <w:color w:val="000000" w:themeColor="text1"/>
        </w:rPr>
        <w:t>至</w:t>
      </w:r>
      <w:r w:rsidR="00D462B4">
        <w:rPr>
          <w:rFonts w:hint="eastAsia"/>
          <w:color w:val="000000" w:themeColor="text1"/>
        </w:rPr>
        <w:t>2017</w:t>
      </w:r>
      <w:r w:rsidR="00D462B4">
        <w:rPr>
          <w:rFonts w:hint="eastAsia"/>
          <w:color w:val="000000" w:themeColor="text1"/>
        </w:rPr>
        <w:t>年</w:t>
      </w:r>
      <w:r w:rsidR="00D462B4">
        <w:rPr>
          <w:rFonts w:hint="eastAsia"/>
          <w:color w:val="000000" w:themeColor="text1"/>
        </w:rPr>
        <w:t>12</w:t>
      </w:r>
      <w:r w:rsidR="00D462B4">
        <w:rPr>
          <w:rFonts w:hint="eastAsia"/>
          <w:color w:val="000000" w:themeColor="text1"/>
        </w:rPr>
        <w:t>月</w:t>
      </w:r>
      <w:r w:rsidR="00D462B4">
        <w:rPr>
          <w:rFonts w:hint="eastAsia"/>
          <w:color w:val="000000" w:themeColor="text1"/>
        </w:rPr>
        <w:t>22</w:t>
      </w:r>
      <w:r w:rsidR="00D462B4">
        <w:rPr>
          <w:rFonts w:hint="eastAsia"/>
          <w:color w:val="000000" w:themeColor="text1"/>
        </w:rPr>
        <w:t>日</w:t>
      </w:r>
      <w:r>
        <w:rPr>
          <w:rFonts w:hint="eastAsia"/>
          <w:color w:val="000000" w:themeColor="text1"/>
        </w:rPr>
        <w:t>卖出，变现金额为</w:t>
      </w:r>
      <w:r w:rsidR="006C1110" w:rsidRPr="006C1110">
        <w:rPr>
          <w:color w:val="000000" w:themeColor="text1"/>
        </w:rPr>
        <w:t>1,995,309.12</w:t>
      </w:r>
      <w:r w:rsidR="006C1110">
        <w:rPr>
          <w:rFonts w:hint="eastAsia"/>
          <w:color w:val="000000" w:themeColor="text1"/>
        </w:rPr>
        <w:t>美</w:t>
      </w:r>
      <w:r>
        <w:rPr>
          <w:rFonts w:hint="eastAsia"/>
          <w:color w:val="000000" w:themeColor="text1"/>
        </w:rPr>
        <w:t>元</w:t>
      </w:r>
      <w:r w:rsidR="00A64CA2">
        <w:rPr>
          <w:rFonts w:hint="eastAsia"/>
          <w:color w:val="000000" w:themeColor="text1"/>
        </w:rPr>
        <w:t>（</w:t>
      </w:r>
      <w:r w:rsidR="00A64CA2" w:rsidRPr="00E60957">
        <w:rPr>
          <w:color w:val="000000"/>
          <w:kern w:val="0"/>
          <w:szCs w:val="21"/>
        </w:rPr>
        <w:t>折合人民币</w:t>
      </w:r>
      <w:r w:rsidR="00A64CA2">
        <w:rPr>
          <w:rFonts w:hint="eastAsia"/>
          <w:color w:val="000000"/>
          <w:kern w:val="0"/>
          <w:szCs w:val="21"/>
        </w:rPr>
        <w:t>13,179,741.26</w:t>
      </w:r>
      <w:r w:rsidR="00A64CA2">
        <w:rPr>
          <w:rFonts w:hint="eastAsia"/>
          <w:color w:val="000000"/>
          <w:kern w:val="0"/>
          <w:szCs w:val="21"/>
        </w:rPr>
        <w:t>元</w:t>
      </w:r>
      <w:r w:rsidR="00A64CA2">
        <w:rPr>
          <w:rFonts w:hint="eastAsia"/>
          <w:color w:val="000000" w:themeColor="text1"/>
        </w:rPr>
        <w:t>）</w:t>
      </w:r>
      <w:r w:rsidRPr="006F14B8">
        <w:rPr>
          <w:rFonts w:hint="eastAsia"/>
        </w:rPr>
        <w:t>。</w:t>
      </w:r>
    </w:p>
    <w:p w:rsidR="00CB1CE0" w:rsidRDefault="00CB1CE0" w:rsidP="00CB1CE0">
      <w:pPr>
        <w:pStyle w:val="a0"/>
        <w:spacing w:line="360" w:lineRule="auto"/>
        <w:jc w:val="left"/>
        <w:rPr>
          <w:color w:val="000000" w:themeColor="text1"/>
        </w:rPr>
      </w:pPr>
      <w:r w:rsidRPr="006F14B8">
        <w:rPr>
          <w:rFonts w:hint="eastAsia"/>
        </w:rPr>
        <w:t>（</w:t>
      </w:r>
      <w:r w:rsidR="00B843D1">
        <w:rPr>
          <w:rFonts w:hint="eastAsia"/>
        </w:rPr>
        <w:t>4</w:t>
      </w:r>
      <w:r w:rsidRPr="006F14B8">
        <w:rPr>
          <w:rFonts w:hint="eastAsia"/>
        </w:rPr>
        <w:t>）本基金最后运作日应收利息人民币</w:t>
      </w:r>
      <w:r w:rsidR="00B51AC6" w:rsidRPr="00B51AC6">
        <w:t>15,422.84</w:t>
      </w:r>
      <w:r w:rsidRPr="006F14B8">
        <w:rPr>
          <w:rFonts w:hint="eastAsia"/>
        </w:rPr>
        <w:t>元</w:t>
      </w:r>
      <w:r w:rsidR="006343D8">
        <w:rPr>
          <w:rFonts w:hint="eastAsia"/>
        </w:rPr>
        <w:t>。</w:t>
      </w:r>
      <w:r>
        <w:rPr>
          <w:rFonts w:hint="eastAsia"/>
        </w:rPr>
        <w:t>其中银行存款利息为</w:t>
      </w:r>
      <w:r w:rsidR="00B51AC6" w:rsidRPr="00B51AC6">
        <w:t>13</w:t>
      </w:r>
      <w:r w:rsidR="00B51AC6">
        <w:rPr>
          <w:rFonts w:hint="eastAsia"/>
        </w:rPr>
        <w:t>,</w:t>
      </w:r>
      <w:r w:rsidR="00B51AC6" w:rsidRPr="00B51AC6">
        <w:t>633.23</w:t>
      </w:r>
      <w:r>
        <w:rPr>
          <w:rFonts w:hint="eastAsia"/>
        </w:rPr>
        <w:t>元，已于</w:t>
      </w:r>
      <w:r>
        <w:rPr>
          <w:rFonts w:hint="eastAsia"/>
        </w:rPr>
        <w:t>2017</w:t>
      </w:r>
      <w:r>
        <w:rPr>
          <w:rFonts w:hint="eastAsia"/>
        </w:rPr>
        <w:t>年</w:t>
      </w:r>
      <w:r>
        <w:rPr>
          <w:rFonts w:hint="eastAsia"/>
        </w:rPr>
        <w:t>12</w:t>
      </w:r>
      <w:r>
        <w:rPr>
          <w:rFonts w:hint="eastAsia"/>
        </w:rPr>
        <w:t>月</w:t>
      </w:r>
      <w:r>
        <w:rPr>
          <w:rFonts w:hint="eastAsia"/>
        </w:rPr>
        <w:t>21</w:t>
      </w:r>
      <w:r>
        <w:rPr>
          <w:rFonts w:hint="eastAsia"/>
        </w:rPr>
        <w:t>日结息到银行存款；申购款利息</w:t>
      </w:r>
      <w:r w:rsidR="00B51AC6" w:rsidRPr="00B51AC6">
        <w:t>1</w:t>
      </w:r>
      <w:r w:rsidR="00B51AC6">
        <w:rPr>
          <w:rFonts w:hint="eastAsia"/>
        </w:rPr>
        <w:t>,</w:t>
      </w:r>
      <w:r w:rsidR="00B51AC6" w:rsidRPr="00B51AC6">
        <w:t>789.61</w:t>
      </w:r>
      <w:r>
        <w:rPr>
          <w:rFonts w:hint="eastAsia"/>
        </w:rPr>
        <w:t>元，</w:t>
      </w:r>
      <w:r w:rsidR="00B51AC6">
        <w:rPr>
          <w:rFonts w:hint="eastAsia"/>
        </w:rPr>
        <w:t>已</w:t>
      </w:r>
      <w:r>
        <w:rPr>
          <w:rFonts w:hint="eastAsia"/>
        </w:rPr>
        <w:t>于</w:t>
      </w:r>
      <w:r>
        <w:rPr>
          <w:rFonts w:hint="eastAsia"/>
        </w:rPr>
        <w:t>2017</w:t>
      </w:r>
      <w:r>
        <w:rPr>
          <w:rFonts w:hint="eastAsia"/>
        </w:rPr>
        <w:t>年</w:t>
      </w:r>
      <w:r>
        <w:rPr>
          <w:rFonts w:hint="eastAsia"/>
        </w:rPr>
        <w:t>12</w:t>
      </w:r>
      <w:r>
        <w:rPr>
          <w:rFonts w:hint="eastAsia"/>
        </w:rPr>
        <w:t>月</w:t>
      </w:r>
      <w:r>
        <w:rPr>
          <w:rFonts w:hint="eastAsia"/>
        </w:rPr>
        <w:t>22</w:t>
      </w:r>
      <w:r>
        <w:rPr>
          <w:rFonts w:hint="eastAsia"/>
        </w:rPr>
        <w:t>日结息到银行存款</w:t>
      </w:r>
      <w:r w:rsidR="006343D8">
        <w:rPr>
          <w:rFonts w:hint="eastAsia"/>
        </w:rPr>
        <w:t>。</w:t>
      </w:r>
      <w:r w:rsidR="00B51AC6">
        <w:rPr>
          <w:rFonts w:hint="eastAsia"/>
        </w:rPr>
        <w:t>应收利息美元</w:t>
      </w:r>
      <w:r w:rsidR="00B51AC6" w:rsidRPr="00B51AC6">
        <w:t>1.56</w:t>
      </w:r>
      <w:r w:rsidR="00B51AC6">
        <w:rPr>
          <w:rFonts w:hint="eastAsia"/>
        </w:rPr>
        <w:t>美元（折合人民币</w:t>
      </w:r>
      <w:r w:rsidR="00B51AC6" w:rsidRPr="00B51AC6">
        <w:t>10.31</w:t>
      </w:r>
      <w:r w:rsidR="00B51AC6">
        <w:rPr>
          <w:rFonts w:hint="eastAsia"/>
        </w:rPr>
        <w:t>元</w:t>
      </w:r>
      <w:r w:rsidR="006343D8">
        <w:rPr>
          <w:rFonts w:hint="eastAsia"/>
        </w:rPr>
        <w:t>）</w:t>
      </w:r>
      <w:r w:rsidR="00B51AC6">
        <w:rPr>
          <w:rFonts w:hint="eastAsia"/>
        </w:rPr>
        <w:t>，已于</w:t>
      </w:r>
      <w:r w:rsidR="00B51AC6">
        <w:rPr>
          <w:rFonts w:hint="eastAsia"/>
        </w:rPr>
        <w:t>2017</w:t>
      </w:r>
      <w:r w:rsidR="00B51AC6">
        <w:rPr>
          <w:rFonts w:hint="eastAsia"/>
        </w:rPr>
        <w:t>年</w:t>
      </w:r>
      <w:r w:rsidR="00B51AC6">
        <w:rPr>
          <w:rFonts w:hint="eastAsia"/>
        </w:rPr>
        <w:t>12</w:t>
      </w:r>
      <w:r w:rsidR="00B51AC6">
        <w:rPr>
          <w:rFonts w:hint="eastAsia"/>
        </w:rPr>
        <w:t>月</w:t>
      </w:r>
      <w:r w:rsidR="00B51AC6">
        <w:rPr>
          <w:rFonts w:hint="eastAsia"/>
        </w:rPr>
        <w:t>21</w:t>
      </w:r>
      <w:r w:rsidR="00B51AC6">
        <w:rPr>
          <w:rFonts w:hint="eastAsia"/>
        </w:rPr>
        <w:t>日结息到美元银行存款</w:t>
      </w:r>
      <w:r w:rsidRPr="00C318DB">
        <w:rPr>
          <w:rFonts w:hint="eastAsia"/>
          <w:color w:val="000000" w:themeColor="text1"/>
        </w:rPr>
        <w:t>。</w:t>
      </w:r>
    </w:p>
    <w:p w:rsidR="000315A8" w:rsidRPr="00910D7D" w:rsidRDefault="00CB1CE0" w:rsidP="00EB33EA">
      <w:pPr>
        <w:pStyle w:val="a0"/>
        <w:spacing w:line="360" w:lineRule="auto"/>
      </w:pPr>
      <w:r w:rsidRPr="006F14B8">
        <w:rPr>
          <w:rFonts w:hint="eastAsia"/>
        </w:rPr>
        <w:t>（</w:t>
      </w:r>
      <w:r w:rsidR="00B843D1">
        <w:rPr>
          <w:rFonts w:hint="eastAsia"/>
        </w:rPr>
        <w:t>5</w:t>
      </w:r>
      <w:r w:rsidRPr="006F14B8">
        <w:rPr>
          <w:rFonts w:hint="eastAsia"/>
        </w:rPr>
        <w:t>）本基金最后运作日</w:t>
      </w:r>
      <w:r>
        <w:rPr>
          <w:rFonts w:hint="eastAsia"/>
        </w:rPr>
        <w:t>证券清算款</w:t>
      </w:r>
      <w:r w:rsidR="00B843D1">
        <w:rPr>
          <w:rFonts w:hint="eastAsia"/>
        </w:rPr>
        <w:t>为</w:t>
      </w:r>
      <w:r w:rsidR="00B843D1" w:rsidRPr="00B843D1">
        <w:t>251</w:t>
      </w:r>
      <w:r w:rsidR="00B843D1">
        <w:rPr>
          <w:rFonts w:hint="eastAsia"/>
        </w:rPr>
        <w:t>,</w:t>
      </w:r>
      <w:r w:rsidR="00B843D1" w:rsidRPr="00B843D1">
        <w:t>878.82</w:t>
      </w:r>
      <w:r w:rsidR="007367B0">
        <w:t>美</w:t>
      </w:r>
      <w:r w:rsidRPr="006F14B8">
        <w:rPr>
          <w:rFonts w:hint="eastAsia"/>
        </w:rPr>
        <w:t>元</w:t>
      </w:r>
      <w:r w:rsidR="00B843D1">
        <w:rPr>
          <w:rFonts w:hint="eastAsia"/>
        </w:rPr>
        <w:t>（折合人民币</w:t>
      </w:r>
      <w:r w:rsidR="00B843D1" w:rsidRPr="00B843D1">
        <w:t>1</w:t>
      </w:r>
      <w:r w:rsidR="00B843D1">
        <w:rPr>
          <w:rFonts w:hint="eastAsia"/>
        </w:rPr>
        <w:t>,</w:t>
      </w:r>
      <w:r w:rsidR="00B843D1" w:rsidRPr="00B843D1">
        <w:t>664</w:t>
      </w:r>
      <w:r w:rsidR="00B843D1">
        <w:rPr>
          <w:rFonts w:hint="eastAsia"/>
        </w:rPr>
        <w:t>,</w:t>
      </w:r>
      <w:r w:rsidR="00B843D1" w:rsidRPr="00B843D1">
        <w:t>868.62</w:t>
      </w:r>
      <w:r w:rsidR="00B843D1">
        <w:rPr>
          <w:rFonts w:hint="eastAsia"/>
        </w:rPr>
        <w:t>元</w:t>
      </w:r>
      <w:r w:rsidR="006343D8">
        <w:rPr>
          <w:rFonts w:hint="eastAsia"/>
        </w:rPr>
        <w:t>）</w:t>
      </w:r>
      <w:r w:rsidR="00F31355">
        <w:rPr>
          <w:rFonts w:hint="eastAsia"/>
        </w:rPr>
        <w:t>，</w:t>
      </w:r>
      <w:r>
        <w:rPr>
          <w:rFonts w:hint="eastAsia"/>
        </w:rPr>
        <w:t>于</w:t>
      </w:r>
      <w:r w:rsidR="00F31355">
        <w:rPr>
          <w:rFonts w:hint="eastAsia"/>
          <w:color w:val="000000" w:themeColor="text1"/>
        </w:rPr>
        <w:t>2017</w:t>
      </w:r>
      <w:r w:rsidR="00F31355">
        <w:rPr>
          <w:rFonts w:hint="eastAsia"/>
          <w:color w:val="000000" w:themeColor="text1"/>
        </w:rPr>
        <w:t>年</w:t>
      </w:r>
      <w:r w:rsidR="00F31355">
        <w:rPr>
          <w:rFonts w:hint="eastAsia"/>
          <w:color w:val="000000" w:themeColor="text1"/>
        </w:rPr>
        <w:t>12</w:t>
      </w:r>
      <w:r w:rsidR="00F31355">
        <w:rPr>
          <w:rFonts w:hint="eastAsia"/>
          <w:color w:val="000000" w:themeColor="text1"/>
        </w:rPr>
        <w:t>月</w:t>
      </w:r>
      <w:r w:rsidR="00F31355">
        <w:rPr>
          <w:rFonts w:hint="eastAsia"/>
          <w:color w:val="000000" w:themeColor="text1"/>
        </w:rPr>
        <w:t>20</w:t>
      </w:r>
      <w:r w:rsidR="00F31355">
        <w:rPr>
          <w:rFonts w:hint="eastAsia"/>
          <w:color w:val="000000" w:themeColor="text1"/>
        </w:rPr>
        <w:t>日至</w:t>
      </w:r>
      <w:r>
        <w:rPr>
          <w:rFonts w:hint="eastAsia"/>
        </w:rPr>
        <w:t>2017</w:t>
      </w:r>
      <w:r>
        <w:rPr>
          <w:rFonts w:hint="eastAsia"/>
        </w:rPr>
        <w:t>年</w:t>
      </w:r>
      <w:r>
        <w:rPr>
          <w:rFonts w:hint="eastAsia"/>
        </w:rPr>
        <w:t>12</w:t>
      </w:r>
      <w:r>
        <w:rPr>
          <w:rFonts w:hint="eastAsia"/>
        </w:rPr>
        <w:t>月</w:t>
      </w:r>
      <w:r>
        <w:rPr>
          <w:rFonts w:hint="eastAsia"/>
        </w:rPr>
        <w:t>2</w:t>
      </w:r>
      <w:r w:rsidR="00B843D1">
        <w:rPr>
          <w:rFonts w:hint="eastAsia"/>
        </w:rPr>
        <w:t>1</w:t>
      </w:r>
      <w:r>
        <w:rPr>
          <w:rFonts w:hint="eastAsia"/>
        </w:rPr>
        <w:t>日结转到</w:t>
      </w:r>
      <w:r w:rsidR="00B843D1">
        <w:rPr>
          <w:rFonts w:hint="eastAsia"/>
        </w:rPr>
        <w:t>美元</w:t>
      </w:r>
      <w:r>
        <w:rPr>
          <w:rFonts w:hint="eastAsia"/>
        </w:rPr>
        <w:t>银行存款</w:t>
      </w:r>
      <w:r w:rsidRPr="00C318DB">
        <w:rPr>
          <w:rFonts w:hint="eastAsia"/>
          <w:color w:val="000000" w:themeColor="text1"/>
        </w:rPr>
        <w:t>。</w:t>
      </w:r>
    </w:p>
    <w:p w:rsidR="00DD18F6" w:rsidRPr="006F14B8" w:rsidRDefault="004D1916" w:rsidP="00DD18F6">
      <w:pPr>
        <w:pStyle w:val="20"/>
        <w:spacing w:before="0" w:after="0"/>
        <w:rPr>
          <w:rFonts w:ascii="Times New Roman" w:hAnsi="Times New Roman"/>
          <w:kern w:val="0"/>
          <w:sz w:val="21"/>
          <w:szCs w:val="21"/>
        </w:rPr>
      </w:pPr>
      <w:bookmarkStart w:id="37" w:name="_Toc490670321"/>
      <w:r>
        <w:rPr>
          <w:rFonts w:ascii="Times New Roman" w:hAnsi="Times New Roman" w:hint="eastAsia"/>
          <w:kern w:val="0"/>
          <w:sz w:val="21"/>
          <w:szCs w:val="21"/>
        </w:rPr>
        <w:t>5</w:t>
      </w:r>
      <w:r w:rsidR="00DD18F6" w:rsidRPr="00D42BE5">
        <w:rPr>
          <w:rFonts w:ascii="Times New Roman" w:hAnsi="Times New Roman"/>
          <w:kern w:val="0"/>
          <w:sz w:val="21"/>
          <w:szCs w:val="21"/>
        </w:rPr>
        <w:t>.</w:t>
      </w:r>
      <w:r w:rsidR="00DD18F6">
        <w:rPr>
          <w:rFonts w:ascii="Times New Roman" w:hAnsi="Times New Roman" w:hint="eastAsia"/>
          <w:kern w:val="0"/>
          <w:sz w:val="21"/>
          <w:szCs w:val="21"/>
        </w:rPr>
        <w:t>3</w:t>
      </w:r>
      <w:r w:rsidR="00DD18F6" w:rsidRPr="006F14B8">
        <w:rPr>
          <w:rFonts w:ascii="Times New Roman" w:hAnsi="Times New Roman" w:hint="eastAsia"/>
          <w:kern w:val="0"/>
          <w:sz w:val="21"/>
          <w:szCs w:val="21"/>
        </w:rPr>
        <w:t>负债清偿情况</w:t>
      </w:r>
      <w:bookmarkEnd w:id="37"/>
    </w:p>
    <w:p w:rsidR="00232B36" w:rsidRPr="006F14B8" w:rsidRDefault="00D15EC5" w:rsidP="00232B36">
      <w:pPr>
        <w:pStyle w:val="a0"/>
        <w:spacing w:line="360" w:lineRule="auto"/>
      </w:pPr>
      <w:r w:rsidRPr="006F14B8">
        <w:rPr>
          <w:rFonts w:hint="eastAsia"/>
        </w:rPr>
        <w:t>（</w:t>
      </w:r>
      <w:r w:rsidRPr="006F14B8">
        <w:rPr>
          <w:rFonts w:hint="eastAsia"/>
        </w:rPr>
        <w:t>1</w:t>
      </w:r>
      <w:r w:rsidRPr="006F14B8">
        <w:rPr>
          <w:rFonts w:hint="eastAsia"/>
        </w:rPr>
        <w:t>）本基金最后运作日应付赎回款人民币</w:t>
      </w:r>
      <w:r w:rsidR="00B843D1" w:rsidRPr="00B843D1">
        <w:t>3</w:t>
      </w:r>
      <w:r w:rsidR="00F31355">
        <w:rPr>
          <w:rFonts w:hint="eastAsia"/>
        </w:rPr>
        <w:t>,</w:t>
      </w:r>
      <w:r w:rsidR="00B843D1" w:rsidRPr="00B843D1">
        <w:t>210</w:t>
      </w:r>
      <w:r w:rsidR="00F31355">
        <w:rPr>
          <w:rFonts w:hint="eastAsia"/>
        </w:rPr>
        <w:t>,</w:t>
      </w:r>
      <w:r w:rsidR="00B843D1" w:rsidRPr="00B843D1">
        <w:t>011.47</w:t>
      </w:r>
      <w:r w:rsidRPr="006F14B8">
        <w:rPr>
          <w:rFonts w:hint="eastAsia"/>
        </w:rPr>
        <w:t>元，该款项已于</w:t>
      </w:r>
      <w:r w:rsidRPr="006F14B8">
        <w:rPr>
          <w:rFonts w:hint="eastAsia"/>
        </w:rPr>
        <w:t>201</w:t>
      </w:r>
      <w:r w:rsidR="00B843D1">
        <w:rPr>
          <w:rFonts w:hint="eastAsia"/>
        </w:rPr>
        <w:t>8</w:t>
      </w:r>
      <w:r w:rsidRPr="006F14B8">
        <w:rPr>
          <w:rFonts w:hint="eastAsia"/>
        </w:rPr>
        <w:t>年</w:t>
      </w:r>
      <w:r w:rsidR="00B843D1">
        <w:rPr>
          <w:rFonts w:hint="eastAsia"/>
        </w:rPr>
        <w:t>1</w:t>
      </w:r>
      <w:r w:rsidRPr="006F14B8">
        <w:rPr>
          <w:rFonts w:hint="eastAsia"/>
        </w:rPr>
        <w:t>月</w:t>
      </w:r>
      <w:r w:rsidR="00B843D1">
        <w:rPr>
          <w:rFonts w:hint="eastAsia"/>
        </w:rPr>
        <w:t>3</w:t>
      </w:r>
      <w:r w:rsidRPr="006F14B8">
        <w:rPr>
          <w:rFonts w:hint="eastAsia"/>
        </w:rPr>
        <w:t>日支付</w:t>
      </w:r>
      <w:r w:rsidR="00166DF4" w:rsidRPr="006F14B8">
        <w:rPr>
          <w:rFonts w:hint="eastAsia"/>
        </w:rPr>
        <w:t>完毕</w:t>
      </w:r>
      <w:r w:rsidRPr="006F14B8">
        <w:rPr>
          <w:rFonts w:hint="eastAsia"/>
        </w:rPr>
        <w:t>。</w:t>
      </w:r>
    </w:p>
    <w:p w:rsidR="00D15EC5" w:rsidRPr="006F14B8" w:rsidRDefault="00D15EC5" w:rsidP="00232B36">
      <w:pPr>
        <w:pStyle w:val="a0"/>
        <w:spacing w:line="360" w:lineRule="auto"/>
      </w:pPr>
      <w:r w:rsidRPr="006F14B8">
        <w:rPr>
          <w:rFonts w:hint="eastAsia"/>
        </w:rPr>
        <w:t>（</w:t>
      </w:r>
      <w:r w:rsidRPr="006F14B8">
        <w:rPr>
          <w:rFonts w:hint="eastAsia"/>
        </w:rPr>
        <w:t>2</w:t>
      </w:r>
      <w:r w:rsidRPr="006F14B8">
        <w:rPr>
          <w:rFonts w:hint="eastAsia"/>
        </w:rPr>
        <w:t>）本基金最后运作日应付管理人报酬为人民币</w:t>
      </w:r>
      <w:r w:rsidR="00F31355" w:rsidRPr="00F31355">
        <w:t>14</w:t>
      </w:r>
      <w:r w:rsidR="00F31355">
        <w:rPr>
          <w:rFonts w:hint="eastAsia"/>
        </w:rPr>
        <w:t>,</w:t>
      </w:r>
      <w:r w:rsidR="00F31355" w:rsidRPr="00F31355">
        <w:t>545.35</w:t>
      </w:r>
      <w:r w:rsidRPr="006F14B8">
        <w:rPr>
          <w:rFonts w:hint="eastAsia"/>
        </w:rPr>
        <w:t>元，该款项已于</w:t>
      </w:r>
      <w:r w:rsidRPr="006F14B8">
        <w:rPr>
          <w:rFonts w:hint="eastAsia"/>
        </w:rPr>
        <w:t>201</w:t>
      </w:r>
      <w:r w:rsidR="00285C0D" w:rsidRPr="006F14B8">
        <w:rPr>
          <w:rFonts w:hint="eastAsia"/>
        </w:rPr>
        <w:t>7</w:t>
      </w:r>
      <w:r w:rsidRPr="006F14B8">
        <w:rPr>
          <w:rFonts w:hint="eastAsia"/>
        </w:rPr>
        <w:t>年</w:t>
      </w:r>
      <w:r w:rsidR="004645AB">
        <w:rPr>
          <w:rFonts w:hint="eastAsia"/>
        </w:rPr>
        <w:t>12</w:t>
      </w:r>
      <w:r w:rsidRPr="006F14B8">
        <w:rPr>
          <w:rFonts w:hint="eastAsia"/>
        </w:rPr>
        <w:t>月</w:t>
      </w:r>
      <w:r w:rsidR="004645AB">
        <w:rPr>
          <w:rFonts w:hint="eastAsia"/>
        </w:rPr>
        <w:t>2</w:t>
      </w:r>
      <w:r w:rsidR="00F31355">
        <w:rPr>
          <w:rFonts w:hint="eastAsia"/>
        </w:rPr>
        <w:t>6</w:t>
      </w:r>
      <w:r w:rsidRPr="006F14B8">
        <w:rPr>
          <w:rFonts w:hint="eastAsia"/>
        </w:rPr>
        <w:t>日支付。</w:t>
      </w:r>
    </w:p>
    <w:p w:rsidR="00564555" w:rsidRPr="00564555" w:rsidRDefault="00D15EC5" w:rsidP="00F31355">
      <w:pPr>
        <w:pStyle w:val="a0"/>
        <w:spacing w:line="360" w:lineRule="auto"/>
      </w:pPr>
      <w:r w:rsidRPr="006F14B8">
        <w:rPr>
          <w:rFonts w:hint="eastAsia"/>
        </w:rPr>
        <w:t>（</w:t>
      </w:r>
      <w:r w:rsidRPr="006F14B8">
        <w:rPr>
          <w:rFonts w:hint="eastAsia"/>
        </w:rPr>
        <w:t>3</w:t>
      </w:r>
      <w:r w:rsidRPr="006F14B8">
        <w:rPr>
          <w:rFonts w:hint="eastAsia"/>
        </w:rPr>
        <w:t>）本基金最后运作日应付托管费人民币</w:t>
      </w:r>
      <w:r w:rsidR="00F31355" w:rsidRPr="00F31355">
        <w:t>3,393.91</w:t>
      </w:r>
      <w:r w:rsidRPr="006F14B8">
        <w:rPr>
          <w:rFonts w:hint="eastAsia"/>
        </w:rPr>
        <w:t>元，该款项已于</w:t>
      </w:r>
      <w:r w:rsidRPr="006F14B8">
        <w:rPr>
          <w:rFonts w:hint="eastAsia"/>
        </w:rPr>
        <w:t>201</w:t>
      </w:r>
      <w:r w:rsidR="00285C0D" w:rsidRPr="006F14B8">
        <w:rPr>
          <w:rFonts w:hint="eastAsia"/>
        </w:rPr>
        <w:t>7</w:t>
      </w:r>
      <w:r w:rsidRPr="006F14B8">
        <w:rPr>
          <w:rFonts w:hint="eastAsia"/>
        </w:rPr>
        <w:t>年</w:t>
      </w:r>
      <w:r w:rsidR="004645AB">
        <w:rPr>
          <w:rFonts w:hint="eastAsia"/>
        </w:rPr>
        <w:t>12</w:t>
      </w:r>
      <w:r w:rsidRPr="006F14B8">
        <w:rPr>
          <w:rFonts w:hint="eastAsia"/>
        </w:rPr>
        <w:t>月</w:t>
      </w:r>
      <w:r w:rsidR="004645AB">
        <w:rPr>
          <w:rFonts w:hint="eastAsia"/>
        </w:rPr>
        <w:t>2</w:t>
      </w:r>
      <w:r w:rsidR="00F31355">
        <w:rPr>
          <w:rFonts w:hint="eastAsia"/>
        </w:rPr>
        <w:t>6</w:t>
      </w:r>
      <w:r w:rsidRPr="006F14B8">
        <w:rPr>
          <w:rFonts w:hint="eastAsia"/>
        </w:rPr>
        <w:t>日支付。</w:t>
      </w:r>
    </w:p>
    <w:p w:rsidR="00DD18F6" w:rsidRPr="004645AB" w:rsidRDefault="00D15EC5" w:rsidP="00D15EC5">
      <w:pPr>
        <w:pStyle w:val="a0"/>
        <w:spacing w:line="360" w:lineRule="auto"/>
      </w:pPr>
      <w:r w:rsidRPr="006F14B8">
        <w:rPr>
          <w:rFonts w:hint="eastAsia"/>
        </w:rPr>
        <w:t>（</w:t>
      </w:r>
      <w:r w:rsidR="00F31355">
        <w:rPr>
          <w:rFonts w:hint="eastAsia"/>
        </w:rPr>
        <w:t>4</w:t>
      </w:r>
      <w:r w:rsidRPr="006F14B8">
        <w:rPr>
          <w:rFonts w:hint="eastAsia"/>
        </w:rPr>
        <w:t>）本基金最后运作日其他负债人民币</w:t>
      </w:r>
      <w:r w:rsidR="00F31355" w:rsidRPr="00B954BF">
        <w:rPr>
          <w:color w:val="000000"/>
          <w:szCs w:val="21"/>
        </w:rPr>
        <w:t>150,938.54</w:t>
      </w:r>
      <w:r w:rsidRPr="006F14B8">
        <w:rPr>
          <w:rFonts w:hint="eastAsia"/>
        </w:rPr>
        <w:t>元，</w:t>
      </w:r>
      <w:r w:rsidR="00F31355">
        <w:rPr>
          <w:rFonts w:hint="eastAsia"/>
        </w:rPr>
        <w:t>其中应付赎回费</w:t>
      </w:r>
      <w:r w:rsidR="00F31355" w:rsidRPr="00F31355">
        <w:t>8</w:t>
      </w:r>
      <w:r w:rsidR="00F31355">
        <w:rPr>
          <w:rFonts w:hint="eastAsia"/>
        </w:rPr>
        <w:t>,</w:t>
      </w:r>
      <w:r w:rsidR="00F31355" w:rsidRPr="00F31355">
        <w:t>938.54</w:t>
      </w:r>
      <w:r w:rsidR="00F31355">
        <w:rPr>
          <w:rFonts w:hint="eastAsia"/>
        </w:rPr>
        <w:t>元，已于</w:t>
      </w:r>
      <w:r w:rsidR="00F31355" w:rsidRPr="006F14B8">
        <w:rPr>
          <w:rFonts w:hint="eastAsia"/>
        </w:rPr>
        <w:t>201</w:t>
      </w:r>
      <w:r w:rsidR="00F31355">
        <w:rPr>
          <w:rFonts w:hint="eastAsia"/>
        </w:rPr>
        <w:t>8</w:t>
      </w:r>
      <w:r w:rsidR="00F31355" w:rsidRPr="006F14B8">
        <w:rPr>
          <w:rFonts w:hint="eastAsia"/>
        </w:rPr>
        <w:t>年</w:t>
      </w:r>
      <w:r w:rsidR="00F31355">
        <w:rPr>
          <w:rFonts w:hint="eastAsia"/>
        </w:rPr>
        <w:t>1</w:t>
      </w:r>
      <w:r w:rsidR="00F31355" w:rsidRPr="006F14B8">
        <w:rPr>
          <w:rFonts w:hint="eastAsia"/>
        </w:rPr>
        <w:t>月</w:t>
      </w:r>
      <w:r w:rsidR="00F31355">
        <w:rPr>
          <w:rFonts w:hint="eastAsia"/>
        </w:rPr>
        <w:t>3</w:t>
      </w:r>
      <w:r w:rsidR="00F31355" w:rsidRPr="006F14B8">
        <w:rPr>
          <w:rFonts w:hint="eastAsia"/>
        </w:rPr>
        <w:t>日支付完毕</w:t>
      </w:r>
      <w:r w:rsidR="00F31355">
        <w:rPr>
          <w:rFonts w:hint="eastAsia"/>
        </w:rPr>
        <w:t>；</w:t>
      </w:r>
      <w:r w:rsidR="004645AB">
        <w:rPr>
          <w:rFonts w:hint="eastAsia"/>
        </w:rPr>
        <w:t>预提</w:t>
      </w:r>
      <w:r w:rsidR="00F31355">
        <w:rPr>
          <w:rFonts w:hint="eastAsia"/>
        </w:rPr>
        <w:t>审计</w:t>
      </w:r>
      <w:r w:rsidR="004645AB">
        <w:rPr>
          <w:rFonts w:hint="eastAsia"/>
        </w:rPr>
        <w:t>费</w:t>
      </w:r>
      <w:r w:rsidR="00F31355">
        <w:rPr>
          <w:rFonts w:hint="eastAsia"/>
        </w:rPr>
        <w:t>和信息披露费</w:t>
      </w:r>
      <w:r w:rsidR="00F31355" w:rsidRPr="00F31355">
        <w:t>142</w:t>
      </w:r>
      <w:r w:rsidR="00F31355">
        <w:rPr>
          <w:rFonts w:hint="eastAsia"/>
        </w:rPr>
        <w:t>,</w:t>
      </w:r>
      <w:r w:rsidR="00F31355" w:rsidRPr="00F31355">
        <w:t>000.00</w:t>
      </w:r>
      <w:r w:rsidR="00F31355">
        <w:rPr>
          <w:rFonts w:hint="eastAsia"/>
        </w:rPr>
        <w:t>元</w:t>
      </w:r>
      <w:r w:rsidR="004645AB">
        <w:rPr>
          <w:rFonts w:hint="eastAsia"/>
        </w:rPr>
        <w:t>，</w:t>
      </w:r>
      <w:r w:rsidR="00F31355" w:rsidRPr="006F14B8">
        <w:rPr>
          <w:rFonts w:hint="eastAsia"/>
        </w:rPr>
        <w:t>已于</w:t>
      </w:r>
      <w:r w:rsidR="00F31355" w:rsidRPr="006F14B8">
        <w:rPr>
          <w:rFonts w:hint="eastAsia"/>
        </w:rPr>
        <w:t>2017</w:t>
      </w:r>
      <w:r w:rsidR="00F31355" w:rsidRPr="006F14B8">
        <w:rPr>
          <w:rFonts w:hint="eastAsia"/>
        </w:rPr>
        <w:t>年</w:t>
      </w:r>
      <w:r w:rsidR="00F31355">
        <w:rPr>
          <w:rFonts w:hint="eastAsia"/>
        </w:rPr>
        <w:t>12</w:t>
      </w:r>
      <w:r w:rsidR="00F31355" w:rsidRPr="006F14B8">
        <w:rPr>
          <w:rFonts w:hint="eastAsia"/>
        </w:rPr>
        <w:t>月</w:t>
      </w:r>
      <w:r w:rsidR="00F31355">
        <w:rPr>
          <w:rFonts w:hint="eastAsia"/>
        </w:rPr>
        <w:t>26</w:t>
      </w:r>
      <w:r w:rsidR="00F31355" w:rsidRPr="006F14B8">
        <w:rPr>
          <w:rFonts w:hint="eastAsia"/>
        </w:rPr>
        <w:t>日支付完毕</w:t>
      </w:r>
      <w:r w:rsidRPr="006F14B8">
        <w:rPr>
          <w:rFonts w:hint="eastAsia"/>
        </w:rPr>
        <w:t>。</w:t>
      </w:r>
    </w:p>
    <w:p w:rsidR="00D15EC5" w:rsidRPr="006F14B8" w:rsidRDefault="004D1916" w:rsidP="00DD18F6">
      <w:pPr>
        <w:pStyle w:val="20"/>
        <w:spacing w:before="0" w:after="0"/>
        <w:rPr>
          <w:rFonts w:ascii="Times New Roman" w:hAnsi="Times New Roman"/>
          <w:kern w:val="0"/>
          <w:sz w:val="21"/>
          <w:szCs w:val="21"/>
        </w:rPr>
      </w:pPr>
      <w:bookmarkStart w:id="38" w:name="_Toc490670322"/>
      <w:r>
        <w:rPr>
          <w:rFonts w:ascii="Times New Roman" w:hAnsi="Times New Roman" w:hint="eastAsia"/>
          <w:kern w:val="0"/>
          <w:sz w:val="21"/>
          <w:szCs w:val="21"/>
        </w:rPr>
        <w:t>5</w:t>
      </w:r>
      <w:r w:rsidR="00D15EC5">
        <w:rPr>
          <w:rFonts w:ascii="Times New Roman" w:hAnsi="Times New Roman" w:hint="eastAsia"/>
          <w:kern w:val="0"/>
          <w:sz w:val="21"/>
          <w:szCs w:val="21"/>
        </w:rPr>
        <w:t xml:space="preserve">.4 </w:t>
      </w:r>
      <w:r w:rsidR="00D15EC5" w:rsidRPr="006F14B8">
        <w:rPr>
          <w:rFonts w:ascii="Times New Roman" w:hAnsi="Times New Roman" w:hint="eastAsia"/>
          <w:kern w:val="0"/>
          <w:sz w:val="21"/>
          <w:szCs w:val="21"/>
        </w:rPr>
        <w:t>清算期间的清算损益情况</w:t>
      </w:r>
      <w:bookmarkEnd w:id="38"/>
    </w:p>
    <w:p w:rsidR="00CE5129" w:rsidRPr="006F14B8" w:rsidRDefault="00CE5129" w:rsidP="00CE5129">
      <w:pPr>
        <w:pStyle w:val="a0"/>
        <w:jc w:val="right"/>
      </w:pPr>
      <w:r w:rsidRPr="006F14B8">
        <w:rPr>
          <w:rFonts w:hint="eastAsia"/>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27"/>
        <w:gridCol w:w="4559"/>
      </w:tblGrid>
      <w:tr w:rsidR="00CE5129" w:rsidRPr="006F14B8" w:rsidTr="00CE5129">
        <w:tc>
          <w:tcPr>
            <w:tcW w:w="2545" w:type="pct"/>
            <w:vAlign w:val="center"/>
          </w:tcPr>
          <w:p w:rsidR="00CE5129" w:rsidRPr="006F14B8" w:rsidRDefault="00CE5129" w:rsidP="008B3AD6">
            <w:pPr>
              <w:pStyle w:val="af6"/>
              <w:jc w:val="center"/>
              <w:rPr>
                <w:rFonts w:ascii="Times New Roman" w:hAnsi="Times New Roman"/>
                <w:b/>
                <w:color w:val="000000"/>
                <w:sz w:val="21"/>
                <w:szCs w:val="21"/>
              </w:rPr>
            </w:pPr>
            <w:r w:rsidRPr="006F14B8">
              <w:rPr>
                <w:rFonts w:ascii="Times New Roman" w:hAnsi="Times New Roman"/>
                <w:b/>
                <w:color w:val="000000"/>
                <w:sz w:val="21"/>
                <w:szCs w:val="21"/>
              </w:rPr>
              <w:t>项目</w:t>
            </w:r>
          </w:p>
        </w:tc>
        <w:tc>
          <w:tcPr>
            <w:tcW w:w="2455" w:type="pct"/>
            <w:vAlign w:val="center"/>
          </w:tcPr>
          <w:p w:rsidR="00CE5129" w:rsidRPr="006F14B8" w:rsidRDefault="00CE5129" w:rsidP="008B3AD6">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w:t>
            </w:r>
          </w:p>
          <w:p w:rsidR="00CE5129" w:rsidRPr="006F14B8" w:rsidRDefault="00BA6FB1" w:rsidP="00AD5F1D">
            <w:pPr>
              <w:pStyle w:val="af6"/>
              <w:spacing w:before="0" w:beforeAutospacing="0" w:after="0" w:afterAutospacing="0"/>
              <w:jc w:val="center"/>
              <w:rPr>
                <w:rFonts w:ascii="Times New Roman" w:hAnsi="Times New Roman"/>
                <w:b/>
                <w:color w:val="000000"/>
                <w:sz w:val="21"/>
                <w:szCs w:val="21"/>
              </w:rPr>
            </w:pPr>
            <w:r>
              <w:rPr>
                <w:rFonts w:ascii="Times New Roman" w:hAnsi="Times New Roman" w:hint="eastAsia"/>
                <w:b/>
                <w:sz w:val="21"/>
                <w:szCs w:val="21"/>
              </w:rPr>
              <w:t>2017</w:t>
            </w:r>
            <w:r>
              <w:rPr>
                <w:rFonts w:ascii="Times New Roman" w:hAnsi="Times New Roman" w:hint="eastAsia"/>
                <w:b/>
                <w:sz w:val="21"/>
                <w:szCs w:val="21"/>
              </w:rPr>
              <w:t>年</w:t>
            </w:r>
            <w:r>
              <w:rPr>
                <w:rFonts w:ascii="Times New Roman" w:hAnsi="Times New Roman" w:hint="eastAsia"/>
                <w:b/>
                <w:sz w:val="21"/>
                <w:szCs w:val="21"/>
              </w:rPr>
              <w:t>12</w:t>
            </w:r>
            <w:r>
              <w:rPr>
                <w:rFonts w:ascii="Times New Roman" w:hAnsi="Times New Roman" w:hint="eastAsia"/>
                <w:b/>
                <w:sz w:val="21"/>
                <w:szCs w:val="21"/>
              </w:rPr>
              <w:t>月</w:t>
            </w:r>
            <w:r w:rsidR="00564555">
              <w:rPr>
                <w:rFonts w:ascii="Times New Roman" w:hAnsi="Times New Roman" w:hint="eastAsia"/>
                <w:b/>
                <w:sz w:val="21"/>
                <w:szCs w:val="21"/>
              </w:rPr>
              <w:t>20</w:t>
            </w:r>
            <w:r>
              <w:rPr>
                <w:rFonts w:ascii="Times New Roman" w:hAnsi="Times New Roman" w:hint="eastAsia"/>
                <w:b/>
                <w:sz w:val="21"/>
                <w:szCs w:val="21"/>
              </w:rPr>
              <w:t>日</w:t>
            </w:r>
            <w:r w:rsidR="00CE5129" w:rsidRPr="006F14B8">
              <w:rPr>
                <w:rFonts w:ascii="Times New Roman" w:hAnsi="Times New Roman" w:hint="eastAsia"/>
                <w:b/>
                <w:sz w:val="21"/>
                <w:szCs w:val="21"/>
              </w:rPr>
              <w:t>(</w:t>
            </w:r>
            <w:r w:rsidR="00CE5129" w:rsidRPr="006F14B8">
              <w:rPr>
                <w:rFonts w:ascii="Times New Roman" w:hAnsi="Times New Roman" w:hint="eastAsia"/>
                <w:b/>
                <w:sz w:val="21"/>
                <w:szCs w:val="21"/>
              </w:rPr>
              <w:t>基金清算</w:t>
            </w:r>
            <w:r w:rsidR="002B1D6B">
              <w:rPr>
                <w:rFonts w:ascii="Times New Roman" w:hAnsi="Times New Roman" w:hint="eastAsia"/>
                <w:b/>
                <w:sz w:val="21"/>
                <w:szCs w:val="21"/>
              </w:rPr>
              <w:t>起始</w:t>
            </w:r>
            <w:r w:rsidR="00CE5129" w:rsidRPr="006F14B8">
              <w:rPr>
                <w:rFonts w:ascii="Times New Roman" w:hAnsi="Times New Roman" w:hint="eastAsia"/>
                <w:b/>
                <w:sz w:val="21"/>
                <w:szCs w:val="21"/>
              </w:rPr>
              <w:t>日</w:t>
            </w:r>
            <w:r w:rsidR="00CE5129" w:rsidRPr="006F14B8">
              <w:rPr>
                <w:rFonts w:ascii="Times New Roman" w:hAnsi="Times New Roman" w:hint="eastAsia"/>
                <w:b/>
                <w:sz w:val="21"/>
                <w:szCs w:val="21"/>
              </w:rPr>
              <w:t>)</w:t>
            </w:r>
            <w:r w:rsidR="00CE5129" w:rsidRPr="006F14B8">
              <w:rPr>
                <w:rFonts w:ascii="Times New Roman" w:hAnsi="Times New Roman" w:hint="eastAsia"/>
                <w:b/>
                <w:sz w:val="21"/>
                <w:szCs w:val="21"/>
              </w:rPr>
              <w:t>至</w:t>
            </w:r>
            <w:r w:rsidR="00CE5129" w:rsidRPr="00AC1939">
              <w:rPr>
                <w:rFonts w:ascii="Times New Roman" w:hAnsi="Times New Roman"/>
                <w:b/>
                <w:sz w:val="21"/>
                <w:szCs w:val="21"/>
              </w:rPr>
              <w:t>201</w:t>
            </w:r>
            <w:r w:rsidR="00F31355" w:rsidRPr="00AC1939">
              <w:rPr>
                <w:rFonts w:ascii="Times New Roman" w:hAnsi="Times New Roman"/>
                <w:b/>
                <w:sz w:val="21"/>
                <w:szCs w:val="21"/>
              </w:rPr>
              <w:t>8</w:t>
            </w:r>
            <w:r w:rsidR="00CE5129" w:rsidRPr="00AC1939">
              <w:rPr>
                <w:rFonts w:ascii="Times New Roman" w:hAnsi="Times New Roman" w:hint="eastAsia"/>
                <w:b/>
                <w:sz w:val="21"/>
                <w:szCs w:val="21"/>
              </w:rPr>
              <w:t>年</w:t>
            </w:r>
            <w:r w:rsidR="00AD5F1D" w:rsidRPr="00AC1939">
              <w:rPr>
                <w:rFonts w:ascii="Times New Roman" w:hAnsi="Times New Roman"/>
                <w:b/>
                <w:sz w:val="21"/>
                <w:szCs w:val="21"/>
              </w:rPr>
              <w:t>1</w:t>
            </w:r>
            <w:r w:rsidR="00CE5129" w:rsidRPr="00AC1939">
              <w:rPr>
                <w:rFonts w:ascii="Times New Roman" w:hAnsi="Times New Roman" w:hint="eastAsia"/>
                <w:b/>
                <w:sz w:val="21"/>
                <w:szCs w:val="21"/>
              </w:rPr>
              <w:t>月</w:t>
            </w:r>
            <w:r w:rsidR="00AD5F1D" w:rsidRPr="00AC1939">
              <w:rPr>
                <w:rFonts w:ascii="Times New Roman" w:hAnsi="Times New Roman"/>
                <w:b/>
                <w:sz w:val="21"/>
                <w:szCs w:val="21"/>
              </w:rPr>
              <w:t>15</w:t>
            </w:r>
            <w:r w:rsidR="00CE5129" w:rsidRPr="00AC1939">
              <w:rPr>
                <w:rFonts w:ascii="Times New Roman" w:hAnsi="Times New Roman" w:hint="eastAsia"/>
                <w:b/>
                <w:sz w:val="21"/>
                <w:szCs w:val="21"/>
              </w:rPr>
              <w:t>日</w:t>
            </w:r>
            <w:r w:rsidR="00CE5129" w:rsidRPr="006F14B8">
              <w:rPr>
                <w:rFonts w:ascii="Times New Roman" w:hAnsi="Times New Roman" w:hint="eastAsia"/>
                <w:b/>
                <w:sz w:val="21"/>
                <w:szCs w:val="21"/>
              </w:rPr>
              <w:t>(</w:t>
            </w:r>
            <w:r w:rsidR="00CE5129" w:rsidRPr="006F14B8">
              <w:rPr>
                <w:rFonts w:ascii="Times New Roman" w:hAnsi="Times New Roman" w:hint="eastAsia"/>
                <w:b/>
                <w:sz w:val="21"/>
                <w:szCs w:val="21"/>
              </w:rPr>
              <w:t>基金清算</w:t>
            </w:r>
            <w:r w:rsidR="002B1D6B">
              <w:rPr>
                <w:rFonts w:ascii="Times New Roman" w:hAnsi="Times New Roman" w:hint="eastAsia"/>
                <w:b/>
                <w:sz w:val="21"/>
                <w:szCs w:val="21"/>
              </w:rPr>
              <w:t>结束</w:t>
            </w:r>
            <w:r w:rsidR="00CE5129" w:rsidRPr="006F14B8">
              <w:rPr>
                <w:rFonts w:ascii="Times New Roman" w:hAnsi="Times New Roman" w:hint="eastAsia"/>
                <w:b/>
                <w:sz w:val="21"/>
                <w:szCs w:val="21"/>
              </w:rPr>
              <w:t>日</w:t>
            </w:r>
            <w:r w:rsidR="00CE5129" w:rsidRPr="006F14B8">
              <w:rPr>
                <w:rFonts w:ascii="Times New Roman" w:hAnsi="Times New Roman" w:hint="eastAsia"/>
                <w:b/>
                <w:sz w:val="21"/>
                <w:szCs w:val="21"/>
              </w:rPr>
              <w:t>)</w:t>
            </w:r>
            <w:r w:rsidR="00CE5129" w:rsidRPr="006F14B8">
              <w:rPr>
                <w:rFonts w:ascii="Times New Roman" w:hAnsi="Times New Roman" w:hint="eastAsia"/>
                <w:b/>
                <w:sz w:val="21"/>
                <w:szCs w:val="21"/>
              </w:rPr>
              <w:t>止期间</w:t>
            </w:r>
          </w:p>
        </w:tc>
      </w:tr>
      <w:tr w:rsidR="00B44174" w:rsidRPr="006F14B8" w:rsidTr="00CE5129">
        <w:trPr>
          <w:trHeight w:val="221"/>
        </w:trPr>
        <w:tc>
          <w:tcPr>
            <w:tcW w:w="2545" w:type="pct"/>
            <w:vAlign w:val="center"/>
          </w:tcPr>
          <w:p w:rsidR="00B44174" w:rsidRPr="006F14B8" w:rsidRDefault="00B44174" w:rsidP="008B3AD6">
            <w:pPr>
              <w:rPr>
                <w:b/>
                <w:color w:val="000000"/>
                <w:szCs w:val="21"/>
              </w:rPr>
            </w:pPr>
            <w:r w:rsidRPr="006F14B8">
              <w:rPr>
                <w:b/>
                <w:color w:val="000000"/>
                <w:szCs w:val="21"/>
              </w:rPr>
              <w:t>一、</w:t>
            </w:r>
            <w:r w:rsidRPr="006F14B8">
              <w:rPr>
                <w:rFonts w:hint="eastAsia"/>
                <w:b/>
                <w:color w:val="000000"/>
                <w:szCs w:val="21"/>
              </w:rPr>
              <w:t>资产处置损益</w:t>
            </w:r>
          </w:p>
        </w:tc>
        <w:tc>
          <w:tcPr>
            <w:tcW w:w="2455" w:type="pct"/>
            <w:vAlign w:val="center"/>
          </w:tcPr>
          <w:p w:rsidR="00B44174" w:rsidRPr="006F14B8" w:rsidRDefault="007D5F79" w:rsidP="00B44174">
            <w:pPr>
              <w:spacing w:line="360" w:lineRule="auto"/>
              <w:jc w:val="right"/>
              <w:rPr>
                <w:color w:val="000000"/>
                <w:szCs w:val="21"/>
              </w:rPr>
            </w:pPr>
            <w:r>
              <w:rPr>
                <w:color w:val="000000"/>
                <w:szCs w:val="21"/>
              </w:rPr>
              <w:t>-139,260.18</w:t>
            </w:r>
          </w:p>
        </w:tc>
      </w:tr>
      <w:tr w:rsidR="00B44174" w:rsidRPr="006F14B8" w:rsidTr="00CE5129">
        <w:tc>
          <w:tcPr>
            <w:tcW w:w="2545" w:type="pct"/>
            <w:vAlign w:val="center"/>
          </w:tcPr>
          <w:p w:rsidR="00B44174" w:rsidRPr="006F14B8" w:rsidRDefault="00B44174" w:rsidP="008B3AD6">
            <w:pPr>
              <w:rPr>
                <w:color w:val="000000"/>
                <w:szCs w:val="21"/>
              </w:rPr>
            </w:pPr>
            <w:r w:rsidRPr="006F14B8">
              <w:rPr>
                <w:color w:val="000000"/>
                <w:szCs w:val="21"/>
              </w:rPr>
              <w:t>1.</w:t>
            </w:r>
            <w:r w:rsidRPr="006F14B8">
              <w:rPr>
                <w:color w:val="000000"/>
                <w:szCs w:val="21"/>
              </w:rPr>
              <w:t>利息收入</w:t>
            </w:r>
          </w:p>
        </w:tc>
        <w:tc>
          <w:tcPr>
            <w:tcW w:w="2455" w:type="pct"/>
            <w:vAlign w:val="center"/>
          </w:tcPr>
          <w:p w:rsidR="00B44174" w:rsidRPr="006F14B8" w:rsidRDefault="00AF5B12" w:rsidP="00B44174">
            <w:pPr>
              <w:spacing w:line="360" w:lineRule="auto"/>
              <w:jc w:val="right"/>
              <w:rPr>
                <w:color w:val="000000"/>
                <w:szCs w:val="21"/>
              </w:rPr>
            </w:pPr>
            <w:r>
              <w:rPr>
                <w:rFonts w:hint="eastAsia"/>
                <w:color w:val="000000"/>
                <w:szCs w:val="21"/>
              </w:rPr>
              <w:t>2</w:t>
            </w:r>
            <w:r w:rsidR="003E14D0">
              <w:rPr>
                <w:color w:val="000000"/>
                <w:szCs w:val="21"/>
              </w:rPr>
              <w:t>,</w:t>
            </w:r>
            <w:r>
              <w:rPr>
                <w:rFonts w:hint="eastAsia"/>
                <w:color w:val="000000"/>
                <w:szCs w:val="21"/>
              </w:rPr>
              <w:t>403.01</w:t>
            </w:r>
          </w:p>
        </w:tc>
      </w:tr>
      <w:tr w:rsidR="00B44174" w:rsidRPr="006F14B8" w:rsidTr="00CE5129">
        <w:tc>
          <w:tcPr>
            <w:tcW w:w="2545" w:type="pct"/>
            <w:vAlign w:val="center"/>
          </w:tcPr>
          <w:p w:rsidR="00B44174" w:rsidRPr="006F14B8" w:rsidRDefault="00B44174" w:rsidP="008B3AD6">
            <w:pPr>
              <w:rPr>
                <w:color w:val="000000"/>
                <w:szCs w:val="21"/>
              </w:rPr>
            </w:pPr>
            <w:r w:rsidRPr="006F14B8">
              <w:rPr>
                <w:color w:val="000000"/>
                <w:szCs w:val="21"/>
              </w:rPr>
              <w:t>其中：存款利息收入</w:t>
            </w:r>
          </w:p>
        </w:tc>
        <w:tc>
          <w:tcPr>
            <w:tcW w:w="2455" w:type="pct"/>
            <w:vAlign w:val="center"/>
          </w:tcPr>
          <w:p w:rsidR="00B44174" w:rsidRPr="006F14B8" w:rsidRDefault="00AF5B12" w:rsidP="00B44174">
            <w:pPr>
              <w:spacing w:line="360" w:lineRule="auto"/>
              <w:jc w:val="right"/>
              <w:rPr>
                <w:color w:val="000000"/>
                <w:szCs w:val="21"/>
              </w:rPr>
            </w:pPr>
            <w:r>
              <w:rPr>
                <w:rFonts w:hint="eastAsia"/>
                <w:color w:val="000000"/>
                <w:szCs w:val="21"/>
              </w:rPr>
              <w:t>2</w:t>
            </w:r>
            <w:r w:rsidR="003E14D0">
              <w:rPr>
                <w:color w:val="000000"/>
                <w:szCs w:val="21"/>
              </w:rPr>
              <w:t>,</w:t>
            </w:r>
            <w:r>
              <w:rPr>
                <w:rFonts w:hint="eastAsia"/>
                <w:color w:val="000000"/>
                <w:szCs w:val="21"/>
              </w:rPr>
              <w:t>403.01</w:t>
            </w:r>
          </w:p>
        </w:tc>
      </w:tr>
      <w:tr w:rsidR="00CE5129" w:rsidRPr="006F14B8" w:rsidTr="00CE5129">
        <w:tc>
          <w:tcPr>
            <w:tcW w:w="2545" w:type="pct"/>
            <w:vAlign w:val="center"/>
          </w:tcPr>
          <w:p w:rsidR="00CE5129" w:rsidRPr="006F14B8" w:rsidRDefault="00CE5129" w:rsidP="008B3AD6">
            <w:pPr>
              <w:rPr>
                <w:color w:val="000000"/>
                <w:szCs w:val="21"/>
              </w:rPr>
            </w:pPr>
            <w:r w:rsidRPr="006F14B8">
              <w:rPr>
                <w:color w:val="000000"/>
                <w:szCs w:val="21"/>
              </w:rPr>
              <w:t>2.</w:t>
            </w:r>
            <w:r w:rsidRPr="006F14B8">
              <w:rPr>
                <w:color w:val="000000"/>
                <w:szCs w:val="21"/>
              </w:rPr>
              <w:t>投资收益（损失以</w:t>
            </w:r>
            <w:r w:rsidRPr="006F14B8">
              <w:rPr>
                <w:color w:val="000000"/>
                <w:szCs w:val="21"/>
              </w:rPr>
              <w:t>“-”</w:t>
            </w:r>
            <w:r w:rsidRPr="006F14B8">
              <w:rPr>
                <w:color w:val="000000"/>
                <w:szCs w:val="21"/>
              </w:rPr>
              <w:t>填列）</w:t>
            </w:r>
          </w:p>
        </w:tc>
        <w:tc>
          <w:tcPr>
            <w:tcW w:w="2455" w:type="pct"/>
            <w:vAlign w:val="center"/>
          </w:tcPr>
          <w:p w:rsidR="00CE5129" w:rsidRPr="006F14B8" w:rsidRDefault="00AF5B12" w:rsidP="00B44174">
            <w:pPr>
              <w:spacing w:line="360" w:lineRule="auto"/>
              <w:jc w:val="right"/>
              <w:rPr>
                <w:color w:val="000000"/>
                <w:szCs w:val="21"/>
              </w:rPr>
            </w:pPr>
            <w:r>
              <w:rPr>
                <w:color w:val="000000"/>
                <w:szCs w:val="21"/>
              </w:rPr>
              <w:t>4,401,525.52</w:t>
            </w:r>
          </w:p>
        </w:tc>
      </w:tr>
      <w:tr w:rsidR="00CE5129" w:rsidRPr="006F14B8" w:rsidTr="00CE5129">
        <w:tc>
          <w:tcPr>
            <w:tcW w:w="2545" w:type="pct"/>
            <w:vAlign w:val="center"/>
          </w:tcPr>
          <w:p w:rsidR="00CE5129" w:rsidRPr="006F14B8" w:rsidRDefault="00CE5129" w:rsidP="008B3AD6">
            <w:pPr>
              <w:rPr>
                <w:color w:val="000000"/>
                <w:szCs w:val="21"/>
              </w:rPr>
            </w:pPr>
            <w:r w:rsidRPr="006F14B8">
              <w:rPr>
                <w:color w:val="000000"/>
                <w:szCs w:val="21"/>
              </w:rPr>
              <w:t>其中：股票投资收益</w:t>
            </w:r>
          </w:p>
        </w:tc>
        <w:tc>
          <w:tcPr>
            <w:tcW w:w="2455" w:type="pct"/>
            <w:vAlign w:val="center"/>
          </w:tcPr>
          <w:p w:rsidR="00CE5129" w:rsidRPr="006F14B8" w:rsidRDefault="00AF5B12" w:rsidP="00E47523">
            <w:pPr>
              <w:spacing w:line="360" w:lineRule="auto"/>
              <w:jc w:val="right"/>
              <w:rPr>
                <w:color w:val="000000"/>
                <w:szCs w:val="21"/>
              </w:rPr>
            </w:pPr>
            <w:r>
              <w:rPr>
                <w:color w:val="000000"/>
                <w:szCs w:val="21"/>
              </w:rPr>
              <w:t>4,401,</w:t>
            </w:r>
            <w:r w:rsidR="00E47523">
              <w:rPr>
                <w:color w:val="000000"/>
                <w:szCs w:val="21"/>
              </w:rPr>
              <w:t>400</w:t>
            </w:r>
            <w:r>
              <w:rPr>
                <w:color w:val="000000"/>
                <w:szCs w:val="21"/>
              </w:rPr>
              <w:t>.</w:t>
            </w:r>
            <w:r w:rsidR="00E47523">
              <w:rPr>
                <w:color w:val="000000"/>
                <w:szCs w:val="21"/>
              </w:rPr>
              <w:t>18</w:t>
            </w:r>
          </w:p>
        </w:tc>
      </w:tr>
      <w:tr w:rsidR="00DF45AD" w:rsidRPr="006F14B8" w:rsidTr="00CE5129">
        <w:tc>
          <w:tcPr>
            <w:tcW w:w="2545" w:type="pct"/>
            <w:vAlign w:val="center"/>
          </w:tcPr>
          <w:p w:rsidR="00DF45AD" w:rsidRPr="006F14B8" w:rsidRDefault="00DF45AD" w:rsidP="00DF45AD">
            <w:pPr>
              <w:ind w:firstLineChars="300" w:firstLine="630"/>
              <w:rPr>
                <w:color w:val="000000"/>
                <w:szCs w:val="21"/>
              </w:rPr>
            </w:pPr>
            <w:r>
              <w:rPr>
                <w:rFonts w:hint="eastAsia"/>
                <w:color w:val="000000"/>
                <w:szCs w:val="21"/>
              </w:rPr>
              <w:t>债券</w:t>
            </w:r>
            <w:r w:rsidRPr="006F14B8">
              <w:rPr>
                <w:color w:val="000000"/>
                <w:szCs w:val="21"/>
              </w:rPr>
              <w:t>投资收益</w:t>
            </w:r>
          </w:p>
        </w:tc>
        <w:tc>
          <w:tcPr>
            <w:tcW w:w="2455" w:type="pct"/>
            <w:vAlign w:val="center"/>
          </w:tcPr>
          <w:p w:rsidR="00DF45AD" w:rsidRPr="006F14B8" w:rsidRDefault="00C720D9" w:rsidP="00B44174">
            <w:pPr>
              <w:spacing w:line="360" w:lineRule="auto"/>
              <w:jc w:val="right"/>
              <w:rPr>
                <w:color w:val="000000"/>
                <w:szCs w:val="21"/>
              </w:rPr>
            </w:pPr>
            <w:r w:rsidRPr="006F14B8">
              <w:rPr>
                <w:rFonts w:hint="eastAsia"/>
                <w:color w:val="000000"/>
                <w:szCs w:val="21"/>
              </w:rPr>
              <w:t>-</w:t>
            </w:r>
          </w:p>
        </w:tc>
      </w:tr>
      <w:tr w:rsidR="00CE5129" w:rsidRPr="006F14B8" w:rsidTr="00CE5129">
        <w:tc>
          <w:tcPr>
            <w:tcW w:w="2545" w:type="pct"/>
            <w:vAlign w:val="center"/>
          </w:tcPr>
          <w:p w:rsidR="00CE5129" w:rsidRPr="006F14B8" w:rsidRDefault="00CE5129" w:rsidP="008B3AD6">
            <w:pPr>
              <w:ind w:firstLineChars="300" w:firstLine="630"/>
              <w:rPr>
                <w:color w:val="000000"/>
                <w:szCs w:val="21"/>
              </w:rPr>
            </w:pPr>
            <w:r w:rsidRPr="006F14B8">
              <w:rPr>
                <w:color w:val="000000"/>
                <w:szCs w:val="21"/>
              </w:rPr>
              <w:t>基金投资收益</w:t>
            </w:r>
          </w:p>
        </w:tc>
        <w:tc>
          <w:tcPr>
            <w:tcW w:w="2455" w:type="pct"/>
            <w:vAlign w:val="center"/>
          </w:tcPr>
          <w:p w:rsidR="00CE5129" w:rsidRPr="006F14B8" w:rsidRDefault="00B44174" w:rsidP="00B44174">
            <w:pPr>
              <w:spacing w:line="360" w:lineRule="auto"/>
              <w:jc w:val="right"/>
              <w:rPr>
                <w:color w:val="000000"/>
                <w:szCs w:val="21"/>
              </w:rPr>
            </w:pPr>
            <w:r w:rsidRPr="006F14B8">
              <w:rPr>
                <w:rFonts w:hint="eastAsia"/>
                <w:color w:val="000000"/>
                <w:szCs w:val="21"/>
              </w:rPr>
              <w:t>-</w:t>
            </w:r>
          </w:p>
        </w:tc>
      </w:tr>
      <w:tr w:rsidR="00E47523" w:rsidRPr="006F14B8" w:rsidTr="00CE5129">
        <w:tc>
          <w:tcPr>
            <w:tcW w:w="2545" w:type="pct"/>
            <w:vAlign w:val="center"/>
          </w:tcPr>
          <w:p w:rsidR="00E47523" w:rsidRPr="006F14B8" w:rsidRDefault="00E47523" w:rsidP="008B3AD6">
            <w:pPr>
              <w:rPr>
                <w:color w:val="000000"/>
                <w:szCs w:val="21"/>
              </w:rPr>
            </w:pPr>
            <w:r>
              <w:rPr>
                <w:rFonts w:hint="eastAsia"/>
                <w:color w:val="000000"/>
                <w:szCs w:val="21"/>
              </w:rPr>
              <w:t>股利</w:t>
            </w:r>
            <w:r>
              <w:rPr>
                <w:color w:val="000000"/>
                <w:szCs w:val="21"/>
              </w:rPr>
              <w:t>收益</w:t>
            </w:r>
          </w:p>
        </w:tc>
        <w:tc>
          <w:tcPr>
            <w:tcW w:w="2455" w:type="pct"/>
            <w:vAlign w:val="center"/>
          </w:tcPr>
          <w:p w:rsidR="00E47523" w:rsidRPr="006F14B8" w:rsidDel="0023487F" w:rsidRDefault="00E47523" w:rsidP="00B44174">
            <w:pPr>
              <w:spacing w:line="360" w:lineRule="auto"/>
              <w:jc w:val="right"/>
              <w:rPr>
                <w:color w:val="000000"/>
                <w:szCs w:val="21"/>
              </w:rPr>
            </w:pPr>
            <w:r>
              <w:rPr>
                <w:rFonts w:hint="eastAsia"/>
                <w:color w:val="000000"/>
                <w:szCs w:val="21"/>
              </w:rPr>
              <w:t>125.34</w:t>
            </w:r>
          </w:p>
        </w:tc>
      </w:tr>
      <w:tr w:rsidR="00CE5129" w:rsidRPr="006F14B8" w:rsidTr="00CE5129">
        <w:tc>
          <w:tcPr>
            <w:tcW w:w="2545" w:type="pct"/>
            <w:vAlign w:val="center"/>
          </w:tcPr>
          <w:p w:rsidR="00CE5129" w:rsidRPr="006F14B8" w:rsidRDefault="00CE5129" w:rsidP="008B3AD6">
            <w:pPr>
              <w:rPr>
                <w:color w:val="000000"/>
                <w:szCs w:val="21"/>
              </w:rPr>
            </w:pPr>
            <w:r w:rsidRPr="006F14B8">
              <w:rPr>
                <w:rFonts w:hint="eastAsia"/>
                <w:color w:val="000000"/>
                <w:szCs w:val="21"/>
              </w:rPr>
              <w:t>3.</w:t>
            </w:r>
            <w:r w:rsidRPr="006F14B8">
              <w:rPr>
                <w:rFonts w:hint="eastAsia"/>
                <w:color w:val="000000"/>
                <w:szCs w:val="21"/>
              </w:rPr>
              <w:t>公允价值变动收益（损失以“</w:t>
            </w:r>
            <w:r w:rsidRPr="006F14B8">
              <w:rPr>
                <w:rFonts w:hint="eastAsia"/>
                <w:color w:val="000000"/>
                <w:szCs w:val="21"/>
              </w:rPr>
              <w:t>-</w:t>
            </w:r>
            <w:r w:rsidRPr="006F14B8">
              <w:rPr>
                <w:rFonts w:hint="eastAsia"/>
                <w:color w:val="000000"/>
                <w:szCs w:val="21"/>
              </w:rPr>
              <w:t>”号填列）</w:t>
            </w:r>
          </w:p>
        </w:tc>
        <w:tc>
          <w:tcPr>
            <w:tcW w:w="2455" w:type="pct"/>
            <w:vAlign w:val="center"/>
          </w:tcPr>
          <w:p w:rsidR="00CE5129" w:rsidRPr="006F14B8" w:rsidRDefault="0023487F" w:rsidP="00B44174">
            <w:pPr>
              <w:spacing w:line="360" w:lineRule="auto"/>
              <w:jc w:val="right"/>
              <w:rPr>
                <w:color w:val="000000"/>
                <w:szCs w:val="21"/>
              </w:rPr>
            </w:pPr>
            <w:r>
              <w:rPr>
                <w:color w:val="000000"/>
                <w:szCs w:val="21"/>
              </w:rPr>
              <w:t>-4,327,777.02</w:t>
            </w:r>
          </w:p>
        </w:tc>
      </w:tr>
      <w:tr w:rsidR="004C226E" w:rsidRPr="006F14B8" w:rsidTr="00CE5129">
        <w:tc>
          <w:tcPr>
            <w:tcW w:w="2545" w:type="pct"/>
            <w:vAlign w:val="center"/>
          </w:tcPr>
          <w:p w:rsidR="004C226E" w:rsidRPr="006F14B8" w:rsidRDefault="004C226E" w:rsidP="008B3AD6">
            <w:pPr>
              <w:rPr>
                <w:color w:val="000000"/>
                <w:szCs w:val="21"/>
              </w:rPr>
            </w:pPr>
            <w:r>
              <w:rPr>
                <w:rFonts w:hint="eastAsia"/>
                <w:color w:val="000000"/>
                <w:szCs w:val="21"/>
              </w:rPr>
              <w:t>4.</w:t>
            </w:r>
            <w:r>
              <w:rPr>
                <w:rFonts w:hint="eastAsia"/>
                <w:color w:val="000000"/>
                <w:szCs w:val="21"/>
              </w:rPr>
              <w:t>汇兑</w:t>
            </w:r>
            <w:r>
              <w:rPr>
                <w:color w:val="000000"/>
                <w:szCs w:val="21"/>
              </w:rPr>
              <w:t>损益</w:t>
            </w:r>
            <w:r w:rsidRPr="006F14B8">
              <w:rPr>
                <w:color w:val="000000"/>
                <w:szCs w:val="21"/>
              </w:rPr>
              <w:t>（损失以</w:t>
            </w:r>
            <w:r w:rsidRPr="006F14B8">
              <w:rPr>
                <w:color w:val="000000"/>
                <w:szCs w:val="21"/>
              </w:rPr>
              <w:t>“-”</w:t>
            </w:r>
            <w:r w:rsidRPr="006F14B8">
              <w:rPr>
                <w:color w:val="000000"/>
                <w:szCs w:val="21"/>
              </w:rPr>
              <w:t>号填列）</w:t>
            </w:r>
          </w:p>
        </w:tc>
        <w:tc>
          <w:tcPr>
            <w:tcW w:w="2455" w:type="pct"/>
            <w:vAlign w:val="center"/>
          </w:tcPr>
          <w:p w:rsidR="004C226E" w:rsidRPr="006F14B8" w:rsidRDefault="005E2ADA" w:rsidP="00AC1939">
            <w:pPr>
              <w:wordWrap w:val="0"/>
              <w:spacing w:line="360" w:lineRule="auto"/>
              <w:jc w:val="right"/>
              <w:rPr>
                <w:color w:val="000000"/>
                <w:szCs w:val="21"/>
              </w:rPr>
            </w:pPr>
            <w:r>
              <w:rPr>
                <w:color w:val="000000"/>
                <w:szCs w:val="21"/>
              </w:rPr>
              <w:t>-215,505.21</w:t>
            </w:r>
          </w:p>
        </w:tc>
      </w:tr>
      <w:tr w:rsidR="00CE5129" w:rsidRPr="006F14B8" w:rsidTr="00CE5129">
        <w:tc>
          <w:tcPr>
            <w:tcW w:w="2545" w:type="pct"/>
            <w:vAlign w:val="center"/>
          </w:tcPr>
          <w:p w:rsidR="00CE5129" w:rsidRPr="006F14B8" w:rsidRDefault="004C226E" w:rsidP="008B3AD6">
            <w:pPr>
              <w:rPr>
                <w:color w:val="000000"/>
                <w:szCs w:val="21"/>
              </w:rPr>
            </w:pPr>
            <w:r>
              <w:rPr>
                <w:color w:val="000000"/>
                <w:szCs w:val="21"/>
              </w:rPr>
              <w:t>5</w:t>
            </w:r>
            <w:r w:rsidR="00CE5129" w:rsidRPr="006F14B8">
              <w:rPr>
                <w:color w:val="000000"/>
                <w:szCs w:val="21"/>
              </w:rPr>
              <w:t>.</w:t>
            </w:r>
            <w:r w:rsidR="00CE5129" w:rsidRPr="006F14B8">
              <w:rPr>
                <w:color w:val="000000"/>
                <w:szCs w:val="21"/>
              </w:rPr>
              <w:t>其他收入（损失以</w:t>
            </w:r>
            <w:r w:rsidR="00CE5129" w:rsidRPr="006F14B8">
              <w:rPr>
                <w:color w:val="000000"/>
                <w:szCs w:val="21"/>
              </w:rPr>
              <w:t>“-”</w:t>
            </w:r>
            <w:r w:rsidR="00CE5129" w:rsidRPr="006F14B8">
              <w:rPr>
                <w:color w:val="000000"/>
                <w:szCs w:val="21"/>
              </w:rPr>
              <w:t>号填列）</w:t>
            </w:r>
          </w:p>
        </w:tc>
        <w:tc>
          <w:tcPr>
            <w:tcW w:w="2455" w:type="pct"/>
            <w:vAlign w:val="center"/>
          </w:tcPr>
          <w:p w:rsidR="00CE5129" w:rsidRPr="006F14B8" w:rsidRDefault="005E2ADA" w:rsidP="00B44174">
            <w:pPr>
              <w:spacing w:line="360" w:lineRule="auto"/>
              <w:jc w:val="right"/>
              <w:rPr>
                <w:color w:val="000000"/>
                <w:szCs w:val="21"/>
              </w:rPr>
            </w:pPr>
            <w:r>
              <w:rPr>
                <w:color w:val="000000"/>
                <w:szCs w:val="21"/>
              </w:rPr>
              <w:t>93.52</w:t>
            </w:r>
          </w:p>
        </w:tc>
      </w:tr>
      <w:tr w:rsidR="00CE5129" w:rsidRPr="006F14B8" w:rsidTr="00CE5129">
        <w:tc>
          <w:tcPr>
            <w:tcW w:w="2545" w:type="pct"/>
            <w:vAlign w:val="center"/>
          </w:tcPr>
          <w:p w:rsidR="00CE5129" w:rsidRPr="006F14B8" w:rsidRDefault="00CE5129" w:rsidP="008B3AD6">
            <w:pPr>
              <w:rPr>
                <w:b/>
                <w:color w:val="000000"/>
                <w:szCs w:val="21"/>
              </w:rPr>
            </w:pPr>
            <w:r w:rsidRPr="006F14B8">
              <w:rPr>
                <w:b/>
                <w:color w:val="000000"/>
                <w:szCs w:val="21"/>
              </w:rPr>
              <w:t>二、</w:t>
            </w:r>
            <w:r w:rsidRPr="006F14B8">
              <w:rPr>
                <w:rFonts w:hint="eastAsia"/>
                <w:b/>
                <w:color w:val="000000"/>
                <w:szCs w:val="21"/>
              </w:rPr>
              <w:t>清算</w:t>
            </w:r>
            <w:r w:rsidRPr="006F14B8">
              <w:rPr>
                <w:b/>
                <w:color w:val="000000"/>
                <w:szCs w:val="21"/>
              </w:rPr>
              <w:t>费用</w:t>
            </w:r>
          </w:p>
        </w:tc>
        <w:tc>
          <w:tcPr>
            <w:tcW w:w="2455" w:type="pct"/>
            <w:vAlign w:val="center"/>
          </w:tcPr>
          <w:p w:rsidR="00CE5129" w:rsidRPr="006F14B8" w:rsidRDefault="007D5F79" w:rsidP="00B44174">
            <w:pPr>
              <w:spacing w:line="360" w:lineRule="auto"/>
              <w:jc w:val="right"/>
              <w:rPr>
                <w:color w:val="000000"/>
                <w:szCs w:val="21"/>
              </w:rPr>
            </w:pPr>
            <w:r>
              <w:rPr>
                <w:color w:val="000000"/>
                <w:szCs w:val="21"/>
              </w:rPr>
              <w:t>4,216.35</w:t>
            </w:r>
          </w:p>
        </w:tc>
      </w:tr>
      <w:tr w:rsidR="00CE5129" w:rsidRPr="006F14B8" w:rsidTr="00CE5129">
        <w:tc>
          <w:tcPr>
            <w:tcW w:w="2545" w:type="pct"/>
            <w:vAlign w:val="center"/>
          </w:tcPr>
          <w:p w:rsidR="00CE5129" w:rsidRPr="006F14B8" w:rsidRDefault="00CE5129" w:rsidP="008B3AD6">
            <w:pPr>
              <w:rPr>
                <w:color w:val="000000"/>
                <w:szCs w:val="21"/>
              </w:rPr>
            </w:pPr>
            <w:r w:rsidRPr="006F14B8">
              <w:rPr>
                <w:rFonts w:hint="eastAsia"/>
                <w:color w:val="000000"/>
                <w:szCs w:val="21"/>
              </w:rPr>
              <w:t>1</w:t>
            </w:r>
            <w:r w:rsidR="00182327">
              <w:rPr>
                <w:rFonts w:hint="eastAsia"/>
                <w:color w:val="000000"/>
                <w:szCs w:val="21"/>
              </w:rPr>
              <w:t>.</w:t>
            </w:r>
            <w:r w:rsidRPr="006F14B8">
              <w:rPr>
                <w:color w:val="000000"/>
                <w:szCs w:val="21"/>
              </w:rPr>
              <w:t>交易费用</w:t>
            </w:r>
          </w:p>
        </w:tc>
        <w:tc>
          <w:tcPr>
            <w:tcW w:w="2455" w:type="pct"/>
            <w:vAlign w:val="center"/>
          </w:tcPr>
          <w:p w:rsidR="00CE5129" w:rsidRPr="006F14B8" w:rsidRDefault="005E2ADA" w:rsidP="00B44174">
            <w:pPr>
              <w:spacing w:line="360" w:lineRule="auto"/>
              <w:jc w:val="right"/>
              <w:rPr>
                <w:color w:val="000000"/>
                <w:szCs w:val="21"/>
              </w:rPr>
            </w:pPr>
            <w:r>
              <w:rPr>
                <w:color w:val="000000"/>
                <w:szCs w:val="21"/>
              </w:rPr>
              <w:t>4</w:t>
            </w:r>
            <w:r w:rsidR="003E14D0">
              <w:rPr>
                <w:color w:val="000000"/>
                <w:szCs w:val="21"/>
              </w:rPr>
              <w:t>,</w:t>
            </w:r>
            <w:r>
              <w:rPr>
                <w:color w:val="000000"/>
                <w:szCs w:val="21"/>
              </w:rPr>
              <w:t>171.35</w:t>
            </w:r>
          </w:p>
        </w:tc>
      </w:tr>
      <w:tr w:rsidR="00B44174" w:rsidRPr="006F14B8" w:rsidTr="00CE5129">
        <w:tc>
          <w:tcPr>
            <w:tcW w:w="2545" w:type="pct"/>
            <w:vAlign w:val="center"/>
          </w:tcPr>
          <w:p w:rsidR="00B44174" w:rsidRPr="006F14B8" w:rsidRDefault="00B44174" w:rsidP="008B3AD6">
            <w:pPr>
              <w:rPr>
                <w:color w:val="000000"/>
                <w:szCs w:val="21"/>
              </w:rPr>
            </w:pPr>
            <w:r w:rsidRPr="006F14B8">
              <w:rPr>
                <w:rFonts w:hint="eastAsia"/>
                <w:color w:val="000000"/>
                <w:szCs w:val="21"/>
              </w:rPr>
              <w:t>2</w:t>
            </w:r>
            <w:r w:rsidR="00182327">
              <w:rPr>
                <w:rFonts w:hint="eastAsia"/>
                <w:color w:val="000000"/>
                <w:szCs w:val="21"/>
              </w:rPr>
              <w:t>.</w:t>
            </w:r>
            <w:r w:rsidRPr="006F14B8">
              <w:rPr>
                <w:color w:val="000000"/>
                <w:szCs w:val="21"/>
              </w:rPr>
              <w:t>其他费用</w:t>
            </w:r>
          </w:p>
        </w:tc>
        <w:tc>
          <w:tcPr>
            <w:tcW w:w="2455" w:type="pct"/>
            <w:vAlign w:val="center"/>
          </w:tcPr>
          <w:p w:rsidR="00B44174" w:rsidRPr="006F14B8" w:rsidRDefault="005E2ADA" w:rsidP="00B44174">
            <w:pPr>
              <w:spacing w:line="360" w:lineRule="auto"/>
              <w:jc w:val="right"/>
              <w:rPr>
                <w:color w:val="000000"/>
                <w:szCs w:val="21"/>
              </w:rPr>
            </w:pPr>
            <w:r>
              <w:rPr>
                <w:color w:val="000000"/>
                <w:szCs w:val="21"/>
              </w:rPr>
              <w:t>45</w:t>
            </w:r>
            <w:r w:rsidR="003E14D0">
              <w:rPr>
                <w:color w:val="000000"/>
                <w:szCs w:val="21"/>
              </w:rPr>
              <w:t>.00</w:t>
            </w:r>
          </w:p>
        </w:tc>
      </w:tr>
      <w:tr w:rsidR="00B44174" w:rsidRPr="006F14B8" w:rsidTr="00CE5129">
        <w:tc>
          <w:tcPr>
            <w:tcW w:w="2545" w:type="pct"/>
            <w:vAlign w:val="center"/>
          </w:tcPr>
          <w:p w:rsidR="00B44174" w:rsidRPr="006F14B8" w:rsidRDefault="00B44174" w:rsidP="008B3AD6">
            <w:pPr>
              <w:rPr>
                <w:b/>
                <w:color w:val="000000"/>
                <w:szCs w:val="21"/>
              </w:rPr>
            </w:pPr>
            <w:r w:rsidRPr="006F14B8">
              <w:rPr>
                <w:rFonts w:hint="eastAsia"/>
                <w:b/>
                <w:color w:val="000000"/>
                <w:szCs w:val="21"/>
              </w:rPr>
              <w:t>三</w:t>
            </w:r>
            <w:r w:rsidRPr="006F14B8">
              <w:rPr>
                <w:b/>
                <w:color w:val="000000"/>
                <w:szCs w:val="21"/>
              </w:rPr>
              <w:t>、</w:t>
            </w:r>
            <w:r w:rsidRPr="006F14B8">
              <w:rPr>
                <w:rFonts w:hint="eastAsia"/>
                <w:b/>
                <w:color w:val="000000"/>
                <w:szCs w:val="21"/>
              </w:rPr>
              <w:t>清算净损益</w:t>
            </w:r>
            <w:r w:rsidRPr="006F14B8">
              <w:rPr>
                <w:b/>
                <w:color w:val="000000"/>
                <w:szCs w:val="21"/>
              </w:rPr>
              <w:t>（净亏损以</w:t>
            </w:r>
            <w:r w:rsidRPr="006F14B8">
              <w:rPr>
                <w:b/>
                <w:color w:val="000000"/>
                <w:szCs w:val="21"/>
              </w:rPr>
              <w:t>“-”</w:t>
            </w:r>
            <w:r w:rsidRPr="006F14B8">
              <w:rPr>
                <w:b/>
                <w:color w:val="000000"/>
                <w:szCs w:val="21"/>
              </w:rPr>
              <w:t>号填列）</w:t>
            </w:r>
          </w:p>
        </w:tc>
        <w:tc>
          <w:tcPr>
            <w:tcW w:w="2455" w:type="pct"/>
            <w:vAlign w:val="center"/>
          </w:tcPr>
          <w:p w:rsidR="00B44174" w:rsidRPr="006F14B8" w:rsidRDefault="007D5F79" w:rsidP="007D5F79">
            <w:pPr>
              <w:spacing w:line="360" w:lineRule="auto"/>
              <w:jc w:val="right"/>
              <w:rPr>
                <w:color w:val="000000"/>
                <w:szCs w:val="21"/>
              </w:rPr>
            </w:pPr>
            <w:r>
              <w:rPr>
                <w:color w:val="000000"/>
                <w:szCs w:val="21"/>
              </w:rPr>
              <w:t>-143,476.53</w:t>
            </w:r>
          </w:p>
        </w:tc>
      </w:tr>
    </w:tbl>
    <w:p w:rsidR="00D15EC5" w:rsidRPr="00171DD5" w:rsidRDefault="00171DD5" w:rsidP="00D15EC5">
      <w:pPr>
        <w:pStyle w:val="a0"/>
        <w:ind w:firstLineChars="0" w:firstLine="0"/>
      </w:pPr>
      <w:r>
        <w:rPr>
          <w:rFonts w:hint="eastAsia"/>
        </w:rPr>
        <w:t>注：其他费用为银行汇划费用。</w:t>
      </w:r>
    </w:p>
    <w:p w:rsidR="00DD18F6" w:rsidRPr="006F14B8" w:rsidRDefault="004D1916" w:rsidP="00DD18F6">
      <w:pPr>
        <w:pStyle w:val="20"/>
        <w:spacing w:before="0" w:after="0"/>
        <w:rPr>
          <w:rFonts w:ascii="Times New Roman" w:hAnsi="Times New Roman"/>
          <w:kern w:val="0"/>
          <w:sz w:val="21"/>
          <w:szCs w:val="21"/>
        </w:rPr>
      </w:pPr>
      <w:bookmarkStart w:id="39" w:name="_Toc490670323"/>
      <w:r w:rsidRPr="006F14B8">
        <w:rPr>
          <w:rFonts w:ascii="Times New Roman" w:hAnsi="Times New Roman" w:hint="eastAsia"/>
          <w:kern w:val="0"/>
          <w:sz w:val="21"/>
          <w:szCs w:val="21"/>
        </w:rPr>
        <w:t>5</w:t>
      </w:r>
      <w:r w:rsidR="00CE5129" w:rsidRPr="006F14B8">
        <w:rPr>
          <w:rFonts w:ascii="Times New Roman" w:hAnsi="Times New Roman" w:hint="eastAsia"/>
          <w:kern w:val="0"/>
          <w:sz w:val="21"/>
          <w:szCs w:val="21"/>
        </w:rPr>
        <w:t>.5</w:t>
      </w:r>
      <w:r w:rsidR="00CE5129" w:rsidRPr="006F14B8">
        <w:rPr>
          <w:rFonts w:ascii="Times New Roman" w:hAnsi="Times New Roman" w:hint="eastAsia"/>
          <w:kern w:val="0"/>
          <w:sz w:val="21"/>
          <w:szCs w:val="21"/>
        </w:rPr>
        <w:t>资产处置及负债清偿后的剩余财产分配情况</w:t>
      </w:r>
      <w:bookmarkEnd w:id="39"/>
    </w:p>
    <w:p w:rsidR="00657EB0" w:rsidRPr="006F14B8" w:rsidRDefault="00657EB0" w:rsidP="00657EB0">
      <w:pPr>
        <w:spacing w:line="360" w:lineRule="auto"/>
        <w:ind w:firstLineChars="200" w:firstLine="420"/>
        <w:rPr>
          <w:color w:val="000000"/>
          <w:szCs w:val="21"/>
        </w:rPr>
      </w:pPr>
      <w:r w:rsidRPr="006F14B8">
        <w:rPr>
          <w:color w:val="000000"/>
          <w:szCs w:val="21"/>
        </w:rPr>
        <w:t>资产处置及负债清偿后，于</w:t>
      </w:r>
      <w:r w:rsidRPr="006F14B8">
        <w:rPr>
          <w:color w:val="000000"/>
          <w:szCs w:val="21"/>
        </w:rPr>
        <w:t>201</w:t>
      </w:r>
      <w:r w:rsidR="00110246">
        <w:rPr>
          <w:rFonts w:hint="eastAsia"/>
          <w:color w:val="000000"/>
          <w:szCs w:val="21"/>
        </w:rPr>
        <w:t>8</w:t>
      </w:r>
      <w:r w:rsidRPr="006F14B8">
        <w:rPr>
          <w:color w:val="000000"/>
          <w:szCs w:val="21"/>
        </w:rPr>
        <w:t>年</w:t>
      </w:r>
      <w:r w:rsidR="00AD5F1D">
        <w:rPr>
          <w:color w:val="000000"/>
          <w:szCs w:val="21"/>
        </w:rPr>
        <w:t>1</w:t>
      </w:r>
      <w:r w:rsidRPr="006F14B8">
        <w:rPr>
          <w:color w:val="000000"/>
          <w:szCs w:val="21"/>
        </w:rPr>
        <w:t>月</w:t>
      </w:r>
      <w:r w:rsidR="00AD5F1D">
        <w:rPr>
          <w:color w:val="000000"/>
          <w:szCs w:val="21"/>
        </w:rPr>
        <w:t>15</w:t>
      </w:r>
      <w:r w:rsidRPr="006F14B8">
        <w:rPr>
          <w:color w:val="000000"/>
          <w:szCs w:val="21"/>
        </w:rPr>
        <w:t>日本基金剩余财产为人民币</w:t>
      </w:r>
      <w:r w:rsidR="00AD5F1D">
        <w:rPr>
          <w:color w:val="000000" w:themeColor="text1"/>
          <w:szCs w:val="21"/>
        </w:rPr>
        <w:t>14</w:t>
      </w:r>
      <w:r w:rsidR="00AD5F1D">
        <w:rPr>
          <w:rFonts w:hint="eastAsia"/>
          <w:color w:val="000000" w:themeColor="text1"/>
          <w:szCs w:val="21"/>
        </w:rPr>
        <w:t>,753,654.73</w:t>
      </w:r>
      <w:r w:rsidRPr="00C318DB">
        <w:rPr>
          <w:color w:val="000000" w:themeColor="text1"/>
          <w:szCs w:val="21"/>
        </w:rPr>
        <w:t>元，</w:t>
      </w:r>
      <w:r w:rsidRPr="006F14B8">
        <w:rPr>
          <w:color w:val="000000"/>
          <w:szCs w:val="21"/>
        </w:rPr>
        <w:t>根据本基金的基金合同约定，依据基金财产清算的分配方案，将基金财产清算后的全部剩余资产扣除基金财产清算费用、交纳所欠税款并清偿基金债务后，按基金份额持有人持有的基金份额比例进行分配。</w:t>
      </w:r>
    </w:p>
    <w:p w:rsidR="00657EB0" w:rsidRPr="00C318DB" w:rsidRDefault="00657EB0" w:rsidP="00657EB0">
      <w:pPr>
        <w:spacing w:line="360" w:lineRule="auto"/>
        <w:ind w:firstLineChars="200" w:firstLine="420"/>
        <w:rPr>
          <w:color w:val="000000" w:themeColor="text1"/>
          <w:szCs w:val="21"/>
        </w:rPr>
      </w:pPr>
      <w:r w:rsidRPr="006F14B8">
        <w:rPr>
          <w:color w:val="000000"/>
          <w:szCs w:val="21"/>
        </w:rPr>
        <w:t>清算起始日</w:t>
      </w:r>
      <w:r w:rsidR="00BA6FB1">
        <w:rPr>
          <w:color w:val="000000"/>
          <w:szCs w:val="21"/>
        </w:rPr>
        <w:t>2017</w:t>
      </w:r>
      <w:r w:rsidR="00BA6FB1">
        <w:rPr>
          <w:color w:val="000000"/>
          <w:szCs w:val="21"/>
        </w:rPr>
        <w:t>年</w:t>
      </w:r>
      <w:r w:rsidR="00BA6FB1">
        <w:rPr>
          <w:color w:val="000000"/>
          <w:szCs w:val="21"/>
        </w:rPr>
        <w:t>12</w:t>
      </w:r>
      <w:r w:rsidR="00BA6FB1">
        <w:rPr>
          <w:color w:val="000000"/>
          <w:szCs w:val="21"/>
        </w:rPr>
        <w:t>月</w:t>
      </w:r>
      <w:r w:rsidR="00593159">
        <w:rPr>
          <w:rFonts w:hint="eastAsia"/>
          <w:color w:val="000000"/>
          <w:szCs w:val="21"/>
        </w:rPr>
        <w:t>20</w:t>
      </w:r>
      <w:r w:rsidR="00BA6FB1">
        <w:rPr>
          <w:color w:val="000000"/>
          <w:szCs w:val="21"/>
        </w:rPr>
        <w:t>日</w:t>
      </w:r>
      <w:r w:rsidRPr="006F14B8">
        <w:rPr>
          <w:color w:val="000000"/>
          <w:szCs w:val="21"/>
        </w:rPr>
        <w:t>至清算款划出日前一日的银行存款产生的利息亦属</w:t>
      </w:r>
      <w:r w:rsidRPr="006F14B8">
        <w:rPr>
          <w:rFonts w:hint="eastAsia"/>
          <w:color w:val="000000"/>
          <w:szCs w:val="21"/>
        </w:rPr>
        <w:t>份额持有人所</w:t>
      </w:r>
      <w:r w:rsidR="00CD1FB5" w:rsidRPr="006F14B8">
        <w:rPr>
          <w:rFonts w:hint="eastAsia"/>
          <w:color w:val="000000"/>
          <w:szCs w:val="21"/>
        </w:rPr>
        <w:t>有</w:t>
      </w:r>
      <w:r w:rsidR="006D2A37" w:rsidRPr="006F14B8">
        <w:rPr>
          <w:rFonts w:hint="eastAsia"/>
          <w:color w:val="000000"/>
          <w:szCs w:val="21"/>
        </w:rPr>
        <w:t>，</w:t>
      </w:r>
      <w:r w:rsidRPr="006F14B8">
        <w:rPr>
          <w:rFonts w:hint="eastAsia"/>
          <w:color w:val="000000"/>
          <w:szCs w:val="21"/>
        </w:rPr>
        <w:t>以上利息均按实际适用的利率计算</w:t>
      </w:r>
      <w:r w:rsidR="006D2A37" w:rsidRPr="006F14B8">
        <w:rPr>
          <w:rFonts w:hint="eastAsia"/>
          <w:color w:val="000000"/>
          <w:szCs w:val="21"/>
        </w:rPr>
        <w:t>。</w:t>
      </w:r>
      <w:r w:rsidRPr="006F14B8">
        <w:rPr>
          <w:rFonts w:hint="eastAsia"/>
          <w:color w:val="000000"/>
          <w:szCs w:val="21"/>
        </w:rPr>
        <w:t>由基金管理人以自有资</w:t>
      </w:r>
      <w:r w:rsidR="00011C11" w:rsidRPr="006F14B8">
        <w:rPr>
          <w:rFonts w:hint="eastAsia"/>
          <w:color w:val="000000"/>
          <w:szCs w:val="21"/>
        </w:rPr>
        <w:t>金</w:t>
      </w:r>
      <w:r w:rsidRPr="006F14B8">
        <w:rPr>
          <w:rFonts w:hint="eastAsia"/>
          <w:color w:val="000000"/>
          <w:szCs w:val="21"/>
        </w:rPr>
        <w:t>垫付并已</w:t>
      </w:r>
      <w:r w:rsidRPr="00C318DB">
        <w:rPr>
          <w:rFonts w:hint="eastAsia"/>
          <w:color w:val="000000" w:themeColor="text1"/>
          <w:szCs w:val="21"/>
        </w:rPr>
        <w:t>于</w:t>
      </w:r>
      <w:r w:rsidRPr="00C318DB">
        <w:rPr>
          <w:rFonts w:hint="eastAsia"/>
          <w:color w:val="000000" w:themeColor="text1"/>
          <w:szCs w:val="21"/>
        </w:rPr>
        <w:t>201</w:t>
      </w:r>
      <w:r w:rsidR="004D0593" w:rsidRPr="00C318DB">
        <w:rPr>
          <w:rFonts w:hint="eastAsia"/>
          <w:color w:val="000000" w:themeColor="text1"/>
          <w:szCs w:val="21"/>
        </w:rPr>
        <w:t>7</w:t>
      </w:r>
      <w:r w:rsidRPr="00C318DB">
        <w:rPr>
          <w:rFonts w:hint="eastAsia"/>
          <w:color w:val="000000" w:themeColor="text1"/>
          <w:szCs w:val="21"/>
        </w:rPr>
        <w:t>年</w:t>
      </w:r>
      <w:r w:rsidR="003A3B62">
        <w:rPr>
          <w:rFonts w:hint="eastAsia"/>
          <w:color w:val="000000" w:themeColor="text1"/>
          <w:szCs w:val="21"/>
        </w:rPr>
        <w:t>12</w:t>
      </w:r>
      <w:r w:rsidRPr="00C318DB">
        <w:rPr>
          <w:rFonts w:hint="eastAsia"/>
          <w:color w:val="000000" w:themeColor="text1"/>
          <w:szCs w:val="21"/>
        </w:rPr>
        <w:t>月</w:t>
      </w:r>
      <w:r w:rsidR="00110246">
        <w:rPr>
          <w:rFonts w:hint="eastAsia"/>
          <w:color w:val="000000" w:themeColor="text1"/>
          <w:szCs w:val="21"/>
        </w:rPr>
        <w:t>28</w:t>
      </w:r>
      <w:r w:rsidRPr="00C318DB">
        <w:rPr>
          <w:rFonts w:hint="eastAsia"/>
          <w:color w:val="000000" w:themeColor="text1"/>
          <w:szCs w:val="21"/>
        </w:rPr>
        <w:t>日划入托管账户。基金</w:t>
      </w:r>
      <w:r w:rsidR="00CD1FB5" w:rsidRPr="00C318DB">
        <w:rPr>
          <w:rFonts w:hint="eastAsia"/>
          <w:color w:val="000000" w:themeColor="text1"/>
          <w:szCs w:val="21"/>
        </w:rPr>
        <w:t>管</w:t>
      </w:r>
      <w:r w:rsidRPr="00C318DB">
        <w:rPr>
          <w:rFonts w:hint="eastAsia"/>
          <w:color w:val="000000" w:themeColor="text1"/>
          <w:szCs w:val="21"/>
        </w:rPr>
        <w:t>理人垫付资</w:t>
      </w:r>
      <w:r w:rsidR="007842B4" w:rsidRPr="00C318DB">
        <w:rPr>
          <w:rFonts w:hint="eastAsia"/>
          <w:color w:val="000000" w:themeColor="text1"/>
          <w:szCs w:val="21"/>
        </w:rPr>
        <w:t>金到账起</w:t>
      </w:r>
      <w:r w:rsidRPr="00C318DB">
        <w:rPr>
          <w:rFonts w:hint="eastAsia"/>
          <w:color w:val="000000" w:themeColor="text1"/>
          <w:szCs w:val="21"/>
        </w:rPr>
        <w:t>孳生的利息归</w:t>
      </w:r>
      <w:r w:rsidR="007842B4" w:rsidRPr="00C318DB">
        <w:rPr>
          <w:rFonts w:hint="eastAsia"/>
          <w:color w:val="000000" w:themeColor="text1"/>
          <w:szCs w:val="21"/>
        </w:rPr>
        <w:t>管理</w:t>
      </w:r>
      <w:r w:rsidRPr="00C318DB">
        <w:rPr>
          <w:rFonts w:hint="eastAsia"/>
          <w:color w:val="000000" w:themeColor="text1"/>
          <w:szCs w:val="21"/>
        </w:rPr>
        <w:t>人所有。</w:t>
      </w:r>
    </w:p>
    <w:p w:rsidR="00657EB0" w:rsidRPr="006F14B8" w:rsidRDefault="00657EB0" w:rsidP="00CE5129">
      <w:pPr>
        <w:spacing w:line="360" w:lineRule="auto"/>
        <w:ind w:firstLineChars="200" w:firstLine="420"/>
        <w:rPr>
          <w:color w:val="000000"/>
          <w:szCs w:val="21"/>
        </w:rPr>
      </w:pPr>
      <w:r w:rsidRPr="00AC1939">
        <w:rPr>
          <w:rFonts w:hint="eastAsia"/>
          <w:color w:val="000000"/>
          <w:szCs w:val="21"/>
        </w:rPr>
        <w:t>截至</w:t>
      </w:r>
      <w:r w:rsidRPr="00AC1939">
        <w:rPr>
          <w:color w:val="000000"/>
          <w:szCs w:val="21"/>
        </w:rPr>
        <w:t>201</w:t>
      </w:r>
      <w:r w:rsidR="00110246" w:rsidRPr="00AC1939">
        <w:rPr>
          <w:color w:val="000000"/>
          <w:szCs w:val="21"/>
        </w:rPr>
        <w:t>8</w:t>
      </w:r>
      <w:r w:rsidRPr="00AC1939">
        <w:rPr>
          <w:rFonts w:hint="eastAsia"/>
          <w:color w:val="000000"/>
          <w:szCs w:val="21"/>
        </w:rPr>
        <w:t>年</w:t>
      </w:r>
      <w:r w:rsidR="004C226E" w:rsidRPr="00AC1939">
        <w:rPr>
          <w:color w:val="000000"/>
          <w:szCs w:val="21"/>
        </w:rPr>
        <w:t>1</w:t>
      </w:r>
      <w:r w:rsidRPr="00AC1939">
        <w:rPr>
          <w:rFonts w:hint="eastAsia"/>
          <w:color w:val="000000"/>
          <w:szCs w:val="21"/>
        </w:rPr>
        <w:t>月</w:t>
      </w:r>
      <w:r w:rsidR="004C226E" w:rsidRPr="00AC1939">
        <w:rPr>
          <w:color w:val="000000"/>
          <w:szCs w:val="21"/>
        </w:rPr>
        <w:t>15</w:t>
      </w:r>
      <w:r w:rsidRPr="00AC1939">
        <w:rPr>
          <w:rFonts w:hint="eastAsia"/>
          <w:color w:val="000000"/>
          <w:szCs w:val="21"/>
        </w:rPr>
        <w:t>日止，经基金管理人以及基金托管人确认，本基金托管账户银行存款余额共人民币</w:t>
      </w:r>
      <w:r w:rsidR="004C226E" w:rsidRPr="00AC1939">
        <w:rPr>
          <w:color w:val="000000" w:themeColor="text1"/>
          <w:szCs w:val="21"/>
        </w:rPr>
        <w:t>14,801,298.01</w:t>
      </w:r>
      <w:r w:rsidRPr="00AC1939">
        <w:rPr>
          <w:rFonts w:hint="eastAsia"/>
          <w:color w:val="000000" w:themeColor="text1"/>
          <w:szCs w:val="21"/>
        </w:rPr>
        <w:t>元，其中人民币</w:t>
      </w:r>
      <w:r w:rsidR="00110246" w:rsidRPr="00AC1939">
        <w:rPr>
          <w:color w:val="000000" w:themeColor="text1"/>
          <w:szCs w:val="21"/>
        </w:rPr>
        <w:t>5</w:t>
      </w:r>
      <w:r w:rsidR="006D2A37" w:rsidRPr="00AC1939">
        <w:rPr>
          <w:color w:val="000000" w:themeColor="text1"/>
          <w:szCs w:val="21"/>
        </w:rPr>
        <w:t>0,000.00</w:t>
      </w:r>
      <w:r w:rsidRPr="00AC1939">
        <w:rPr>
          <w:rFonts w:hint="eastAsia"/>
          <w:color w:val="000000" w:themeColor="text1"/>
          <w:szCs w:val="21"/>
        </w:rPr>
        <w:t>元</w:t>
      </w:r>
      <w:r w:rsidR="00110246" w:rsidRPr="00AC1939">
        <w:rPr>
          <w:rFonts w:hint="eastAsia"/>
          <w:color w:val="000000"/>
          <w:szCs w:val="21"/>
        </w:rPr>
        <w:t>系基金管理人代垫的应收银行存款</w:t>
      </w:r>
      <w:r w:rsidR="006D2A37" w:rsidRPr="00AC1939">
        <w:rPr>
          <w:rFonts w:hint="eastAsia"/>
          <w:color w:val="000000"/>
          <w:szCs w:val="21"/>
        </w:rPr>
        <w:t>利息</w:t>
      </w:r>
      <w:r w:rsidR="00110246" w:rsidRPr="00AC1939">
        <w:rPr>
          <w:rFonts w:hint="eastAsia"/>
          <w:color w:val="000000"/>
          <w:szCs w:val="21"/>
        </w:rPr>
        <w:t>和应收股利</w:t>
      </w:r>
      <w:r w:rsidRPr="00AC1939">
        <w:rPr>
          <w:rFonts w:hint="eastAsia"/>
          <w:color w:val="000000"/>
          <w:szCs w:val="21"/>
        </w:rPr>
        <w:t>。基金管理人垫付的资金以及垫付资金到</w:t>
      </w:r>
      <w:r w:rsidR="00CD1FB5" w:rsidRPr="00AC1939">
        <w:rPr>
          <w:rFonts w:hint="eastAsia"/>
          <w:color w:val="000000"/>
          <w:szCs w:val="21"/>
        </w:rPr>
        <w:t>账</w:t>
      </w:r>
      <w:r w:rsidRPr="00AC1939">
        <w:rPr>
          <w:rFonts w:hint="eastAsia"/>
          <w:color w:val="000000"/>
          <w:szCs w:val="21"/>
        </w:rPr>
        <w:t>日起孳生的利息将于清算期后返还给基金管理人。</w:t>
      </w:r>
    </w:p>
    <w:p w:rsidR="00657EB0" w:rsidRPr="006F14B8" w:rsidRDefault="004D1916" w:rsidP="00657EB0">
      <w:pPr>
        <w:pStyle w:val="20"/>
        <w:spacing w:before="0" w:after="0"/>
        <w:rPr>
          <w:rFonts w:ascii="Times New Roman" w:hAnsi="Times New Roman"/>
          <w:kern w:val="0"/>
          <w:sz w:val="21"/>
          <w:szCs w:val="21"/>
        </w:rPr>
      </w:pPr>
      <w:bookmarkStart w:id="40" w:name="_Toc490670324"/>
      <w:r w:rsidRPr="006F14B8">
        <w:rPr>
          <w:rFonts w:ascii="Times New Roman" w:hAnsi="Times New Roman" w:hint="eastAsia"/>
          <w:kern w:val="0"/>
          <w:sz w:val="21"/>
          <w:szCs w:val="21"/>
        </w:rPr>
        <w:t>5</w:t>
      </w:r>
      <w:r w:rsidR="00657EB0" w:rsidRPr="006F14B8">
        <w:rPr>
          <w:rFonts w:ascii="Times New Roman" w:hAnsi="Times New Roman"/>
          <w:kern w:val="0"/>
          <w:sz w:val="21"/>
          <w:szCs w:val="21"/>
        </w:rPr>
        <w:t>.</w:t>
      </w:r>
      <w:r w:rsidR="00CE5129" w:rsidRPr="006F14B8">
        <w:rPr>
          <w:rFonts w:ascii="Times New Roman" w:hAnsi="Times New Roman" w:hint="eastAsia"/>
          <w:kern w:val="0"/>
          <w:sz w:val="21"/>
          <w:szCs w:val="21"/>
        </w:rPr>
        <w:t>6</w:t>
      </w:r>
      <w:r w:rsidR="00657EB0" w:rsidRPr="006F14B8">
        <w:rPr>
          <w:rFonts w:ascii="Times New Roman" w:hAnsi="Times New Roman" w:hint="eastAsia"/>
          <w:kern w:val="0"/>
          <w:sz w:val="21"/>
          <w:szCs w:val="21"/>
        </w:rPr>
        <w:t>基金财产清算报告的告知安排</w:t>
      </w:r>
      <w:bookmarkEnd w:id="40"/>
    </w:p>
    <w:p w:rsidR="00657EB0" w:rsidRPr="006F14B8" w:rsidRDefault="00657EB0" w:rsidP="00657EB0">
      <w:pPr>
        <w:spacing w:line="360" w:lineRule="auto"/>
        <w:ind w:firstLineChars="200" w:firstLine="420"/>
        <w:rPr>
          <w:color w:val="000000"/>
          <w:szCs w:val="21"/>
        </w:rPr>
      </w:pPr>
      <w:r w:rsidRPr="006F14B8">
        <w:rPr>
          <w:rFonts w:hint="eastAsia"/>
          <w:color w:val="000000"/>
          <w:szCs w:val="21"/>
        </w:rPr>
        <w:t>本清算报告已经基金托管人复核，在经会计师事务所审计、律师事务所出具法律意见书后，报中国证监会备案并向基金份额持有人公告</w:t>
      </w:r>
      <w:r w:rsidR="00CD1FB5" w:rsidRPr="006F14B8">
        <w:rPr>
          <w:rFonts w:hint="eastAsia"/>
          <w:color w:val="000000"/>
          <w:szCs w:val="21"/>
        </w:rPr>
        <w:t>。</w:t>
      </w:r>
    </w:p>
    <w:p w:rsidR="001548F9" w:rsidRPr="002B570D" w:rsidRDefault="004D1916" w:rsidP="00E34DD9">
      <w:pPr>
        <w:pStyle w:val="1"/>
        <w:keepNext/>
        <w:keepLines/>
        <w:widowControl w:val="0"/>
        <w:spacing w:beforeLines="100" w:afterLines="100" w:line="360" w:lineRule="auto"/>
        <w:jc w:val="center"/>
        <w:rPr>
          <w:b/>
          <w:bCs/>
          <w:color w:val="000000" w:themeColor="text1"/>
          <w:sz w:val="21"/>
          <w:szCs w:val="21"/>
          <w:lang w:val="en-US"/>
        </w:rPr>
        <w:pPrChange w:id="41" w:author="ZHONGM" w:date="2018-03-09T00:37:00Z">
          <w:pPr>
            <w:pStyle w:val="1"/>
            <w:keepNext/>
            <w:keepLines/>
            <w:widowControl w:val="0"/>
            <w:spacing w:beforeLines="100" w:afterLines="100" w:line="360" w:lineRule="auto"/>
            <w:jc w:val="center"/>
          </w:pPr>
        </w:pPrChange>
      </w:pPr>
      <w:bookmarkStart w:id="42" w:name="_Toc490670325"/>
      <w:r w:rsidRPr="002B570D">
        <w:rPr>
          <w:rFonts w:hint="eastAsia"/>
          <w:b/>
          <w:bCs/>
          <w:color w:val="000000" w:themeColor="text1"/>
          <w:sz w:val="21"/>
          <w:szCs w:val="21"/>
          <w:lang w:val="en-US"/>
        </w:rPr>
        <w:t>6</w:t>
      </w:r>
      <w:r w:rsidR="00540E2A" w:rsidRPr="002B570D">
        <w:rPr>
          <w:b/>
          <w:bCs/>
          <w:color w:val="000000" w:themeColor="text1"/>
          <w:sz w:val="21"/>
          <w:szCs w:val="21"/>
          <w:lang w:val="en-US"/>
        </w:rPr>
        <w:t>备查文件目录</w:t>
      </w:r>
      <w:bookmarkEnd w:id="28"/>
      <w:bookmarkEnd w:id="42"/>
    </w:p>
    <w:p w:rsidR="001548F9" w:rsidRPr="00D42BE5" w:rsidRDefault="004D1916" w:rsidP="004C1748">
      <w:pPr>
        <w:pStyle w:val="20"/>
        <w:spacing w:before="0" w:after="0"/>
        <w:rPr>
          <w:rFonts w:ascii="Times New Roman" w:hAnsi="Times New Roman"/>
          <w:kern w:val="0"/>
          <w:sz w:val="21"/>
          <w:szCs w:val="21"/>
        </w:rPr>
      </w:pPr>
      <w:bookmarkStart w:id="43" w:name="_Toc390421286"/>
      <w:bookmarkStart w:id="44" w:name="_Toc490670326"/>
      <w:r>
        <w:rPr>
          <w:rFonts w:ascii="Times New Roman" w:hAnsi="Times New Roman" w:hint="eastAsia"/>
          <w:kern w:val="0"/>
          <w:sz w:val="21"/>
          <w:szCs w:val="21"/>
        </w:rPr>
        <w:t>6</w:t>
      </w:r>
      <w:r w:rsidR="001548F9" w:rsidRPr="00D42BE5">
        <w:rPr>
          <w:rFonts w:ascii="Times New Roman" w:hAnsi="Times New Roman"/>
          <w:kern w:val="0"/>
          <w:sz w:val="21"/>
          <w:szCs w:val="21"/>
        </w:rPr>
        <w:t xml:space="preserve">.1 </w:t>
      </w:r>
      <w:r w:rsidR="001548F9" w:rsidRPr="00D42BE5">
        <w:rPr>
          <w:rFonts w:ascii="Times New Roman" w:hAnsi="Times New Roman"/>
          <w:kern w:val="0"/>
          <w:sz w:val="21"/>
          <w:szCs w:val="21"/>
        </w:rPr>
        <w:t>备查文件目录</w:t>
      </w:r>
      <w:bookmarkEnd w:id="43"/>
      <w:bookmarkEnd w:id="44"/>
    </w:p>
    <w:p w:rsidR="00ED5559" w:rsidRDefault="0094378D">
      <w:pPr>
        <w:spacing w:line="360" w:lineRule="auto"/>
        <w:ind w:firstLineChars="200" w:firstLine="420"/>
        <w:rPr>
          <w:color w:val="000000"/>
          <w:szCs w:val="21"/>
        </w:rPr>
      </w:pPr>
      <w:r>
        <w:rPr>
          <w:color w:val="000000"/>
          <w:szCs w:val="21"/>
        </w:rPr>
        <w:t>1</w:t>
      </w:r>
      <w:r>
        <w:rPr>
          <w:color w:val="000000"/>
          <w:szCs w:val="21"/>
        </w:rPr>
        <w:t>、</w:t>
      </w:r>
      <w:r w:rsidR="003B0EE4">
        <w:rPr>
          <w:rFonts w:hint="eastAsia"/>
          <w:color w:val="000000"/>
          <w:szCs w:val="21"/>
        </w:rPr>
        <w:t>《</w:t>
      </w:r>
      <w:r>
        <w:rPr>
          <w:color w:val="000000"/>
          <w:szCs w:val="21"/>
        </w:rPr>
        <w:t>国泰</w:t>
      </w:r>
      <w:r w:rsidR="00110246">
        <w:rPr>
          <w:color w:val="000000"/>
          <w:kern w:val="0"/>
          <w:szCs w:val="21"/>
        </w:rPr>
        <w:t>美国房地产开发股票</w:t>
      </w:r>
      <w:r w:rsidR="00703D56">
        <w:rPr>
          <w:rFonts w:hint="eastAsia"/>
          <w:color w:val="000000"/>
          <w:szCs w:val="21"/>
        </w:rPr>
        <w:t>型证券投资</w:t>
      </w:r>
      <w:r w:rsidR="003B0EE4">
        <w:rPr>
          <w:color w:val="000000"/>
          <w:szCs w:val="21"/>
        </w:rPr>
        <w:t>基金</w:t>
      </w:r>
      <w:r w:rsidR="003B0EE4">
        <w:rPr>
          <w:rFonts w:hint="eastAsia"/>
          <w:color w:val="000000"/>
          <w:szCs w:val="21"/>
        </w:rPr>
        <w:t>201</w:t>
      </w:r>
      <w:r w:rsidR="00703D56">
        <w:rPr>
          <w:rFonts w:hint="eastAsia"/>
          <w:color w:val="000000"/>
          <w:szCs w:val="21"/>
        </w:rPr>
        <w:t>7</w:t>
      </w:r>
      <w:r w:rsidR="003B0EE4">
        <w:rPr>
          <w:rFonts w:hint="eastAsia"/>
          <w:color w:val="000000"/>
          <w:szCs w:val="21"/>
        </w:rPr>
        <w:t>年</w:t>
      </w:r>
      <w:r w:rsidR="003B0EE4">
        <w:rPr>
          <w:rFonts w:hint="eastAsia"/>
          <w:color w:val="000000"/>
          <w:szCs w:val="21"/>
        </w:rPr>
        <w:t>1</w:t>
      </w:r>
      <w:r w:rsidR="003B0EE4">
        <w:rPr>
          <w:rFonts w:hint="eastAsia"/>
          <w:color w:val="000000"/>
          <w:szCs w:val="21"/>
        </w:rPr>
        <w:t>月</w:t>
      </w:r>
      <w:r w:rsidR="003B0EE4">
        <w:rPr>
          <w:rFonts w:hint="eastAsia"/>
          <w:color w:val="000000"/>
          <w:szCs w:val="21"/>
        </w:rPr>
        <w:t>1</w:t>
      </w:r>
      <w:r w:rsidR="003B0EE4">
        <w:rPr>
          <w:rFonts w:hint="eastAsia"/>
          <w:color w:val="000000"/>
          <w:szCs w:val="21"/>
        </w:rPr>
        <w:t>日至</w:t>
      </w:r>
      <w:r w:rsidR="00E0528B">
        <w:rPr>
          <w:rFonts w:hint="eastAsia"/>
          <w:color w:val="000000"/>
          <w:szCs w:val="21"/>
        </w:rPr>
        <w:t>2017</w:t>
      </w:r>
      <w:r w:rsidR="00E0528B">
        <w:rPr>
          <w:rFonts w:hint="eastAsia"/>
          <w:color w:val="000000"/>
          <w:szCs w:val="21"/>
        </w:rPr>
        <w:t>年</w:t>
      </w:r>
      <w:r w:rsidR="00E0528B">
        <w:rPr>
          <w:rFonts w:hint="eastAsia"/>
          <w:color w:val="000000"/>
          <w:szCs w:val="21"/>
        </w:rPr>
        <w:t>12</w:t>
      </w:r>
      <w:r w:rsidR="00E0528B">
        <w:rPr>
          <w:rFonts w:hint="eastAsia"/>
          <w:color w:val="000000"/>
          <w:szCs w:val="21"/>
        </w:rPr>
        <w:t>月</w:t>
      </w:r>
      <w:r w:rsidR="00E0528B">
        <w:rPr>
          <w:rFonts w:hint="eastAsia"/>
          <w:color w:val="000000"/>
          <w:szCs w:val="21"/>
        </w:rPr>
        <w:t>19</w:t>
      </w:r>
      <w:r w:rsidR="00E0528B">
        <w:rPr>
          <w:rFonts w:hint="eastAsia"/>
          <w:color w:val="000000"/>
          <w:szCs w:val="21"/>
        </w:rPr>
        <w:t>日</w:t>
      </w:r>
      <w:r w:rsidR="003B0EE4">
        <w:rPr>
          <w:rFonts w:hint="eastAsia"/>
          <w:color w:val="000000"/>
          <w:szCs w:val="21"/>
        </w:rPr>
        <w:t>（基金最后运作日）止期间的财务报表及审计报告》</w:t>
      </w:r>
    </w:p>
    <w:p w:rsidR="001548F9" w:rsidRPr="003B0EE4" w:rsidRDefault="00703D56" w:rsidP="003B0EE4">
      <w:pPr>
        <w:spacing w:line="360" w:lineRule="auto"/>
        <w:ind w:firstLineChars="200" w:firstLine="420"/>
        <w:rPr>
          <w:color w:val="000000"/>
          <w:szCs w:val="21"/>
        </w:rPr>
      </w:pPr>
      <w:r>
        <w:rPr>
          <w:rFonts w:hint="eastAsia"/>
          <w:color w:val="000000"/>
          <w:szCs w:val="21"/>
        </w:rPr>
        <w:t>2</w:t>
      </w:r>
      <w:r w:rsidR="0094378D">
        <w:rPr>
          <w:color w:val="000000"/>
          <w:szCs w:val="21"/>
        </w:rPr>
        <w:t>、</w:t>
      </w:r>
      <w:r w:rsidR="003B0EE4" w:rsidRPr="003B0EE4">
        <w:rPr>
          <w:rFonts w:hint="eastAsia"/>
          <w:color w:val="000000"/>
          <w:szCs w:val="21"/>
        </w:rPr>
        <w:t>通力律师事务所关于《</w:t>
      </w:r>
      <w:r>
        <w:rPr>
          <w:color w:val="000000"/>
          <w:szCs w:val="21"/>
        </w:rPr>
        <w:t>国泰</w:t>
      </w:r>
      <w:r w:rsidR="00110246">
        <w:rPr>
          <w:color w:val="000000"/>
          <w:kern w:val="0"/>
          <w:szCs w:val="21"/>
        </w:rPr>
        <w:t>美国房地产开发股票</w:t>
      </w:r>
      <w:r>
        <w:rPr>
          <w:rFonts w:hint="eastAsia"/>
          <w:color w:val="000000"/>
          <w:szCs w:val="21"/>
        </w:rPr>
        <w:t>型证券投资</w:t>
      </w:r>
      <w:r>
        <w:rPr>
          <w:color w:val="000000"/>
          <w:szCs w:val="21"/>
        </w:rPr>
        <w:t>基金</w:t>
      </w:r>
      <w:r w:rsidR="003B0EE4" w:rsidRPr="003B0EE4">
        <w:rPr>
          <w:rFonts w:hint="eastAsia"/>
          <w:color w:val="000000"/>
          <w:szCs w:val="21"/>
        </w:rPr>
        <w:t>清算报告》的法律意见</w:t>
      </w:r>
    </w:p>
    <w:p w:rsidR="001548F9" w:rsidRPr="00D42BE5" w:rsidRDefault="004D1916" w:rsidP="004C1748">
      <w:pPr>
        <w:pStyle w:val="20"/>
        <w:spacing w:before="0" w:after="0"/>
        <w:rPr>
          <w:rFonts w:ascii="Times New Roman" w:hAnsi="Times New Roman"/>
          <w:color w:val="000000"/>
          <w:sz w:val="21"/>
          <w:szCs w:val="21"/>
        </w:rPr>
      </w:pPr>
      <w:bookmarkStart w:id="45" w:name="_Toc390421287"/>
      <w:bookmarkStart w:id="46" w:name="_Toc490670327"/>
      <w:r>
        <w:rPr>
          <w:rFonts w:ascii="Times New Roman" w:hAnsi="Times New Roman" w:hint="eastAsia"/>
          <w:kern w:val="0"/>
          <w:sz w:val="21"/>
          <w:szCs w:val="21"/>
        </w:rPr>
        <w:t>6</w:t>
      </w:r>
      <w:r w:rsidR="001548F9" w:rsidRPr="00D42BE5">
        <w:rPr>
          <w:rFonts w:ascii="Times New Roman" w:hAnsi="Times New Roman"/>
          <w:color w:val="000000"/>
          <w:sz w:val="21"/>
          <w:szCs w:val="21"/>
        </w:rPr>
        <w:t xml:space="preserve">.2 </w:t>
      </w:r>
      <w:r w:rsidR="001548F9" w:rsidRPr="00D42BE5">
        <w:rPr>
          <w:rFonts w:ascii="Times New Roman" w:hAnsi="Times New Roman"/>
          <w:color w:val="000000"/>
          <w:sz w:val="21"/>
          <w:szCs w:val="21"/>
        </w:rPr>
        <w:t>存放地点</w:t>
      </w:r>
      <w:bookmarkEnd w:id="45"/>
      <w:bookmarkEnd w:id="46"/>
    </w:p>
    <w:p w:rsidR="001548F9" w:rsidRPr="00EE3859" w:rsidRDefault="0094378D" w:rsidP="00EE3859">
      <w:pPr>
        <w:spacing w:line="360" w:lineRule="auto"/>
        <w:ind w:firstLineChars="200" w:firstLine="420"/>
        <w:rPr>
          <w:color w:val="000000"/>
          <w:szCs w:val="21"/>
        </w:rPr>
      </w:pPr>
      <w:r>
        <w:rPr>
          <w:color w:val="000000"/>
          <w:szCs w:val="21"/>
        </w:rPr>
        <w:t>本基金管理人国泰基金管理有限公司办公地点</w:t>
      </w:r>
      <w:r>
        <w:rPr>
          <w:color w:val="000000"/>
          <w:szCs w:val="21"/>
        </w:rPr>
        <w:t>——</w:t>
      </w:r>
      <w:r>
        <w:rPr>
          <w:color w:val="000000"/>
          <w:szCs w:val="21"/>
        </w:rPr>
        <w:t>上海市虹口区公平路</w:t>
      </w:r>
      <w:r>
        <w:rPr>
          <w:color w:val="000000"/>
          <w:szCs w:val="21"/>
        </w:rPr>
        <w:t>18</w:t>
      </w:r>
      <w:r>
        <w:rPr>
          <w:color w:val="000000"/>
          <w:szCs w:val="21"/>
        </w:rPr>
        <w:t>号</w:t>
      </w:r>
      <w:r>
        <w:rPr>
          <w:color w:val="000000"/>
          <w:szCs w:val="21"/>
        </w:rPr>
        <w:t>8</w:t>
      </w:r>
      <w:r>
        <w:rPr>
          <w:color w:val="000000"/>
          <w:szCs w:val="21"/>
        </w:rPr>
        <w:t>号楼嘉昱大厦</w:t>
      </w:r>
      <w:r>
        <w:rPr>
          <w:color w:val="000000"/>
          <w:szCs w:val="21"/>
        </w:rPr>
        <w:t>16-19</w:t>
      </w:r>
      <w:r>
        <w:rPr>
          <w:color w:val="000000"/>
          <w:szCs w:val="21"/>
        </w:rPr>
        <w:t>层。</w:t>
      </w:r>
    </w:p>
    <w:p w:rsidR="001548F9" w:rsidRPr="00D42BE5" w:rsidRDefault="004D1916" w:rsidP="004C1748">
      <w:pPr>
        <w:pStyle w:val="20"/>
        <w:spacing w:before="0" w:after="0"/>
        <w:rPr>
          <w:rFonts w:ascii="Times New Roman" w:hAnsi="Times New Roman"/>
          <w:color w:val="000000"/>
          <w:sz w:val="21"/>
          <w:szCs w:val="21"/>
        </w:rPr>
      </w:pPr>
      <w:bookmarkStart w:id="47" w:name="_Toc390421288"/>
      <w:bookmarkStart w:id="48" w:name="_Toc490670328"/>
      <w:r>
        <w:rPr>
          <w:rFonts w:ascii="Times New Roman" w:hAnsi="Times New Roman" w:hint="eastAsia"/>
          <w:kern w:val="0"/>
          <w:sz w:val="21"/>
          <w:szCs w:val="21"/>
        </w:rPr>
        <w:t>6</w:t>
      </w:r>
      <w:r w:rsidR="001548F9" w:rsidRPr="00D42BE5">
        <w:rPr>
          <w:rFonts w:ascii="Times New Roman" w:hAnsi="Times New Roman"/>
          <w:color w:val="000000"/>
          <w:sz w:val="21"/>
          <w:szCs w:val="21"/>
        </w:rPr>
        <w:t xml:space="preserve">.3 </w:t>
      </w:r>
      <w:r w:rsidR="001548F9" w:rsidRPr="00D42BE5">
        <w:rPr>
          <w:rFonts w:ascii="Times New Roman" w:hAnsi="Times New Roman"/>
          <w:color w:val="000000"/>
          <w:sz w:val="21"/>
          <w:szCs w:val="21"/>
        </w:rPr>
        <w:t>查阅方式</w:t>
      </w:r>
      <w:bookmarkEnd w:id="47"/>
      <w:bookmarkEnd w:id="48"/>
    </w:p>
    <w:p w:rsidR="001548F9" w:rsidRPr="00EE3859" w:rsidRDefault="00EE3859" w:rsidP="00EE3859">
      <w:pPr>
        <w:spacing w:line="360" w:lineRule="auto"/>
        <w:ind w:firstLineChars="200" w:firstLine="420"/>
        <w:rPr>
          <w:color w:val="000000"/>
          <w:szCs w:val="21"/>
        </w:rPr>
      </w:pPr>
      <w:r>
        <w:rPr>
          <w:color w:val="000000"/>
          <w:szCs w:val="21"/>
        </w:rPr>
        <w:t>投资者可在营业时间内至基金管理人的办公场所免费查阅</w:t>
      </w:r>
      <w:r>
        <w:rPr>
          <w:rFonts w:hint="eastAsia"/>
          <w:color w:val="000000"/>
          <w:szCs w:val="21"/>
        </w:rPr>
        <w:t>。</w:t>
      </w: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8971E9">
      <w:pPr>
        <w:spacing w:line="360" w:lineRule="auto"/>
        <w:ind w:left="840"/>
        <w:jc w:val="right"/>
        <w:rPr>
          <w:rFonts w:eastAsiaTheme="minorEastAsia"/>
          <w:b/>
          <w:bCs/>
          <w:szCs w:val="21"/>
        </w:rPr>
      </w:pPr>
      <w:r w:rsidRPr="00D42BE5">
        <w:rPr>
          <w:rFonts w:eastAsiaTheme="minorEastAsia"/>
          <w:b/>
          <w:bCs/>
          <w:szCs w:val="21"/>
        </w:rPr>
        <w:t>国泰</w:t>
      </w:r>
      <w:r w:rsidR="00110246" w:rsidRPr="00110246">
        <w:rPr>
          <w:rFonts w:eastAsiaTheme="minorEastAsia" w:hint="eastAsia"/>
          <w:b/>
          <w:bCs/>
          <w:szCs w:val="21"/>
        </w:rPr>
        <w:t>美国房地产开发股票</w:t>
      </w:r>
      <w:r w:rsidR="004D1916">
        <w:rPr>
          <w:rFonts w:eastAsiaTheme="minorEastAsia" w:hint="eastAsia"/>
          <w:b/>
          <w:bCs/>
          <w:szCs w:val="21"/>
        </w:rPr>
        <w:t>型证券投资</w:t>
      </w:r>
      <w:r w:rsidR="003B0EE4">
        <w:rPr>
          <w:rFonts w:eastAsiaTheme="minorEastAsia" w:hint="eastAsia"/>
          <w:b/>
          <w:bCs/>
          <w:szCs w:val="21"/>
        </w:rPr>
        <w:t>基金财产清算组</w:t>
      </w:r>
    </w:p>
    <w:p w:rsidR="001548F9" w:rsidRPr="00AF0BE6" w:rsidRDefault="001548F9" w:rsidP="00A93D04">
      <w:pPr>
        <w:spacing w:line="360" w:lineRule="auto"/>
        <w:ind w:left="840"/>
        <w:jc w:val="right"/>
        <w:rPr>
          <w:rFonts w:eastAsiaTheme="minorEastAsia"/>
          <w:b/>
          <w:bCs/>
          <w:szCs w:val="21"/>
        </w:rPr>
      </w:pPr>
      <w:r w:rsidRPr="00AF0BE6">
        <w:rPr>
          <w:rFonts w:eastAsiaTheme="minorEastAsia"/>
          <w:b/>
          <w:bCs/>
          <w:szCs w:val="21"/>
        </w:rPr>
        <w:t>二〇一</w:t>
      </w:r>
      <w:r w:rsidR="00110246">
        <w:rPr>
          <w:rFonts w:eastAsiaTheme="minorEastAsia" w:hint="eastAsia"/>
          <w:b/>
          <w:bCs/>
          <w:szCs w:val="21"/>
        </w:rPr>
        <w:t>八</w:t>
      </w:r>
      <w:r w:rsidRPr="00AF0BE6">
        <w:rPr>
          <w:rFonts w:eastAsiaTheme="minorEastAsia"/>
          <w:b/>
          <w:bCs/>
          <w:szCs w:val="21"/>
        </w:rPr>
        <w:t>年</w:t>
      </w:r>
      <w:r w:rsidR="009E175C">
        <w:rPr>
          <w:rFonts w:eastAsiaTheme="minorEastAsia" w:hint="eastAsia"/>
          <w:b/>
          <w:bCs/>
          <w:szCs w:val="21"/>
        </w:rPr>
        <w:t>一</w:t>
      </w:r>
      <w:r w:rsidRPr="00AF0BE6">
        <w:rPr>
          <w:rFonts w:eastAsiaTheme="minorEastAsia"/>
          <w:b/>
          <w:bCs/>
          <w:szCs w:val="21"/>
        </w:rPr>
        <w:t>月</w:t>
      </w:r>
      <w:r w:rsidR="009E175C">
        <w:rPr>
          <w:rFonts w:eastAsiaTheme="minorEastAsia" w:hint="eastAsia"/>
          <w:b/>
          <w:bCs/>
          <w:szCs w:val="21"/>
        </w:rPr>
        <w:t>十五</w:t>
      </w:r>
      <w:r w:rsidRPr="00AF0BE6">
        <w:rPr>
          <w:rFonts w:eastAsiaTheme="minorEastAsia"/>
          <w:b/>
          <w:bCs/>
          <w:szCs w:val="21"/>
        </w:rPr>
        <w:t>日</w:t>
      </w:r>
    </w:p>
    <w:sectPr w:rsidR="001548F9" w:rsidRPr="00AF0BE6"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F0F" w:rsidRDefault="003E7F0F">
      <w:r>
        <w:separator/>
      </w:r>
    </w:p>
  </w:endnote>
  <w:endnote w:type="continuationSeparator" w:id="1">
    <w:p w:rsidR="003E7F0F" w:rsidRDefault="003E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B0" w:rsidRDefault="00CB7AE0" w:rsidP="00C03B3A">
    <w:pPr>
      <w:pStyle w:val="a6"/>
      <w:framePr w:wrap="around" w:vAnchor="text" w:hAnchor="margin" w:xAlign="right" w:y="1"/>
      <w:rPr>
        <w:rStyle w:val="a7"/>
      </w:rPr>
    </w:pPr>
    <w:r>
      <w:rPr>
        <w:rStyle w:val="a7"/>
      </w:rPr>
      <w:fldChar w:fldCharType="begin"/>
    </w:r>
    <w:r w:rsidR="007367B0">
      <w:rPr>
        <w:rStyle w:val="a7"/>
      </w:rPr>
      <w:instrText xml:space="preserve">PAGE  </w:instrText>
    </w:r>
    <w:r>
      <w:rPr>
        <w:rStyle w:val="a7"/>
      </w:rPr>
      <w:fldChar w:fldCharType="end"/>
    </w:r>
  </w:p>
  <w:p w:rsidR="007367B0" w:rsidRDefault="007367B0"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B0" w:rsidRDefault="007367B0" w:rsidP="00C03B3A">
    <w:pPr>
      <w:pStyle w:val="a6"/>
      <w:ind w:right="360"/>
      <w:jc w:val="center"/>
    </w:pPr>
    <w:r>
      <w:rPr>
        <w:rFonts w:hint="eastAsia"/>
        <w:kern w:val="0"/>
        <w:szCs w:val="21"/>
      </w:rPr>
      <w:t>第</w:t>
    </w:r>
    <w:r w:rsidR="00CB7AE0">
      <w:rPr>
        <w:kern w:val="0"/>
        <w:szCs w:val="21"/>
      </w:rPr>
      <w:fldChar w:fldCharType="begin"/>
    </w:r>
    <w:r>
      <w:rPr>
        <w:kern w:val="0"/>
        <w:szCs w:val="21"/>
      </w:rPr>
      <w:instrText xml:space="preserve"> PAGE </w:instrText>
    </w:r>
    <w:r w:rsidR="00CB7AE0">
      <w:rPr>
        <w:kern w:val="0"/>
        <w:szCs w:val="21"/>
      </w:rPr>
      <w:fldChar w:fldCharType="separate"/>
    </w:r>
    <w:r w:rsidR="00E34DD9">
      <w:rPr>
        <w:noProof/>
        <w:kern w:val="0"/>
        <w:szCs w:val="21"/>
      </w:rPr>
      <w:t>3</w:t>
    </w:r>
    <w:r w:rsidR="00CB7AE0">
      <w:rPr>
        <w:kern w:val="0"/>
        <w:szCs w:val="21"/>
      </w:rPr>
      <w:fldChar w:fldCharType="end"/>
    </w:r>
    <w:r>
      <w:rPr>
        <w:rFonts w:hint="eastAsia"/>
        <w:kern w:val="0"/>
        <w:szCs w:val="21"/>
      </w:rPr>
      <w:t>页共</w:t>
    </w:r>
    <w:r w:rsidR="00CB7AE0">
      <w:rPr>
        <w:kern w:val="0"/>
        <w:szCs w:val="21"/>
      </w:rPr>
      <w:fldChar w:fldCharType="begin"/>
    </w:r>
    <w:r>
      <w:rPr>
        <w:kern w:val="0"/>
        <w:szCs w:val="21"/>
      </w:rPr>
      <w:instrText xml:space="preserve"> NUMPAGES </w:instrText>
    </w:r>
    <w:r w:rsidR="00CB7AE0">
      <w:rPr>
        <w:kern w:val="0"/>
        <w:szCs w:val="21"/>
      </w:rPr>
      <w:fldChar w:fldCharType="separate"/>
    </w:r>
    <w:r w:rsidR="00E34DD9">
      <w:rPr>
        <w:noProof/>
        <w:kern w:val="0"/>
        <w:szCs w:val="21"/>
      </w:rPr>
      <w:t>4</w:t>
    </w:r>
    <w:r w:rsidR="00CB7AE0">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F0F" w:rsidRDefault="003E7F0F">
      <w:r>
        <w:separator/>
      </w:r>
    </w:p>
  </w:footnote>
  <w:footnote w:type="continuationSeparator" w:id="1">
    <w:p w:rsidR="003E7F0F" w:rsidRDefault="003E7F0F">
      <w:r>
        <w:continuationSeparator/>
      </w:r>
    </w:p>
  </w:footnote>
  <w:footnote w:id="2">
    <w:p w:rsidR="007367B0" w:rsidRDefault="007367B0">
      <w:pPr>
        <w:pStyle w:val="af4"/>
      </w:pPr>
      <w:r>
        <w:rPr>
          <w:rStyle w:val="af5"/>
        </w:rPr>
        <w:footnoteRef/>
      </w:r>
      <w:r>
        <w:rPr>
          <w:rFonts w:hint="eastAsia"/>
        </w:rPr>
        <w:t>折算汇率为当日中国外汇交易中心公告的人民币汇率中间价，下同。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B0" w:rsidRPr="00E70357" w:rsidRDefault="007367B0" w:rsidP="003440A3">
    <w:pPr>
      <w:pStyle w:val="a9"/>
      <w:pBdr>
        <w:bottom w:val="single" w:sz="6" w:space="0" w:color="auto"/>
      </w:pBdr>
      <w:jc w:val="right"/>
    </w:pPr>
    <w:r w:rsidRPr="00E70357">
      <w:t>国泰</w:t>
    </w:r>
    <w:r w:rsidRPr="00F44F4B">
      <w:rPr>
        <w:rFonts w:hint="eastAsia"/>
      </w:rPr>
      <w:t>美国房地产开发股票</w:t>
    </w:r>
    <w:r>
      <w:rPr>
        <w:rFonts w:hint="eastAsia"/>
      </w:rPr>
      <w:t>型证券投资</w:t>
    </w:r>
    <w:r w:rsidRPr="00E70357">
      <w:t>基金</w:t>
    </w:r>
    <w:r>
      <w:rPr>
        <w:rFonts w:hint="eastAsia"/>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D8272BC"/>
    <w:multiLevelType w:val="hybridMultilevel"/>
    <w:tmpl w:val="03E27702"/>
    <w:lvl w:ilvl="0" w:tplc="4E2EB48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1"/>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stylePaneFormatFilter w:val="3F01"/>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C1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3BE7"/>
    <w:rsid w:val="0002438A"/>
    <w:rsid w:val="0002453B"/>
    <w:rsid w:val="000247D7"/>
    <w:rsid w:val="00024C15"/>
    <w:rsid w:val="00024C62"/>
    <w:rsid w:val="00024CA0"/>
    <w:rsid w:val="0002695C"/>
    <w:rsid w:val="000274FE"/>
    <w:rsid w:val="000276C9"/>
    <w:rsid w:val="00027EE5"/>
    <w:rsid w:val="000315A8"/>
    <w:rsid w:val="0003228A"/>
    <w:rsid w:val="000322D5"/>
    <w:rsid w:val="00032578"/>
    <w:rsid w:val="0003271C"/>
    <w:rsid w:val="00032ADD"/>
    <w:rsid w:val="00032FE1"/>
    <w:rsid w:val="00033104"/>
    <w:rsid w:val="000331EA"/>
    <w:rsid w:val="000333A5"/>
    <w:rsid w:val="000335CE"/>
    <w:rsid w:val="00033C63"/>
    <w:rsid w:val="00033E3C"/>
    <w:rsid w:val="00033EC1"/>
    <w:rsid w:val="00034BA5"/>
    <w:rsid w:val="00035650"/>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A8D"/>
    <w:rsid w:val="00053091"/>
    <w:rsid w:val="0005346A"/>
    <w:rsid w:val="000534CD"/>
    <w:rsid w:val="00053E3C"/>
    <w:rsid w:val="00053EED"/>
    <w:rsid w:val="0005448A"/>
    <w:rsid w:val="00055AF1"/>
    <w:rsid w:val="00055FE9"/>
    <w:rsid w:val="000564CB"/>
    <w:rsid w:val="0005683B"/>
    <w:rsid w:val="000573B5"/>
    <w:rsid w:val="00060597"/>
    <w:rsid w:val="00060A2C"/>
    <w:rsid w:val="00060CB4"/>
    <w:rsid w:val="00061167"/>
    <w:rsid w:val="00062997"/>
    <w:rsid w:val="00062AC1"/>
    <w:rsid w:val="0006341D"/>
    <w:rsid w:val="00063554"/>
    <w:rsid w:val="000635D9"/>
    <w:rsid w:val="00063D34"/>
    <w:rsid w:val="0006430A"/>
    <w:rsid w:val="0006475F"/>
    <w:rsid w:val="00064AE3"/>
    <w:rsid w:val="00064FC8"/>
    <w:rsid w:val="00065BE3"/>
    <w:rsid w:val="00066524"/>
    <w:rsid w:val="000671A3"/>
    <w:rsid w:val="00067CB4"/>
    <w:rsid w:val="00070109"/>
    <w:rsid w:val="0007039D"/>
    <w:rsid w:val="00070CD1"/>
    <w:rsid w:val="00071022"/>
    <w:rsid w:val="0007171B"/>
    <w:rsid w:val="000717A1"/>
    <w:rsid w:val="00071E9D"/>
    <w:rsid w:val="0007211F"/>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CAF"/>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17D5"/>
    <w:rsid w:val="000919B7"/>
    <w:rsid w:val="00092705"/>
    <w:rsid w:val="00094876"/>
    <w:rsid w:val="000951F7"/>
    <w:rsid w:val="0009570D"/>
    <w:rsid w:val="000957D9"/>
    <w:rsid w:val="00095912"/>
    <w:rsid w:val="00095CE0"/>
    <w:rsid w:val="00096933"/>
    <w:rsid w:val="00096995"/>
    <w:rsid w:val="00096B18"/>
    <w:rsid w:val="00097230"/>
    <w:rsid w:val="00097ED0"/>
    <w:rsid w:val="000A101C"/>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5BD5"/>
    <w:rsid w:val="000A5D6B"/>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0D6"/>
    <w:rsid w:val="000C3FD9"/>
    <w:rsid w:val="000C4107"/>
    <w:rsid w:val="000C45E7"/>
    <w:rsid w:val="000C45F5"/>
    <w:rsid w:val="000C4B49"/>
    <w:rsid w:val="000C5E98"/>
    <w:rsid w:val="000C608E"/>
    <w:rsid w:val="000C640F"/>
    <w:rsid w:val="000C698D"/>
    <w:rsid w:val="000C705C"/>
    <w:rsid w:val="000C7AE4"/>
    <w:rsid w:val="000D01F4"/>
    <w:rsid w:val="000D0B89"/>
    <w:rsid w:val="000D1519"/>
    <w:rsid w:val="000D3145"/>
    <w:rsid w:val="000D36D1"/>
    <w:rsid w:val="000D4AAD"/>
    <w:rsid w:val="000D4D24"/>
    <w:rsid w:val="000D52DC"/>
    <w:rsid w:val="000D55E8"/>
    <w:rsid w:val="000D5DE4"/>
    <w:rsid w:val="000D6054"/>
    <w:rsid w:val="000D617A"/>
    <w:rsid w:val="000D619B"/>
    <w:rsid w:val="000D63BC"/>
    <w:rsid w:val="000D788B"/>
    <w:rsid w:val="000D7BDE"/>
    <w:rsid w:val="000E1288"/>
    <w:rsid w:val="000E21BF"/>
    <w:rsid w:val="000E2603"/>
    <w:rsid w:val="000E2950"/>
    <w:rsid w:val="000E34ED"/>
    <w:rsid w:val="000E374F"/>
    <w:rsid w:val="000E4456"/>
    <w:rsid w:val="000E48DB"/>
    <w:rsid w:val="000E6184"/>
    <w:rsid w:val="000E6717"/>
    <w:rsid w:val="000E67FE"/>
    <w:rsid w:val="000F0C0A"/>
    <w:rsid w:val="000F175F"/>
    <w:rsid w:val="000F17D1"/>
    <w:rsid w:val="000F21C4"/>
    <w:rsid w:val="000F254E"/>
    <w:rsid w:val="000F2C75"/>
    <w:rsid w:val="000F32E3"/>
    <w:rsid w:val="000F3506"/>
    <w:rsid w:val="000F593E"/>
    <w:rsid w:val="000F599D"/>
    <w:rsid w:val="000F60F3"/>
    <w:rsid w:val="000F60FF"/>
    <w:rsid w:val="000F635F"/>
    <w:rsid w:val="000F6C61"/>
    <w:rsid w:val="000F715D"/>
    <w:rsid w:val="00100C12"/>
    <w:rsid w:val="001013A8"/>
    <w:rsid w:val="0010251A"/>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0246"/>
    <w:rsid w:val="001116BA"/>
    <w:rsid w:val="0011177A"/>
    <w:rsid w:val="0011179E"/>
    <w:rsid w:val="00111C71"/>
    <w:rsid w:val="00112544"/>
    <w:rsid w:val="0011359C"/>
    <w:rsid w:val="001141C0"/>
    <w:rsid w:val="00114B74"/>
    <w:rsid w:val="001154FB"/>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32D"/>
    <w:rsid w:val="001257C7"/>
    <w:rsid w:val="00126502"/>
    <w:rsid w:val="00126AF2"/>
    <w:rsid w:val="00126DDF"/>
    <w:rsid w:val="001270BF"/>
    <w:rsid w:val="00127BAC"/>
    <w:rsid w:val="00127FF5"/>
    <w:rsid w:val="00131EC2"/>
    <w:rsid w:val="00132E82"/>
    <w:rsid w:val="0013374F"/>
    <w:rsid w:val="00133A14"/>
    <w:rsid w:val="00133C97"/>
    <w:rsid w:val="00135467"/>
    <w:rsid w:val="00135DDD"/>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DF4"/>
    <w:rsid w:val="001674E1"/>
    <w:rsid w:val="001674E8"/>
    <w:rsid w:val="0017073D"/>
    <w:rsid w:val="00170D38"/>
    <w:rsid w:val="00170F55"/>
    <w:rsid w:val="00171484"/>
    <w:rsid w:val="00171BAD"/>
    <w:rsid w:val="00171C60"/>
    <w:rsid w:val="00171DD5"/>
    <w:rsid w:val="00171F2C"/>
    <w:rsid w:val="001728F8"/>
    <w:rsid w:val="00172901"/>
    <w:rsid w:val="00173AF1"/>
    <w:rsid w:val="00174151"/>
    <w:rsid w:val="00174190"/>
    <w:rsid w:val="001744B4"/>
    <w:rsid w:val="001745C9"/>
    <w:rsid w:val="001751EF"/>
    <w:rsid w:val="001756A1"/>
    <w:rsid w:val="00175C8F"/>
    <w:rsid w:val="001761EE"/>
    <w:rsid w:val="00176EAA"/>
    <w:rsid w:val="00177030"/>
    <w:rsid w:val="0017725A"/>
    <w:rsid w:val="00177C4B"/>
    <w:rsid w:val="00177F6A"/>
    <w:rsid w:val="00181293"/>
    <w:rsid w:val="00181B83"/>
    <w:rsid w:val="00181E6C"/>
    <w:rsid w:val="00182327"/>
    <w:rsid w:val="00182A38"/>
    <w:rsid w:val="0018325A"/>
    <w:rsid w:val="00183D7A"/>
    <w:rsid w:val="00184053"/>
    <w:rsid w:val="001848D4"/>
    <w:rsid w:val="00184CAE"/>
    <w:rsid w:val="00186199"/>
    <w:rsid w:val="00186797"/>
    <w:rsid w:val="00186BD7"/>
    <w:rsid w:val="00186F7A"/>
    <w:rsid w:val="00190316"/>
    <w:rsid w:val="00190788"/>
    <w:rsid w:val="00190AE2"/>
    <w:rsid w:val="00190E27"/>
    <w:rsid w:val="001917E0"/>
    <w:rsid w:val="00191DAC"/>
    <w:rsid w:val="00192234"/>
    <w:rsid w:val="001928F7"/>
    <w:rsid w:val="00193182"/>
    <w:rsid w:val="00193575"/>
    <w:rsid w:val="0019389D"/>
    <w:rsid w:val="00193B62"/>
    <w:rsid w:val="00194537"/>
    <w:rsid w:val="00194D6E"/>
    <w:rsid w:val="0019563C"/>
    <w:rsid w:val="0019563D"/>
    <w:rsid w:val="001956CA"/>
    <w:rsid w:val="00195B79"/>
    <w:rsid w:val="00196822"/>
    <w:rsid w:val="001A088E"/>
    <w:rsid w:val="001A0F4A"/>
    <w:rsid w:val="001A1B13"/>
    <w:rsid w:val="001A1D38"/>
    <w:rsid w:val="001A21A9"/>
    <w:rsid w:val="001A2767"/>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589"/>
    <w:rsid w:val="001C1ACF"/>
    <w:rsid w:val="001C2F9C"/>
    <w:rsid w:val="001C2FDF"/>
    <w:rsid w:val="001C3399"/>
    <w:rsid w:val="001C37F6"/>
    <w:rsid w:val="001C4782"/>
    <w:rsid w:val="001C4D9F"/>
    <w:rsid w:val="001C5289"/>
    <w:rsid w:val="001C53A3"/>
    <w:rsid w:val="001C6288"/>
    <w:rsid w:val="001C67A1"/>
    <w:rsid w:val="001C7325"/>
    <w:rsid w:val="001C780D"/>
    <w:rsid w:val="001C79B8"/>
    <w:rsid w:val="001C7C6D"/>
    <w:rsid w:val="001C7E53"/>
    <w:rsid w:val="001C7F70"/>
    <w:rsid w:val="001D0538"/>
    <w:rsid w:val="001D0634"/>
    <w:rsid w:val="001D0684"/>
    <w:rsid w:val="001D0F6A"/>
    <w:rsid w:val="001D2034"/>
    <w:rsid w:val="001D21BC"/>
    <w:rsid w:val="001D295A"/>
    <w:rsid w:val="001D2ABF"/>
    <w:rsid w:val="001D2BFE"/>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C36"/>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6BC2"/>
    <w:rsid w:val="00207A46"/>
    <w:rsid w:val="002101B3"/>
    <w:rsid w:val="00211A26"/>
    <w:rsid w:val="00212249"/>
    <w:rsid w:val="002125F7"/>
    <w:rsid w:val="0021397C"/>
    <w:rsid w:val="00214418"/>
    <w:rsid w:val="00214463"/>
    <w:rsid w:val="00214756"/>
    <w:rsid w:val="00214DBA"/>
    <w:rsid w:val="00215CF2"/>
    <w:rsid w:val="00215D9F"/>
    <w:rsid w:val="0021600D"/>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329"/>
    <w:rsid w:val="0022692D"/>
    <w:rsid w:val="002272F9"/>
    <w:rsid w:val="002279AA"/>
    <w:rsid w:val="00231610"/>
    <w:rsid w:val="002318F3"/>
    <w:rsid w:val="00231E15"/>
    <w:rsid w:val="00232B36"/>
    <w:rsid w:val="0023323F"/>
    <w:rsid w:val="00234202"/>
    <w:rsid w:val="0023460A"/>
    <w:rsid w:val="0023487F"/>
    <w:rsid w:val="00234E25"/>
    <w:rsid w:val="002359EB"/>
    <w:rsid w:val="00235BC2"/>
    <w:rsid w:val="002363AB"/>
    <w:rsid w:val="00236933"/>
    <w:rsid w:val="00237110"/>
    <w:rsid w:val="0023727B"/>
    <w:rsid w:val="00237579"/>
    <w:rsid w:val="00237675"/>
    <w:rsid w:val="00237C6D"/>
    <w:rsid w:val="0024096B"/>
    <w:rsid w:val="00240FA7"/>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376"/>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0FBF"/>
    <w:rsid w:val="002813C5"/>
    <w:rsid w:val="00281A9C"/>
    <w:rsid w:val="00281B04"/>
    <w:rsid w:val="00282C23"/>
    <w:rsid w:val="0028315D"/>
    <w:rsid w:val="00283885"/>
    <w:rsid w:val="002839A4"/>
    <w:rsid w:val="002841A9"/>
    <w:rsid w:val="0028459B"/>
    <w:rsid w:val="00284C5F"/>
    <w:rsid w:val="0028507E"/>
    <w:rsid w:val="00285C0D"/>
    <w:rsid w:val="00285F02"/>
    <w:rsid w:val="00285F4D"/>
    <w:rsid w:val="002860BA"/>
    <w:rsid w:val="00286183"/>
    <w:rsid w:val="00286301"/>
    <w:rsid w:val="002873F0"/>
    <w:rsid w:val="00287762"/>
    <w:rsid w:val="00290793"/>
    <w:rsid w:val="00291194"/>
    <w:rsid w:val="002912D5"/>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0EBB"/>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1D6B"/>
    <w:rsid w:val="002B27FF"/>
    <w:rsid w:val="002B2F4E"/>
    <w:rsid w:val="002B3266"/>
    <w:rsid w:val="002B570D"/>
    <w:rsid w:val="002B5C8E"/>
    <w:rsid w:val="002B6793"/>
    <w:rsid w:val="002B68A5"/>
    <w:rsid w:val="002B780B"/>
    <w:rsid w:val="002C0E05"/>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6844"/>
    <w:rsid w:val="002C77CC"/>
    <w:rsid w:val="002C7C89"/>
    <w:rsid w:val="002D0054"/>
    <w:rsid w:val="002D1A0F"/>
    <w:rsid w:val="002D1AAD"/>
    <w:rsid w:val="002D1B46"/>
    <w:rsid w:val="002D20E4"/>
    <w:rsid w:val="002D22B0"/>
    <w:rsid w:val="002D22BF"/>
    <w:rsid w:val="002D237C"/>
    <w:rsid w:val="002D32E3"/>
    <w:rsid w:val="002D33F1"/>
    <w:rsid w:val="002D353D"/>
    <w:rsid w:val="002D3CBD"/>
    <w:rsid w:val="002D43C7"/>
    <w:rsid w:val="002D52AD"/>
    <w:rsid w:val="002D540F"/>
    <w:rsid w:val="002D58D8"/>
    <w:rsid w:val="002D5EB1"/>
    <w:rsid w:val="002E0394"/>
    <w:rsid w:val="002E0644"/>
    <w:rsid w:val="002E0FEB"/>
    <w:rsid w:val="002E171B"/>
    <w:rsid w:val="002E2E3E"/>
    <w:rsid w:val="002E319D"/>
    <w:rsid w:val="002E3B41"/>
    <w:rsid w:val="002E4AD5"/>
    <w:rsid w:val="002E4C2D"/>
    <w:rsid w:val="002E4FCA"/>
    <w:rsid w:val="002E51EA"/>
    <w:rsid w:val="002E5E56"/>
    <w:rsid w:val="002E7173"/>
    <w:rsid w:val="002F0381"/>
    <w:rsid w:val="002F083F"/>
    <w:rsid w:val="002F0F79"/>
    <w:rsid w:val="002F119D"/>
    <w:rsid w:val="002F1C9E"/>
    <w:rsid w:val="002F1EB2"/>
    <w:rsid w:val="002F25C3"/>
    <w:rsid w:val="002F280E"/>
    <w:rsid w:val="002F2CBB"/>
    <w:rsid w:val="002F3025"/>
    <w:rsid w:val="002F3470"/>
    <w:rsid w:val="002F3709"/>
    <w:rsid w:val="002F3A6C"/>
    <w:rsid w:val="002F4296"/>
    <w:rsid w:val="002F5777"/>
    <w:rsid w:val="002F60EA"/>
    <w:rsid w:val="002F680E"/>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12F"/>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69BC"/>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6AA2"/>
    <w:rsid w:val="0033700B"/>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57B"/>
    <w:rsid w:val="003609DD"/>
    <w:rsid w:val="00360F81"/>
    <w:rsid w:val="00361E7E"/>
    <w:rsid w:val="00363597"/>
    <w:rsid w:val="00363D25"/>
    <w:rsid w:val="003648F2"/>
    <w:rsid w:val="00364FA1"/>
    <w:rsid w:val="00366B02"/>
    <w:rsid w:val="003671F5"/>
    <w:rsid w:val="0037072F"/>
    <w:rsid w:val="00370AA4"/>
    <w:rsid w:val="00370F8F"/>
    <w:rsid w:val="003711F2"/>
    <w:rsid w:val="003717FC"/>
    <w:rsid w:val="00371F48"/>
    <w:rsid w:val="00371FF4"/>
    <w:rsid w:val="003723C0"/>
    <w:rsid w:val="003723C2"/>
    <w:rsid w:val="0037275D"/>
    <w:rsid w:val="00372797"/>
    <w:rsid w:val="003731CA"/>
    <w:rsid w:val="00373FD0"/>
    <w:rsid w:val="0037470E"/>
    <w:rsid w:val="00374FE6"/>
    <w:rsid w:val="00375510"/>
    <w:rsid w:val="00375CC4"/>
    <w:rsid w:val="003760C9"/>
    <w:rsid w:val="00376103"/>
    <w:rsid w:val="003767B3"/>
    <w:rsid w:val="00376A73"/>
    <w:rsid w:val="00376B49"/>
    <w:rsid w:val="00376FC5"/>
    <w:rsid w:val="00377520"/>
    <w:rsid w:val="00380033"/>
    <w:rsid w:val="00380D36"/>
    <w:rsid w:val="00380F49"/>
    <w:rsid w:val="00380FA4"/>
    <w:rsid w:val="003822D3"/>
    <w:rsid w:val="0038480C"/>
    <w:rsid w:val="00384DC9"/>
    <w:rsid w:val="0038566E"/>
    <w:rsid w:val="00385C66"/>
    <w:rsid w:val="00386630"/>
    <w:rsid w:val="0038687F"/>
    <w:rsid w:val="00386A6C"/>
    <w:rsid w:val="003874B6"/>
    <w:rsid w:val="00387876"/>
    <w:rsid w:val="00387D43"/>
    <w:rsid w:val="00387F45"/>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1FE0"/>
    <w:rsid w:val="003A3B62"/>
    <w:rsid w:val="003A3BC4"/>
    <w:rsid w:val="003A458A"/>
    <w:rsid w:val="003A46C9"/>
    <w:rsid w:val="003A4B6E"/>
    <w:rsid w:val="003A4DE2"/>
    <w:rsid w:val="003A4FE2"/>
    <w:rsid w:val="003A5119"/>
    <w:rsid w:val="003A551D"/>
    <w:rsid w:val="003A7E6F"/>
    <w:rsid w:val="003B05F2"/>
    <w:rsid w:val="003B0EE4"/>
    <w:rsid w:val="003B2BCE"/>
    <w:rsid w:val="003B2F13"/>
    <w:rsid w:val="003B3353"/>
    <w:rsid w:val="003B405E"/>
    <w:rsid w:val="003B4712"/>
    <w:rsid w:val="003B47EB"/>
    <w:rsid w:val="003B48BA"/>
    <w:rsid w:val="003B57C6"/>
    <w:rsid w:val="003B57D3"/>
    <w:rsid w:val="003B59CA"/>
    <w:rsid w:val="003B6067"/>
    <w:rsid w:val="003B6C59"/>
    <w:rsid w:val="003B7E37"/>
    <w:rsid w:val="003C0892"/>
    <w:rsid w:val="003C08E3"/>
    <w:rsid w:val="003C09B5"/>
    <w:rsid w:val="003C0ECA"/>
    <w:rsid w:val="003C0F62"/>
    <w:rsid w:val="003C1176"/>
    <w:rsid w:val="003C1272"/>
    <w:rsid w:val="003C1D9A"/>
    <w:rsid w:val="003C1F58"/>
    <w:rsid w:val="003C2723"/>
    <w:rsid w:val="003C48B1"/>
    <w:rsid w:val="003C57A7"/>
    <w:rsid w:val="003C5C2B"/>
    <w:rsid w:val="003C6457"/>
    <w:rsid w:val="003C6943"/>
    <w:rsid w:val="003C6BD2"/>
    <w:rsid w:val="003C7294"/>
    <w:rsid w:val="003C792F"/>
    <w:rsid w:val="003C7ABD"/>
    <w:rsid w:val="003C7C3D"/>
    <w:rsid w:val="003C7DDB"/>
    <w:rsid w:val="003D08F8"/>
    <w:rsid w:val="003D124B"/>
    <w:rsid w:val="003D18F3"/>
    <w:rsid w:val="003D1C06"/>
    <w:rsid w:val="003D1DBF"/>
    <w:rsid w:val="003D251D"/>
    <w:rsid w:val="003D2CC1"/>
    <w:rsid w:val="003D4FFC"/>
    <w:rsid w:val="003D51ED"/>
    <w:rsid w:val="003D569B"/>
    <w:rsid w:val="003D78B5"/>
    <w:rsid w:val="003E03F6"/>
    <w:rsid w:val="003E099F"/>
    <w:rsid w:val="003E14D0"/>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E7F0F"/>
    <w:rsid w:val="003F0B30"/>
    <w:rsid w:val="003F0FA3"/>
    <w:rsid w:val="003F276B"/>
    <w:rsid w:val="003F2B66"/>
    <w:rsid w:val="003F2D79"/>
    <w:rsid w:val="003F36F9"/>
    <w:rsid w:val="003F4241"/>
    <w:rsid w:val="003F4B8A"/>
    <w:rsid w:val="003F4C20"/>
    <w:rsid w:val="003F62BB"/>
    <w:rsid w:val="003F6FEC"/>
    <w:rsid w:val="003F7C45"/>
    <w:rsid w:val="00400241"/>
    <w:rsid w:val="0040043A"/>
    <w:rsid w:val="0040132C"/>
    <w:rsid w:val="0040151E"/>
    <w:rsid w:val="00401EFD"/>
    <w:rsid w:val="0040231A"/>
    <w:rsid w:val="00402489"/>
    <w:rsid w:val="004049BD"/>
    <w:rsid w:val="00404EB5"/>
    <w:rsid w:val="00405085"/>
    <w:rsid w:val="00405D28"/>
    <w:rsid w:val="004066FC"/>
    <w:rsid w:val="00407481"/>
    <w:rsid w:val="00407C10"/>
    <w:rsid w:val="00407E90"/>
    <w:rsid w:val="004111B5"/>
    <w:rsid w:val="004113B4"/>
    <w:rsid w:val="00411F11"/>
    <w:rsid w:val="00412FE6"/>
    <w:rsid w:val="00413323"/>
    <w:rsid w:val="00413A03"/>
    <w:rsid w:val="00414503"/>
    <w:rsid w:val="00414827"/>
    <w:rsid w:val="004153B3"/>
    <w:rsid w:val="00415772"/>
    <w:rsid w:val="004163FD"/>
    <w:rsid w:val="0041683D"/>
    <w:rsid w:val="00416C10"/>
    <w:rsid w:val="00417976"/>
    <w:rsid w:val="00417A0E"/>
    <w:rsid w:val="00417E4E"/>
    <w:rsid w:val="0042053A"/>
    <w:rsid w:val="00420972"/>
    <w:rsid w:val="00420E2E"/>
    <w:rsid w:val="004213D6"/>
    <w:rsid w:val="0042198A"/>
    <w:rsid w:val="00421C75"/>
    <w:rsid w:val="00422440"/>
    <w:rsid w:val="00422916"/>
    <w:rsid w:val="0042388D"/>
    <w:rsid w:val="00423BA3"/>
    <w:rsid w:val="00424213"/>
    <w:rsid w:val="00424D6E"/>
    <w:rsid w:val="00424EF3"/>
    <w:rsid w:val="004267DB"/>
    <w:rsid w:val="004268BB"/>
    <w:rsid w:val="00426A4B"/>
    <w:rsid w:val="00430724"/>
    <w:rsid w:val="00431047"/>
    <w:rsid w:val="00431B86"/>
    <w:rsid w:val="00432B7F"/>
    <w:rsid w:val="00433CC0"/>
    <w:rsid w:val="00433EED"/>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5AB"/>
    <w:rsid w:val="004646BF"/>
    <w:rsid w:val="00464744"/>
    <w:rsid w:val="00465CC2"/>
    <w:rsid w:val="004665E3"/>
    <w:rsid w:val="00466F64"/>
    <w:rsid w:val="0046760F"/>
    <w:rsid w:val="00471425"/>
    <w:rsid w:val="0047237D"/>
    <w:rsid w:val="00472561"/>
    <w:rsid w:val="004731F1"/>
    <w:rsid w:val="004739B2"/>
    <w:rsid w:val="00473EB5"/>
    <w:rsid w:val="0047456B"/>
    <w:rsid w:val="00475251"/>
    <w:rsid w:val="004755BD"/>
    <w:rsid w:val="00477400"/>
    <w:rsid w:val="0048028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0A02"/>
    <w:rsid w:val="0049125B"/>
    <w:rsid w:val="00491C58"/>
    <w:rsid w:val="00491FAB"/>
    <w:rsid w:val="00492081"/>
    <w:rsid w:val="0049227D"/>
    <w:rsid w:val="0049297D"/>
    <w:rsid w:val="004929F2"/>
    <w:rsid w:val="00492C1E"/>
    <w:rsid w:val="00492F5E"/>
    <w:rsid w:val="0049338A"/>
    <w:rsid w:val="00493A30"/>
    <w:rsid w:val="0049455B"/>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8C2"/>
    <w:rsid w:val="004A6D96"/>
    <w:rsid w:val="004A7CE8"/>
    <w:rsid w:val="004B0E6D"/>
    <w:rsid w:val="004B16E8"/>
    <w:rsid w:val="004B2CA5"/>
    <w:rsid w:val="004B412E"/>
    <w:rsid w:val="004B55E7"/>
    <w:rsid w:val="004B5B92"/>
    <w:rsid w:val="004B6250"/>
    <w:rsid w:val="004B66F3"/>
    <w:rsid w:val="004B733D"/>
    <w:rsid w:val="004B76B1"/>
    <w:rsid w:val="004B7800"/>
    <w:rsid w:val="004C0057"/>
    <w:rsid w:val="004C0541"/>
    <w:rsid w:val="004C0661"/>
    <w:rsid w:val="004C0BBF"/>
    <w:rsid w:val="004C1748"/>
    <w:rsid w:val="004C1AE4"/>
    <w:rsid w:val="004C1D08"/>
    <w:rsid w:val="004C1D55"/>
    <w:rsid w:val="004C226E"/>
    <w:rsid w:val="004C2656"/>
    <w:rsid w:val="004C2836"/>
    <w:rsid w:val="004C2C46"/>
    <w:rsid w:val="004C405B"/>
    <w:rsid w:val="004C4550"/>
    <w:rsid w:val="004C54CA"/>
    <w:rsid w:val="004C5910"/>
    <w:rsid w:val="004C7235"/>
    <w:rsid w:val="004C7684"/>
    <w:rsid w:val="004C7955"/>
    <w:rsid w:val="004D0213"/>
    <w:rsid w:val="004D047F"/>
    <w:rsid w:val="004D0593"/>
    <w:rsid w:val="004D0A6A"/>
    <w:rsid w:val="004D0D2C"/>
    <w:rsid w:val="004D0D3C"/>
    <w:rsid w:val="004D1529"/>
    <w:rsid w:val="004D1916"/>
    <w:rsid w:val="004D29F1"/>
    <w:rsid w:val="004D29F3"/>
    <w:rsid w:val="004D3D96"/>
    <w:rsid w:val="004D40BB"/>
    <w:rsid w:val="004D4EEF"/>
    <w:rsid w:val="004D5316"/>
    <w:rsid w:val="004D575C"/>
    <w:rsid w:val="004D5DB9"/>
    <w:rsid w:val="004D5F4D"/>
    <w:rsid w:val="004D6147"/>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E77F1"/>
    <w:rsid w:val="004F1C42"/>
    <w:rsid w:val="004F23CE"/>
    <w:rsid w:val="004F2456"/>
    <w:rsid w:val="004F2C5A"/>
    <w:rsid w:val="004F2C82"/>
    <w:rsid w:val="004F31EA"/>
    <w:rsid w:val="004F4601"/>
    <w:rsid w:val="004F4BB3"/>
    <w:rsid w:val="004F532E"/>
    <w:rsid w:val="004F590E"/>
    <w:rsid w:val="004F59F6"/>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67"/>
    <w:rsid w:val="00512E85"/>
    <w:rsid w:val="0051325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D8C"/>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4D5"/>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5C89"/>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555"/>
    <w:rsid w:val="005646BB"/>
    <w:rsid w:val="005647F9"/>
    <w:rsid w:val="00564B19"/>
    <w:rsid w:val="00564C4B"/>
    <w:rsid w:val="00565A63"/>
    <w:rsid w:val="00566588"/>
    <w:rsid w:val="0056662E"/>
    <w:rsid w:val="00566A26"/>
    <w:rsid w:val="00566F6B"/>
    <w:rsid w:val="00567012"/>
    <w:rsid w:val="00567A86"/>
    <w:rsid w:val="00567EA5"/>
    <w:rsid w:val="00570050"/>
    <w:rsid w:val="00570514"/>
    <w:rsid w:val="00570BBD"/>
    <w:rsid w:val="00571A41"/>
    <w:rsid w:val="005721D0"/>
    <w:rsid w:val="0057275D"/>
    <w:rsid w:val="00572919"/>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A99"/>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1F0B"/>
    <w:rsid w:val="005925EA"/>
    <w:rsid w:val="0059282D"/>
    <w:rsid w:val="00593159"/>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68E"/>
    <w:rsid w:val="005A0742"/>
    <w:rsid w:val="005A088C"/>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1391"/>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2493"/>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6B"/>
    <w:rsid w:val="005D01A4"/>
    <w:rsid w:val="005D108E"/>
    <w:rsid w:val="005D1584"/>
    <w:rsid w:val="005D15AE"/>
    <w:rsid w:val="005D1A7B"/>
    <w:rsid w:val="005D1EDD"/>
    <w:rsid w:val="005D2F95"/>
    <w:rsid w:val="005D3EA3"/>
    <w:rsid w:val="005D456F"/>
    <w:rsid w:val="005D45B3"/>
    <w:rsid w:val="005D4AB3"/>
    <w:rsid w:val="005D4CEB"/>
    <w:rsid w:val="005D5344"/>
    <w:rsid w:val="005D5BCC"/>
    <w:rsid w:val="005D5DA8"/>
    <w:rsid w:val="005D61EB"/>
    <w:rsid w:val="005D6733"/>
    <w:rsid w:val="005E0AE0"/>
    <w:rsid w:val="005E2ADA"/>
    <w:rsid w:val="005E40C4"/>
    <w:rsid w:val="005E5501"/>
    <w:rsid w:val="005E6F8F"/>
    <w:rsid w:val="005F04E6"/>
    <w:rsid w:val="005F17EC"/>
    <w:rsid w:val="005F1C2F"/>
    <w:rsid w:val="005F37B9"/>
    <w:rsid w:val="005F39D5"/>
    <w:rsid w:val="005F3AB5"/>
    <w:rsid w:val="005F3E05"/>
    <w:rsid w:val="005F3F98"/>
    <w:rsid w:val="005F43B9"/>
    <w:rsid w:val="005F55D6"/>
    <w:rsid w:val="005F5BC3"/>
    <w:rsid w:val="005F5CA9"/>
    <w:rsid w:val="005F68CB"/>
    <w:rsid w:val="005F6BDE"/>
    <w:rsid w:val="005F6F26"/>
    <w:rsid w:val="00600242"/>
    <w:rsid w:val="006008F8"/>
    <w:rsid w:val="006009CC"/>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4994"/>
    <w:rsid w:val="00625A2B"/>
    <w:rsid w:val="006260B3"/>
    <w:rsid w:val="00626E2D"/>
    <w:rsid w:val="006272DE"/>
    <w:rsid w:val="00627D94"/>
    <w:rsid w:val="00627E87"/>
    <w:rsid w:val="006304D3"/>
    <w:rsid w:val="00630AB9"/>
    <w:rsid w:val="00630B42"/>
    <w:rsid w:val="00630C01"/>
    <w:rsid w:val="0063104D"/>
    <w:rsid w:val="006310FC"/>
    <w:rsid w:val="00631688"/>
    <w:rsid w:val="00631905"/>
    <w:rsid w:val="006320D8"/>
    <w:rsid w:val="00632540"/>
    <w:rsid w:val="00632E88"/>
    <w:rsid w:val="006342BB"/>
    <w:rsid w:val="006343D8"/>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2263"/>
    <w:rsid w:val="0065238F"/>
    <w:rsid w:val="006524DC"/>
    <w:rsid w:val="0065278C"/>
    <w:rsid w:val="00652881"/>
    <w:rsid w:val="00652985"/>
    <w:rsid w:val="006533AE"/>
    <w:rsid w:val="006551AE"/>
    <w:rsid w:val="00657EB0"/>
    <w:rsid w:val="00661974"/>
    <w:rsid w:val="006623E2"/>
    <w:rsid w:val="006624E3"/>
    <w:rsid w:val="00662F79"/>
    <w:rsid w:val="006640F9"/>
    <w:rsid w:val="00664282"/>
    <w:rsid w:val="00664551"/>
    <w:rsid w:val="00664596"/>
    <w:rsid w:val="00664685"/>
    <w:rsid w:val="00664B95"/>
    <w:rsid w:val="00665D5F"/>
    <w:rsid w:val="00665DF3"/>
    <w:rsid w:val="006676A0"/>
    <w:rsid w:val="006704F3"/>
    <w:rsid w:val="00670857"/>
    <w:rsid w:val="00671124"/>
    <w:rsid w:val="006727B0"/>
    <w:rsid w:val="0067307E"/>
    <w:rsid w:val="006739C0"/>
    <w:rsid w:val="00673F6D"/>
    <w:rsid w:val="00674850"/>
    <w:rsid w:val="00675116"/>
    <w:rsid w:val="00675D03"/>
    <w:rsid w:val="00676016"/>
    <w:rsid w:val="00676876"/>
    <w:rsid w:val="00676EA7"/>
    <w:rsid w:val="00677B43"/>
    <w:rsid w:val="00677BA3"/>
    <w:rsid w:val="00680969"/>
    <w:rsid w:val="006824D6"/>
    <w:rsid w:val="00682948"/>
    <w:rsid w:val="00682C86"/>
    <w:rsid w:val="00683F61"/>
    <w:rsid w:val="00686A36"/>
    <w:rsid w:val="006877BA"/>
    <w:rsid w:val="00687AD5"/>
    <w:rsid w:val="00690DCB"/>
    <w:rsid w:val="0069211A"/>
    <w:rsid w:val="00692272"/>
    <w:rsid w:val="006924D7"/>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79F"/>
    <w:rsid w:val="006968EA"/>
    <w:rsid w:val="006A015D"/>
    <w:rsid w:val="006A02EC"/>
    <w:rsid w:val="006A0D9D"/>
    <w:rsid w:val="006A1223"/>
    <w:rsid w:val="006A2299"/>
    <w:rsid w:val="006A261F"/>
    <w:rsid w:val="006A2B6C"/>
    <w:rsid w:val="006A2EA3"/>
    <w:rsid w:val="006A3CC1"/>
    <w:rsid w:val="006A3E73"/>
    <w:rsid w:val="006A448D"/>
    <w:rsid w:val="006A4899"/>
    <w:rsid w:val="006A5E32"/>
    <w:rsid w:val="006A60C8"/>
    <w:rsid w:val="006A62E1"/>
    <w:rsid w:val="006A6554"/>
    <w:rsid w:val="006A6566"/>
    <w:rsid w:val="006A72C6"/>
    <w:rsid w:val="006A7310"/>
    <w:rsid w:val="006A7E10"/>
    <w:rsid w:val="006B02DA"/>
    <w:rsid w:val="006B05B8"/>
    <w:rsid w:val="006B08FB"/>
    <w:rsid w:val="006B0D81"/>
    <w:rsid w:val="006B164A"/>
    <w:rsid w:val="006B194C"/>
    <w:rsid w:val="006B2065"/>
    <w:rsid w:val="006B22BD"/>
    <w:rsid w:val="006B275B"/>
    <w:rsid w:val="006B28BF"/>
    <w:rsid w:val="006B30BF"/>
    <w:rsid w:val="006B38C6"/>
    <w:rsid w:val="006B3940"/>
    <w:rsid w:val="006B443D"/>
    <w:rsid w:val="006B45A6"/>
    <w:rsid w:val="006B4A69"/>
    <w:rsid w:val="006B5C08"/>
    <w:rsid w:val="006B62F0"/>
    <w:rsid w:val="006B6C6B"/>
    <w:rsid w:val="006B78E4"/>
    <w:rsid w:val="006B7FBB"/>
    <w:rsid w:val="006C09B6"/>
    <w:rsid w:val="006C1110"/>
    <w:rsid w:val="006C139F"/>
    <w:rsid w:val="006C168D"/>
    <w:rsid w:val="006C2BF5"/>
    <w:rsid w:val="006C4A40"/>
    <w:rsid w:val="006C4E56"/>
    <w:rsid w:val="006C61CD"/>
    <w:rsid w:val="006C6423"/>
    <w:rsid w:val="006C642C"/>
    <w:rsid w:val="006C6545"/>
    <w:rsid w:val="006C6FC6"/>
    <w:rsid w:val="006C7BB9"/>
    <w:rsid w:val="006C7D50"/>
    <w:rsid w:val="006D11EA"/>
    <w:rsid w:val="006D141C"/>
    <w:rsid w:val="006D2425"/>
    <w:rsid w:val="006D2A37"/>
    <w:rsid w:val="006D2CF3"/>
    <w:rsid w:val="006D2D08"/>
    <w:rsid w:val="006D2F35"/>
    <w:rsid w:val="006D3228"/>
    <w:rsid w:val="006D349E"/>
    <w:rsid w:val="006D34C2"/>
    <w:rsid w:val="006D4110"/>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59E"/>
    <w:rsid w:val="006E5E32"/>
    <w:rsid w:val="006E633A"/>
    <w:rsid w:val="006E6A14"/>
    <w:rsid w:val="006E6B16"/>
    <w:rsid w:val="006E6DE8"/>
    <w:rsid w:val="006E780C"/>
    <w:rsid w:val="006E7AC8"/>
    <w:rsid w:val="006F054E"/>
    <w:rsid w:val="006F0BA7"/>
    <w:rsid w:val="006F0F01"/>
    <w:rsid w:val="006F14B8"/>
    <w:rsid w:val="006F174D"/>
    <w:rsid w:val="006F1F41"/>
    <w:rsid w:val="006F27E1"/>
    <w:rsid w:val="006F32CE"/>
    <w:rsid w:val="006F32EF"/>
    <w:rsid w:val="006F3615"/>
    <w:rsid w:val="006F3C54"/>
    <w:rsid w:val="006F41B7"/>
    <w:rsid w:val="006F461E"/>
    <w:rsid w:val="006F4CD8"/>
    <w:rsid w:val="006F5125"/>
    <w:rsid w:val="006F51C6"/>
    <w:rsid w:val="006F53D9"/>
    <w:rsid w:val="006F5812"/>
    <w:rsid w:val="006F5CC1"/>
    <w:rsid w:val="006F609A"/>
    <w:rsid w:val="006F646F"/>
    <w:rsid w:val="006F680E"/>
    <w:rsid w:val="006F685F"/>
    <w:rsid w:val="006F6B72"/>
    <w:rsid w:val="007004DC"/>
    <w:rsid w:val="00701093"/>
    <w:rsid w:val="007015F1"/>
    <w:rsid w:val="0070173B"/>
    <w:rsid w:val="007022C4"/>
    <w:rsid w:val="007026E9"/>
    <w:rsid w:val="00703C8B"/>
    <w:rsid w:val="00703D56"/>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2F4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237"/>
    <w:rsid w:val="007253CC"/>
    <w:rsid w:val="00726F5A"/>
    <w:rsid w:val="0072708F"/>
    <w:rsid w:val="00727C5F"/>
    <w:rsid w:val="0073009A"/>
    <w:rsid w:val="00730E81"/>
    <w:rsid w:val="00731000"/>
    <w:rsid w:val="00731204"/>
    <w:rsid w:val="007319BC"/>
    <w:rsid w:val="0073222B"/>
    <w:rsid w:val="00732582"/>
    <w:rsid w:val="00732D1D"/>
    <w:rsid w:val="007332C4"/>
    <w:rsid w:val="00733480"/>
    <w:rsid w:val="00734321"/>
    <w:rsid w:val="00734381"/>
    <w:rsid w:val="00736034"/>
    <w:rsid w:val="007367B0"/>
    <w:rsid w:val="0073681C"/>
    <w:rsid w:val="00736A13"/>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A72"/>
    <w:rsid w:val="00753B6E"/>
    <w:rsid w:val="00754717"/>
    <w:rsid w:val="00754836"/>
    <w:rsid w:val="00754FB9"/>
    <w:rsid w:val="007553A9"/>
    <w:rsid w:val="00755BA2"/>
    <w:rsid w:val="00755CDF"/>
    <w:rsid w:val="0075605D"/>
    <w:rsid w:val="0075623D"/>
    <w:rsid w:val="00756858"/>
    <w:rsid w:val="00757042"/>
    <w:rsid w:val="007578C3"/>
    <w:rsid w:val="00757A4C"/>
    <w:rsid w:val="00760782"/>
    <w:rsid w:val="00760895"/>
    <w:rsid w:val="00760AC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3122"/>
    <w:rsid w:val="0077369F"/>
    <w:rsid w:val="0077463A"/>
    <w:rsid w:val="00774AB3"/>
    <w:rsid w:val="00774D0F"/>
    <w:rsid w:val="00774D7B"/>
    <w:rsid w:val="00775158"/>
    <w:rsid w:val="007756ED"/>
    <w:rsid w:val="0077589D"/>
    <w:rsid w:val="0077617F"/>
    <w:rsid w:val="00776A3D"/>
    <w:rsid w:val="00776F4F"/>
    <w:rsid w:val="0077707A"/>
    <w:rsid w:val="007776BF"/>
    <w:rsid w:val="00777AF7"/>
    <w:rsid w:val="00777C63"/>
    <w:rsid w:val="00780CC2"/>
    <w:rsid w:val="007819A1"/>
    <w:rsid w:val="007836EA"/>
    <w:rsid w:val="00783BA5"/>
    <w:rsid w:val="007842B4"/>
    <w:rsid w:val="00784F9E"/>
    <w:rsid w:val="0078533C"/>
    <w:rsid w:val="007856FD"/>
    <w:rsid w:val="007857FB"/>
    <w:rsid w:val="00786D99"/>
    <w:rsid w:val="007870FC"/>
    <w:rsid w:val="00787CD0"/>
    <w:rsid w:val="007905A2"/>
    <w:rsid w:val="00791053"/>
    <w:rsid w:val="00791261"/>
    <w:rsid w:val="007918FE"/>
    <w:rsid w:val="00791A3A"/>
    <w:rsid w:val="00791B43"/>
    <w:rsid w:val="0079262D"/>
    <w:rsid w:val="00792A53"/>
    <w:rsid w:val="00794196"/>
    <w:rsid w:val="00794C47"/>
    <w:rsid w:val="00794F57"/>
    <w:rsid w:val="00794FFF"/>
    <w:rsid w:val="00795570"/>
    <w:rsid w:val="007956BC"/>
    <w:rsid w:val="00795EC6"/>
    <w:rsid w:val="00796D4D"/>
    <w:rsid w:val="007971B8"/>
    <w:rsid w:val="007972F9"/>
    <w:rsid w:val="00797637"/>
    <w:rsid w:val="00797CE3"/>
    <w:rsid w:val="007A0018"/>
    <w:rsid w:val="007A0ADE"/>
    <w:rsid w:val="007A1084"/>
    <w:rsid w:val="007A1B35"/>
    <w:rsid w:val="007A24B5"/>
    <w:rsid w:val="007A2EA6"/>
    <w:rsid w:val="007A3680"/>
    <w:rsid w:val="007A3BCD"/>
    <w:rsid w:val="007A4354"/>
    <w:rsid w:val="007A4C1C"/>
    <w:rsid w:val="007A5214"/>
    <w:rsid w:val="007A59B8"/>
    <w:rsid w:val="007A65AF"/>
    <w:rsid w:val="007A68D8"/>
    <w:rsid w:val="007A709D"/>
    <w:rsid w:val="007A7682"/>
    <w:rsid w:val="007A7F42"/>
    <w:rsid w:val="007B1496"/>
    <w:rsid w:val="007B2862"/>
    <w:rsid w:val="007B2D10"/>
    <w:rsid w:val="007B2FD8"/>
    <w:rsid w:val="007B3968"/>
    <w:rsid w:val="007B45AF"/>
    <w:rsid w:val="007B4DD0"/>
    <w:rsid w:val="007B5657"/>
    <w:rsid w:val="007B611E"/>
    <w:rsid w:val="007B662A"/>
    <w:rsid w:val="007B71DC"/>
    <w:rsid w:val="007B7743"/>
    <w:rsid w:val="007C04F4"/>
    <w:rsid w:val="007C13EC"/>
    <w:rsid w:val="007C2139"/>
    <w:rsid w:val="007C27DE"/>
    <w:rsid w:val="007C299E"/>
    <w:rsid w:val="007C31D0"/>
    <w:rsid w:val="007C50BB"/>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C27"/>
    <w:rsid w:val="007D4DD3"/>
    <w:rsid w:val="007D5331"/>
    <w:rsid w:val="007D56DB"/>
    <w:rsid w:val="007D576A"/>
    <w:rsid w:val="007D57C0"/>
    <w:rsid w:val="007D5F79"/>
    <w:rsid w:val="007D619E"/>
    <w:rsid w:val="007D62F9"/>
    <w:rsid w:val="007D63A4"/>
    <w:rsid w:val="007D6542"/>
    <w:rsid w:val="007D675E"/>
    <w:rsid w:val="007D6852"/>
    <w:rsid w:val="007D7F69"/>
    <w:rsid w:val="007E0E66"/>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5F28"/>
    <w:rsid w:val="007F01DE"/>
    <w:rsid w:val="007F02E5"/>
    <w:rsid w:val="007F0759"/>
    <w:rsid w:val="007F0BCC"/>
    <w:rsid w:val="007F0F85"/>
    <w:rsid w:val="007F156E"/>
    <w:rsid w:val="007F1CF3"/>
    <w:rsid w:val="007F23D2"/>
    <w:rsid w:val="007F25C0"/>
    <w:rsid w:val="007F30BB"/>
    <w:rsid w:val="007F397B"/>
    <w:rsid w:val="007F5F52"/>
    <w:rsid w:val="007F623A"/>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983"/>
    <w:rsid w:val="00805C54"/>
    <w:rsid w:val="00806461"/>
    <w:rsid w:val="008064C1"/>
    <w:rsid w:val="0080650E"/>
    <w:rsid w:val="00806E43"/>
    <w:rsid w:val="008077DA"/>
    <w:rsid w:val="00807EC8"/>
    <w:rsid w:val="008106D5"/>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5B"/>
    <w:rsid w:val="00820FE6"/>
    <w:rsid w:val="00821A66"/>
    <w:rsid w:val="00822476"/>
    <w:rsid w:val="00822882"/>
    <w:rsid w:val="00822A1E"/>
    <w:rsid w:val="008238C7"/>
    <w:rsid w:val="00825268"/>
    <w:rsid w:val="0082571C"/>
    <w:rsid w:val="00825B94"/>
    <w:rsid w:val="00825BB4"/>
    <w:rsid w:val="00825F68"/>
    <w:rsid w:val="008273D2"/>
    <w:rsid w:val="00830E92"/>
    <w:rsid w:val="008320ED"/>
    <w:rsid w:val="00832A0F"/>
    <w:rsid w:val="00833EF3"/>
    <w:rsid w:val="00835179"/>
    <w:rsid w:val="008353D5"/>
    <w:rsid w:val="00835408"/>
    <w:rsid w:val="008358A2"/>
    <w:rsid w:val="008359DA"/>
    <w:rsid w:val="008367AF"/>
    <w:rsid w:val="00837CEF"/>
    <w:rsid w:val="00837E2F"/>
    <w:rsid w:val="00837E6D"/>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593"/>
    <w:rsid w:val="008539F6"/>
    <w:rsid w:val="00853FD8"/>
    <w:rsid w:val="0085474D"/>
    <w:rsid w:val="0085481F"/>
    <w:rsid w:val="00856481"/>
    <w:rsid w:val="008567A2"/>
    <w:rsid w:val="00856E6C"/>
    <w:rsid w:val="00857DE1"/>
    <w:rsid w:val="00860211"/>
    <w:rsid w:val="00860793"/>
    <w:rsid w:val="008613BA"/>
    <w:rsid w:val="00861747"/>
    <w:rsid w:val="00861A97"/>
    <w:rsid w:val="00863011"/>
    <w:rsid w:val="00863C5B"/>
    <w:rsid w:val="00863D2E"/>
    <w:rsid w:val="00864622"/>
    <w:rsid w:val="0086468B"/>
    <w:rsid w:val="00864E32"/>
    <w:rsid w:val="00865075"/>
    <w:rsid w:val="0086596E"/>
    <w:rsid w:val="0086615F"/>
    <w:rsid w:val="0086748F"/>
    <w:rsid w:val="00867FD8"/>
    <w:rsid w:val="0087274F"/>
    <w:rsid w:val="00872757"/>
    <w:rsid w:val="00872CE4"/>
    <w:rsid w:val="00872D18"/>
    <w:rsid w:val="00873AA4"/>
    <w:rsid w:val="00873CA8"/>
    <w:rsid w:val="00873F5D"/>
    <w:rsid w:val="00875256"/>
    <w:rsid w:val="0087570C"/>
    <w:rsid w:val="008773BA"/>
    <w:rsid w:val="00877B62"/>
    <w:rsid w:val="00877EBE"/>
    <w:rsid w:val="00881015"/>
    <w:rsid w:val="008810B0"/>
    <w:rsid w:val="00881665"/>
    <w:rsid w:val="008819B6"/>
    <w:rsid w:val="00881AAC"/>
    <w:rsid w:val="00881CFB"/>
    <w:rsid w:val="00882A97"/>
    <w:rsid w:val="008836B7"/>
    <w:rsid w:val="00883F44"/>
    <w:rsid w:val="00883F7C"/>
    <w:rsid w:val="008841D3"/>
    <w:rsid w:val="00884987"/>
    <w:rsid w:val="008849B3"/>
    <w:rsid w:val="008849EF"/>
    <w:rsid w:val="00884BE0"/>
    <w:rsid w:val="00885D53"/>
    <w:rsid w:val="008874CD"/>
    <w:rsid w:val="0088799E"/>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353"/>
    <w:rsid w:val="008A17AF"/>
    <w:rsid w:val="008A1B95"/>
    <w:rsid w:val="008A1ED9"/>
    <w:rsid w:val="008A27B6"/>
    <w:rsid w:val="008A2C65"/>
    <w:rsid w:val="008A2F16"/>
    <w:rsid w:val="008A36AE"/>
    <w:rsid w:val="008A48C3"/>
    <w:rsid w:val="008A4E18"/>
    <w:rsid w:val="008A520C"/>
    <w:rsid w:val="008A5493"/>
    <w:rsid w:val="008A596C"/>
    <w:rsid w:val="008A5F02"/>
    <w:rsid w:val="008A64C4"/>
    <w:rsid w:val="008A6BF7"/>
    <w:rsid w:val="008A6CC1"/>
    <w:rsid w:val="008A72FB"/>
    <w:rsid w:val="008A790A"/>
    <w:rsid w:val="008A7E8F"/>
    <w:rsid w:val="008A7F03"/>
    <w:rsid w:val="008B0C6B"/>
    <w:rsid w:val="008B1823"/>
    <w:rsid w:val="008B1B4E"/>
    <w:rsid w:val="008B1F99"/>
    <w:rsid w:val="008B24DC"/>
    <w:rsid w:val="008B2BDF"/>
    <w:rsid w:val="008B2DF1"/>
    <w:rsid w:val="008B391A"/>
    <w:rsid w:val="008B3AD6"/>
    <w:rsid w:val="008B4198"/>
    <w:rsid w:val="008B586A"/>
    <w:rsid w:val="008B5D1C"/>
    <w:rsid w:val="008B6188"/>
    <w:rsid w:val="008B6651"/>
    <w:rsid w:val="008B6B0E"/>
    <w:rsid w:val="008B6E16"/>
    <w:rsid w:val="008B70E7"/>
    <w:rsid w:val="008B7110"/>
    <w:rsid w:val="008B7A20"/>
    <w:rsid w:val="008C03BE"/>
    <w:rsid w:val="008C0DF9"/>
    <w:rsid w:val="008C1ECC"/>
    <w:rsid w:val="008C2029"/>
    <w:rsid w:val="008C267C"/>
    <w:rsid w:val="008C2E44"/>
    <w:rsid w:val="008C2F4F"/>
    <w:rsid w:val="008C327A"/>
    <w:rsid w:val="008C3370"/>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09EB"/>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275"/>
    <w:rsid w:val="008F064D"/>
    <w:rsid w:val="008F14C7"/>
    <w:rsid w:val="008F1E9E"/>
    <w:rsid w:val="008F2165"/>
    <w:rsid w:val="008F2477"/>
    <w:rsid w:val="008F379D"/>
    <w:rsid w:val="008F3879"/>
    <w:rsid w:val="008F3D69"/>
    <w:rsid w:val="008F5442"/>
    <w:rsid w:val="008F6477"/>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0D7D"/>
    <w:rsid w:val="00911305"/>
    <w:rsid w:val="009115CA"/>
    <w:rsid w:val="009116AC"/>
    <w:rsid w:val="00912590"/>
    <w:rsid w:val="00913200"/>
    <w:rsid w:val="009146E1"/>
    <w:rsid w:val="00914EAB"/>
    <w:rsid w:val="009152D8"/>
    <w:rsid w:val="00915A1D"/>
    <w:rsid w:val="00922567"/>
    <w:rsid w:val="009228DB"/>
    <w:rsid w:val="00922D49"/>
    <w:rsid w:val="009236B9"/>
    <w:rsid w:val="009244B4"/>
    <w:rsid w:val="009247C5"/>
    <w:rsid w:val="00925E37"/>
    <w:rsid w:val="00925EDD"/>
    <w:rsid w:val="00925F20"/>
    <w:rsid w:val="00926944"/>
    <w:rsid w:val="00927453"/>
    <w:rsid w:val="00927899"/>
    <w:rsid w:val="0092796D"/>
    <w:rsid w:val="00927D0E"/>
    <w:rsid w:val="009301DB"/>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78D"/>
    <w:rsid w:val="00943CEE"/>
    <w:rsid w:val="00943DAB"/>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F1C"/>
    <w:rsid w:val="0097211D"/>
    <w:rsid w:val="009724F9"/>
    <w:rsid w:val="0097263C"/>
    <w:rsid w:val="00972DF9"/>
    <w:rsid w:val="00972E10"/>
    <w:rsid w:val="00972E7B"/>
    <w:rsid w:val="00972ECE"/>
    <w:rsid w:val="009738AD"/>
    <w:rsid w:val="00973C23"/>
    <w:rsid w:val="00974694"/>
    <w:rsid w:val="009746CA"/>
    <w:rsid w:val="00974B8D"/>
    <w:rsid w:val="00974E7C"/>
    <w:rsid w:val="00975268"/>
    <w:rsid w:val="00977134"/>
    <w:rsid w:val="00977198"/>
    <w:rsid w:val="00977499"/>
    <w:rsid w:val="00980013"/>
    <w:rsid w:val="0098058F"/>
    <w:rsid w:val="00980E65"/>
    <w:rsid w:val="0098122D"/>
    <w:rsid w:val="00981927"/>
    <w:rsid w:val="00981963"/>
    <w:rsid w:val="009831B9"/>
    <w:rsid w:val="00983C82"/>
    <w:rsid w:val="009844D6"/>
    <w:rsid w:val="00984520"/>
    <w:rsid w:val="009846E7"/>
    <w:rsid w:val="0098472A"/>
    <w:rsid w:val="00985346"/>
    <w:rsid w:val="0098545C"/>
    <w:rsid w:val="009862F1"/>
    <w:rsid w:val="009871EA"/>
    <w:rsid w:val="00987FA6"/>
    <w:rsid w:val="0099056D"/>
    <w:rsid w:val="00990573"/>
    <w:rsid w:val="009910DC"/>
    <w:rsid w:val="00991675"/>
    <w:rsid w:val="0099167C"/>
    <w:rsid w:val="00992BA2"/>
    <w:rsid w:val="00992F83"/>
    <w:rsid w:val="0099344F"/>
    <w:rsid w:val="009936D2"/>
    <w:rsid w:val="00993A3C"/>
    <w:rsid w:val="00994A41"/>
    <w:rsid w:val="0099508A"/>
    <w:rsid w:val="00996E26"/>
    <w:rsid w:val="00997072"/>
    <w:rsid w:val="009974EB"/>
    <w:rsid w:val="00997A12"/>
    <w:rsid w:val="009A1126"/>
    <w:rsid w:val="009A192C"/>
    <w:rsid w:val="009A1B37"/>
    <w:rsid w:val="009A36B8"/>
    <w:rsid w:val="009A3874"/>
    <w:rsid w:val="009A5564"/>
    <w:rsid w:val="009A6063"/>
    <w:rsid w:val="009A7469"/>
    <w:rsid w:val="009A794D"/>
    <w:rsid w:val="009A7D60"/>
    <w:rsid w:val="009B056F"/>
    <w:rsid w:val="009B07EE"/>
    <w:rsid w:val="009B1584"/>
    <w:rsid w:val="009B1B32"/>
    <w:rsid w:val="009B1F54"/>
    <w:rsid w:val="009B21CA"/>
    <w:rsid w:val="009B2648"/>
    <w:rsid w:val="009B424E"/>
    <w:rsid w:val="009B4317"/>
    <w:rsid w:val="009B4EAB"/>
    <w:rsid w:val="009B4EBB"/>
    <w:rsid w:val="009B529C"/>
    <w:rsid w:val="009B5559"/>
    <w:rsid w:val="009B56FC"/>
    <w:rsid w:val="009B5ADC"/>
    <w:rsid w:val="009B65A2"/>
    <w:rsid w:val="009B7332"/>
    <w:rsid w:val="009B7420"/>
    <w:rsid w:val="009B7B46"/>
    <w:rsid w:val="009C0294"/>
    <w:rsid w:val="009C03E5"/>
    <w:rsid w:val="009C08B6"/>
    <w:rsid w:val="009C0920"/>
    <w:rsid w:val="009C12C3"/>
    <w:rsid w:val="009C1535"/>
    <w:rsid w:val="009C196C"/>
    <w:rsid w:val="009C1B5C"/>
    <w:rsid w:val="009C3251"/>
    <w:rsid w:val="009C36E6"/>
    <w:rsid w:val="009C3730"/>
    <w:rsid w:val="009C37BD"/>
    <w:rsid w:val="009C3888"/>
    <w:rsid w:val="009C3AAC"/>
    <w:rsid w:val="009C4D19"/>
    <w:rsid w:val="009C5F6C"/>
    <w:rsid w:val="009C5FDB"/>
    <w:rsid w:val="009C656A"/>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4B5D"/>
    <w:rsid w:val="009D5095"/>
    <w:rsid w:val="009D597B"/>
    <w:rsid w:val="009D5BB5"/>
    <w:rsid w:val="009D696D"/>
    <w:rsid w:val="009D6993"/>
    <w:rsid w:val="009D6ED2"/>
    <w:rsid w:val="009D7B73"/>
    <w:rsid w:val="009E08B3"/>
    <w:rsid w:val="009E0BCD"/>
    <w:rsid w:val="009E0F1A"/>
    <w:rsid w:val="009E140D"/>
    <w:rsid w:val="009E175C"/>
    <w:rsid w:val="009E2013"/>
    <w:rsid w:val="009E266D"/>
    <w:rsid w:val="009E2C83"/>
    <w:rsid w:val="009E41DD"/>
    <w:rsid w:val="009E43DD"/>
    <w:rsid w:val="009E4448"/>
    <w:rsid w:val="009E4465"/>
    <w:rsid w:val="009E5318"/>
    <w:rsid w:val="009E6401"/>
    <w:rsid w:val="009E6C54"/>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1AB0"/>
    <w:rsid w:val="00A01C67"/>
    <w:rsid w:val="00A0285E"/>
    <w:rsid w:val="00A02929"/>
    <w:rsid w:val="00A0294E"/>
    <w:rsid w:val="00A039FF"/>
    <w:rsid w:val="00A04524"/>
    <w:rsid w:val="00A04BA6"/>
    <w:rsid w:val="00A057A2"/>
    <w:rsid w:val="00A05ACE"/>
    <w:rsid w:val="00A062B7"/>
    <w:rsid w:val="00A0740C"/>
    <w:rsid w:val="00A114B9"/>
    <w:rsid w:val="00A1308A"/>
    <w:rsid w:val="00A131DE"/>
    <w:rsid w:val="00A13A65"/>
    <w:rsid w:val="00A14589"/>
    <w:rsid w:val="00A14AE3"/>
    <w:rsid w:val="00A16675"/>
    <w:rsid w:val="00A212B9"/>
    <w:rsid w:val="00A21955"/>
    <w:rsid w:val="00A22CD6"/>
    <w:rsid w:val="00A232BC"/>
    <w:rsid w:val="00A234EC"/>
    <w:rsid w:val="00A23A26"/>
    <w:rsid w:val="00A24128"/>
    <w:rsid w:val="00A2417A"/>
    <w:rsid w:val="00A242EE"/>
    <w:rsid w:val="00A25158"/>
    <w:rsid w:val="00A25642"/>
    <w:rsid w:val="00A260D5"/>
    <w:rsid w:val="00A26668"/>
    <w:rsid w:val="00A2681F"/>
    <w:rsid w:val="00A26C2C"/>
    <w:rsid w:val="00A277D8"/>
    <w:rsid w:val="00A27804"/>
    <w:rsid w:val="00A27CC3"/>
    <w:rsid w:val="00A31703"/>
    <w:rsid w:val="00A31714"/>
    <w:rsid w:val="00A3276D"/>
    <w:rsid w:val="00A334D1"/>
    <w:rsid w:val="00A34257"/>
    <w:rsid w:val="00A3432D"/>
    <w:rsid w:val="00A3655D"/>
    <w:rsid w:val="00A36822"/>
    <w:rsid w:val="00A36954"/>
    <w:rsid w:val="00A36AB5"/>
    <w:rsid w:val="00A374FD"/>
    <w:rsid w:val="00A3754B"/>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61B6"/>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103B"/>
    <w:rsid w:val="00A62508"/>
    <w:rsid w:val="00A626F9"/>
    <w:rsid w:val="00A627AD"/>
    <w:rsid w:val="00A62FCD"/>
    <w:rsid w:val="00A63246"/>
    <w:rsid w:val="00A63284"/>
    <w:rsid w:val="00A63458"/>
    <w:rsid w:val="00A6372D"/>
    <w:rsid w:val="00A63A13"/>
    <w:rsid w:val="00A64CA2"/>
    <w:rsid w:val="00A64CB8"/>
    <w:rsid w:val="00A6517A"/>
    <w:rsid w:val="00A65349"/>
    <w:rsid w:val="00A65E2A"/>
    <w:rsid w:val="00A66065"/>
    <w:rsid w:val="00A67018"/>
    <w:rsid w:val="00A671D2"/>
    <w:rsid w:val="00A67289"/>
    <w:rsid w:val="00A672F3"/>
    <w:rsid w:val="00A673DC"/>
    <w:rsid w:val="00A67CDE"/>
    <w:rsid w:val="00A7076E"/>
    <w:rsid w:val="00A709BE"/>
    <w:rsid w:val="00A70D85"/>
    <w:rsid w:val="00A71333"/>
    <w:rsid w:val="00A7162E"/>
    <w:rsid w:val="00A72D71"/>
    <w:rsid w:val="00A73112"/>
    <w:rsid w:val="00A73617"/>
    <w:rsid w:val="00A73743"/>
    <w:rsid w:val="00A7394A"/>
    <w:rsid w:val="00A747D2"/>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FB2"/>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585"/>
    <w:rsid w:val="00AA1976"/>
    <w:rsid w:val="00AA1B53"/>
    <w:rsid w:val="00AA1C20"/>
    <w:rsid w:val="00AA1DEA"/>
    <w:rsid w:val="00AA256D"/>
    <w:rsid w:val="00AA311D"/>
    <w:rsid w:val="00AA3556"/>
    <w:rsid w:val="00AA35FD"/>
    <w:rsid w:val="00AA3DB7"/>
    <w:rsid w:val="00AA41D3"/>
    <w:rsid w:val="00AA43C6"/>
    <w:rsid w:val="00AB0039"/>
    <w:rsid w:val="00AB0D96"/>
    <w:rsid w:val="00AB15A3"/>
    <w:rsid w:val="00AB177A"/>
    <w:rsid w:val="00AB1BA3"/>
    <w:rsid w:val="00AB216D"/>
    <w:rsid w:val="00AB3012"/>
    <w:rsid w:val="00AB321C"/>
    <w:rsid w:val="00AB3D03"/>
    <w:rsid w:val="00AB473F"/>
    <w:rsid w:val="00AB4999"/>
    <w:rsid w:val="00AB4A9C"/>
    <w:rsid w:val="00AB4C91"/>
    <w:rsid w:val="00AB4E3B"/>
    <w:rsid w:val="00AB5381"/>
    <w:rsid w:val="00AB5AE5"/>
    <w:rsid w:val="00AB688F"/>
    <w:rsid w:val="00AB75EA"/>
    <w:rsid w:val="00AB7654"/>
    <w:rsid w:val="00AB7AA2"/>
    <w:rsid w:val="00AC0116"/>
    <w:rsid w:val="00AC0280"/>
    <w:rsid w:val="00AC0A22"/>
    <w:rsid w:val="00AC0A3B"/>
    <w:rsid w:val="00AC12EE"/>
    <w:rsid w:val="00AC1515"/>
    <w:rsid w:val="00AC1939"/>
    <w:rsid w:val="00AC1941"/>
    <w:rsid w:val="00AC2234"/>
    <w:rsid w:val="00AC35CA"/>
    <w:rsid w:val="00AC3CDA"/>
    <w:rsid w:val="00AC3FF3"/>
    <w:rsid w:val="00AC42A4"/>
    <w:rsid w:val="00AC4BC1"/>
    <w:rsid w:val="00AC54B2"/>
    <w:rsid w:val="00AC5715"/>
    <w:rsid w:val="00AC5DF0"/>
    <w:rsid w:val="00AC6D32"/>
    <w:rsid w:val="00AC7E06"/>
    <w:rsid w:val="00AC7F6B"/>
    <w:rsid w:val="00AD04BD"/>
    <w:rsid w:val="00AD0765"/>
    <w:rsid w:val="00AD0784"/>
    <w:rsid w:val="00AD0F00"/>
    <w:rsid w:val="00AD1469"/>
    <w:rsid w:val="00AD2B19"/>
    <w:rsid w:val="00AD55A8"/>
    <w:rsid w:val="00AD5CA4"/>
    <w:rsid w:val="00AD5F1D"/>
    <w:rsid w:val="00AD690B"/>
    <w:rsid w:val="00AD6A91"/>
    <w:rsid w:val="00AD7214"/>
    <w:rsid w:val="00AD7567"/>
    <w:rsid w:val="00AE04DB"/>
    <w:rsid w:val="00AE0652"/>
    <w:rsid w:val="00AE1066"/>
    <w:rsid w:val="00AE13C9"/>
    <w:rsid w:val="00AE14DD"/>
    <w:rsid w:val="00AE2FA5"/>
    <w:rsid w:val="00AE3A4F"/>
    <w:rsid w:val="00AE4518"/>
    <w:rsid w:val="00AE5D7F"/>
    <w:rsid w:val="00AE65AF"/>
    <w:rsid w:val="00AE68E5"/>
    <w:rsid w:val="00AE79F0"/>
    <w:rsid w:val="00AE7BE2"/>
    <w:rsid w:val="00AE7E1A"/>
    <w:rsid w:val="00AF04BA"/>
    <w:rsid w:val="00AF07B0"/>
    <w:rsid w:val="00AF0BD9"/>
    <w:rsid w:val="00AF0BE6"/>
    <w:rsid w:val="00AF109C"/>
    <w:rsid w:val="00AF1752"/>
    <w:rsid w:val="00AF2989"/>
    <w:rsid w:val="00AF42FC"/>
    <w:rsid w:val="00AF4AC5"/>
    <w:rsid w:val="00AF4C2C"/>
    <w:rsid w:val="00AF57AB"/>
    <w:rsid w:val="00AF597D"/>
    <w:rsid w:val="00AF5B12"/>
    <w:rsid w:val="00AF62A9"/>
    <w:rsid w:val="00AF6432"/>
    <w:rsid w:val="00AF6EC1"/>
    <w:rsid w:val="00AF711F"/>
    <w:rsid w:val="00AF784D"/>
    <w:rsid w:val="00AF7CE9"/>
    <w:rsid w:val="00B0022D"/>
    <w:rsid w:val="00B00331"/>
    <w:rsid w:val="00B01447"/>
    <w:rsid w:val="00B014A1"/>
    <w:rsid w:val="00B01A80"/>
    <w:rsid w:val="00B01E53"/>
    <w:rsid w:val="00B02494"/>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6F99"/>
    <w:rsid w:val="00B17B14"/>
    <w:rsid w:val="00B203C4"/>
    <w:rsid w:val="00B20863"/>
    <w:rsid w:val="00B20BEC"/>
    <w:rsid w:val="00B20CDD"/>
    <w:rsid w:val="00B22683"/>
    <w:rsid w:val="00B22BC9"/>
    <w:rsid w:val="00B22E81"/>
    <w:rsid w:val="00B232FE"/>
    <w:rsid w:val="00B236FC"/>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224"/>
    <w:rsid w:val="00B30B6A"/>
    <w:rsid w:val="00B30F20"/>
    <w:rsid w:val="00B31884"/>
    <w:rsid w:val="00B31D19"/>
    <w:rsid w:val="00B32AB3"/>
    <w:rsid w:val="00B32DAE"/>
    <w:rsid w:val="00B33825"/>
    <w:rsid w:val="00B33E8F"/>
    <w:rsid w:val="00B34BB2"/>
    <w:rsid w:val="00B34E7C"/>
    <w:rsid w:val="00B35AF6"/>
    <w:rsid w:val="00B36228"/>
    <w:rsid w:val="00B366A3"/>
    <w:rsid w:val="00B368EA"/>
    <w:rsid w:val="00B37EEF"/>
    <w:rsid w:val="00B40F6E"/>
    <w:rsid w:val="00B418AD"/>
    <w:rsid w:val="00B42880"/>
    <w:rsid w:val="00B42F1A"/>
    <w:rsid w:val="00B43790"/>
    <w:rsid w:val="00B44174"/>
    <w:rsid w:val="00B443D9"/>
    <w:rsid w:val="00B44531"/>
    <w:rsid w:val="00B45AE3"/>
    <w:rsid w:val="00B46521"/>
    <w:rsid w:val="00B46587"/>
    <w:rsid w:val="00B466F3"/>
    <w:rsid w:val="00B47AD2"/>
    <w:rsid w:val="00B47CF7"/>
    <w:rsid w:val="00B50686"/>
    <w:rsid w:val="00B50C50"/>
    <w:rsid w:val="00B513C0"/>
    <w:rsid w:val="00B51539"/>
    <w:rsid w:val="00B51AC6"/>
    <w:rsid w:val="00B523CE"/>
    <w:rsid w:val="00B53708"/>
    <w:rsid w:val="00B53DCB"/>
    <w:rsid w:val="00B5428F"/>
    <w:rsid w:val="00B54370"/>
    <w:rsid w:val="00B54DEA"/>
    <w:rsid w:val="00B55185"/>
    <w:rsid w:val="00B556A8"/>
    <w:rsid w:val="00B55C03"/>
    <w:rsid w:val="00B55E22"/>
    <w:rsid w:val="00B55F0B"/>
    <w:rsid w:val="00B56418"/>
    <w:rsid w:val="00B56A70"/>
    <w:rsid w:val="00B60638"/>
    <w:rsid w:val="00B606F8"/>
    <w:rsid w:val="00B613B5"/>
    <w:rsid w:val="00B615D2"/>
    <w:rsid w:val="00B61923"/>
    <w:rsid w:val="00B61DB9"/>
    <w:rsid w:val="00B621D6"/>
    <w:rsid w:val="00B63AF2"/>
    <w:rsid w:val="00B647F4"/>
    <w:rsid w:val="00B654B1"/>
    <w:rsid w:val="00B65747"/>
    <w:rsid w:val="00B65D6F"/>
    <w:rsid w:val="00B65FAD"/>
    <w:rsid w:val="00B66174"/>
    <w:rsid w:val="00B67683"/>
    <w:rsid w:val="00B679FE"/>
    <w:rsid w:val="00B67B37"/>
    <w:rsid w:val="00B67C23"/>
    <w:rsid w:val="00B67F95"/>
    <w:rsid w:val="00B7079B"/>
    <w:rsid w:val="00B70DC7"/>
    <w:rsid w:val="00B71346"/>
    <w:rsid w:val="00B71D38"/>
    <w:rsid w:val="00B721A4"/>
    <w:rsid w:val="00B72B5B"/>
    <w:rsid w:val="00B72EFF"/>
    <w:rsid w:val="00B750C2"/>
    <w:rsid w:val="00B75202"/>
    <w:rsid w:val="00B756CB"/>
    <w:rsid w:val="00B75735"/>
    <w:rsid w:val="00B75C35"/>
    <w:rsid w:val="00B765F7"/>
    <w:rsid w:val="00B766BA"/>
    <w:rsid w:val="00B77142"/>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43D1"/>
    <w:rsid w:val="00B85873"/>
    <w:rsid w:val="00B85E95"/>
    <w:rsid w:val="00B865B0"/>
    <w:rsid w:val="00B865DC"/>
    <w:rsid w:val="00B870E8"/>
    <w:rsid w:val="00B875E3"/>
    <w:rsid w:val="00B87C29"/>
    <w:rsid w:val="00B90780"/>
    <w:rsid w:val="00B90968"/>
    <w:rsid w:val="00B91BC2"/>
    <w:rsid w:val="00B9240D"/>
    <w:rsid w:val="00B93182"/>
    <w:rsid w:val="00B932B3"/>
    <w:rsid w:val="00B936DB"/>
    <w:rsid w:val="00B93B89"/>
    <w:rsid w:val="00B93E01"/>
    <w:rsid w:val="00B945E3"/>
    <w:rsid w:val="00B94960"/>
    <w:rsid w:val="00B954BF"/>
    <w:rsid w:val="00B960A7"/>
    <w:rsid w:val="00B96F6E"/>
    <w:rsid w:val="00BA08AB"/>
    <w:rsid w:val="00BA22A8"/>
    <w:rsid w:val="00BA309F"/>
    <w:rsid w:val="00BA32A0"/>
    <w:rsid w:val="00BA3ADE"/>
    <w:rsid w:val="00BA3E48"/>
    <w:rsid w:val="00BA4905"/>
    <w:rsid w:val="00BA4BD3"/>
    <w:rsid w:val="00BA5D82"/>
    <w:rsid w:val="00BA6E49"/>
    <w:rsid w:val="00BA6FB1"/>
    <w:rsid w:val="00BA7DA9"/>
    <w:rsid w:val="00BB0187"/>
    <w:rsid w:val="00BB0E56"/>
    <w:rsid w:val="00BB0FCE"/>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6D78"/>
    <w:rsid w:val="00BB7D4B"/>
    <w:rsid w:val="00BC013A"/>
    <w:rsid w:val="00BC03D1"/>
    <w:rsid w:val="00BC162A"/>
    <w:rsid w:val="00BC173A"/>
    <w:rsid w:val="00BC2343"/>
    <w:rsid w:val="00BC2AEE"/>
    <w:rsid w:val="00BC337B"/>
    <w:rsid w:val="00BC3454"/>
    <w:rsid w:val="00BC3FDD"/>
    <w:rsid w:val="00BC44FC"/>
    <w:rsid w:val="00BC50A1"/>
    <w:rsid w:val="00BC5824"/>
    <w:rsid w:val="00BC60BE"/>
    <w:rsid w:val="00BC702F"/>
    <w:rsid w:val="00BC7719"/>
    <w:rsid w:val="00BD0032"/>
    <w:rsid w:val="00BD0ECF"/>
    <w:rsid w:val="00BD30C8"/>
    <w:rsid w:val="00BD30E0"/>
    <w:rsid w:val="00BD3790"/>
    <w:rsid w:val="00BD38F4"/>
    <w:rsid w:val="00BD3EB4"/>
    <w:rsid w:val="00BD4C2F"/>
    <w:rsid w:val="00BD4C5B"/>
    <w:rsid w:val="00BD5359"/>
    <w:rsid w:val="00BD5C65"/>
    <w:rsid w:val="00BD66DD"/>
    <w:rsid w:val="00BD7BCC"/>
    <w:rsid w:val="00BD7DCB"/>
    <w:rsid w:val="00BE0717"/>
    <w:rsid w:val="00BE10D8"/>
    <w:rsid w:val="00BE16E9"/>
    <w:rsid w:val="00BE2730"/>
    <w:rsid w:val="00BE2A17"/>
    <w:rsid w:val="00BE31BE"/>
    <w:rsid w:val="00BE34BC"/>
    <w:rsid w:val="00BE362C"/>
    <w:rsid w:val="00BE3A1D"/>
    <w:rsid w:val="00BE3B92"/>
    <w:rsid w:val="00BE487E"/>
    <w:rsid w:val="00BE52D3"/>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0"/>
    <w:rsid w:val="00C10086"/>
    <w:rsid w:val="00C104CC"/>
    <w:rsid w:val="00C10B12"/>
    <w:rsid w:val="00C11521"/>
    <w:rsid w:val="00C13694"/>
    <w:rsid w:val="00C13C2A"/>
    <w:rsid w:val="00C142AD"/>
    <w:rsid w:val="00C142C1"/>
    <w:rsid w:val="00C14A30"/>
    <w:rsid w:val="00C152FE"/>
    <w:rsid w:val="00C15D1B"/>
    <w:rsid w:val="00C16739"/>
    <w:rsid w:val="00C168DD"/>
    <w:rsid w:val="00C170D6"/>
    <w:rsid w:val="00C176CC"/>
    <w:rsid w:val="00C1773D"/>
    <w:rsid w:val="00C20F32"/>
    <w:rsid w:val="00C21031"/>
    <w:rsid w:val="00C215B4"/>
    <w:rsid w:val="00C21902"/>
    <w:rsid w:val="00C221B9"/>
    <w:rsid w:val="00C225EA"/>
    <w:rsid w:val="00C22CCE"/>
    <w:rsid w:val="00C232BC"/>
    <w:rsid w:val="00C239D3"/>
    <w:rsid w:val="00C23BA2"/>
    <w:rsid w:val="00C23F9B"/>
    <w:rsid w:val="00C241B5"/>
    <w:rsid w:val="00C2485F"/>
    <w:rsid w:val="00C248B1"/>
    <w:rsid w:val="00C24B63"/>
    <w:rsid w:val="00C262A0"/>
    <w:rsid w:val="00C26A4E"/>
    <w:rsid w:val="00C27A77"/>
    <w:rsid w:val="00C27E6E"/>
    <w:rsid w:val="00C27ED7"/>
    <w:rsid w:val="00C3041A"/>
    <w:rsid w:val="00C304D1"/>
    <w:rsid w:val="00C31195"/>
    <w:rsid w:val="00C3129F"/>
    <w:rsid w:val="00C31774"/>
    <w:rsid w:val="00C3180E"/>
    <w:rsid w:val="00C318DB"/>
    <w:rsid w:val="00C32AF2"/>
    <w:rsid w:val="00C33051"/>
    <w:rsid w:val="00C33204"/>
    <w:rsid w:val="00C338EB"/>
    <w:rsid w:val="00C33E26"/>
    <w:rsid w:val="00C34389"/>
    <w:rsid w:val="00C3465D"/>
    <w:rsid w:val="00C347D5"/>
    <w:rsid w:val="00C3588C"/>
    <w:rsid w:val="00C373D6"/>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1A79"/>
    <w:rsid w:val="00C5243F"/>
    <w:rsid w:val="00C5254B"/>
    <w:rsid w:val="00C53429"/>
    <w:rsid w:val="00C55D39"/>
    <w:rsid w:val="00C55EEF"/>
    <w:rsid w:val="00C55FBF"/>
    <w:rsid w:val="00C56203"/>
    <w:rsid w:val="00C57E68"/>
    <w:rsid w:val="00C57F58"/>
    <w:rsid w:val="00C601C9"/>
    <w:rsid w:val="00C623C6"/>
    <w:rsid w:val="00C62840"/>
    <w:rsid w:val="00C630F4"/>
    <w:rsid w:val="00C631D3"/>
    <w:rsid w:val="00C63F7D"/>
    <w:rsid w:val="00C645DE"/>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0D9"/>
    <w:rsid w:val="00C72C6F"/>
    <w:rsid w:val="00C741C5"/>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5CB"/>
    <w:rsid w:val="00C82CC6"/>
    <w:rsid w:val="00C839AB"/>
    <w:rsid w:val="00C839CB"/>
    <w:rsid w:val="00C84593"/>
    <w:rsid w:val="00C850A3"/>
    <w:rsid w:val="00C858E0"/>
    <w:rsid w:val="00C85C32"/>
    <w:rsid w:val="00C85F45"/>
    <w:rsid w:val="00C86293"/>
    <w:rsid w:val="00C86C8C"/>
    <w:rsid w:val="00C87528"/>
    <w:rsid w:val="00C87568"/>
    <w:rsid w:val="00C87FD0"/>
    <w:rsid w:val="00C90DB6"/>
    <w:rsid w:val="00C9106A"/>
    <w:rsid w:val="00C92603"/>
    <w:rsid w:val="00C92652"/>
    <w:rsid w:val="00C93055"/>
    <w:rsid w:val="00C9381B"/>
    <w:rsid w:val="00C9394F"/>
    <w:rsid w:val="00C93B1A"/>
    <w:rsid w:val="00C9444E"/>
    <w:rsid w:val="00C9454A"/>
    <w:rsid w:val="00C94909"/>
    <w:rsid w:val="00C94CF3"/>
    <w:rsid w:val="00C9534E"/>
    <w:rsid w:val="00C96F5F"/>
    <w:rsid w:val="00C97055"/>
    <w:rsid w:val="00C975A1"/>
    <w:rsid w:val="00C977C6"/>
    <w:rsid w:val="00CA02E8"/>
    <w:rsid w:val="00CA136A"/>
    <w:rsid w:val="00CA194C"/>
    <w:rsid w:val="00CA1DDD"/>
    <w:rsid w:val="00CA2B4F"/>
    <w:rsid w:val="00CA30C3"/>
    <w:rsid w:val="00CA5927"/>
    <w:rsid w:val="00CA635E"/>
    <w:rsid w:val="00CA652A"/>
    <w:rsid w:val="00CA6ACC"/>
    <w:rsid w:val="00CA6BB0"/>
    <w:rsid w:val="00CA70CE"/>
    <w:rsid w:val="00CA79EC"/>
    <w:rsid w:val="00CB002C"/>
    <w:rsid w:val="00CB1C35"/>
    <w:rsid w:val="00CB1CE0"/>
    <w:rsid w:val="00CB1E4B"/>
    <w:rsid w:val="00CB259F"/>
    <w:rsid w:val="00CB376C"/>
    <w:rsid w:val="00CB39C2"/>
    <w:rsid w:val="00CB3E85"/>
    <w:rsid w:val="00CB40E7"/>
    <w:rsid w:val="00CB4C8C"/>
    <w:rsid w:val="00CB4E90"/>
    <w:rsid w:val="00CB5850"/>
    <w:rsid w:val="00CB5C99"/>
    <w:rsid w:val="00CB633B"/>
    <w:rsid w:val="00CB6782"/>
    <w:rsid w:val="00CB6CFD"/>
    <w:rsid w:val="00CB6E3E"/>
    <w:rsid w:val="00CB7057"/>
    <w:rsid w:val="00CB7AE0"/>
    <w:rsid w:val="00CC080A"/>
    <w:rsid w:val="00CC0D0F"/>
    <w:rsid w:val="00CC1275"/>
    <w:rsid w:val="00CC12EE"/>
    <w:rsid w:val="00CC1BF8"/>
    <w:rsid w:val="00CC265A"/>
    <w:rsid w:val="00CC4B98"/>
    <w:rsid w:val="00CC5767"/>
    <w:rsid w:val="00CC5A26"/>
    <w:rsid w:val="00CC5D2F"/>
    <w:rsid w:val="00CC68CC"/>
    <w:rsid w:val="00CC69B9"/>
    <w:rsid w:val="00CC6DD4"/>
    <w:rsid w:val="00CC701E"/>
    <w:rsid w:val="00CC7735"/>
    <w:rsid w:val="00CD0310"/>
    <w:rsid w:val="00CD0831"/>
    <w:rsid w:val="00CD1FB5"/>
    <w:rsid w:val="00CD2BCD"/>
    <w:rsid w:val="00CD2E48"/>
    <w:rsid w:val="00CD45A4"/>
    <w:rsid w:val="00CD4826"/>
    <w:rsid w:val="00CD4E19"/>
    <w:rsid w:val="00CD57BB"/>
    <w:rsid w:val="00CD603B"/>
    <w:rsid w:val="00CD6219"/>
    <w:rsid w:val="00CD700F"/>
    <w:rsid w:val="00CD7319"/>
    <w:rsid w:val="00CE148E"/>
    <w:rsid w:val="00CE208D"/>
    <w:rsid w:val="00CE2453"/>
    <w:rsid w:val="00CE3047"/>
    <w:rsid w:val="00CE356D"/>
    <w:rsid w:val="00CE3FA4"/>
    <w:rsid w:val="00CE44F8"/>
    <w:rsid w:val="00CE4A90"/>
    <w:rsid w:val="00CE5129"/>
    <w:rsid w:val="00CE5277"/>
    <w:rsid w:val="00CE5B4D"/>
    <w:rsid w:val="00CE6358"/>
    <w:rsid w:val="00CE6686"/>
    <w:rsid w:val="00CE6E97"/>
    <w:rsid w:val="00CE7868"/>
    <w:rsid w:val="00CE796C"/>
    <w:rsid w:val="00CF0674"/>
    <w:rsid w:val="00CF1B70"/>
    <w:rsid w:val="00CF1DD1"/>
    <w:rsid w:val="00CF2161"/>
    <w:rsid w:val="00CF2307"/>
    <w:rsid w:val="00CF239B"/>
    <w:rsid w:val="00CF26AE"/>
    <w:rsid w:val="00CF2D54"/>
    <w:rsid w:val="00CF311F"/>
    <w:rsid w:val="00CF5047"/>
    <w:rsid w:val="00CF5575"/>
    <w:rsid w:val="00D01344"/>
    <w:rsid w:val="00D015DA"/>
    <w:rsid w:val="00D01B90"/>
    <w:rsid w:val="00D01D18"/>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3BE"/>
    <w:rsid w:val="00D076A9"/>
    <w:rsid w:val="00D07754"/>
    <w:rsid w:val="00D078D1"/>
    <w:rsid w:val="00D10054"/>
    <w:rsid w:val="00D105ED"/>
    <w:rsid w:val="00D11A5A"/>
    <w:rsid w:val="00D1293B"/>
    <w:rsid w:val="00D129A8"/>
    <w:rsid w:val="00D12FB9"/>
    <w:rsid w:val="00D135F2"/>
    <w:rsid w:val="00D13B97"/>
    <w:rsid w:val="00D13D00"/>
    <w:rsid w:val="00D141F2"/>
    <w:rsid w:val="00D147C0"/>
    <w:rsid w:val="00D15696"/>
    <w:rsid w:val="00D15C51"/>
    <w:rsid w:val="00D15EC5"/>
    <w:rsid w:val="00D163E6"/>
    <w:rsid w:val="00D16C68"/>
    <w:rsid w:val="00D16F37"/>
    <w:rsid w:val="00D200BD"/>
    <w:rsid w:val="00D201AA"/>
    <w:rsid w:val="00D204A7"/>
    <w:rsid w:val="00D20AA5"/>
    <w:rsid w:val="00D220C2"/>
    <w:rsid w:val="00D22399"/>
    <w:rsid w:val="00D23062"/>
    <w:rsid w:val="00D2361B"/>
    <w:rsid w:val="00D2463E"/>
    <w:rsid w:val="00D24C0C"/>
    <w:rsid w:val="00D2662C"/>
    <w:rsid w:val="00D26CB1"/>
    <w:rsid w:val="00D272EB"/>
    <w:rsid w:val="00D27FA3"/>
    <w:rsid w:val="00D31101"/>
    <w:rsid w:val="00D3176C"/>
    <w:rsid w:val="00D31B3F"/>
    <w:rsid w:val="00D3317D"/>
    <w:rsid w:val="00D33751"/>
    <w:rsid w:val="00D33BAF"/>
    <w:rsid w:val="00D347D8"/>
    <w:rsid w:val="00D35D4A"/>
    <w:rsid w:val="00D36124"/>
    <w:rsid w:val="00D36F6E"/>
    <w:rsid w:val="00D372B0"/>
    <w:rsid w:val="00D37343"/>
    <w:rsid w:val="00D4205E"/>
    <w:rsid w:val="00D42913"/>
    <w:rsid w:val="00D42BE5"/>
    <w:rsid w:val="00D42F05"/>
    <w:rsid w:val="00D43056"/>
    <w:rsid w:val="00D43248"/>
    <w:rsid w:val="00D44D36"/>
    <w:rsid w:val="00D453F2"/>
    <w:rsid w:val="00D462B4"/>
    <w:rsid w:val="00D465B2"/>
    <w:rsid w:val="00D47399"/>
    <w:rsid w:val="00D47BB2"/>
    <w:rsid w:val="00D47D04"/>
    <w:rsid w:val="00D5056A"/>
    <w:rsid w:val="00D510A0"/>
    <w:rsid w:val="00D519DD"/>
    <w:rsid w:val="00D527EE"/>
    <w:rsid w:val="00D529C4"/>
    <w:rsid w:val="00D52ECA"/>
    <w:rsid w:val="00D53929"/>
    <w:rsid w:val="00D539D0"/>
    <w:rsid w:val="00D540DC"/>
    <w:rsid w:val="00D55616"/>
    <w:rsid w:val="00D5574C"/>
    <w:rsid w:val="00D55DAC"/>
    <w:rsid w:val="00D607FD"/>
    <w:rsid w:val="00D60867"/>
    <w:rsid w:val="00D60BCD"/>
    <w:rsid w:val="00D6153F"/>
    <w:rsid w:val="00D61982"/>
    <w:rsid w:val="00D61D62"/>
    <w:rsid w:val="00D61EA9"/>
    <w:rsid w:val="00D61EFF"/>
    <w:rsid w:val="00D61FCC"/>
    <w:rsid w:val="00D622DD"/>
    <w:rsid w:val="00D62655"/>
    <w:rsid w:val="00D6267A"/>
    <w:rsid w:val="00D62998"/>
    <w:rsid w:val="00D634DA"/>
    <w:rsid w:val="00D63DBA"/>
    <w:rsid w:val="00D647DE"/>
    <w:rsid w:val="00D6501F"/>
    <w:rsid w:val="00D65347"/>
    <w:rsid w:val="00D67D12"/>
    <w:rsid w:val="00D705FF"/>
    <w:rsid w:val="00D706A8"/>
    <w:rsid w:val="00D70B0C"/>
    <w:rsid w:val="00D7145C"/>
    <w:rsid w:val="00D7336D"/>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4E46"/>
    <w:rsid w:val="00D85D45"/>
    <w:rsid w:val="00D878A9"/>
    <w:rsid w:val="00D9003C"/>
    <w:rsid w:val="00D900EC"/>
    <w:rsid w:val="00D90A81"/>
    <w:rsid w:val="00D90B7D"/>
    <w:rsid w:val="00D90DCE"/>
    <w:rsid w:val="00D912A2"/>
    <w:rsid w:val="00D92168"/>
    <w:rsid w:val="00D9231C"/>
    <w:rsid w:val="00D92A5E"/>
    <w:rsid w:val="00D935BD"/>
    <w:rsid w:val="00D940B5"/>
    <w:rsid w:val="00D94744"/>
    <w:rsid w:val="00D94BE0"/>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CBE"/>
    <w:rsid w:val="00DA2DE3"/>
    <w:rsid w:val="00DA3633"/>
    <w:rsid w:val="00DA400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18E2"/>
    <w:rsid w:val="00DC234A"/>
    <w:rsid w:val="00DC41E4"/>
    <w:rsid w:val="00DC48B2"/>
    <w:rsid w:val="00DC496E"/>
    <w:rsid w:val="00DC5110"/>
    <w:rsid w:val="00DC5116"/>
    <w:rsid w:val="00DC62C4"/>
    <w:rsid w:val="00DC686C"/>
    <w:rsid w:val="00DC7C77"/>
    <w:rsid w:val="00DC7FD5"/>
    <w:rsid w:val="00DD02FF"/>
    <w:rsid w:val="00DD0414"/>
    <w:rsid w:val="00DD0CAB"/>
    <w:rsid w:val="00DD18F6"/>
    <w:rsid w:val="00DD1AB8"/>
    <w:rsid w:val="00DD24F9"/>
    <w:rsid w:val="00DD26EC"/>
    <w:rsid w:val="00DD2845"/>
    <w:rsid w:val="00DD2DFB"/>
    <w:rsid w:val="00DD3604"/>
    <w:rsid w:val="00DD37A4"/>
    <w:rsid w:val="00DD3F4D"/>
    <w:rsid w:val="00DD471A"/>
    <w:rsid w:val="00DD64B0"/>
    <w:rsid w:val="00DD6F2E"/>
    <w:rsid w:val="00DD72E1"/>
    <w:rsid w:val="00DD7EA2"/>
    <w:rsid w:val="00DE00F2"/>
    <w:rsid w:val="00DE0730"/>
    <w:rsid w:val="00DE117F"/>
    <w:rsid w:val="00DE2813"/>
    <w:rsid w:val="00DE2D17"/>
    <w:rsid w:val="00DE353C"/>
    <w:rsid w:val="00DE401C"/>
    <w:rsid w:val="00DE6E2F"/>
    <w:rsid w:val="00DE6F47"/>
    <w:rsid w:val="00DE7D13"/>
    <w:rsid w:val="00DF1EAE"/>
    <w:rsid w:val="00DF2AAC"/>
    <w:rsid w:val="00DF2BD1"/>
    <w:rsid w:val="00DF326B"/>
    <w:rsid w:val="00DF3816"/>
    <w:rsid w:val="00DF3818"/>
    <w:rsid w:val="00DF3F94"/>
    <w:rsid w:val="00DF4369"/>
    <w:rsid w:val="00DF45AD"/>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1B54"/>
    <w:rsid w:val="00E0220A"/>
    <w:rsid w:val="00E0220E"/>
    <w:rsid w:val="00E02961"/>
    <w:rsid w:val="00E02A1E"/>
    <w:rsid w:val="00E02B71"/>
    <w:rsid w:val="00E02DEB"/>
    <w:rsid w:val="00E03999"/>
    <w:rsid w:val="00E0399E"/>
    <w:rsid w:val="00E03B97"/>
    <w:rsid w:val="00E042A1"/>
    <w:rsid w:val="00E0528B"/>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745"/>
    <w:rsid w:val="00E201C0"/>
    <w:rsid w:val="00E214F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FBA"/>
    <w:rsid w:val="00E33513"/>
    <w:rsid w:val="00E33A4F"/>
    <w:rsid w:val="00E33F3E"/>
    <w:rsid w:val="00E341E5"/>
    <w:rsid w:val="00E34315"/>
    <w:rsid w:val="00E34DD9"/>
    <w:rsid w:val="00E35FBC"/>
    <w:rsid w:val="00E36AAE"/>
    <w:rsid w:val="00E36AF1"/>
    <w:rsid w:val="00E37198"/>
    <w:rsid w:val="00E3774C"/>
    <w:rsid w:val="00E37C28"/>
    <w:rsid w:val="00E41313"/>
    <w:rsid w:val="00E41773"/>
    <w:rsid w:val="00E41ACD"/>
    <w:rsid w:val="00E42FE6"/>
    <w:rsid w:val="00E43888"/>
    <w:rsid w:val="00E44E78"/>
    <w:rsid w:val="00E46038"/>
    <w:rsid w:val="00E460B6"/>
    <w:rsid w:val="00E460B9"/>
    <w:rsid w:val="00E46BD2"/>
    <w:rsid w:val="00E473D4"/>
    <w:rsid w:val="00E474CF"/>
    <w:rsid w:val="00E47503"/>
    <w:rsid w:val="00E47523"/>
    <w:rsid w:val="00E511F4"/>
    <w:rsid w:val="00E513F6"/>
    <w:rsid w:val="00E51EC6"/>
    <w:rsid w:val="00E51F51"/>
    <w:rsid w:val="00E52302"/>
    <w:rsid w:val="00E52F3B"/>
    <w:rsid w:val="00E52F80"/>
    <w:rsid w:val="00E53D94"/>
    <w:rsid w:val="00E53DEA"/>
    <w:rsid w:val="00E5424B"/>
    <w:rsid w:val="00E544BA"/>
    <w:rsid w:val="00E55B64"/>
    <w:rsid w:val="00E56B82"/>
    <w:rsid w:val="00E616DB"/>
    <w:rsid w:val="00E62442"/>
    <w:rsid w:val="00E627A4"/>
    <w:rsid w:val="00E62CAE"/>
    <w:rsid w:val="00E630ED"/>
    <w:rsid w:val="00E6437C"/>
    <w:rsid w:val="00E645C8"/>
    <w:rsid w:val="00E64C68"/>
    <w:rsid w:val="00E65237"/>
    <w:rsid w:val="00E66D13"/>
    <w:rsid w:val="00E67683"/>
    <w:rsid w:val="00E67862"/>
    <w:rsid w:val="00E70357"/>
    <w:rsid w:val="00E70ACF"/>
    <w:rsid w:val="00E70D46"/>
    <w:rsid w:val="00E712A9"/>
    <w:rsid w:val="00E713BC"/>
    <w:rsid w:val="00E72444"/>
    <w:rsid w:val="00E72787"/>
    <w:rsid w:val="00E7410F"/>
    <w:rsid w:val="00E741EF"/>
    <w:rsid w:val="00E74EC5"/>
    <w:rsid w:val="00E74F4E"/>
    <w:rsid w:val="00E75120"/>
    <w:rsid w:val="00E757F5"/>
    <w:rsid w:val="00E76847"/>
    <w:rsid w:val="00E76B86"/>
    <w:rsid w:val="00E809F3"/>
    <w:rsid w:val="00E80C21"/>
    <w:rsid w:val="00E820BD"/>
    <w:rsid w:val="00E8227B"/>
    <w:rsid w:val="00E832DD"/>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424A"/>
    <w:rsid w:val="00EA4DDC"/>
    <w:rsid w:val="00EA641B"/>
    <w:rsid w:val="00EA641E"/>
    <w:rsid w:val="00EA6FA7"/>
    <w:rsid w:val="00EA6FFC"/>
    <w:rsid w:val="00EB003F"/>
    <w:rsid w:val="00EB067F"/>
    <w:rsid w:val="00EB1348"/>
    <w:rsid w:val="00EB17BE"/>
    <w:rsid w:val="00EB1A1B"/>
    <w:rsid w:val="00EB1F02"/>
    <w:rsid w:val="00EB2522"/>
    <w:rsid w:val="00EB2B9C"/>
    <w:rsid w:val="00EB2E64"/>
    <w:rsid w:val="00EB3290"/>
    <w:rsid w:val="00EB33EA"/>
    <w:rsid w:val="00EB3F86"/>
    <w:rsid w:val="00EB5BC5"/>
    <w:rsid w:val="00EB6212"/>
    <w:rsid w:val="00EB66E3"/>
    <w:rsid w:val="00EB6BB5"/>
    <w:rsid w:val="00EB6E30"/>
    <w:rsid w:val="00EB7618"/>
    <w:rsid w:val="00EB7B51"/>
    <w:rsid w:val="00EB7F93"/>
    <w:rsid w:val="00EC086C"/>
    <w:rsid w:val="00EC1720"/>
    <w:rsid w:val="00EC1ACC"/>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559"/>
    <w:rsid w:val="00ED5669"/>
    <w:rsid w:val="00ED592C"/>
    <w:rsid w:val="00ED5A43"/>
    <w:rsid w:val="00ED697C"/>
    <w:rsid w:val="00ED7059"/>
    <w:rsid w:val="00EE06CA"/>
    <w:rsid w:val="00EE2819"/>
    <w:rsid w:val="00EE2AE3"/>
    <w:rsid w:val="00EE3859"/>
    <w:rsid w:val="00EE3C1C"/>
    <w:rsid w:val="00EE41B4"/>
    <w:rsid w:val="00EE43AD"/>
    <w:rsid w:val="00EE4420"/>
    <w:rsid w:val="00EE4874"/>
    <w:rsid w:val="00EE48D6"/>
    <w:rsid w:val="00EE4A6E"/>
    <w:rsid w:val="00EE4BAB"/>
    <w:rsid w:val="00EE4BEC"/>
    <w:rsid w:val="00EE6A6B"/>
    <w:rsid w:val="00EE6B23"/>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1835"/>
    <w:rsid w:val="00F01938"/>
    <w:rsid w:val="00F01DE9"/>
    <w:rsid w:val="00F0229D"/>
    <w:rsid w:val="00F0246E"/>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452"/>
    <w:rsid w:val="00F12D22"/>
    <w:rsid w:val="00F13D34"/>
    <w:rsid w:val="00F14602"/>
    <w:rsid w:val="00F1498D"/>
    <w:rsid w:val="00F14DDF"/>
    <w:rsid w:val="00F152AD"/>
    <w:rsid w:val="00F155E6"/>
    <w:rsid w:val="00F15BA3"/>
    <w:rsid w:val="00F15BB3"/>
    <w:rsid w:val="00F15C53"/>
    <w:rsid w:val="00F165B7"/>
    <w:rsid w:val="00F17A8E"/>
    <w:rsid w:val="00F208CA"/>
    <w:rsid w:val="00F20C9C"/>
    <w:rsid w:val="00F21548"/>
    <w:rsid w:val="00F21827"/>
    <w:rsid w:val="00F21A00"/>
    <w:rsid w:val="00F2285F"/>
    <w:rsid w:val="00F23155"/>
    <w:rsid w:val="00F23D25"/>
    <w:rsid w:val="00F23EE4"/>
    <w:rsid w:val="00F24236"/>
    <w:rsid w:val="00F24E0E"/>
    <w:rsid w:val="00F25707"/>
    <w:rsid w:val="00F257F0"/>
    <w:rsid w:val="00F26111"/>
    <w:rsid w:val="00F26693"/>
    <w:rsid w:val="00F26A13"/>
    <w:rsid w:val="00F26DCF"/>
    <w:rsid w:val="00F27D3B"/>
    <w:rsid w:val="00F27ECE"/>
    <w:rsid w:val="00F30AEF"/>
    <w:rsid w:val="00F31261"/>
    <w:rsid w:val="00F31355"/>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F1A"/>
    <w:rsid w:val="00F36130"/>
    <w:rsid w:val="00F3639B"/>
    <w:rsid w:val="00F3644F"/>
    <w:rsid w:val="00F36B71"/>
    <w:rsid w:val="00F373AE"/>
    <w:rsid w:val="00F375C4"/>
    <w:rsid w:val="00F4032F"/>
    <w:rsid w:val="00F40360"/>
    <w:rsid w:val="00F40444"/>
    <w:rsid w:val="00F407EE"/>
    <w:rsid w:val="00F40CE6"/>
    <w:rsid w:val="00F415B2"/>
    <w:rsid w:val="00F41B59"/>
    <w:rsid w:val="00F42099"/>
    <w:rsid w:val="00F423BD"/>
    <w:rsid w:val="00F431C5"/>
    <w:rsid w:val="00F432FF"/>
    <w:rsid w:val="00F44E30"/>
    <w:rsid w:val="00F44F4B"/>
    <w:rsid w:val="00F456D2"/>
    <w:rsid w:val="00F45B08"/>
    <w:rsid w:val="00F45E9A"/>
    <w:rsid w:val="00F45FB4"/>
    <w:rsid w:val="00F46431"/>
    <w:rsid w:val="00F469AD"/>
    <w:rsid w:val="00F46B0E"/>
    <w:rsid w:val="00F4715C"/>
    <w:rsid w:val="00F47C9F"/>
    <w:rsid w:val="00F47EF4"/>
    <w:rsid w:val="00F50286"/>
    <w:rsid w:val="00F50CE8"/>
    <w:rsid w:val="00F51361"/>
    <w:rsid w:val="00F52330"/>
    <w:rsid w:val="00F54603"/>
    <w:rsid w:val="00F54772"/>
    <w:rsid w:val="00F54869"/>
    <w:rsid w:val="00F556B2"/>
    <w:rsid w:val="00F565E8"/>
    <w:rsid w:val="00F56CB4"/>
    <w:rsid w:val="00F5754B"/>
    <w:rsid w:val="00F576DE"/>
    <w:rsid w:val="00F57747"/>
    <w:rsid w:val="00F5786F"/>
    <w:rsid w:val="00F578BC"/>
    <w:rsid w:val="00F625D2"/>
    <w:rsid w:val="00F633F1"/>
    <w:rsid w:val="00F634F1"/>
    <w:rsid w:val="00F6371C"/>
    <w:rsid w:val="00F63BF7"/>
    <w:rsid w:val="00F644B9"/>
    <w:rsid w:val="00F644BA"/>
    <w:rsid w:val="00F6453E"/>
    <w:rsid w:val="00F65215"/>
    <w:rsid w:val="00F65617"/>
    <w:rsid w:val="00F65A88"/>
    <w:rsid w:val="00F66494"/>
    <w:rsid w:val="00F66E32"/>
    <w:rsid w:val="00F710BE"/>
    <w:rsid w:val="00F71D7B"/>
    <w:rsid w:val="00F72016"/>
    <w:rsid w:val="00F72D01"/>
    <w:rsid w:val="00F72DAD"/>
    <w:rsid w:val="00F730DD"/>
    <w:rsid w:val="00F736D2"/>
    <w:rsid w:val="00F73D0C"/>
    <w:rsid w:val="00F740AA"/>
    <w:rsid w:val="00F74186"/>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4C7C"/>
    <w:rsid w:val="00F85F83"/>
    <w:rsid w:val="00F86ADD"/>
    <w:rsid w:val="00F8784C"/>
    <w:rsid w:val="00F87A0F"/>
    <w:rsid w:val="00F90263"/>
    <w:rsid w:val="00F9031D"/>
    <w:rsid w:val="00F90BEA"/>
    <w:rsid w:val="00F912FD"/>
    <w:rsid w:val="00F91D43"/>
    <w:rsid w:val="00F9300C"/>
    <w:rsid w:val="00F9367F"/>
    <w:rsid w:val="00F95411"/>
    <w:rsid w:val="00F95BF3"/>
    <w:rsid w:val="00F96339"/>
    <w:rsid w:val="00F96E02"/>
    <w:rsid w:val="00F97859"/>
    <w:rsid w:val="00F978D8"/>
    <w:rsid w:val="00F97973"/>
    <w:rsid w:val="00F97B71"/>
    <w:rsid w:val="00FA06A3"/>
    <w:rsid w:val="00FA1DB3"/>
    <w:rsid w:val="00FA229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B7C71"/>
    <w:rsid w:val="00FC055F"/>
    <w:rsid w:val="00FC09E7"/>
    <w:rsid w:val="00FC16FC"/>
    <w:rsid w:val="00FC1CA5"/>
    <w:rsid w:val="00FC1D8E"/>
    <w:rsid w:val="00FC240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3F2"/>
    <w:rsid w:val="00FF3C60"/>
    <w:rsid w:val="00FF4032"/>
    <w:rsid w:val="00FF59BE"/>
    <w:rsid w:val="00FF5E47"/>
    <w:rsid w:val="00FF67CF"/>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E374F"/>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807EC8"/>
    <w:rPr>
      <w:b/>
      <w:bCs/>
    </w:rPr>
  </w:style>
</w:styles>
</file>

<file path=word/webSettings.xml><?xml version="1.0" encoding="utf-8"?>
<w:webSettings xmlns:r="http://schemas.openxmlformats.org/officeDocument/2006/relationships" xmlns:w="http://schemas.openxmlformats.org/wordprocessingml/2006/main">
  <w:divs>
    <w:div w:id="46271707">
      <w:bodyDiv w:val="1"/>
      <w:marLeft w:val="0"/>
      <w:marRight w:val="0"/>
      <w:marTop w:val="0"/>
      <w:marBottom w:val="0"/>
      <w:divBdr>
        <w:top w:val="none" w:sz="0" w:space="0" w:color="auto"/>
        <w:left w:val="none" w:sz="0" w:space="0" w:color="auto"/>
        <w:bottom w:val="none" w:sz="0" w:space="0" w:color="auto"/>
        <w:right w:val="none" w:sz="0" w:space="0" w:color="auto"/>
      </w:divBdr>
    </w:div>
    <w:div w:id="173226611">
      <w:bodyDiv w:val="1"/>
      <w:marLeft w:val="0"/>
      <w:marRight w:val="0"/>
      <w:marTop w:val="0"/>
      <w:marBottom w:val="0"/>
      <w:divBdr>
        <w:top w:val="none" w:sz="0" w:space="0" w:color="auto"/>
        <w:left w:val="none" w:sz="0" w:space="0" w:color="auto"/>
        <w:bottom w:val="none" w:sz="0" w:space="0" w:color="auto"/>
        <w:right w:val="none" w:sz="0" w:space="0" w:color="auto"/>
      </w:divBdr>
    </w:div>
    <w:div w:id="215941955">
      <w:bodyDiv w:val="1"/>
      <w:marLeft w:val="0"/>
      <w:marRight w:val="0"/>
      <w:marTop w:val="0"/>
      <w:marBottom w:val="0"/>
      <w:divBdr>
        <w:top w:val="none" w:sz="0" w:space="0" w:color="auto"/>
        <w:left w:val="none" w:sz="0" w:space="0" w:color="auto"/>
        <w:bottom w:val="none" w:sz="0" w:space="0" w:color="auto"/>
        <w:right w:val="none" w:sz="0" w:space="0" w:color="auto"/>
      </w:divBdr>
    </w:div>
    <w:div w:id="23412624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211767957">
          <w:marLeft w:val="0"/>
          <w:marRight w:val="0"/>
          <w:marTop w:val="0"/>
          <w:marBottom w:val="0"/>
          <w:divBdr>
            <w:top w:val="none" w:sz="0" w:space="0" w:color="auto"/>
            <w:left w:val="none" w:sz="0" w:space="0" w:color="auto"/>
            <w:bottom w:val="none" w:sz="0" w:space="0" w:color="auto"/>
            <w:right w:val="none" w:sz="0" w:space="0" w:color="auto"/>
          </w:divBdr>
        </w:div>
      </w:divsChild>
    </w:div>
    <w:div w:id="237449309">
      <w:bodyDiv w:val="1"/>
      <w:marLeft w:val="0"/>
      <w:marRight w:val="0"/>
      <w:marTop w:val="0"/>
      <w:marBottom w:val="0"/>
      <w:divBdr>
        <w:top w:val="none" w:sz="0" w:space="0" w:color="auto"/>
        <w:left w:val="none" w:sz="0" w:space="0" w:color="auto"/>
        <w:bottom w:val="none" w:sz="0" w:space="0" w:color="auto"/>
        <w:right w:val="none" w:sz="0" w:space="0" w:color="auto"/>
      </w:divBdr>
    </w:div>
    <w:div w:id="246311311">
      <w:bodyDiv w:val="1"/>
      <w:marLeft w:val="0"/>
      <w:marRight w:val="0"/>
      <w:marTop w:val="0"/>
      <w:marBottom w:val="0"/>
      <w:divBdr>
        <w:top w:val="none" w:sz="0" w:space="0" w:color="auto"/>
        <w:left w:val="none" w:sz="0" w:space="0" w:color="auto"/>
        <w:bottom w:val="none" w:sz="0" w:space="0" w:color="auto"/>
        <w:right w:val="none" w:sz="0" w:space="0" w:color="auto"/>
      </w:divBdr>
    </w:div>
    <w:div w:id="2832717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82214241">
      <w:bodyDiv w:val="1"/>
      <w:marLeft w:val="0"/>
      <w:marRight w:val="0"/>
      <w:marTop w:val="0"/>
      <w:marBottom w:val="0"/>
      <w:divBdr>
        <w:top w:val="none" w:sz="0" w:space="0" w:color="auto"/>
        <w:left w:val="none" w:sz="0" w:space="0" w:color="auto"/>
        <w:bottom w:val="none" w:sz="0" w:space="0" w:color="auto"/>
        <w:right w:val="none" w:sz="0" w:space="0" w:color="auto"/>
      </w:divBdr>
    </w:div>
    <w:div w:id="426923860">
      <w:bodyDiv w:val="1"/>
      <w:marLeft w:val="0"/>
      <w:marRight w:val="0"/>
      <w:marTop w:val="0"/>
      <w:marBottom w:val="0"/>
      <w:divBdr>
        <w:top w:val="none" w:sz="0" w:space="0" w:color="auto"/>
        <w:left w:val="none" w:sz="0" w:space="0" w:color="auto"/>
        <w:bottom w:val="none" w:sz="0" w:space="0" w:color="auto"/>
        <w:right w:val="none" w:sz="0" w:space="0" w:color="auto"/>
      </w:divBdr>
    </w:div>
    <w:div w:id="440614696">
      <w:bodyDiv w:val="1"/>
      <w:marLeft w:val="0"/>
      <w:marRight w:val="0"/>
      <w:marTop w:val="0"/>
      <w:marBottom w:val="0"/>
      <w:divBdr>
        <w:top w:val="none" w:sz="0" w:space="0" w:color="auto"/>
        <w:left w:val="none" w:sz="0" w:space="0" w:color="auto"/>
        <w:bottom w:val="none" w:sz="0" w:space="0" w:color="auto"/>
        <w:right w:val="none" w:sz="0" w:space="0" w:color="auto"/>
      </w:divBdr>
    </w:div>
    <w:div w:id="443228968">
      <w:bodyDiv w:val="1"/>
      <w:marLeft w:val="0"/>
      <w:marRight w:val="0"/>
      <w:marTop w:val="0"/>
      <w:marBottom w:val="0"/>
      <w:divBdr>
        <w:top w:val="none" w:sz="0" w:space="0" w:color="auto"/>
        <w:left w:val="none" w:sz="0" w:space="0" w:color="auto"/>
        <w:bottom w:val="none" w:sz="0" w:space="0" w:color="auto"/>
        <w:right w:val="none" w:sz="0" w:space="0" w:color="auto"/>
      </w:divBdr>
    </w:div>
    <w:div w:id="504635407">
      <w:bodyDiv w:val="1"/>
      <w:marLeft w:val="0"/>
      <w:marRight w:val="0"/>
      <w:marTop w:val="0"/>
      <w:marBottom w:val="0"/>
      <w:divBdr>
        <w:top w:val="none" w:sz="0" w:space="0" w:color="auto"/>
        <w:left w:val="none" w:sz="0" w:space="0" w:color="auto"/>
        <w:bottom w:val="none" w:sz="0" w:space="0" w:color="auto"/>
        <w:right w:val="none" w:sz="0" w:space="0" w:color="auto"/>
      </w:divBdr>
    </w:div>
    <w:div w:id="595748323">
      <w:bodyDiv w:val="1"/>
      <w:marLeft w:val="0"/>
      <w:marRight w:val="0"/>
      <w:marTop w:val="0"/>
      <w:marBottom w:val="0"/>
      <w:divBdr>
        <w:top w:val="none" w:sz="0" w:space="0" w:color="auto"/>
        <w:left w:val="none" w:sz="0" w:space="0" w:color="auto"/>
        <w:bottom w:val="none" w:sz="0" w:space="0" w:color="auto"/>
        <w:right w:val="none" w:sz="0" w:space="0" w:color="auto"/>
      </w:divBdr>
    </w:div>
    <w:div w:id="627586190">
      <w:bodyDiv w:val="1"/>
      <w:marLeft w:val="0"/>
      <w:marRight w:val="0"/>
      <w:marTop w:val="0"/>
      <w:marBottom w:val="0"/>
      <w:divBdr>
        <w:top w:val="none" w:sz="0" w:space="0" w:color="auto"/>
        <w:left w:val="none" w:sz="0" w:space="0" w:color="auto"/>
        <w:bottom w:val="none" w:sz="0" w:space="0" w:color="auto"/>
        <w:right w:val="none" w:sz="0" w:space="0" w:color="auto"/>
      </w:divBdr>
    </w:div>
    <w:div w:id="696545867">
      <w:bodyDiv w:val="1"/>
      <w:marLeft w:val="0"/>
      <w:marRight w:val="0"/>
      <w:marTop w:val="0"/>
      <w:marBottom w:val="0"/>
      <w:divBdr>
        <w:top w:val="none" w:sz="0" w:space="0" w:color="auto"/>
        <w:left w:val="none" w:sz="0" w:space="0" w:color="auto"/>
        <w:bottom w:val="none" w:sz="0" w:space="0" w:color="auto"/>
        <w:right w:val="none" w:sz="0" w:space="0" w:color="auto"/>
      </w:divBdr>
    </w:div>
    <w:div w:id="759256583">
      <w:bodyDiv w:val="1"/>
      <w:marLeft w:val="0"/>
      <w:marRight w:val="0"/>
      <w:marTop w:val="0"/>
      <w:marBottom w:val="0"/>
      <w:divBdr>
        <w:top w:val="none" w:sz="0" w:space="0" w:color="auto"/>
        <w:left w:val="none" w:sz="0" w:space="0" w:color="auto"/>
        <w:bottom w:val="none" w:sz="0" w:space="0" w:color="auto"/>
        <w:right w:val="none" w:sz="0" w:space="0" w:color="auto"/>
      </w:divBdr>
    </w:div>
    <w:div w:id="820391461">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894970046">
      <w:bodyDiv w:val="1"/>
      <w:marLeft w:val="0"/>
      <w:marRight w:val="0"/>
      <w:marTop w:val="0"/>
      <w:marBottom w:val="0"/>
      <w:divBdr>
        <w:top w:val="none" w:sz="0" w:space="0" w:color="auto"/>
        <w:left w:val="none" w:sz="0" w:space="0" w:color="auto"/>
        <w:bottom w:val="none" w:sz="0" w:space="0" w:color="auto"/>
        <w:right w:val="none" w:sz="0" w:space="0" w:color="auto"/>
      </w:divBdr>
    </w:div>
    <w:div w:id="937835927">
      <w:bodyDiv w:val="1"/>
      <w:marLeft w:val="0"/>
      <w:marRight w:val="0"/>
      <w:marTop w:val="0"/>
      <w:marBottom w:val="0"/>
      <w:divBdr>
        <w:top w:val="none" w:sz="0" w:space="0" w:color="auto"/>
        <w:left w:val="none" w:sz="0" w:space="0" w:color="auto"/>
        <w:bottom w:val="none" w:sz="0" w:space="0" w:color="auto"/>
        <w:right w:val="none" w:sz="0" w:space="0" w:color="auto"/>
      </w:divBdr>
    </w:div>
    <w:div w:id="948271998">
      <w:bodyDiv w:val="1"/>
      <w:marLeft w:val="0"/>
      <w:marRight w:val="0"/>
      <w:marTop w:val="0"/>
      <w:marBottom w:val="0"/>
      <w:divBdr>
        <w:top w:val="none" w:sz="0" w:space="0" w:color="auto"/>
        <w:left w:val="none" w:sz="0" w:space="0" w:color="auto"/>
        <w:bottom w:val="none" w:sz="0" w:space="0" w:color="auto"/>
        <w:right w:val="none" w:sz="0" w:space="0" w:color="auto"/>
      </w:divBdr>
    </w:div>
    <w:div w:id="1006135983">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1037897974">
      <w:bodyDiv w:val="1"/>
      <w:marLeft w:val="0"/>
      <w:marRight w:val="0"/>
      <w:marTop w:val="0"/>
      <w:marBottom w:val="0"/>
      <w:divBdr>
        <w:top w:val="none" w:sz="0" w:space="0" w:color="auto"/>
        <w:left w:val="none" w:sz="0" w:space="0" w:color="auto"/>
        <w:bottom w:val="none" w:sz="0" w:space="0" w:color="auto"/>
        <w:right w:val="none" w:sz="0" w:space="0" w:color="auto"/>
      </w:divBdr>
    </w:div>
    <w:div w:id="1071149609">
      <w:bodyDiv w:val="1"/>
      <w:marLeft w:val="0"/>
      <w:marRight w:val="0"/>
      <w:marTop w:val="0"/>
      <w:marBottom w:val="0"/>
      <w:divBdr>
        <w:top w:val="none" w:sz="0" w:space="0" w:color="auto"/>
        <w:left w:val="none" w:sz="0" w:space="0" w:color="auto"/>
        <w:bottom w:val="none" w:sz="0" w:space="0" w:color="auto"/>
        <w:right w:val="none" w:sz="0" w:space="0" w:color="auto"/>
      </w:divBdr>
    </w:div>
    <w:div w:id="1196574161">
      <w:bodyDiv w:val="1"/>
      <w:marLeft w:val="0"/>
      <w:marRight w:val="0"/>
      <w:marTop w:val="0"/>
      <w:marBottom w:val="0"/>
      <w:divBdr>
        <w:top w:val="none" w:sz="0" w:space="0" w:color="auto"/>
        <w:left w:val="none" w:sz="0" w:space="0" w:color="auto"/>
        <w:bottom w:val="none" w:sz="0" w:space="0" w:color="auto"/>
        <w:right w:val="none" w:sz="0" w:space="0" w:color="auto"/>
      </w:divBdr>
    </w:div>
    <w:div w:id="1218391950">
      <w:bodyDiv w:val="1"/>
      <w:marLeft w:val="0"/>
      <w:marRight w:val="0"/>
      <w:marTop w:val="0"/>
      <w:marBottom w:val="0"/>
      <w:divBdr>
        <w:top w:val="none" w:sz="0" w:space="0" w:color="auto"/>
        <w:left w:val="none" w:sz="0" w:space="0" w:color="auto"/>
        <w:bottom w:val="none" w:sz="0" w:space="0" w:color="auto"/>
        <w:right w:val="none" w:sz="0" w:space="0" w:color="auto"/>
      </w:divBdr>
    </w:div>
    <w:div w:id="1223518325">
      <w:bodyDiv w:val="1"/>
      <w:marLeft w:val="0"/>
      <w:marRight w:val="0"/>
      <w:marTop w:val="0"/>
      <w:marBottom w:val="0"/>
      <w:divBdr>
        <w:top w:val="none" w:sz="0" w:space="0" w:color="auto"/>
        <w:left w:val="none" w:sz="0" w:space="0" w:color="auto"/>
        <w:bottom w:val="none" w:sz="0" w:space="0" w:color="auto"/>
        <w:right w:val="none" w:sz="0" w:space="0" w:color="auto"/>
      </w:divBdr>
    </w:div>
    <w:div w:id="1223567193">
      <w:bodyDiv w:val="1"/>
      <w:marLeft w:val="0"/>
      <w:marRight w:val="0"/>
      <w:marTop w:val="0"/>
      <w:marBottom w:val="0"/>
      <w:divBdr>
        <w:top w:val="none" w:sz="0" w:space="0" w:color="auto"/>
        <w:left w:val="none" w:sz="0" w:space="0" w:color="auto"/>
        <w:bottom w:val="none" w:sz="0" w:space="0" w:color="auto"/>
        <w:right w:val="none" w:sz="0" w:space="0" w:color="auto"/>
      </w:divBdr>
    </w:div>
    <w:div w:id="1313607264">
      <w:bodyDiv w:val="1"/>
      <w:marLeft w:val="0"/>
      <w:marRight w:val="0"/>
      <w:marTop w:val="0"/>
      <w:marBottom w:val="0"/>
      <w:divBdr>
        <w:top w:val="none" w:sz="0" w:space="0" w:color="auto"/>
        <w:left w:val="none" w:sz="0" w:space="0" w:color="auto"/>
        <w:bottom w:val="none" w:sz="0" w:space="0" w:color="auto"/>
        <w:right w:val="none" w:sz="0" w:space="0" w:color="auto"/>
      </w:divBdr>
    </w:div>
    <w:div w:id="1342657773">
      <w:bodyDiv w:val="1"/>
      <w:marLeft w:val="0"/>
      <w:marRight w:val="0"/>
      <w:marTop w:val="0"/>
      <w:marBottom w:val="0"/>
      <w:divBdr>
        <w:top w:val="none" w:sz="0" w:space="0" w:color="auto"/>
        <w:left w:val="none" w:sz="0" w:space="0" w:color="auto"/>
        <w:bottom w:val="none" w:sz="0" w:space="0" w:color="auto"/>
        <w:right w:val="none" w:sz="0" w:space="0" w:color="auto"/>
      </w:divBdr>
    </w:div>
    <w:div w:id="1394543643">
      <w:bodyDiv w:val="1"/>
      <w:marLeft w:val="0"/>
      <w:marRight w:val="0"/>
      <w:marTop w:val="0"/>
      <w:marBottom w:val="0"/>
      <w:divBdr>
        <w:top w:val="none" w:sz="0" w:space="0" w:color="auto"/>
        <w:left w:val="none" w:sz="0" w:space="0" w:color="auto"/>
        <w:bottom w:val="none" w:sz="0" w:space="0" w:color="auto"/>
        <w:right w:val="none" w:sz="0" w:space="0" w:color="auto"/>
      </w:divBdr>
    </w:div>
    <w:div w:id="1396201277">
      <w:bodyDiv w:val="1"/>
      <w:marLeft w:val="0"/>
      <w:marRight w:val="0"/>
      <w:marTop w:val="0"/>
      <w:marBottom w:val="0"/>
      <w:divBdr>
        <w:top w:val="none" w:sz="0" w:space="0" w:color="auto"/>
        <w:left w:val="none" w:sz="0" w:space="0" w:color="auto"/>
        <w:bottom w:val="none" w:sz="0" w:space="0" w:color="auto"/>
        <w:right w:val="none" w:sz="0" w:space="0" w:color="auto"/>
      </w:divBdr>
    </w:div>
    <w:div w:id="1416779744">
      <w:bodyDiv w:val="1"/>
      <w:marLeft w:val="0"/>
      <w:marRight w:val="0"/>
      <w:marTop w:val="0"/>
      <w:marBottom w:val="0"/>
      <w:divBdr>
        <w:top w:val="none" w:sz="0" w:space="0" w:color="auto"/>
        <w:left w:val="none" w:sz="0" w:space="0" w:color="auto"/>
        <w:bottom w:val="none" w:sz="0" w:space="0" w:color="auto"/>
        <w:right w:val="none" w:sz="0" w:space="0" w:color="auto"/>
      </w:divBdr>
    </w:div>
    <w:div w:id="1491484849">
      <w:bodyDiv w:val="1"/>
      <w:marLeft w:val="0"/>
      <w:marRight w:val="0"/>
      <w:marTop w:val="0"/>
      <w:marBottom w:val="0"/>
      <w:divBdr>
        <w:top w:val="none" w:sz="0" w:space="0" w:color="auto"/>
        <w:left w:val="none" w:sz="0" w:space="0" w:color="auto"/>
        <w:bottom w:val="none" w:sz="0" w:space="0" w:color="auto"/>
        <w:right w:val="none" w:sz="0" w:space="0" w:color="auto"/>
      </w:divBdr>
    </w:div>
    <w:div w:id="1493178183">
      <w:bodyDiv w:val="1"/>
      <w:marLeft w:val="0"/>
      <w:marRight w:val="0"/>
      <w:marTop w:val="0"/>
      <w:marBottom w:val="0"/>
      <w:divBdr>
        <w:top w:val="none" w:sz="0" w:space="0" w:color="auto"/>
        <w:left w:val="none" w:sz="0" w:space="0" w:color="auto"/>
        <w:bottom w:val="none" w:sz="0" w:space="0" w:color="auto"/>
        <w:right w:val="none" w:sz="0" w:space="0" w:color="auto"/>
      </w:divBdr>
    </w:div>
    <w:div w:id="1567573468">
      <w:bodyDiv w:val="1"/>
      <w:marLeft w:val="0"/>
      <w:marRight w:val="0"/>
      <w:marTop w:val="0"/>
      <w:marBottom w:val="0"/>
      <w:divBdr>
        <w:top w:val="none" w:sz="0" w:space="0" w:color="auto"/>
        <w:left w:val="none" w:sz="0" w:space="0" w:color="auto"/>
        <w:bottom w:val="none" w:sz="0" w:space="0" w:color="auto"/>
        <w:right w:val="none" w:sz="0" w:space="0" w:color="auto"/>
      </w:divBdr>
    </w:div>
    <w:div w:id="1572809282">
      <w:bodyDiv w:val="1"/>
      <w:marLeft w:val="0"/>
      <w:marRight w:val="0"/>
      <w:marTop w:val="0"/>
      <w:marBottom w:val="0"/>
      <w:divBdr>
        <w:top w:val="none" w:sz="0" w:space="0" w:color="auto"/>
        <w:left w:val="none" w:sz="0" w:space="0" w:color="auto"/>
        <w:bottom w:val="none" w:sz="0" w:space="0" w:color="auto"/>
        <w:right w:val="none" w:sz="0" w:space="0" w:color="auto"/>
      </w:divBdr>
    </w:div>
    <w:div w:id="1578052999">
      <w:bodyDiv w:val="1"/>
      <w:marLeft w:val="0"/>
      <w:marRight w:val="0"/>
      <w:marTop w:val="0"/>
      <w:marBottom w:val="0"/>
      <w:divBdr>
        <w:top w:val="none" w:sz="0" w:space="0" w:color="auto"/>
        <w:left w:val="none" w:sz="0" w:space="0" w:color="auto"/>
        <w:bottom w:val="none" w:sz="0" w:space="0" w:color="auto"/>
        <w:right w:val="none" w:sz="0" w:space="0" w:color="auto"/>
      </w:divBdr>
    </w:div>
    <w:div w:id="1592003412">
      <w:bodyDiv w:val="1"/>
      <w:marLeft w:val="0"/>
      <w:marRight w:val="0"/>
      <w:marTop w:val="0"/>
      <w:marBottom w:val="0"/>
      <w:divBdr>
        <w:top w:val="none" w:sz="0" w:space="0" w:color="auto"/>
        <w:left w:val="none" w:sz="0" w:space="0" w:color="auto"/>
        <w:bottom w:val="none" w:sz="0" w:space="0" w:color="auto"/>
        <w:right w:val="none" w:sz="0" w:space="0" w:color="auto"/>
      </w:divBdr>
    </w:div>
    <w:div w:id="1609386015">
      <w:bodyDiv w:val="1"/>
      <w:marLeft w:val="0"/>
      <w:marRight w:val="0"/>
      <w:marTop w:val="0"/>
      <w:marBottom w:val="0"/>
      <w:divBdr>
        <w:top w:val="none" w:sz="0" w:space="0" w:color="auto"/>
        <w:left w:val="none" w:sz="0" w:space="0" w:color="auto"/>
        <w:bottom w:val="none" w:sz="0" w:space="0" w:color="auto"/>
        <w:right w:val="none" w:sz="0" w:space="0" w:color="auto"/>
      </w:divBdr>
    </w:div>
    <w:div w:id="1720402039">
      <w:bodyDiv w:val="1"/>
      <w:marLeft w:val="0"/>
      <w:marRight w:val="0"/>
      <w:marTop w:val="0"/>
      <w:marBottom w:val="0"/>
      <w:divBdr>
        <w:top w:val="none" w:sz="0" w:space="0" w:color="auto"/>
        <w:left w:val="none" w:sz="0" w:space="0" w:color="auto"/>
        <w:bottom w:val="none" w:sz="0" w:space="0" w:color="auto"/>
        <w:right w:val="none" w:sz="0" w:space="0" w:color="auto"/>
      </w:divBdr>
    </w:div>
    <w:div w:id="1773933556">
      <w:bodyDiv w:val="1"/>
      <w:marLeft w:val="0"/>
      <w:marRight w:val="0"/>
      <w:marTop w:val="0"/>
      <w:marBottom w:val="0"/>
      <w:divBdr>
        <w:top w:val="none" w:sz="0" w:space="0" w:color="auto"/>
        <w:left w:val="none" w:sz="0" w:space="0" w:color="auto"/>
        <w:bottom w:val="none" w:sz="0" w:space="0" w:color="auto"/>
        <w:right w:val="none" w:sz="0" w:space="0" w:color="auto"/>
      </w:divBdr>
    </w:div>
    <w:div w:id="1846896852">
      <w:bodyDiv w:val="1"/>
      <w:marLeft w:val="0"/>
      <w:marRight w:val="0"/>
      <w:marTop w:val="0"/>
      <w:marBottom w:val="0"/>
      <w:divBdr>
        <w:top w:val="none" w:sz="0" w:space="0" w:color="auto"/>
        <w:left w:val="none" w:sz="0" w:space="0" w:color="auto"/>
        <w:bottom w:val="none" w:sz="0" w:space="0" w:color="auto"/>
        <w:right w:val="none" w:sz="0" w:space="0" w:color="auto"/>
      </w:divBdr>
    </w:div>
    <w:div w:id="1853059787">
      <w:bodyDiv w:val="1"/>
      <w:marLeft w:val="0"/>
      <w:marRight w:val="0"/>
      <w:marTop w:val="0"/>
      <w:marBottom w:val="0"/>
      <w:divBdr>
        <w:top w:val="none" w:sz="0" w:space="0" w:color="auto"/>
        <w:left w:val="none" w:sz="0" w:space="0" w:color="auto"/>
        <w:bottom w:val="none" w:sz="0" w:space="0" w:color="auto"/>
        <w:right w:val="none" w:sz="0" w:space="0" w:color="auto"/>
      </w:divBdr>
    </w:div>
    <w:div w:id="1894152231">
      <w:bodyDiv w:val="1"/>
      <w:marLeft w:val="0"/>
      <w:marRight w:val="0"/>
      <w:marTop w:val="0"/>
      <w:marBottom w:val="0"/>
      <w:divBdr>
        <w:top w:val="none" w:sz="0" w:space="0" w:color="auto"/>
        <w:left w:val="none" w:sz="0" w:space="0" w:color="auto"/>
        <w:bottom w:val="none" w:sz="0" w:space="0" w:color="auto"/>
        <w:right w:val="none" w:sz="0" w:space="0" w:color="auto"/>
      </w:divBdr>
    </w:div>
    <w:div w:id="1911579540">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C288-4411-4633-A1C0-6B61FDBC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9825</Characters>
  <Application>Microsoft Office Word</Application>
  <DocSecurity>4</DocSecurity>
  <Lines>81</Lines>
  <Paragraphs>23</Paragraphs>
  <ScaleCrop>false</ScaleCrop>
  <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2018-01-19T06:34:00Z</cp:lastPrinted>
  <dcterms:created xsi:type="dcterms:W3CDTF">2018-03-08T16:37:00Z</dcterms:created>
  <dcterms:modified xsi:type="dcterms:W3CDTF">2018-03-08T16:37:00Z</dcterms:modified>
</cp:coreProperties>
</file>