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1C1FBB" w:rsidRDefault="001C1FBB" w:rsidP="00881D41">
      <w:pPr>
        <w:spacing w:line="360" w:lineRule="auto"/>
        <w:jc w:val="center"/>
        <w:rPr>
          <w:b/>
          <w:sz w:val="52"/>
          <w:szCs w:val="52"/>
        </w:rPr>
      </w:pPr>
      <w:bookmarkStart w:id="1" w:name="_Toc361324841"/>
      <w:bookmarkEnd w:id="0"/>
      <w:r w:rsidRPr="001C1FBB">
        <w:rPr>
          <w:rFonts w:hint="eastAsia"/>
          <w:b/>
          <w:sz w:val="52"/>
          <w:szCs w:val="52"/>
        </w:rPr>
        <w:t>博时灵活配置混合型证券投资基金</w:t>
      </w:r>
    </w:p>
    <w:p w:rsidR="00881D41" w:rsidRPr="00AE5F6A" w:rsidRDefault="00881D41" w:rsidP="00881D41">
      <w:pPr>
        <w:spacing w:line="360" w:lineRule="auto"/>
        <w:jc w:val="center"/>
        <w:rPr>
          <w:rFonts w:ascii="宋体" w:hAnsi="宋体"/>
          <w:b/>
          <w:sz w:val="52"/>
          <w:szCs w:val="52"/>
        </w:rPr>
      </w:pPr>
      <w:r w:rsidRPr="00AE5F6A">
        <w:rPr>
          <w:rFonts w:ascii="宋体" w:hAnsi="宋体" w:hint="eastAsia"/>
          <w:b/>
          <w:sz w:val="52"/>
          <w:szCs w:val="52"/>
        </w:rPr>
        <w:t>清算</w:t>
      </w:r>
      <w:r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1C1FBB" w:rsidP="00FB68D0">
      <w:pPr>
        <w:spacing w:line="360" w:lineRule="auto"/>
        <w:jc w:val="center"/>
        <w:rPr>
          <w:rFonts w:ascii="宋体" w:hAnsi="宋体"/>
          <w:b/>
          <w:color w:val="000000"/>
          <w:sz w:val="36"/>
          <w:szCs w:val="36"/>
        </w:rPr>
      </w:pPr>
      <w:r>
        <w:rPr>
          <w:rFonts w:ascii="宋体" w:hAnsi="宋体"/>
          <w:b/>
          <w:color w:val="000000"/>
          <w:sz w:val="36"/>
          <w:szCs w:val="36"/>
        </w:rPr>
        <w:t>基金托管人：</w:t>
      </w:r>
      <w:r>
        <w:rPr>
          <w:rFonts w:ascii="宋体" w:hAnsi="宋体" w:hint="eastAsia"/>
          <w:b/>
          <w:color w:val="000000"/>
          <w:sz w:val="36"/>
          <w:szCs w:val="36"/>
        </w:rPr>
        <w:t>交通</w:t>
      </w:r>
      <w:r w:rsidR="00881D41"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1C1FBB">
        <w:rPr>
          <w:rFonts w:ascii="宋体" w:hAnsi="宋体"/>
          <w:b/>
          <w:color w:val="000000"/>
          <w:sz w:val="36"/>
          <w:szCs w:val="36"/>
        </w:rPr>
        <w:t>二〇一</w:t>
      </w:r>
      <w:r w:rsidR="001C1FBB">
        <w:rPr>
          <w:rFonts w:ascii="宋体" w:hAnsi="宋体" w:hint="eastAsia"/>
          <w:b/>
          <w:color w:val="000000"/>
          <w:sz w:val="36"/>
          <w:szCs w:val="36"/>
        </w:rPr>
        <w:t>八</w:t>
      </w:r>
      <w:r w:rsidR="00502816" w:rsidRPr="00AE5F6A">
        <w:rPr>
          <w:rFonts w:ascii="宋体" w:hAnsi="宋体"/>
          <w:b/>
          <w:color w:val="000000"/>
          <w:sz w:val="36"/>
          <w:szCs w:val="36"/>
        </w:rPr>
        <w:t>年</w:t>
      </w:r>
      <w:r w:rsidR="001C1FBB">
        <w:rPr>
          <w:rFonts w:ascii="宋体" w:hAnsi="宋体" w:hint="eastAsia"/>
          <w:b/>
          <w:color w:val="000000"/>
          <w:sz w:val="36"/>
          <w:szCs w:val="36"/>
        </w:rPr>
        <w:t>二</w:t>
      </w:r>
      <w:r w:rsidR="00502816" w:rsidRPr="00AE5F6A">
        <w:rPr>
          <w:rFonts w:ascii="宋体" w:hAnsi="宋体"/>
          <w:b/>
          <w:color w:val="000000"/>
          <w:sz w:val="36"/>
          <w:szCs w:val="36"/>
        </w:rPr>
        <w:t>月</w:t>
      </w:r>
      <w:r w:rsidR="001C1FBB">
        <w:rPr>
          <w:rFonts w:ascii="宋体" w:hAnsi="宋体" w:hint="eastAsia"/>
          <w:b/>
          <w:color w:val="000000"/>
          <w:sz w:val="36"/>
          <w:szCs w:val="36"/>
        </w:rPr>
        <w:t>七</w:t>
      </w:r>
      <w:r w:rsidR="00502816"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1C1FBB">
        <w:rPr>
          <w:rFonts w:ascii="宋体" w:hAnsi="宋体" w:hint="eastAsia"/>
          <w:b/>
          <w:color w:val="000000"/>
          <w:sz w:val="36"/>
          <w:szCs w:val="36"/>
        </w:rPr>
        <w:t>：二〇一</w:t>
      </w:r>
      <w:r w:rsidR="00F51867">
        <w:rPr>
          <w:rFonts w:ascii="宋体" w:hAnsi="宋体" w:hint="eastAsia"/>
          <w:b/>
          <w:color w:val="000000"/>
          <w:sz w:val="36"/>
          <w:szCs w:val="36"/>
        </w:rPr>
        <w:t>八</w:t>
      </w:r>
      <w:r>
        <w:rPr>
          <w:rFonts w:ascii="宋体" w:hAnsi="宋体" w:hint="eastAsia"/>
          <w:b/>
          <w:color w:val="000000"/>
          <w:sz w:val="36"/>
          <w:szCs w:val="36"/>
        </w:rPr>
        <w:t>年</w:t>
      </w:r>
      <w:r w:rsidR="00AC6417">
        <w:rPr>
          <w:rFonts w:ascii="宋体" w:hAnsi="宋体" w:hint="eastAsia"/>
          <w:b/>
          <w:color w:val="000000"/>
          <w:sz w:val="36"/>
          <w:szCs w:val="36"/>
        </w:rPr>
        <w:t>三</w:t>
      </w:r>
      <w:r>
        <w:rPr>
          <w:rFonts w:ascii="宋体" w:hAnsi="宋体" w:hint="eastAsia"/>
          <w:b/>
          <w:color w:val="000000"/>
          <w:sz w:val="36"/>
          <w:szCs w:val="36"/>
        </w:rPr>
        <w:t>月</w:t>
      </w:r>
      <w:r w:rsidR="00AC6417">
        <w:rPr>
          <w:rFonts w:ascii="宋体" w:hAnsi="宋体" w:hint="eastAsia"/>
          <w:b/>
          <w:color w:val="000000"/>
          <w:sz w:val="36"/>
          <w:szCs w:val="36"/>
        </w:rPr>
        <w:t>九</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1C1FBB" w:rsidRDefault="00881D41" w:rsidP="00587EB1">
      <w:pPr>
        <w:spacing w:line="360" w:lineRule="auto"/>
        <w:ind w:firstLineChars="350" w:firstLine="1265"/>
        <w:rPr>
          <w:rFonts w:ascii="宋体" w:hAnsi="宋体"/>
          <w:b/>
          <w:color w:val="000000"/>
          <w:sz w:val="36"/>
          <w:szCs w:val="36"/>
        </w:rPr>
        <w:sectPr w:rsidR="00881D41" w:rsidRPr="001C1FBB"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AE5F6A" w:rsidRDefault="00587EB1" w:rsidP="00591E34">
          <w:pPr>
            <w:pStyle w:val="TOC"/>
            <w:jc w:val="center"/>
          </w:pPr>
          <w:r w:rsidRPr="00AE5F6A">
            <w:rPr>
              <w:lang w:val="zh-CN"/>
            </w:rPr>
            <w:t>目录</w:t>
          </w:r>
        </w:p>
        <w:p w:rsidR="00436D7F" w:rsidRPr="00AE5F6A" w:rsidRDefault="00604955">
          <w:pPr>
            <w:pStyle w:val="10"/>
            <w:tabs>
              <w:tab w:val="right" w:leader="dot" w:pos="8296"/>
            </w:tabs>
            <w:rPr>
              <w:rFonts w:asciiTheme="minorHAnsi" w:eastAsiaTheme="minorEastAsia" w:hAnsiTheme="minorHAnsi" w:cstheme="minorBidi"/>
              <w:noProof/>
              <w:szCs w:val="22"/>
            </w:rPr>
          </w:pPr>
          <w:r w:rsidRPr="00604955">
            <w:fldChar w:fldCharType="begin"/>
          </w:r>
          <w:r w:rsidR="00587EB1" w:rsidRPr="00AE5F6A">
            <w:instrText xml:space="preserve"> TOC \o "1-3" \h \z \u </w:instrText>
          </w:r>
          <w:r w:rsidRPr="00604955">
            <w:fldChar w:fldCharType="separate"/>
          </w:r>
          <w:hyperlink w:anchor="_Toc491963077" w:history="1">
            <w:r w:rsidR="00436D7F" w:rsidRPr="00AE5F6A">
              <w:rPr>
                <w:rStyle w:val="ab"/>
                <w:rFonts w:ascii="宋体" w:hAnsi="宋体"/>
                <w:b/>
                <w:noProof/>
              </w:rPr>
              <w:t>1</w:t>
            </w:r>
            <w:r w:rsidR="00436D7F" w:rsidRPr="00AE5F6A">
              <w:rPr>
                <w:rStyle w:val="ab"/>
                <w:rFonts w:ascii="宋体" w:hAnsi="宋体" w:hint="eastAsia"/>
                <w:b/>
                <w:noProof/>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_Toc491963077 \h </w:instrText>
            </w:r>
            <w:r w:rsidRPr="00AE5F6A">
              <w:rPr>
                <w:noProof/>
                <w:webHidden/>
              </w:rPr>
            </w:r>
            <w:r w:rsidRPr="00AE5F6A">
              <w:rPr>
                <w:noProof/>
                <w:webHidden/>
              </w:rPr>
              <w:fldChar w:fldCharType="separate"/>
            </w:r>
            <w:r w:rsidR="003C62D7">
              <w:rPr>
                <w:noProof/>
                <w:webHidden/>
              </w:rPr>
              <w:t>1</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78" w:history="1">
            <w:r w:rsidR="00436D7F" w:rsidRPr="00AE5F6A">
              <w:rPr>
                <w:rStyle w:val="ab"/>
                <w:rFonts w:ascii="宋体" w:hAnsi="宋体"/>
                <w:noProof/>
                <w:kern w:val="0"/>
              </w:rPr>
              <w:t xml:space="preserve">1.1 </w:t>
            </w:r>
            <w:r w:rsidR="00436D7F" w:rsidRPr="00AE5F6A">
              <w:rPr>
                <w:rStyle w:val="ab"/>
                <w:rFonts w:ascii="宋体" w:hAnsi="宋体" w:hint="eastAsia"/>
                <w:noProof/>
                <w:kern w:val="0"/>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_Toc491963078 \h </w:instrText>
            </w:r>
            <w:r w:rsidRPr="00AE5F6A">
              <w:rPr>
                <w:noProof/>
                <w:webHidden/>
              </w:rPr>
            </w:r>
            <w:r w:rsidRPr="00AE5F6A">
              <w:rPr>
                <w:noProof/>
                <w:webHidden/>
              </w:rPr>
              <w:fldChar w:fldCharType="separate"/>
            </w:r>
            <w:r w:rsidR="003C62D7">
              <w:rPr>
                <w:noProof/>
                <w:webHidden/>
              </w:rPr>
              <w:t>1</w:t>
            </w:r>
            <w:r w:rsidRPr="00AE5F6A">
              <w:rPr>
                <w:noProof/>
                <w:webHidden/>
              </w:rPr>
              <w:fldChar w:fldCharType="end"/>
            </w:r>
          </w:hyperlink>
        </w:p>
        <w:p w:rsidR="00436D7F" w:rsidRPr="00AE5F6A" w:rsidRDefault="00604955">
          <w:pPr>
            <w:pStyle w:val="10"/>
            <w:tabs>
              <w:tab w:val="right" w:leader="dot" w:pos="8296"/>
            </w:tabs>
            <w:rPr>
              <w:rFonts w:asciiTheme="minorHAnsi" w:eastAsiaTheme="minorEastAsia" w:hAnsiTheme="minorHAnsi" w:cstheme="minorBidi"/>
              <w:noProof/>
              <w:szCs w:val="22"/>
            </w:rPr>
          </w:pPr>
          <w:hyperlink w:anchor="_Toc491963079" w:history="1">
            <w:r w:rsidR="00436D7F" w:rsidRPr="00AE5F6A">
              <w:rPr>
                <w:rStyle w:val="ab"/>
                <w:rFonts w:ascii="宋体" w:hAnsi="宋体"/>
                <w:b/>
                <w:noProof/>
              </w:rPr>
              <w:t>2</w:t>
            </w:r>
            <w:r w:rsidR="00436D7F" w:rsidRPr="00AE5F6A">
              <w:rPr>
                <w:rStyle w:val="ab"/>
                <w:rFonts w:ascii="宋体" w:hAnsi="宋体" w:hint="eastAsia"/>
                <w:b/>
                <w:noProof/>
              </w:rPr>
              <w:t>、基金概况</w:t>
            </w:r>
            <w:r w:rsidR="00436D7F" w:rsidRPr="00AE5F6A">
              <w:rPr>
                <w:noProof/>
                <w:webHidden/>
              </w:rPr>
              <w:tab/>
            </w:r>
            <w:r w:rsidRPr="00AE5F6A">
              <w:rPr>
                <w:noProof/>
                <w:webHidden/>
              </w:rPr>
              <w:fldChar w:fldCharType="begin"/>
            </w:r>
            <w:r w:rsidR="00436D7F" w:rsidRPr="00AE5F6A">
              <w:rPr>
                <w:noProof/>
                <w:webHidden/>
              </w:rPr>
              <w:instrText xml:space="preserve"> PAGEREF _Toc491963079 \h </w:instrText>
            </w:r>
            <w:r w:rsidRPr="00AE5F6A">
              <w:rPr>
                <w:noProof/>
                <w:webHidden/>
              </w:rPr>
            </w:r>
            <w:r w:rsidRPr="00AE5F6A">
              <w:rPr>
                <w:noProof/>
                <w:webHidden/>
              </w:rPr>
              <w:fldChar w:fldCharType="separate"/>
            </w:r>
            <w:r w:rsidR="003C62D7">
              <w:rPr>
                <w:noProof/>
                <w:webHidden/>
              </w:rPr>
              <w:t>1</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0" w:history="1">
            <w:r w:rsidR="00436D7F" w:rsidRPr="00AE5F6A">
              <w:rPr>
                <w:rStyle w:val="ab"/>
                <w:rFonts w:ascii="宋体" w:hAnsi="宋体"/>
                <w:noProof/>
                <w:kern w:val="0"/>
              </w:rPr>
              <w:t xml:space="preserve">2.1 </w:t>
            </w:r>
            <w:r w:rsidR="00436D7F" w:rsidRPr="00AE5F6A">
              <w:rPr>
                <w:rStyle w:val="ab"/>
                <w:rFonts w:ascii="宋体" w:hAnsi="宋体" w:hint="eastAsia"/>
                <w:noProof/>
                <w:kern w:val="0"/>
              </w:rPr>
              <w:t>基金基本情况</w:t>
            </w:r>
            <w:r w:rsidR="00436D7F" w:rsidRPr="00AE5F6A">
              <w:rPr>
                <w:noProof/>
                <w:webHidden/>
              </w:rPr>
              <w:tab/>
            </w:r>
            <w:r w:rsidRPr="00AE5F6A">
              <w:rPr>
                <w:noProof/>
                <w:webHidden/>
              </w:rPr>
              <w:fldChar w:fldCharType="begin"/>
            </w:r>
            <w:r w:rsidR="00436D7F" w:rsidRPr="00AE5F6A">
              <w:rPr>
                <w:noProof/>
                <w:webHidden/>
              </w:rPr>
              <w:instrText xml:space="preserve"> PAGEREF _Toc491963080 \h </w:instrText>
            </w:r>
            <w:r w:rsidRPr="00AE5F6A">
              <w:rPr>
                <w:noProof/>
                <w:webHidden/>
              </w:rPr>
            </w:r>
            <w:r w:rsidRPr="00AE5F6A">
              <w:rPr>
                <w:noProof/>
                <w:webHidden/>
              </w:rPr>
              <w:fldChar w:fldCharType="separate"/>
            </w:r>
            <w:r w:rsidR="003C62D7">
              <w:rPr>
                <w:noProof/>
                <w:webHidden/>
              </w:rPr>
              <w:t>1</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1" w:history="1">
            <w:r w:rsidR="00436D7F" w:rsidRPr="00AE5F6A">
              <w:rPr>
                <w:rStyle w:val="ab"/>
                <w:rFonts w:ascii="宋体" w:hAnsi="宋体"/>
                <w:noProof/>
              </w:rPr>
              <w:t xml:space="preserve">2.2 </w:t>
            </w:r>
            <w:r w:rsidR="00436D7F" w:rsidRPr="00AE5F6A">
              <w:rPr>
                <w:rStyle w:val="ab"/>
                <w:rFonts w:ascii="宋体" w:hAnsi="宋体" w:hint="eastAsia"/>
                <w:noProof/>
              </w:rPr>
              <w:t>基金产品说明</w:t>
            </w:r>
            <w:r w:rsidR="00436D7F" w:rsidRPr="00AE5F6A">
              <w:rPr>
                <w:noProof/>
                <w:webHidden/>
              </w:rPr>
              <w:tab/>
            </w:r>
            <w:r w:rsidRPr="00AE5F6A">
              <w:rPr>
                <w:noProof/>
                <w:webHidden/>
              </w:rPr>
              <w:fldChar w:fldCharType="begin"/>
            </w:r>
            <w:r w:rsidR="00436D7F" w:rsidRPr="00AE5F6A">
              <w:rPr>
                <w:noProof/>
                <w:webHidden/>
              </w:rPr>
              <w:instrText xml:space="preserve"> PAGEREF _Toc491963081 \h </w:instrText>
            </w:r>
            <w:r w:rsidRPr="00AE5F6A">
              <w:rPr>
                <w:noProof/>
                <w:webHidden/>
              </w:rPr>
            </w:r>
            <w:r w:rsidRPr="00AE5F6A">
              <w:rPr>
                <w:noProof/>
                <w:webHidden/>
              </w:rPr>
              <w:fldChar w:fldCharType="separate"/>
            </w:r>
            <w:r w:rsidR="003C62D7">
              <w:rPr>
                <w:noProof/>
                <w:webHidden/>
              </w:rPr>
              <w:t>2</w:t>
            </w:r>
            <w:r w:rsidRPr="00AE5F6A">
              <w:rPr>
                <w:noProof/>
                <w:webHidden/>
              </w:rPr>
              <w:fldChar w:fldCharType="end"/>
            </w:r>
          </w:hyperlink>
        </w:p>
        <w:p w:rsidR="00436D7F" w:rsidRPr="00AE5F6A" w:rsidRDefault="00604955">
          <w:pPr>
            <w:pStyle w:val="10"/>
            <w:tabs>
              <w:tab w:val="right" w:leader="dot" w:pos="8296"/>
            </w:tabs>
            <w:rPr>
              <w:rFonts w:asciiTheme="minorHAnsi" w:eastAsiaTheme="minorEastAsia" w:hAnsiTheme="minorHAnsi" w:cstheme="minorBidi"/>
              <w:noProof/>
              <w:szCs w:val="22"/>
            </w:rPr>
          </w:pPr>
          <w:hyperlink w:anchor="_Toc491963082" w:history="1">
            <w:r w:rsidR="00436D7F" w:rsidRPr="00AE5F6A">
              <w:rPr>
                <w:rStyle w:val="ab"/>
                <w:rFonts w:ascii="宋体" w:hAnsi="宋体"/>
                <w:b/>
                <w:noProof/>
              </w:rPr>
              <w:t>3</w:t>
            </w:r>
            <w:r w:rsidR="00436D7F" w:rsidRPr="00AE5F6A">
              <w:rPr>
                <w:rStyle w:val="ab"/>
                <w:rFonts w:ascii="宋体" w:hAnsi="宋体" w:hint="eastAsia"/>
                <w:b/>
                <w:noProof/>
              </w:rPr>
              <w:t>、基金运作情况说明</w:t>
            </w:r>
            <w:r w:rsidR="00436D7F" w:rsidRPr="00AE5F6A">
              <w:rPr>
                <w:noProof/>
                <w:webHidden/>
              </w:rPr>
              <w:tab/>
            </w:r>
            <w:r w:rsidRPr="00AE5F6A">
              <w:rPr>
                <w:noProof/>
                <w:webHidden/>
              </w:rPr>
              <w:fldChar w:fldCharType="begin"/>
            </w:r>
            <w:r w:rsidR="00436D7F" w:rsidRPr="00AE5F6A">
              <w:rPr>
                <w:noProof/>
                <w:webHidden/>
              </w:rPr>
              <w:instrText xml:space="preserve"> PAGEREF _Toc491963082 \h </w:instrText>
            </w:r>
            <w:r w:rsidRPr="00AE5F6A">
              <w:rPr>
                <w:noProof/>
                <w:webHidden/>
              </w:rPr>
            </w:r>
            <w:r w:rsidRPr="00AE5F6A">
              <w:rPr>
                <w:noProof/>
                <w:webHidden/>
              </w:rPr>
              <w:fldChar w:fldCharType="separate"/>
            </w:r>
            <w:r w:rsidR="003C62D7">
              <w:rPr>
                <w:noProof/>
                <w:webHidden/>
              </w:rPr>
              <w:t>2</w:t>
            </w:r>
            <w:r w:rsidRPr="00AE5F6A">
              <w:rPr>
                <w:noProof/>
                <w:webHidden/>
              </w:rPr>
              <w:fldChar w:fldCharType="end"/>
            </w:r>
          </w:hyperlink>
        </w:p>
        <w:p w:rsidR="00436D7F" w:rsidRPr="00AE5F6A" w:rsidRDefault="00604955">
          <w:pPr>
            <w:pStyle w:val="10"/>
            <w:tabs>
              <w:tab w:val="right" w:leader="dot" w:pos="8296"/>
            </w:tabs>
            <w:rPr>
              <w:rFonts w:asciiTheme="minorHAnsi" w:eastAsiaTheme="minorEastAsia" w:hAnsiTheme="minorHAnsi" w:cstheme="minorBidi"/>
              <w:noProof/>
              <w:szCs w:val="22"/>
            </w:rPr>
          </w:pPr>
          <w:hyperlink w:anchor="_Toc491963083" w:history="1">
            <w:r w:rsidR="00436D7F" w:rsidRPr="00AE5F6A">
              <w:rPr>
                <w:rStyle w:val="ab"/>
                <w:rFonts w:ascii="宋体" w:hAnsi="宋体"/>
                <w:b/>
                <w:noProof/>
              </w:rPr>
              <w:t>4</w:t>
            </w:r>
            <w:r w:rsidR="00436D7F" w:rsidRPr="00AE5F6A">
              <w:rPr>
                <w:rStyle w:val="ab"/>
                <w:rFonts w:ascii="宋体" w:hAnsi="宋体" w:hint="eastAsia"/>
                <w:b/>
                <w:noProof/>
              </w:rPr>
              <w:t>、财务报告</w:t>
            </w:r>
            <w:r w:rsidR="00436D7F" w:rsidRPr="00AE5F6A">
              <w:rPr>
                <w:noProof/>
                <w:webHidden/>
              </w:rPr>
              <w:tab/>
            </w:r>
            <w:r w:rsidRPr="00AE5F6A">
              <w:rPr>
                <w:noProof/>
                <w:webHidden/>
              </w:rPr>
              <w:fldChar w:fldCharType="begin"/>
            </w:r>
            <w:r w:rsidR="00436D7F" w:rsidRPr="00AE5F6A">
              <w:rPr>
                <w:noProof/>
                <w:webHidden/>
              </w:rPr>
              <w:instrText xml:space="preserve"> PAGEREF _Toc491963083 \h </w:instrText>
            </w:r>
            <w:r w:rsidRPr="00AE5F6A">
              <w:rPr>
                <w:noProof/>
                <w:webHidden/>
              </w:rPr>
            </w:r>
            <w:r w:rsidRPr="00AE5F6A">
              <w:rPr>
                <w:noProof/>
                <w:webHidden/>
              </w:rPr>
              <w:fldChar w:fldCharType="separate"/>
            </w:r>
            <w:r w:rsidR="003C62D7">
              <w:rPr>
                <w:noProof/>
                <w:webHidden/>
              </w:rPr>
              <w:t>3</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4" w:history="1">
            <w:r w:rsidR="00436D7F" w:rsidRPr="00AE5F6A">
              <w:rPr>
                <w:rStyle w:val="ab"/>
                <w:rFonts w:ascii="宋体" w:hAnsi="宋体"/>
                <w:noProof/>
                <w:kern w:val="0"/>
              </w:rPr>
              <w:t xml:space="preserve">4.1 </w:t>
            </w:r>
            <w:r w:rsidR="00436D7F" w:rsidRPr="00AE5F6A">
              <w:rPr>
                <w:rStyle w:val="ab"/>
                <w:rFonts w:ascii="宋体" w:hAnsi="宋体" w:hint="eastAsia"/>
                <w:noProof/>
                <w:kern w:val="0"/>
              </w:rPr>
              <w:t>资产负债表</w:t>
            </w:r>
            <w:r w:rsidR="00436D7F" w:rsidRPr="00AE5F6A">
              <w:rPr>
                <w:noProof/>
                <w:webHidden/>
              </w:rPr>
              <w:tab/>
            </w:r>
            <w:r w:rsidRPr="00AE5F6A">
              <w:rPr>
                <w:noProof/>
                <w:webHidden/>
              </w:rPr>
              <w:fldChar w:fldCharType="begin"/>
            </w:r>
            <w:r w:rsidR="00436D7F" w:rsidRPr="00AE5F6A">
              <w:rPr>
                <w:noProof/>
                <w:webHidden/>
              </w:rPr>
              <w:instrText xml:space="preserve"> PAGEREF _Toc491963084 \h </w:instrText>
            </w:r>
            <w:r w:rsidRPr="00AE5F6A">
              <w:rPr>
                <w:noProof/>
                <w:webHidden/>
              </w:rPr>
            </w:r>
            <w:r w:rsidRPr="00AE5F6A">
              <w:rPr>
                <w:noProof/>
                <w:webHidden/>
              </w:rPr>
              <w:fldChar w:fldCharType="separate"/>
            </w:r>
            <w:r w:rsidR="003C62D7">
              <w:rPr>
                <w:noProof/>
                <w:webHidden/>
              </w:rPr>
              <w:t>3</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5" w:history="1">
            <w:r w:rsidR="00436D7F" w:rsidRPr="00AE5F6A">
              <w:rPr>
                <w:rStyle w:val="ab"/>
                <w:rFonts w:ascii="宋体" w:hAnsi="宋体"/>
                <w:noProof/>
                <w:kern w:val="0"/>
              </w:rPr>
              <w:t xml:space="preserve">4.2 </w:t>
            </w:r>
            <w:r w:rsidR="00436D7F" w:rsidRPr="00AE5F6A">
              <w:rPr>
                <w:rStyle w:val="ab"/>
                <w:rFonts w:ascii="宋体" w:hAnsi="宋体" w:hint="eastAsia"/>
                <w:noProof/>
                <w:kern w:val="0"/>
              </w:rPr>
              <w:t>清算损益表</w:t>
            </w:r>
            <w:r w:rsidR="00436D7F" w:rsidRPr="00AE5F6A">
              <w:rPr>
                <w:noProof/>
                <w:webHidden/>
              </w:rPr>
              <w:tab/>
            </w:r>
            <w:r w:rsidRPr="00AE5F6A">
              <w:rPr>
                <w:noProof/>
                <w:webHidden/>
              </w:rPr>
              <w:fldChar w:fldCharType="begin"/>
            </w:r>
            <w:r w:rsidR="00436D7F" w:rsidRPr="00AE5F6A">
              <w:rPr>
                <w:noProof/>
                <w:webHidden/>
              </w:rPr>
              <w:instrText xml:space="preserve"> PAGEREF _Toc491963085 \h </w:instrText>
            </w:r>
            <w:r w:rsidRPr="00AE5F6A">
              <w:rPr>
                <w:noProof/>
                <w:webHidden/>
              </w:rPr>
            </w:r>
            <w:r w:rsidRPr="00AE5F6A">
              <w:rPr>
                <w:noProof/>
                <w:webHidden/>
              </w:rPr>
              <w:fldChar w:fldCharType="separate"/>
            </w:r>
            <w:r w:rsidR="003C62D7">
              <w:rPr>
                <w:noProof/>
                <w:webHidden/>
              </w:rPr>
              <w:t>3</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6" w:history="1">
            <w:r w:rsidR="00DB3DDE" w:rsidRPr="00AE5F6A">
              <w:rPr>
                <w:rStyle w:val="ab"/>
                <w:rFonts w:ascii="宋体" w:hAnsi="宋体"/>
                <w:noProof/>
                <w:kern w:val="0"/>
              </w:rPr>
              <w:t>4.3</w:t>
            </w:r>
            <w:r w:rsidR="00436D7F" w:rsidRPr="00AE5F6A">
              <w:rPr>
                <w:rStyle w:val="ab"/>
                <w:rFonts w:ascii="宋体" w:hAnsi="宋体" w:hint="eastAsia"/>
                <w:noProof/>
                <w:kern w:val="0"/>
              </w:rPr>
              <w:t>报表附注</w:t>
            </w:r>
            <w:r w:rsidR="00436D7F" w:rsidRPr="00AE5F6A">
              <w:rPr>
                <w:noProof/>
                <w:webHidden/>
              </w:rPr>
              <w:tab/>
            </w:r>
            <w:r w:rsidRPr="00AE5F6A">
              <w:rPr>
                <w:noProof/>
                <w:webHidden/>
              </w:rPr>
              <w:fldChar w:fldCharType="begin"/>
            </w:r>
            <w:r w:rsidR="00436D7F" w:rsidRPr="00AE5F6A">
              <w:rPr>
                <w:noProof/>
                <w:webHidden/>
              </w:rPr>
              <w:instrText xml:space="preserve"> PAGEREF _Toc491963086 \h </w:instrText>
            </w:r>
            <w:r w:rsidRPr="00AE5F6A">
              <w:rPr>
                <w:noProof/>
                <w:webHidden/>
              </w:rPr>
            </w:r>
            <w:r w:rsidRPr="00AE5F6A">
              <w:rPr>
                <w:noProof/>
                <w:webHidden/>
              </w:rPr>
              <w:fldChar w:fldCharType="separate"/>
            </w:r>
            <w:r w:rsidR="003C62D7">
              <w:rPr>
                <w:noProof/>
                <w:webHidden/>
              </w:rPr>
              <w:t>4</w:t>
            </w:r>
            <w:r w:rsidRPr="00AE5F6A">
              <w:rPr>
                <w:noProof/>
                <w:webHidden/>
              </w:rPr>
              <w:fldChar w:fldCharType="end"/>
            </w:r>
          </w:hyperlink>
        </w:p>
        <w:p w:rsidR="00436D7F" w:rsidRPr="00AE5F6A" w:rsidRDefault="00604955">
          <w:pPr>
            <w:pStyle w:val="10"/>
            <w:tabs>
              <w:tab w:val="right" w:leader="dot" w:pos="8296"/>
            </w:tabs>
            <w:rPr>
              <w:rFonts w:asciiTheme="minorHAnsi" w:eastAsiaTheme="minorEastAsia" w:hAnsiTheme="minorHAnsi" w:cstheme="minorBidi"/>
              <w:noProof/>
              <w:szCs w:val="22"/>
            </w:rPr>
          </w:pPr>
          <w:hyperlink w:anchor="_Toc491963087" w:history="1">
            <w:r w:rsidR="00436D7F" w:rsidRPr="00AE5F6A">
              <w:rPr>
                <w:rStyle w:val="ab"/>
                <w:rFonts w:ascii="宋体" w:hAnsi="宋体"/>
                <w:b/>
                <w:noProof/>
              </w:rPr>
              <w:t>5</w:t>
            </w:r>
            <w:r w:rsidR="00436D7F" w:rsidRPr="00AE5F6A">
              <w:rPr>
                <w:rStyle w:val="ab"/>
                <w:rFonts w:ascii="宋体" w:hAnsi="宋体" w:hint="eastAsia"/>
                <w:b/>
                <w:noProof/>
              </w:rPr>
              <w:t>、清算情况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_Toc491963087 \h </w:instrText>
            </w:r>
            <w:r w:rsidRPr="00AE5F6A">
              <w:rPr>
                <w:noProof/>
                <w:webHidden/>
              </w:rPr>
            </w:r>
            <w:r w:rsidRPr="00AE5F6A">
              <w:rPr>
                <w:noProof/>
                <w:webHidden/>
              </w:rPr>
              <w:fldChar w:fldCharType="separate"/>
            </w:r>
            <w:r w:rsidR="003C62D7">
              <w:rPr>
                <w:noProof/>
                <w:webHidden/>
              </w:rPr>
              <w:t>6</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8" w:history="1">
            <w:r w:rsidR="00436D7F" w:rsidRPr="00AE5F6A">
              <w:rPr>
                <w:rStyle w:val="ab"/>
                <w:rFonts w:ascii="宋体" w:hAnsi="宋体"/>
                <w:noProof/>
                <w:kern w:val="0"/>
              </w:rPr>
              <w:t xml:space="preserve">5.1 </w:t>
            </w:r>
            <w:r w:rsidR="00436D7F" w:rsidRPr="00AE5F6A">
              <w:rPr>
                <w:rStyle w:val="ab"/>
                <w:rFonts w:ascii="宋体" w:hAnsi="宋体" w:hint="eastAsia"/>
                <w:noProof/>
                <w:kern w:val="0"/>
              </w:rPr>
              <w:t>资产负债清算情况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_Toc491963088 \h </w:instrText>
            </w:r>
            <w:r w:rsidRPr="00AE5F6A">
              <w:rPr>
                <w:noProof/>
                <w:webHidden/>
              </w:rPr>
            </w:r>
            <w:r w:rsidRPr="00AE5F6A">
              <w:rPr>
                <w:noProof/>
                <w:webHidden/>
              </w:rPr>
              <w:fldChar w:fldCharType="separate"/>
            </w:r>
            <w:r w:rsidR="003C62D7">
              <w:rPr>
                <w:noProof/>
                <w:webHidden/>
              </w:rPr>
              <w:t>6</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89" w:history="1">
            <w:r w:rsidR="00436D7F" w:rsidRPr="00AE5F6A">
              <w:rPr>
                <w:rStyle w:val="ab"/>
                <w:rFonts w:ascii="宋体" w:hAnsi="宋体"/>
                <w:noProof/>
                <w:kern w:val="0"/>
              </w:rPr>
              <w:t xml:space="preserve">5.2 </w:t>
            </w:r>
            <w:r w:rsidR="00436D7F" w:rsidRPr="00AE5F6A">
              <w:rPr>
                <w:rStyle w:val="ab"/>
                <w:rFonts w:ascii="宋体" w:hAnsi="宋体" w:hint="eastAsia"/>
                <w:noProof/>
                <w:kern w:val="0"/>
              </w:rPr>
              <w:t>截至本次清算期结束日的剩余财产情况及剩余财产分配安排</w:t>
            </w:r>
            <w:r w:rsidR="00436D7F" w:rsidRPr="00AE5F6A">
              <w:rPr>
                <w:noProof/>
                <w:webHidden/>
              </w:rPr>
              <w:tab/>
            </w:r>
            <w:r w:rsidRPr="00AE5F6A">
              <w:rPr>
                <w:noProof/>
                <w:webHidden/>
              </w:rPr>
              <w:fldChar w:fldCharType="begin"/>
            </w:r>
            <w:r w:rsidR="00436D7F" w:rsidRPr="00AE5F6A">
              <w:rPr>
                <w:noProof/>
                <w:webHidden/>
              </w:rPr>
              <w:instrText xml:space="preserve"> PAGEREF _Toc491963089 \h </w:instrText>
            </w:r>
            <w:r w:rsidRPr="00AE5F6A">
              <w:rPr>
                <w:noProof/>
                <w:webHidden/>
              </w:rPr>
            </w:r>
            <w:r w:rsidRPr="00AE5F6A">
              <w:rPr>
                <w:noProof/>
                <w:webHidden/>
              </w:rPr>
              <w:fldChar w:fldCharType="separate"/>
            </w:r>
            <w:r w:rsidR="003C62D7">
              <w:rPr>
                <w:noProof/>
                <w:webHidden/>
              </w:rPr>
              <w:t>7</w:t>
            </w:r>
            <w:r w:rsidRPr="00AE5F6A">
              <w:rPr>
                <w:noProof/>
                <w:webHidden/>
              </w:rPr>
              <w:fldChar w:fldCharType="end"/>
            </w:r>
          </w:hyperlink>
        </w:p>
        <w:p w:rsidR="00436D7F" w:rsidRPr="00AE5F6A" w:rsidRDefault="00604955">
          <w:pPr>
            <w:pStyle w:val="10"/>
            <w:tabs>
              <w:tab w:val="right" w:leader="dot" w:pos="8296"/>
            </w:tabs>
            <w:rPr>
              <w:rFonts w:asciiTheme="minorHAnsi" w:eastAsiaTheme="minorEastAsia" w:hAnsiTheme="minorHAnsi" w:cstheme="minorBidi"/>
              <w:noProof/>
              <w:szCs w:val="22"/>
            </w:rPr>
          </w:pPr>
          <w:hyperlink w:anchor="_Toc491963090" w:history="1">
            <w:r w:rsidR="00436D7F" w:rsidRPr="00AE5F6A">
              <w:rPr>
                <w:rStyle w:val="ab"/>
                <w:rFonts w:ascii="宋体" w:hAnsi="宋体"/>
                <w:b/>
                <w:noProof/>
              </w:rPr>
              <w:t>6</w:t>
            </w:r>
            <w:r w:rsidR="00436D7F" w:rsidRPr="00AE5F6A">
              <w:rPr>
                <w:rStyle w:val="ab"/>
                <w:rFonts w:ascii="宋体" w:hAnsi="宋体" w:hint="eastAsia"/>
                <w:b/>
                <w:noProof/>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_Toc491963090 \h </w:instrText>
            </w:r>
            <w:r w:rsidRPr="00AE5F6A">
              <w:rPr>
                <w:noProof/>
                <w:webHidden/>
              </w:rPr>
            </w:r>
            <w:r w:rsidRPr="00AE5F6A">
              <w:rPr>
                <w:noProof/>
                <w:webHidden/>
              </w:rPr>
              <w:fldChar w:fldCharType="separate"/>
            </w:r>
            <w:r w:rsidR="003C62D7">
              <w:rPr>
                <w:noProof/>
                <w:webHidden/>
              </w:rPr>
              <w:t>7</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91" w:history="1">
            <w:r w:rsidR="00436D7F" w:rsidRPr="00AE5F6A">
              <w:rPr>
                <w:rStyle w:val="ab"/>
                <w:rFonts w:ascii="宋体" w:hAnsi="宋体"/>
                <w:noProof/>
                <w:kern w:val="0"/>
              </w:rPr>
              <w:t xml:space="preserve">6.1 </w:t>
            </w:r>
            <w:r w:rsidR="00436D7F" w:rsidRPr="00AE5F6A">
              <w:rPr>
                <w:rStyle w:val="ab"/>
                <w:rFonts w:ascii="宋体" w:hAnsi="宋体" w:hint="eastAsia"/>
                <w:noProof/>
                <w:kern w:val="0"/>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_Toc491963091 \h </w:instrText>
            </w:r>
            <w:r w:rsidRPr="00AE5F6A">
              <w:rPr>
                <w:noProof/>
                <w:webHidden/>
              </w:rPr>
            </w:r>
            <w:r w:rsidRPr="00AE5F6A">
              <w:rPr>
                <w:noProof/>
                <w:webHidden/>
              </w:rPr>
              <w:fldChar w:fldCharType="separate"/>
            </w:r>
            <w:r w:rsidR="003C62D7">
              <w:rPr>
                <w:noProof/>
                <w:webHidden/>
              </w:rPr>
              <w:t>7</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92" w:history="1">
            <w:r w:rsidR="00436D7F" w:rsidRPr="00AE5F6A">
              <w:rPr>
                <w:rStyle w:val="ab"/>
                <w:rFonts w:ascii="宋体" w:hAnsi="宋体"/>
                <w:noProof/>
                <w:kern w:val="0"/>
              </w:rPr>
              <w:t xml:space="preserve">6.2 </w:t>
            </w:r>
            <w:r w:rsidR="00436D7F" w:rsidRPr="00AE5F6A">
              <w:rPr>
                <w:rStyle w:val="ab"/>
                <w:rFonts w:ascii="宋体" w:hAnsi="宋体" w:hint="eastAsia"/>
                <w:noProof/>
                <w:kern w:val="0"/>
              </w:rPr>
              <w:t>存放地点</w:t>
            </w:r>
            <w:r w:rsidR="00436D7F" w:rsidRPr="00AE5F6A">
              <w:rPr>
                <w:noProof/>
                <w:webHidden/>
              </w:rPr>
              <w:tab/>
            </w:r>
            <w:r w:rsidRPr="00AE5F6A">
              <w:rPr>
                <w:noProof/>
                <w:webHidden/>
              </w:rPr>
              <w:fldChar w:fldCharType="begin"/>
            </w:r>
            <w:r w:rsidR="00436D7F" w:rsidRPr="00AE5F6A">
              <w:rPr>
                <w:noProof/>
                <w:webHidden/>
              </w:rPr>
              <w:instrText xml:space="preserve"> PAGEREF _Toc491963092 \h </w:instrText>
            </w:r>
            <w:r w:rsidRPr="00AE5F6A">
              <w:rPr>
                <w:noProof/>
                <w:webHidden/>
              </w:rPr>
            </w:r>
            <w:r w:rsidRPr="00AE5F6A">
              <w:rPr>
                <w:noProof/>
                <w:webHidden/>
              </w:rPr>
              <w:fldChar w:fldCharType="separate"/>
            </w:r>
            <w:r w:rsidR="003C62D7">
              <w:rPr>
                <w:noProof/>
                <w:webHidden/>
              </w:rPr>
              <w:t>7</w:t>
            </w:r>
            <w:r w:rsidRPr="00AE5F6A">
              <w:rPr>
                <w:noProof/>
                <w:webHidden/>
              </w:rPr>
              <w:fldChar w:fldCharType="end"/>
            </w:r>
          </w:hyperlink>
        </w:p>
        <w:p w:rsidR="00436D7F" w:rsidRPr="00AE5F6A" w:rsidRDefault="00604955">
          <w:pPr>
            <w:pStyle w:val="22"/>
            <w:tabs>
              <w:tab w:val="right" w:leader="dot" w:pos="8296"/>
            </w:tabs>
            <w:rPr>
              <w:rFonts w:asciiTheme="minorHAnsi" w:eastAsiaTheme="minorEastAsia" w:hAnsiTheme="minorHAnsi" w:cstheme="minorBidi"/>
              <w:noProof/>
              <w:szCs w:val="22"/>
            </w:rPr>
          </w:pPr>
          <w:hyperlink w:anchor="_Toc491963093" w:history="1">
            <w:r w:rsidR="00436D7F" w:rsidRPr="00AE5F6A">
              <w:rPr>
                <w:rStyle w:val="ab"/>
                <w:rFonts w:ascii="宋体" w:hAnsi="宋体"/>
                <w:noProof/>
                <w:kern w:val="0"/>
              </w:rPr>
              <w:t xml:space="preserve">6.3 </w:t>
            </w:r>
            <w:r w:rsidR="00436D7F" w:rsidRPr="00AE5F6A">
              <w:rPr>
                <w:rStyle w:val="ab"/>
                <w:rFonts w:ascii="宋体" w:hAnsi="宋体" w:hint="eastAsia"/>
                <w:noProof/>
                <w:kern w:val="0"/>
              </w:rPr>
              <w:t>查阅方式</w:t>
            </w:r>
            <w:r w:rsidR="00436D7F" w:rsidRPr="00AE5F6A">
              <w:rPr>
                <w:noProof/>
                <w:webHidden/>
              </w:rPr>
              <w:tab/>
            </w:r>
            <w:r w:rsidRPr="00AE5F6A">
              <w:rPr>
                <w:noProof/>
                <w:webHidden/>
              </w:rPr>
              <w:fldChar w:fldCharType="begin"/>
            </w:r>
            <w:r w:rsidR="00436D7F" w:rsidRPr="00AE5F6A">
              <w:rPr>
                <w:noProof/>
                <w:webHidden/>
              </w:rPr>
              <w:instrText xml:space="preserve"> PAGEREF _Toc491963093 \h </w:instrText>
            </w:r>
            <w:r w:rsidRPr="00AE5F6A">
              <w:rPr>
                <w:noProof/>
                <w:webHidden/>
              </w:rPr>
            </w:r>
            <w:r w:rsidRPr="00AE5F6A">
              <w:rPr>
                <w:noProof/>
                <w:webHidden/>
              </w:rPr>
              <w:fldChar w:fldCharType="separate"/>
            </w:r>
            <w:r w:rsidR="003C62D7">
              <w:rPr>
                <w:noProof/>
                <w:webHidden/>
              </w:rPr>
              <w:t>8</w:t>
            </w:r>
            <w:r w:rsidRPr="00AE5F6A">
              <w:rPr>
                <w:noProof/>
                <w:webHidden/>
              </w:rPr>
              <w:fldChar w:fldCharType="end"/>
            </w:r>
          </w:hyperlink>
        </w:p>
        <w:p w:rsidR="00587EB1" w:rsidRPr="00AE5F6A" w:rsidRDefault="00604955">
          <w:r w:rsidRPr="00AE5F6A">
            <w:rPr>
              <w:b/>
              <w:bCs/>
              <w:lang w:val="zh-CN"/>
            </w:rPr>
            <w:fldChar w:fldCharType="end"/>
          </w:r>
        </w:p>
      </w:sdtContent>
    </w:sdt>
    <w:p w:rsidR="00A862A8" w:rsidRDefault="00A862A8">
      <w:pPr>
        <w:widowControl/>
        <w:jc w:val="left"/>
        <w:rPr>
          <w:rStyle w:val="2CharCharChar"/>
          <w:rFonts w:ascii="宋体" w:hAnsi="宋体"/>
        </w:rPr>
      </w:pPr>
      <w:bookmarkStart w:id="3" w:name="_Toc491963077"/>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A862A8">
      <w:pPr>
        <w:widowControl/>
        <w:jc w:val="center"/>
        <w:rPr>
          <w:rStyle w:val="2CharCharChar"/>
          <w:rFonts w:ascii="宋体" w:hAnsi="宋体"/>
        </w:rPr>
      </w:pPr>
      <w:r w:rsidRPr="00AE5F6A">
        <w:rPr>
          <w:rStyle w:val="2CharCharChar"/>
          <w:rFonts w:ascii="宋体" w:hAnsi="宋体" w:hint="eastAsia"/>
        </w:rPr>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491963078"/>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8F4681" w:rsidP="008F4681">
      <w:pPr>
        <w:spacing w:line="360" w:lineRule="auto"/>
        <w:ind w:firstLineChars="200" w:firstLine="420"/>
        <w:rPr>
          <w:rFonts w:ascii="宋体" w:hAnsi="宋体" w:cs="Arial"/>
          <w:color w:val="000000"/>
          <w:szCs w:val="21"/>
        </w:rPr>
      </w:pPr>
      <w:r w:rsidRPr="008F4681">
        <w:rPr>
          <w:rFonts w:ascii="宋体" w:hAnsi="宋体" w:cs="Arial" w:hint="eastAsia"/>
          <w:color w:val="000000"/>
          <w:szCs w:val="21"/>
        </w:rPr>
        <w:t>博时灵活配置混合型证券投资基金经中国证券监督管理委员会证监许可[2013]第626号</w:t>
      </w:r>
      <w:r w:rsidRPr="008F4681">
        <w:rPr>
          <w:rFonts w:ascii="宋体" w:hAnsi="宋体" w:cs="Arial"/>
          <w:color w:val="000000"/>
          <w:szCs w:val="21"/>
        </w:rPr>
        <w:t>核准</w:t>
      </w:r>
      <w:r w:rsidR="00E444C3" w:rsidRPr="00AE5F6A">
        <w:rPr>
          <w:rFonts w:ascii="宋体" w:hAnsi="宋体" w:cs="Arial"/>
          <w:color w:val="000000"/>
          <w:szCs w:val="21"/>
        </w:rPr>
        <w:t>，于</w:t>
      </w:r>
      <w:r w:rsidRPr="008F4681">
        <w:rPr>
          <w:rFonts w:ascii="宋体" w:hAnsi="宋体" w:cs="Arial"/>
          <w:color w:val="000000"/>
          <w:szCs w:val="21"/>
        </w:rPr>
        <w:t>2013年11月8日</w:t>
      </w:r>
      <w:r w:rsidR="00E444C3" w:rsidRPr="00AE5F6A">
        <w:rPr>
          <w:rFonts w:ascii="宋体" w:hAnsi="宋体" w:cs="Arial" w:hint="eastAsia"/>
          <w:color w:val="000000"/>
          <w:szCs w:val="21"/>
        </w:rPr>
        <w:t>成立并正式运作。</w:t>
      </w:r>
    </w:p>
    <w:p w:rsidR="008F4681" w:rsidRPr="00CC38BC" w:rsidRDefault="008F4681" w:rsidP="00CC38BC">
      <w:pPr>
        <w:spacing w:line="360" w:lineRule="auto"/>
        <w:ind w:firstLineChars="200" w:firstLine="420"/>
        <w:rPr>
          <w:rFonts w:ascii="宋体" w:hAnsi="宋体" w:cs="Arial"/>
          <w:color w:val="000000"/>
          <w:szCs w:val="21"/>
        </w:rPr>
      </w:pPr>
      <w:r>
        <w:rPr>
          <w:rFonts w:ascii="宋体" w:hAnsi="宋体" w:cs="Arial" w:hint="eastAsia"/>
          <w:color w:val="000000"/>
          <w:szCs w:val="21"/>
        </w:rPr>
        <w:t>由于市场环境变化，为保护基金份额持有人利益，根据</w:t>
      </w:r>
      <w:r w:rsidRPr="00CC38BC">
        <w:rPr>
          <w:rFonts w:ascii="宋体" w:hAnsi="宋体" w:cs="Arial" w:hint="eastAsia"/>
          <w:color w:val="000000"/>
          <w:szCs w:val="21"/>
        </w:rPr>
        <w:t>《中华人民共和国证券投资基金法》、《公开募集证券投资基金运作管理办法》和《博时灵活配置混合型证券投资基金基金合同》的有关规定，</w:t>
      </w:r>
      <w:r w:rsidR="00CC38BC" w:rsidRPr="00CC38BC">
        <w:rPr>
          <w:rFonts w:ascii="宋体" w:hAnsi="宋体" w:cs="Arial" w:hint="eastAsia"/>
          <w:color w:val="000000"/>
          <w:szCs w:val="21"/>
        </w:rPr>
        <w:t>本基金基金份额持有人大会于</w:t>
      </w:r>
      <w:r w:rsidR="00CC38BC" w:rsidRPr="00CC38BC">
        <w:rPr>
          <w:rFonts w:ascii="宋体" w:hAnsi="宋体" w:cs="Arial"/>
          <w:color w:val="000000"/>
          <w:szCs w:val="21"/>
        </w:rPr>
        <w:t>2018年1月19日</w:t>
      </w:r>
      <w:r w:rsidR="00CC38BC" w:rsidRPr="00CC38BC">
        <w:rPr>
          <w:rFonts w:ascii="宋体" w:hAnsi="宋体" w:cs="Arial" w:hint="eastAsia"/>
          <w:color w:val="000000"/>
          <w:szCs w:val="21"/>
        </w:rPr>
        <w:t>表决通过的《</w:t>
      </w:r>
      <w:r w:rsidR="00CC38BC" w:rsidRPr="00CC38BC">
        <w:rPr>
          <w:rFonts w:hint="eastAsia"/>
          <w:color w:val="000000"/>
          <w:szCs w:val="21"/>
        </w:rPr>
        <w:t>关于终止博时灵活配置混合型证券投资基金基金合同有关事项的议案</w:t>
      </w:r>
      <w:r w:rsidR="00CC38BC" w:rsidRPr="00CC38BC">
        <w:rPr>
          <w:rFonts w:ascii="宋体" w:hAnsi="宋体" w:cs="Arial" w:hint="eastAsia"/>
          <w:color w:val="000000"/>
          <w:szCs w:val="21"/>
        </w:rPr>
        <w:t>》以及博时基金管理有限公司于201</w:t>
      </w:r>
      <w:r w:rsidR="00CC38BC">
        <w:rPr>
          <w:rFonts w:ascii="宋体" w:hAnsi="宋体" w:cs="Arial" w:hint="eastAsia"/>
          <w:color w:val="000000"/>
          <w:szCs w:val="21"/>
        </w:rPr>
        <w:t>8</w:t>
      </w:r>
      <w:r w:rsidR="00CC38BC" w:rsidRPr="00CC38BC">
        <w:rPr>
          <w:rFonts w:ascii="宋体" w:hAnsi="宋体" w:cs="Arial" w:hint="eastAsia"/>
          <w:color w:val="000000"/>
          <w:szCs w:val="21"/>
        </w:rPr>
        <w:t>年</w:t>
      </w:r>
      <w:r w:rsidR="00CC38BC">
        <w:rPr>
          <w:rFonts w:ascii="宋体" w:hAnsi="宋体" w:cs="Arial" w:hint="eastAsia"/>
          <w:color w:val="000000"/>
          <w:szCs w:val="21"/>
        </w:rPr>
        <w:t>1</w:t>
      </w:r>
      <w:r w:rsidR="00CC38BC" w:rsidRPr="00CC38BC">
        <w:rPr>
          <w:rFonts w:ascii="宋体" w:hAnsi="宋体" w:cs="Arial" w:hint="eastAsia"/>
          <w:color w:val="000000"/>
          <w:szCs w:val="21"/>
        </w:rPr>
        <w:t>月</w:t>
      </w:r>
      <w:r w:rsidR="00CC38BC">
        <w:rPr>
          <w:rFonts w:ascii="宋体" w:hAnsi="宋体" w:cs="Arial" w:hint="eastAsia"/>
          <w:color w:val="000000"/>
          <w:szCs w:val="21"/>
        </w:rPr>
        <w:t>20</w:t>
      </w:r>
      <w:r w:rsidR="00CC38BC" w:rsidRPr="00CC38BC">
        <w:rPr>
          <w:rFonts w:ascii="宋体" w:hAnsi="宋体" w:cs="Arial" w:hint="eastAsia"/>
          <w:color w:val="000000"/>
          <w:szCs w:val="21"/>
        </w:rPr>
        <w:t>日发布的《博时基金管理有限公司关于博时灵活配置混合型证券投资基金基金份额持有人大会表决结果暨决议生效的公告》，本基金的最后运作日定为</w:t>
      </w:r>
      <w:r w:rsidR="00CC38BC">
        <w:rPr>
          <w:rFonts w:ascii="宋体" w:hAnsi="宋体" w:cs="Arial" w:hint="eastAsia"/>
          <w:color w:val="000000"/>
          <w:szCs w:val="21"/>
        </w:rPr>
        <w:t>2018</w:t>
      </w:r>
      <w:r w:rsidR="00CC38BC" w:rsidRPr="00CC38BC">
        <w:rPr>
          <w:rFonts w:ascii="宋体" w:hAnsi="宋体" w:cs="Arial" w:hint="eastAsia"/>
          <w:color w:val="000000"/>
          <w:szCs w:val="21"/>
        </w:rPr>
        <w:t>年</w:t>
      </w:r>
      <w:r w:rsidR="00CC38BC">
        <w:rPr>
          <w:rFonts w:ascii="宋体" w:hAnsi="宋体" w:cs="Arial" w:hint="eastAsia"/>
          <w:color w:val="000000"/>
          <w:szCs w:val="21"/>
        </w:rPr>
        <w:t>1</w:t>
      </w:r>
      <w:r w:rsidR="00CC38BC" w:rsidRPr="00CC38BC">
        <w:rPr>
          <w:rFonts w:ascii="宋体" w:hAnsi="宋体" w:cs="Arial" w:hint="eastAsia"/>
          <w:color w:val="000000"/>
          <w:szCs w:val="21"/>
        </w:rPr>
        <w:t>月</w:t>
      </w:r>
      <w:r w:rsidR="00CC38BC">
        <w:rPr>
          <w:rFonts w:ascii="宋体" w:hAnsi="宋体" w:cs="Arial" w:hint="eastAsia"/>
          <w:color w:val="000000"/>
          <w:szCs w:val="21"/>
        </w:rPr>
        <w:t>22</w:t>
      </w:r>
      <w:r w:rsidR="00CC38BC" w:rsidRPr="00CC38BC">
        <w:rPr>
          <w:rFonts w:ascii="宋体" w:hAnsi="宋体" w:cs="Arial" w:hint="eastAsia"/>
          <w:color w:val="000000"/>
          <w:szCs w:val="21"/>
        </w:rPr>
        <w:t>日，并于</w:t>
      </w:r>
      <w:r w:rsidR="00CC38BC">
        <w:rPr>
          <w:rFonts w:ascii="宋体" w:hAnsi="宋体" w:cs="Arial" w:hint="eastAsia"/>
          <w:color w:val="000000"/>
          <w:szCs w:val="21"/>
        </w:rPr>
        <w:t>2018</w:t>
      </w:r>
      <w:r w:rsidR="00CC38BC" w:rsidRPr="00CC38BC">
        <w:rPr>
          <w:rFonts w:ascii="宋体" w:hAnsi="宋体" w:cs="Arial" w:hint="eastAsia"/>
          <w:color w:val="000000"/>
          <w:szCs w:val="21"/>
        </w:rPr>
        <w:t>年</w:t>
      </w:r>
      <w:r w:rsidR="00CC38BC">
        <w:rPr>
          <w:rFonts w:ascii="宋体" w:hAnsi="宋体" w:cs="Arial" w:hint="eastAsia"/>
          <w:color w:val="000000"/>
          <w:szCs w:val="21"/>
        </w:rPr>
        <w:t>1</w:t>
      </w:r>
      <w:r w:rsidR="00CC38BC" w:rsidRPr="00CC38BC">
        <w:rPr>
          <w:rFonts w:ascii="宋体" w:hAnsi="宋体" w:cs="Arial" w:hint="eastAsia"/>
          <w:color w:val="000000"/>
          <w:szCs w:val="21"/>
        </w:rPr>
        <w:t>月</w:t>
      </w:r>
      <w:r w:rsidR="00CC38BC">
        <w:rPr>
          <w:rFonts w:ascii="宋体" w:hAnsi="宋体" w:cs="Arial" w:hint="eastAsia"/>
          <w:color w:val="000000"/>
          <w:szCs w:val="21"/>
        </w:rPr>
        <w:t>23</w:t>
      </w:r>
      <w:r w:rsidR="00CC38BC" w:rsidRPr="00CC38BC">
        <w:rPr>
          <w:rFonts w:ascii="宋体" w:hAnsi="宋体" w:cs="Arial" w:hint="eastAsia"/>
          <w:color w:val="000000"/>
          <w:szCs w:val="21"/>
        </w:rPr>
        <w:t>日进入清算程序。</w:t>
      </w:r>
    </w:p>
    <w:p w:rsidR="00872860" w:rsidRPr="00AE5F6A" w:rsidRDefault="00CC38BC" w:rsidP="00872860">
      <w:pPr>
        <w:spacing w:line="360" w:lineRule="auto"/>
        <w:ind w:firstLineChars="200" w:firstLine="420"/>
        <w:rPr>
          <w:rFonts w:ascii="宋体" w:hAnsi="宋体" w:cs="Arial"/>
          <w:color w:val="000000"/>
          <w:szCs w:val="21"/>
        </w:rPr>
      </w:pPr>
      <w:r>
        <w:rPr>
          <w:rFonts w:ascii="宋体" w:hAnsi="宋体" w:cs="Arial" w:hint="eastAsia"/>
          <w:color w:val="000000"/>
          <w:szCs w:val="21"/>
        </w:rPr>
        <w:t>2018</w:t>
      </w:r>
      <w:r w:rsidR="00872860" w:rsidRPr="00AE5F6A">
        <w:rPr>
          <w:rFonts w:ascii="宋体" w:hAnsi="宋体" w:cs="Arial" w:hint="eastAsia"/>
          <w:color w:val="000000"/>
          <w:szCs w:val="21"/>
        </w:rPr>
        <w:t>年</w:t>
      </w:r>
      <w:r>
        <w:rPr>
          <w:rFonts w:ascii="宋体" w:hAnsi="宋体" w:cs="Arial" w:hint="eastAsia"/>
          <w:color w:val="000000"/>
          <w:szCs w:val="21"/>
        </w:rPr>
        <w:t>2</w:t>
      </w:r>
      <w:r w:rsidR="00872860" w:rsidRPr="00AE5F6A">
        <w:rPr>
          <w:rFonts w:ascii="宋体" w:hAnsi="宋体" w:cs="Arial" w:hint="eastAsia"/>
          <w:color w:val="000000"/>
          <w:szCs w:val="21"/>
        </w:rPr>
        <w:t>月</w:t>
      </w:r>
      <w:r>
        <w:rPr>
          <w:rFonts w:ascii="宋体" w:hAnsi="宋体" w:cs="Arial" w:hint="eastAsia"/>
          <w:color w:val="000000"/>
          <w:szCs w:val="21"/>
        </w:rPr>
        <w:t>7</w:t>
      </w:r>
      <w:r w:rsidR="00872860" w:rsidRPr="00AE5F6A">
        <w:rPr>
          <w:rFonts w:ascii="宋体" w:hAnsi="宋体" w:cs="Arial" w:hint="eastAsia"/>
          <w:color w:val="000000"/>
          <w:szCs w:val="21"/>
        </w:rPr>
        <w:t>日为本基金清算的最后一日，由本</w:t>
      </w:r>
      <w:r w:rsidRPr="00CC38BC">
        <w:rPr>
          <w:rFonts w:ascii="宋体" w:hAnsi="宋体" w:cs="Arial"/>
          <w:color w:val="000000"/>
          <w:szCs w:val="21"/>
        </w:rPr>
        <w:t>基金管理人</w:t>
      </w:r>
      <w:r w:rsidRPr="00CC38BC">
        <w:rPr>
          <w:rFonts w:ascii="宋体" w:hAnsi="宋体" w:cs="Arial" w:hint="eastAsia"/>
          <w:color w:val="000000"/>
          <w:szCs w:val="21"/>
        </w:rPr>
        <w:t>博时基金管理有限公司</w:t>
      </w:r>
      <w:r w:rsidRPr="00CC38BC">
        <w:rPr>
          <w:rFonts w:ascii="宋体" w:hAnsi="宋体" w:cs="Arial"/>
          <w:color w:val="000000"/>
          <w:szCs w:val="21"/>
        </w:rPr>
        <w:t>、基金托管</w:t>
      </w:r>
      <w:r w:rsidRPr="00CC38BC">
        <w:rPr>
          <w:rFonts w:ascii="宋体" w:hAnsi="宋体" w:cs="Arial" w:hint="eastAsia"/>
          <w:color w:val="000000"/>
          <w:szCs w:val="21"/>
        </w:rPr>
        <w:t>人交通银行股份有限公司</w:t>
      </w:r>
      <w:r w:rsidRPr="00CC38BC">
        <w:rPr>
          <w:rFonts w:ascii="宋体" w:hAnsi="宋体" w:cs="Arial"/>
          <w:color w:val="000000"/>
          <w:szCs w:val="21"/>
        </w:rPr>
        <w:t>、</w:t>
      </w:r>
      <w:r w:rsidRPr="00CC38BC">
        <w:rPr>
          <w:rFonts w:ascii="宋体" w:hAnsi="宋体" w:cs="Arial" w:hint="eastAsia"/>
          <w:color w:val="000000"/>
          <w:szCs w:val="21"/>
        </w:rPr>
        <w:t>普华永道中天会计师事务所（特殊普通合伙）</w:t>
      </w:r>
      <w:r w:rsidRPr="00CC38BC">
        <w:rPr>
          <w:rFonts w:ascii="宋体" w:hAnsi="宋体" w:cs="Arial"/>
          <w:color w:val="000000"/>
          <w:szCs w:val="21"/>
        </w:rPr>
        <w:t>、</w:t>
      </w:r>
      <w:r w:rsidRPr="00CC38BC">
        <w:rPr>
          <w:rFonts w:ascii="宋体" w:hAnsi="宋体" w:cs="Arial" w:hint="eastAsia"/>
          <w:color w:val="000000"/>
          <w:szCs w:val="21"/>
        </w:rPr>
        <w:t>上海市通力律师事务所</w:t>
      </w:r>
      <w:r w:rsidR="00872860" w:rsidRPr="00AE5F6A">
        <w:rPr>
          <w:rFonts w:ascii="宋体" w:hAnsi="宋体" w:cs="Arial" w:hint="eastAsia"/>
          <w:color w:val="000000"/>
          <w:szCs w:val="21"/>
        </w:rPr>
        <w:t>组成基金财产清算小组履行基金财产清算程序，并由</w:t>
      </w:r>
      <w:r w:rsidRPr="00CC38BC">
        <w:rPr>
          <w:rFonts w:ascii="宋体" w:hAnsi="宋体" w:cs="Arial" w:hint="eastAsia"/>
          <w:color w:val="000000"/>
          <w:szCs w:val="21"/>
        </w:rPr>
        <w:t>普华永道中天会计师事务所（特殊普通合伙）</w:t>
      </w:r>
      <w:r w:rsidR="00872860" w:rsidRPr="00AE5F6A">
        <w:rPr>
          <w:rFonts w:ascii="宋体" w:hAnsi="宋体" w:cs="Arial" w:hint="eastAsia"/>
          <w:color w:val="000000"/>
          <w:szCs w:val="21"/>
        </w:rPr>
        <w:t>对</w:t>
      </w:r>
      <w:r w:rsidR="00E667C5" w:rsidRPr="00AE5F6A">
        <w:rPr>
          <w:rFonts w:ascii="宋体" w:hAnsi="宋体" w:cs="Arial" w:hint="eastAsia"/>
          <w:color w:val="000000"/>
          <w:szCs w:val="21"/>
        </w:rPr>
        <w:t>本基金进行清算审计</w:t>
      </w:r>
      <w:r w:rsidR="00872860" w:rsidRPr="00AE5F6A">
        <w:rPr>
          <w:rFonts w:ascii="宋体" w:hAnsi="宋体" w:cs="Arial" w:hint="eastAsia"/>
          <w:color w:val="000000"/>
          <w:szCs w:val="21"/>
        </w:rPr>
        <w:t>，</w:t>
      </w:r>
      <w:r w:rsidRPr="00CC38BC">
        <w:rPr>
          <w:rFonts w:ascii="宋体" w:hAnsi="宋体" w:cs="Arial" w:hint="eastAsia"/>
          <w:color w:val="000000"/>
          <w:szCs w:val="21"/>
        </w:rPr>
        <w:t>上海市通力律师事务所</w:t>
      </w:r>
      <w:r w:rsidR="00872860" w:rsidRPr="00AE5F6A">
        <w:rPr>
          <w:rFonts w:ascii="宋体" w:hAnsi="宋体" w:cs="Arial" w:hint="eastAsia"/>
          <w:color w:val="000000"/>
          <w:szCs w:val="21"/>
        </w:rPr>
        <w:t>对</w:t>
      </w:r>
      <w:r w:rsidR="00E667C5" w:rsidRPr="00AE5F6A">
        <w:rPr>
          <w:rFonts w:ascii="宋体" w:hAnsi="宋体" w:cs="Arial" w:hint="eastAsia"/>
          <w:color w:val="000000"/>
          <w:szCs w:val="21"/>
        </w:rPr>
        <w:t>清算事宜出具法律意见。</w:t>
      </w:r>
    </w:p>
    <w:p w:rsidR="00872860" w:rsidRPr="00AE5F6A" w:rsidRDefault="00872860" w:rsidP="009C2B45">
      <w:pPr>
        <w:pStyle w:val="1"/>
        <w:keepNext/>
        <w:keepLines/>
        <w:widowControl w:val="0"/>
        <w:spacing w:beforeLines="100" w:afterLines="100" w:line="360" w:lineRule="auto"/>
        <w:jc w:val="center"/>
        <w:rPr>
          <w:rStyle w:val="2CharCharChar"/>
          <w:rFonts w:ascii="宋体" w:hAnsi="宋体"/>
        </w:rPr>
      </w:pPr>
      <w:bookmarkStart w:id="8" w:name="_Toc484769796"/>
      <w:bookmarkStart w:id="9" w:name="_Toc491963079"/>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491963080"/>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3120"/>
        <w:gridCol w:w="2882"/>
      </w:tblGrid>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rsidP="00CC38BC">
            <w:pPr>
              <w:rPr>
                <w:rFonts w:ascii="宋体" w:hAnsi="宋体" w:cs="Arial"/>
                <w:szCs w:val="21"/>
              </w:rPr>
            </w:pPr>
            <w:r w:rsidRPr="00AE5F6A">
              <w:rPr>
                <w:rFonts w:ascii="宋体" w:hAnsi="宋体" w:cs="Arial" w:hint="eastAsia"/>
                <w:color w:val="000000"/>
                <w:szCs w:val="21"/>
              </w:rPr>
              <w:t>博时</w:t>
            </w:r>
            <w:r w:rsidR="00CC38BC">
              <w:rPr>
                <w:rFonts w:ascii="宋体" w:hAnsi="宋体" w:cs="Arial" w:hint="eastAsia"/>
                <w:color w:val="000000"/>
                <w:szCs w:val="21"/>
              </w:rPr>
              <w:t>灵活配置混合型证券投资基金</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基金简称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rsidP="002C5596">
            <w:pPr>
              <w:rPr>
                <w:rFonts w:ascii="宋体" w:hAnsi="宋体" w:cs="Arial"/>
                <w:szCs w:val="21"/>
              </w:rPr>
            </w:pPr>
            <w:r w:rsidRPr="00AE5F6A">
              <w:rPr>
                <w:rFonts w:ascii="宋体" w:hAnsi="宋体" w:cs="Arial" w:hint="eastAsia"/>
                <w:color w:val="000000"/>
                <w:szCs w:val="21"/>
              </w:rPr>
              <w:t>博时</w:t>
            </w:r>
            <w:r w:rsidR="002C5596">
              <w:rPr>
                <w:rFonts w:ascii="宋体" w:hAnsi="宋体" w:cs="Arial" w:hint="eastAsia"/>
                <w:color w:val="000000"/>
                <w:szCs w:val="21"/>
              </w:rPr>
              <w:t>混合</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基金主代码</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2C5596">
            <w:pPr>
              <w:rPr>
                <w:rFonts w:ascii="宋体" w:hAnsi="宋体" w:cs="Arial"/>
                <w:szCs w:val="21"/>
              </w:rPr>
            </w:pPr>
            <w:r w:rsidRPr="002C5596">
              <w:rPr>
                <w:rFonts w:ascii="宋体" w:hAnsi="宋体" w:cs="Arial"/>
                <w:szCs w:val="21"/>
              </w:rPr>
              <w:t>000178</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2C5596" w:rsidRPr="00AE5F6A" w:rsidTr="007A50CA">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基金合同生效日</w:t>
            </w:r>
          </w:p>
        </w:tc>
        <w:tc>
          <w:tcPr>
            <w:tcW w:w="6002" w:type="dxa"/>
            <w:gridSpan w:val="2"/>
            <w:tcBorders>
              <w:top w:val="single" w:sz="4" w:space="0" w:color="auto"/>
              <w:left w:val="single" w:sz="4" w:space="0" w:color="auto"/>
              <w:bottom w:val="single" w:sz="4" w:space="0" w:color="auto"/>
              <w:right w:val="single" w:sz="4" w:space="0" w:color="auto"/>
            </w:tcBorders>
            <w:vAlign w:val="center"/>
            <w:hideMark/>
          </w:tcPr>
          <w:p w:rsidR="002C5596" w:rsidRPr="002C5596" w:rsidRDefault="002C5596" w:rsidP="007A50CA">
            <w:pPr>
              <w:pStyle w:val="ac"/>
              <w:rPr>
                <w:rFonts w:ascii="宋体" w:eastAsia="宋体" w:hAnsi="宋体" w:cs="Arial"/>
              </w:rPr>
            </w:pPr>
            <w:r w:rsidRPr="002C5596">
              <w:rPr>
                <w:rFonts w:ascii="宋体" w:eastAsia="宋体" w:hAnsi="宋体" w:cs="Arial"/>
              </w:rPr>
              <w:t>2013年11月8日</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基金管理人名称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博时基金管理有限公司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基金托管人名称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D515F2">
              <w:t>交通银行股份有限公司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报告期末基金份额总额</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rsidP="00872860">
            <w:pPr>
              <w:rPr>
                <w:rFonts w:ascii="宋体" w:hAnsi="宋体" w:cs="Arial"/>
                <w:color w:val="000000"/>
                <w:szCs w:val="21"/>
              </w:rPr>
            </w:pPr>
            <w:r>
              <w:rPr>
                <w:rFonts w:ascii="宋体" w:hAnsi="宋体" w:cs="Arial" w:hint="eastAsia"/>
                <w:color w:val="000000"/>
                <w:szCs w:val="21"/>
              </w:rPr>
              <w:t>12,662,780.87</w:t>
            </w:r>
            <w:r w:rsidRPr="00AE5F6A">
              <w:rPr>
                <w:rFonts w:ascii="宋体" w:hAnsi="宋体" w:cs="Arial"/>
                <w:color w:val="000000"/>
                <w:szCs w:val="21"/>
              </w:rPr>
              <w:t>份</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基金合同存续期</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rsidP="00872860">
            <w:pPr>
              <w:rPr>
                <w:rFonts w:ascii="宋体" w:hAnsi="宋体" w:cs="Arial"/>
                <w:color w:val="000000"/>
                <w:szCs w:val="21"/>
              </w:rPr>
            </w:pPr>
            <w:r w:rsidRPr="00AE5F6A">
              <w:rPr>
                <w:rFonts w:ascii="宋体" w:hAnsi="宋体" w:cs="Arial"/>
                <w:color w:val="000000"/>
                <w:szCs w:val="21"/>
              </w:rPr>
              <w:t>不定期</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下属</w:t>
            </w:r>
            <w:r w:rsidRPr="009039C5">
              <w:t>基金</w:t>
            </w:r>
            <w:r>
              <w:rPr>
                <w:rFonts w:hint="eastAsia"/>
              </w:rPr>
              <w:t>份额</w:t>
            </w:r>
            <w:r w:rsidRPr="009039C5">
              <w:t>的基金简称</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ED347F" w:rsidP="00872860">
            <w:pPr>
              <w:rPr>
                <w:rFonts w:ascii="宋体" w:hAnsi="宋体" w:cs="Arial"/>
                <w:color w:val="000000"/>
                <w:szCs w:val="21"/>
              </w:rPr>
            </w:pPr>
            <w:r w:rsidRPr="00AE5F6A">
              <w:rPr>
                <w:rFonts w:ascii="宋体" w:hAnsi="宋体" w:cs="Arial" w:hint="eastAsia"/>
                <w:color w:val="000000"/>
                <w:szCs w:val="21"/>
              </w:rPr>
              <w:t>博时</w:t>
            </w:r>
            <w:r>
              <w:rPr>
                <w:rFonts w:ascii="宋体" w:hAnsi="宋体" w:cs="Arial" w:hint="eastAsia"/>
                <w:color w:val="000000"/>
                <w:szCs w:val="21"/>
              </w:rPr>
              <w:t>混合A</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ED347F" w:rsidP="00872860">
            <w:pPr>
              <w:rPr>
                <w:rFonts w:ascii="宋体" w:hAnsi="宋体" w:cs="Arial"/>
                <w:color w:val="000000"/>
                <w:szCs w:val="21"/>
              </w:rPr>
            </w:pPr>
            <w:r w:rsidRPr="00AE5F6A">
              <w:rPr>
                <w:rFonts w:ascii="宋体" w:hAnsi="宋体" w:cs="Arial" w:hint="eastAsia"/>
                <w:color w:val="000000"/>
                <w:szCs w:val="21"/>
              </w:rPr>
              <w:t>博时</w:t>
            </w:r>
            <w:r>
              <w:rPr>
                <w:rFonts w:ascii="宋体" w:hAnsi="宋体" w:cs="Arial" w:hint="eastAsia"/>
                <w:color w:val="000000"/>
                <w:szCs w:val="21"/>
              </w:rPr>
              <w:t>混合C</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下属</w:t>
            </w:r>
            <w:r w:rsidRPr="009039C5">
              <w:t>基金</w:t>
            </w:r>
            <w:r>
              <w:rPr>
                <w:rFonts w:hint="eastAsia"/>
              </w:rPr>
              <w:t>份额</w:t>
            </w:r>
            <w:r w:rsidRPr="009039C5">
              <w:t>的交易代码</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6A5E77" w:rsidP="00872860">
            <w:pPr>
              <w:rPr>
                <w:rFonts w:ascii="宋体" w:hAnsi="宋体" w:cs="Arial"/>
                <w:color w:val="000000"/>
                <w:szCs w:val="21"/>
              </w:rPr>
            </w:pPr>
            <w:r>
              <w:rPr>
                <w:rFonts w:ascii="宋体" w:hAnsi="宋体" w:cs="Arial" w:hint="eastAsia"/>
                <w:color w:val="000000"/>
                <w:szCs w:val="21"/>
              </w:rPr>
              <w:t>000178</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6A5E77" w:rsidP="00872860">
            <w:pPr>
              <w:rPr>
                <w:rFonts w:ascii="宋体" w:hAnsi="宋体" w:cs="Arial"/>
                <w:color w:val="000000"/>
                <w:szCs w:val="21"/>
              </w:rPr>
            </w:pPr>
            <w:r>
              <w:rPr>
                <w:rFonts w:ascii="宋体" w:hAnsi="宋体" w:cs="Arial" w:hint="eastAsia"/>
                <w:color w:val="000000"/>
                <w:szCs w:val="21"/>
              </w:rPr>
              <w:t>002557</w:t>
            </w:r>
          </w:p>
        </w:tc>
      </w:tr>
      <w:tr w:rsidR="0064417B" w:rsidRPr="00AE5F6A" w:rsidTr="006A5E77">
        <w:trPr>
          <w:jc w:val="center"/>
        </w:trPr>
        <w:tc>
          <w:tcPr>
            <w:tcW w:w="3358" w:type="dxa"/>
            <w:tcBorders>
              <w:top w:val="single" w:sz="4" w:space="0" w:color="auto"/>
              <w:left w:val="single" w:sz="4" w:space="0" w:color="auto"/>
              <w:bottom w:val="single" w:sz="4" w:space="0" w:color="auto"/>
              <w:right w:val="single" w:sz="4" w:space="0" w:color="auto"/>
            </w:tcBorders>
            <w:vAlign w:val="center"/>
          </w:tcPr>
          <w:p w:rsidR="0064417B" w:rsidRPr="00AE5F6A" w:rsidRDefault="0064417B" w:rsidP="007A50CA">
            <w:pPr>
              <w:rPr>
                <w:rFonts w:ascii="宋体" w:hAnsi="宋体" w:cs="Arial"/>
                <w:szCs w:val="21"/>
              </w:rPr>
            </w:pPr>
            <w:r>
              <w:t>报告期末下属</w:t>
            </w:r>
            <w:r w:rsidRPr="009039C5">
              <w:t>基金</w:t>
            </w:r>
            <w:r>
              <w:rPr>
                <w:rFonts w:hint="eastAsia"/>
              </w:rPr>
              <w:t>份额</w:t>
            </w:r>
            <w:r w:rsidRPr="009039C5">
              <w:t>的份额总额</w:t>
            </w:r>
          </w:p>
        </w:tc>
        <w:tc>
          <w:tcPr>
            <w:tcW w:w="3120" w:type="dxa"/>
            <w:tcBorders>
              <w:top w:val="single" w:sz="4" w:space="0" w:color="auto"/>
              <w:left w:val="single" w:sz="4" w:space="0" w:color="auto"/>
              <w:bottom w:val="single" w:sz="4" w:space="0" w:color="auto"/>
              <w:right w:val="single" w:sz="4" w:space="0" w:color="auto"/>
            </w:tcBorders>
          </w:tcPr>
          <w:p w:rsidR="0064417B" w:rsidRPr="00AE5F6A" w:rsidRDefault="006A5E77" w:rsidP="00872860">
            <w:pPr>
              <w:rPr>
                <w:rFonts w:ascii="宋体" w:hAnsi="宋体" w:cs="Arial"/>
                <w:color w:val="000000"/>
                <w:szCs w:val="21"/>
              </w:rPr>
            </w:pPr>
            <w:r>
              <w:rPr>
                <w:rFonts w:ascii="宋体" w:hAnsi="宋体" w:cs="Arial" w:hint="eastAsia"/>
                <w:color w:val="000000"/>
                <w:szCs w:val="21"/>
              </w:rPr>
              <w:t>12,463,789.05</w:t>
            </w:r>
          </w:p>
        </w:tc>
        <w:tc>
          <w:tcPr>
            <w:tcW w:w="2882" w:type="dxa"/>
            <w:tcBorders>
              <w:top w:val="single" w:sz="4" w:space="0" w:color="auto"/>
              <w:left w:val="single" w:sz="4" w:space="0" w:color="auto"/>
              <w:bottom w:val="single" w:sz="4" w:space="0" w:color="auto"/>
              <w:right w:val="single" w:sz="4" w:space="0" w:color="auto"/>
            </w:tcBorders>
          </w:tcPr>
          <w:p w:rsidR="0064417B" w:rsidRPr="00AE5F6A" w:rsidRDefault="006A5E77" w:rsidP="00872860">
            <w:pPr>
              <w:rPr>
                <w:rFonts w:ascii="宋体" w:hAnsi="宋体" w:cs="Arial"/>
                <w:color w:val="000000"/>
                <w:szCs w:val="21"/>
              </w:rPr>
            </w:pPr>
            <w:r>
              <w:rPr>
                <w:rFonts w:ascii="宋体" w:hAnsi="宋体" w:cs="Arial" w:hint="eastAsia"/>
                <w:color w:val="000000"/>
                <w:szCs w:val="21"/>
              </w:rPr>
              <w:t>198,991.82</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491963081"/>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投资目标</w:t>
            </w:r>
          </w:p>
        </w:tc>
        <w:tc>
          <w:tcPr>
            <w:tcW w:w="7547" w:type="dxa"/>
            <w:vAlign w:val="bottom"/>
          </w:tcPr>
          <w:p w:rsidR="00872860" w:rsidRPr="00AE5F6A" w:rsidRDefault="002C5596" w:rsidP="007A50CA">
            <w:pPr>
              <w:jc w:val="left"/>
              <w:rPr>
                <w:rFonts w:ascii="宋体" w:hAnsi="宋体"/>
                <w:szCs w:val="21"/>
              </w:rPr>
            </w:pPr>
            <w:r w:rsidRPr="00D515F2">
              <w:t>本基金通过灵活运用资产配置策略及多种股票市场、债券市场投资策略，充分挖掘和利用各大类资产潜在的投资机会，追求基金资产长期稳定增值。</w:t>
            </w:r>
          </w:p>
        </w:tc>
      </w:tr>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投资策略</w:t>
            </w:r>
          </w:p>
        </w:tc>
        <w:tc>
          <w:tcPr>
            <w:tcW w:w="7547" w:type="dxa"/>
            <w:vAlign w:val="bottom"/>
          </w:tcPr>
          <w:p w:rsidR="00033B5A" w:rsidRDefault="00033B5A" w:rsidP="00033B5A">
            <w:pPr>
              <w:jc w:val="left"/>
            </w:pPr>
            <w:r>
              <w:rPr>
                <w:rFonts w:hint="eastAsia"/>
              </w:rPr>
              <w:t>（一）资产配置策略</w:t>
            </w:r>
          </w:p>
          <w:p w:rsidR="00033B5A" w:rsidRDefault="00033B5A" w:rsidP="00033B5A">
            <w:pPr>
              <w:jc w:val="left"/>
            </w:pPr>
            <w:r>
              <w:rPr>
                <w:rFonts w:hint="eastAsia"/>
              </w:rPr>
              <w:t>基于基金管理人对经济周期及资产价格发展变化的深刻理解及前瞻性预见，在把握经济周期性波动的基础上，结合美林时钟及</w:t>
            </w:r>
            <w:r>
              <w:rPr>
                <w:rFonts w:hint="eastAsia"/>
              </w:rPr>
              <w:t>Black-Litterman Model</w:t>
            </w:r>
            <w:r>
              <w:rPr>
                <w:rFonts w:hint="eastAsia"/>
              </w:rPr>
              <w:t>等大类资产配置模型，动态评估不同资产类在不同时期的投资价值、投资时机以及其风险收益特征，追求股票、债券和货币等大类资产的灵活配置及资产的稳健增长。</w:t>
            </w:r>
          </w:p>
          <w:p w:rsidR="00033B5A" w:rsidRDefault="00033B5A" w:rsidP="00033B5A">
            <w:pPr>
              <w:jc w:val="left"/>
            </w:pPr>
            <w:r>
              <w:rPr>
                <w:rFonts w:hint="eastAsia"/>
              </w:rPr>
              <w:t>中国经济发展与其他规模经济体一样，具有明显的周期性特征。该周期性一般可以分为复苏，过热，滞涨，衰退四个阶段。复苏阶段的特征是：经济增长加快，通货膨胀降低，股票市场上涨，债券市场温和上涨或保持高位。在此阶段大类资产配置一般会选择配置股票市场，行业配置一般会选择成长类股票，债券选择一般会选择中长久期债券，并愿意承担一定的信用风险。过热阶段的特征是：经济增长速度减慢，通货膨胀升高，股票市场仍保持高位，债券市场在央行的干预下开始下降，大宗商品市场则受益于实体经济生产的需求及投资者对抗通胀的需求而保持较快上涨。在此阶段一般会配置与大宗商品有关的周期性价值股。滞涨阶段的特征是：经济增长下降，通货膨胀升高，股票、债券市场双双下降。大类资产配置一般会增加防守型货币市场工具进行资产配置，行业配置则一般会选择防守价值型行业。衰退阶段的特征是：经济增长继续下降，通货膨胀开始下降，股票市场下跌，债券市场则由于央行的干预开始上升。此阶段的大类资产配置策略一般会配置债券市场，并且会选择中短久期债券。</w:t>
            </w:r>
          </w:p>
          <w:p w:rsidR="00033B5A" w:rsidRDefault="00033B5A" w:rsidP="00033B5A">
            <w:pPr>
              <w:jc w:val="left"/>
            </w:pPr>
            <w:r>
              <w:rPr>
                <w:rFonts w:hint="eastAsia"/>
              </w:rPr>
              <w:t>基于基金管理人对经济周期及资产价格发展变化的深刻理解，通过定性和定量的方法分析宏观经济，资本市场，政策导向等各方面因素，建立基金管理人对各大类资产收益的绝对或相对预期，将这些预期输入资产配置模型后，得出各大类资产配置权重。</w:t>
            </w:r>
          </w:p>
          <w:p w:rsidR="00033B5A" w:rsidRDefault="00033B5A" w:rsidP="00033B5A">
            <w:pPr>
              <w:jc w:val="left"/>
            </w:pPr>
            <w:r>
              <w:rPr>
                <w:rFonts w:hint="eastAsia"/>
              </w:rPr>
              <w:t>（二）股票投资策略</w:t>
            </w:r>
          </w:p>
          <w:p w:rsidR="00033B5A" w:rsidRDefault="00033B5A" w:rsidP="00033B5A">
            <w:pPr>
              <w:jc w:val="left"/>
            </w:pPr>
            <w:r>
              <w:rPr>
                <w:rFonts w:hint="eastAsia"/>
              </w:rPr>
              <w:t>本基金的股票投资策略主要采取个股精选策略。首先，寻找清晰可持续盈利的目标公司投资主题，具有这样投资主题的股票其价值中枢是持续向上的。不同的企业有不同的投资主题，但是核心是具有竞争优势的成长。其次，采用</w:t>
            </w:r>
            <w:r>
              <w:rPr>
                <w:rFonts w:hint="eastAsia"/>
              </w:rPr>
              <w:t>PORTER</w:t>
            </w:r>
            <w:r>
              <w:rPr>
                <w:rFonts w:hint="eastAsia"/>
              </w:rPr>
              <w:t>的竞争优势和价值链分析方法，通过调研和洞察力对企业所在的产业结构与发展、企业的竞争策略和措施和企业价值链进行深入判断。第三，并用财务和运营等相关数据进行企业价值评估。</w:t>
            </w:r>
          </w:p>
          <w:p w:rsidR="00033B5A" w:rsidRDefault="00033B5A" w:rsidP="00033B5A">
            <w:pPr>
              <w:jc w:val="left"/>
            </w:pPr>
            <w:r>
              <w:rPr>
                <w:rFonts w:hint="eastAsia"/>
              </w:rPr>
              <w:t>主要财务评估指标有：</w:t>
            </w:r>
          </w:p>
          <w:p w:rsidR="00033B5A" w:rsidRDefault="00033B5A" w:rsidP="00033B5A">
            <w:pPr>
              <w:jc w:val="left"/>
            </w:pPr>
            <w:r>
              <w:rPr>
                <w:rFonts w:hint="eastAsia"/>
              </w:rPr>
              <w:t>1</w:t>
            </w:r>
            <w:r>
              <w:rPr>
                <w:rFonts w:hint="eastAsia"/>
              </w:rPr>
              <w:t>、</w:t>
            </w:r>
            <w:r>
              <w:rPr>
                <w:rFonts w:hint="eastAsia"/>
              </w:rPr>
              <w:t>ROE</w:t>
            </w:r>
            <w:r>
              <w:rPr>
                <w:rFonts w:hint="eastAsia"/>
              </w:rPr>
              <w:t>质量分析</w:t>
            </w:r>
          </w:p>
          <w:p w:rsidR="00033B5A" w:rsidRDefault="00033B5A" w:rsidP="00033B5A">
            <w:pPr>
              <w:jc w:val="left"/>
            </w:pPr>
            <w:r>
              <w:rPr>
                <w:rFonts w:hint="eastAsia"/>
              </w:rPr>
              <w:t xml:space="preserve">ROE </w:t>
            </w:r>
            <w:r>
              <w:rPr>
                <w:rFonts w:hint="eastAsia"/>
              </w:rPr>
              <w:t>是全面分析公司业绩的起点和根本，它表明管理层运用公司股东投入的资金创造收益的好坏程度。从长期看，公司股票价值取决于公司</w:t>
            </w:r>
            <w:r>
              <w:rPr>
                <w:rFonts w:hint="eastAsia"/>
              </w:rPr>
              <w:t xml:space="preserve">ROE </w:t>
            </w:r>
            <w:r>
              <w:rPr>
                <w:rFonts w:hint="eastAsia"/>
              </w:rPr>
              <w:t>与公司权益资本成本之间的关系。</w:t>
            </w:r>
            <w:r>
              <w:rPr>
                <w:rFonts w:hint="eastAsia"/>
              </w:rPr>
              <w:t xml:space="preserve">ROE </w:t>
            </w:r>
            <w:r>
              <w:rPr>
                <w:rFonts w:hint="eastAsia"/>
              </w:rPr>
              <w:t>分析也有助于权衡提高未来盈利的途径。如果缺乏有效的进入壁垒，持续超常的盈利能力将引进竞争。偏离“正常”水平一般有两个原因：一是行业环境和竞争战略促使公司至少在短期内创造出正的超常（或负的超常）经济收益，一是会计造成的歪曲。</w:t>
            </w:r>
          </w:p>
          <w:p w:rsidR="00033B5A" w:rsidRDefault="00033B5A" w:rsidP="00033B5A">
            <w:pPr>
              <w:jc w:val="left"/>
            </w:pPr>
            <w:r>
              <w:rPr>
                <w:rFonts w:hint="eastAsia"/>
              </w:rPr>
              <w:t xml:space="preserve">ROE </w:t>
            </w:r>
            <w:r>
              <w:rPr>
                <w:rFonts w:hint="eastAsia"/>
              </w:rPr>
              <w:t>传统上可以分解为资产收益率（</w:t>
            </w:r>
            <w:r>
              <w:rPr>
                <w:rFonts w:hint="eastAsia"/>
              </w:rPr>
              <w:t>ROA</w:t>
            </w:r>
            <w:r>
              <w:rPr>
                <w:rFonts w:hint="eastAsia"/>
              </w:rPr>
              <w:t>）和一个财务杠杆衡量指标，如下所示：</w:t>
            </w:r>
          </w:p>
          <w:p w:rsidR="00033B5A" w:rsidRDefault="00033B5A" w:rsidP="00033B5A">
            <w:pPr>
              <w:jc w:val="left"/>
            </w:pPr>
            <w:r>
              <w:rPr>
                <w:rFonts w:hint="eastAsia"/>
              </w:rPr>
              <w:t>ROE</w:t>
            </w:r>
            <w:r>
              <w:rPr>
                <w:rFonts w:hint="eastAsia"/>
              </w:rPr>
              <w:t>＝</w:t>
            </w:r>
            <w:r>
              <w:rPr>
                <w:rFonts w:hint="eastAsia"/>
              </w:rPr>
              <w:t>ROA</w:t>
            </w:r>
            <w:r>
              <w:rPr>
                <w:rFonts w:hint="eastAsia"/>
              </w:rPr>
              <w:t>×财务杠杆＝（净资产／资产）×（资产／股东权益）</w:t>
            </w:r>
          </w:p>
          <w:p w:rsidR="00033B5A" w:rsidRDefault="00033B5A" w:rsidP="00033B5A">
            <w:pPr>
              <w:jc w:val="left"/>
            </w:pPr>
            <w:r>
              <w:rPr>
                <w:rFonts w:hint="eastAsia"/>
              </w:rPr>
              <w:t>ROA</w:t>
            </w:r>
            <w:r>
              <w:rPr>
                <w:rFonts w:hint="eastAsia"/>
              </w:rPr>
              <w:t>＝（净收益／销售收入）×（销售收入／资产）＝销售净利率×资产周转率</w:t>
            </w:r>
          </w:p>
          <w:p w:rsidR="00033B5A" w:rsidRDefault="00033B5A" w:rsidP="00033B5A">
            <w:pPr>
              <w:jc w:val="left"/>
            </w:pPr>
            <w:r>
              <w:rPr>
                <w:rFonts w:hint="eastAsia"/>
              </w:rPr>
              <w:t>尽管上述方法在分解公司</w:t>
            </w:r>
            <w:r>
              <w:rPr>
                <w:rFonts w:hint="eastAsia"/>
              </w:rPr>
              <w:t xml:space="preserve">ROE </w:t>
            </w:r>
            <w:r>
              <w:rPr>
                <w:rFonts w:hint="eastAsia"/>
              </w:rPr>
              <w:t>时被普遍使用，但它也有一些局限性。有时我们采用替代方法分解</w:t>
            </w:r>
            <w:r>
              <w:rPr>
                <w:rFonts w:hint="eastAsia"/>
              </w:rPr>
              <w:t>ROE</w:t>
            </w:r>
            <w:r>
              <w:rPr>
                <w:rFonts w:hint="eastAsia"/>
              </w:rPr>
              <w:t>：</w:t>
            </w:r>
          </w:p>
          <w:p w:rsidR="00033B5A" w:rsidRDefault="00033B5A" w:rsidP="00033B5A">
            <w:pPr>
              <w:jc w:val="left"/>
            </w:pPr>
            <w:r>
              <w:rPr>
                <w:rFonts w:hint="eastAsia"/>
              </w:rPr>
              <w:t>ROE</w:t>
            </w:r>
            <w:r>
              <w:rPr>
                <w:rFonts w:hint="eastAsia"/>
              </w:rPr>
              <w:t>＝（税后净营业利润／股东权益）－（税后净利息费用／股东权益）</w:t>
            </w:r>
          </w:p>
          <w:p w:rsidR="00033B5A" w:rsidRDefault="00033B5A" w:rsidP="00033B5A">
            <w:pPr>
              <w:jc w:val="left"/>
            </w:pPr>
            <w:r>
              <w:rPr>
                <w:rFonts w:hint="eastAsia"/>
              </w:rPr>
              <w:t>＝（税后净营业利润／净资产）×［</w:t>
            </w:r>
            <w:r>
              <w:rPr>
                <w:rFonts w:hint="eastAsia"/>
              </w:rPr>
              <w:t>1</w:t>
            </w:r>
            <w:r>
              <w:rPr>
                <w:rFonts w:hint="eastAsia"/>
              </w:rPr>
              <w:t>＋</w:t>
            </w:r>
            <w:r>
              <w:rPr>
                <w:rFonts w:hint="eastAsia"/>
              </w:rPr>
              <w:t>(</w:t>
            </w:r>
            <w:r>
              <w:rPr>
                <w:rFonts w:hint="eastAsia"/>
              </w:rPr>
              <w:t>净债务</w:t>
            </w:r>
            <w:r>
              <w:rPr>
                <w:rFonts w:hint="eastAsia"/>
              </w:rPr>
              <w:t>/</w:t>
            </w:r>
            <w:r>
              <w:rPr>
                <w:rFonts w:hint="eastAsia"/>
              </w:rPr>
              <w:t>股东收益</w:t>
            </w:r>
            <w:r>
              <w:rPr>
                <w:rFonts w:hint="eastAsia"/>
              </w:rPr>
              <w:t>)</w:t>
            </w:r>
            <w:r>
              <w:rPr>
                <w:rFonts w:hint="eastAsia"/>
              </w:rPr>
              <w:t>］－（税后净利息费用／净债务）×（净债务／股东权益）</w:t>
            </w:r>
          </w:p>
          <w:p w:rsidR="00033B5A" w:rsidRDefault="00033B5A" w:rsidP="00033B5A">
            <w:pPr>
              <w:jc w:val="left"/>
            </w:pPr>
            <w:r>
              <w:rPr>
                <w:rFonts w:hint="eastAsia"/>
              </w:rPr>
              <w:t>＝营业资产收益率＋（营业资产收益率－税后实际利息率）×净财务杠杆</w:t>
            </w:r>
          </w:p>
          <w:p w:rsidR="00033B5A" w:rsidRDefault="00033B5A" w:rsidP="00033B5A">
            <w:pPr>
              <w:jc w:val="left"/>
            </w:pPr>
            <w:r>
              <w:rPr>
                <w:rFonts w:hint="eastAsia"/>
              </w:rPr>
              <w:t>2</w:t>
            </w:r>
            <w:r>
              <w:rPr>
                <w:rFonts w:hint="eastAsia"/>
              </w:rPr>
              <w:t>、</w:t>
            </w:r>
            <w:r>
              <w:rPr>
                <w:rFonts w:hint="eastAsia"/>
              </w:rPr>
              <w:t>EPS</w:t>
            </w:r>
            <w:r>
              <w:rPr>
                <w:rFonts w:hint="eastAsia"/>
              </w:rPr>
              <w:t>增长质量分析</w:t>
            </w:r>
          </w:p>
          <w:p w:rsidR="00033B5A" w:rsidRDefault="00033B5A" w:rsidP="00033B5A">
            <w:pPr>
              <w:jc w:val="left"/>
            </w:pPr>
            <w:r>
              <w:rPr>
                <w:rFonts w:hint="eastAsia"/>
              </w:rPr>
              <w:t>这里主要考虑</w:t>
            </w:r>
            <w:r>
              <w:rPr>
                <w:rFonts w:hint="eastAsia"/>
              </w:rPr>
              <w:t xml:space="preserve">EPS </w:t>
            </w:r>
            <w:r>
              <w:rPr>
                <w:rFonts w:hint="eastAsia"/>
              </w:rPr>
              <w:t>增长的质量和可持续性，同时判断增长的原因与公司战略的吻合度，因为由于中小企业的业绩基数比较低，判断每股收益的增长质量尤为重要。通过分解损益表的成份，量化归因分析不同因子对个股利润的影响程度，经过实证验证，研究</w:t>
            </w:r>
            <w:r>
              <w:rPr>
                <w:rFonts w:hint="eastAsia"/>
              </w:rPr>
              <w:t xml:space="preserve">EPS </w:t>
            </w:r>
            <w:r>
              <w:rPr>
                <w:rFonts w:hint="eastAsia"/>
              </w:rPr>
              <w:t>增长需要考虑的因素包括：主营销售增长，毛利率变动，其他利润增长，三项费用变动，非营业利润增长情况，税率变动情况，经营活动现金流量变化。该系统是分析年与年、季度与季度每股收益变化的归因分析与成份分析，通过这两种分析来判断个股每股收益增长的质量。</w:t>
            </w:r>
          </w:p>
          <w:p w:rsidR="00033B5A" w:rsidRDefault="00033B5A" w:rsidP="00033B5A">
            <w:pPr>
              <w:jc w:val="left"/>
            </w:pPr>
            <w:r>
              <w:rPr>
                <w:rFonts w:hint="eastAsia"/>
              </w:rPr>
              <w:t>3</w:t>
            </w:r>
            <w:r>
              <w:rPr>
                <w:rFonts w:hint="eastAsia"/>
              </w:rPr>
              <w:t>、估值与市场预期分析</w:t>
            </w:r>
          </w:p>
          <w:p w:rsidR="00033B5A" w:rsidRDefault="00033B5A" w:rsidP="00033B5A">
            <w:pPr>
              <w:jc w:val="left"/>
            </w:pPr>
            <w:r>
              <w:rPr>
                <w:rFonts w:hint="eastAsia"/>
              </w:rPr>
              <w:t>基金管理人使用逆向思考，来考察如果市场价格是合理的，那么该价格反映了企业多少成长性，然后通过基本面来判断这种成长性是否合理。另外的估值手段是通过历史和目前</w:t>
            </w:r>
            <w:r>
              <w:rPr>
                <w:rFonts w:hint="eastAsia"/>
              </w:rPr>
              <w:t xml:space="preserve">ROE </w:t>
            </w:r>
            <w:r>
              <w:rPr>
                <w:rFonts w:hint="eastAsia"/>
              </w:rPr>
              <w:t>与市场认为的</w:t>
            </w:r>
            <w:r>
              <w:rPr>
                <w:rFonts w:hint="eastAsia"/>
              </w:rPr>
              <w:t>P/B</w:t>
            </w:r>
            <w:r>
              <w:rPr>
                <w:rFonts w:hint="eastAsia"/>
              </w:rPr>
              <w:t>，</w:t>
            </w:r>
            <w:r>
              <w:rPr>
                <w:rFonts w:hint="eastAsia"/>
              </w:rPr>
              <w:t xml:space="preserve">P/E </w:t>
            </w:r>
            <w:r>
              <w:rPr>
                <w:rFonts w:hint="eastAsia"/>
              </w:rPr>
              <w:t>比较来发现定价缺陷与机会。</w:t>
            </w:r>
          </w:p>
          <w:p w:rsidR="00033B5A" w:rsidRDefault="00033B5A" w:rsidP="00033B5A">
            <w:pPr>
              <w:jc w:val="left"/>
            </w:pPr>
            <w:r>
              <w:rPr>
                <w:rFonts w:hint="eastAsia"/>
              </w:rPr>
              <w:t>4</w:t>
            </w:r>
            <w:r>
              <w:rPr>
                <w:rFonts w:hint="eastAsia"/>
              </w:rPr>
              <w:t>、企业特质分析</w:t>
            </w:r>
          </w:p>
          <w:p w:rsidR="00033B5A" w:rsidRDefault="00033B5A" w:rsidP="00033B5A">
            <w:pPr>
              <w:jc w:val="left"/>
            </w:pPr>
            <w:r>
              <w:rPr>
                <w:rFonts w:hint="eastAsia"/>
              </w:rPr>
              <w:t>企业特质指企业的一些重要特性，对股票性质起到了决定性作用，比如收益变化幅度大的公司则其股票价格波动也较大。通过实证分析，我们考虑以下几个因素：</w:t>
            </w:r>
          </w:p>
          <w:p w:rsidR="00033B5A" w:rsidRDefault="00033B5A" w:rsidP="00033B5A">
            <w:pPr>
              <w:jc w:val="left"/>
            </w:pPr>
            <w:r>
              <w:rPr>
                <w:rFonts w:hint="eastAsia"/>
              </w:rPr>
              <w:t>A.</w:t>
            </w:r>
            <w:r>
              <w:rPr>
                <w:rFonts w:hint="eastAsia"/>
              </w:rPr>
              <w:t>企业规模：采用</w:t>
            </w:r>
            <w:r>
              <w:rPr>
                <w:rFonts w:hint="eastAsia"/>
              </w:rPr>
              <w:t>BV</w:t>
            </w:r>
            <w:r>
              <w:rPr>
                <w:rFonts w:hint="eastAsia"/>
              </w:rPr>
              <w:t>，</w:t>
            </w:r>
            <w:r>
              <w:rPr>
                <w:rFonts w:hint="eastAsia"/>
              </w:rPr>
              <w:t xml:space="preserve">CAP </w:t>
            </w:r>
            <w:r>
              <w:rPr>
                <w:rFonts w:hint="eastAsia"/>
              </w:rPr>
              <w:t>和总资产。一般说来，考察成长型企业，规模也是一个有价值的参考指标。</w:t>
            </w:r>
          </w:p>
          <w:p w:rsidR="00033B5A" w:rsidRDefault="00033B5A" w:rsidP="00033B5A">
            <w:pPr>
              <w:jc w:val="left"/>
            </w:pPr>
            <w:r>
              <w:rPr>
                <w:rFonts w:hint="eastAsia"/>
              </w:rPr>
              <w:t>B.</w:t>
            </w:r>
            <w:r>
              <w:rPr>
                <w:rFonts w:hint="eastAsia"/>
              </w:rPr>
              <w:t>杠杆比率：一般说来，财务杠杆越高，运营杠杆越高，股票波动越大。</w:t>
            </w:r>
          </w:p>
          <w:p w:rsidR="00033B5A" w:rsidRDefault="00033B5A" w:rsidP="00033B5A">
            <w:pPr>
              <w:jc w:val="left"/>
            </w:pPr>
            <w:r>
              <w:rPr>
                <w:rFonts w:hint="eastAsia"/>
              </w:rPr>
              <w:t>C.</w:t>
            </w:r>
            <w:r>
              <w:rPr>
                <w:rFonts w:hint="eastAsia"/>
              </w:rPr>
              <w:t>增长性：采用收入的增长和利润的增长。</w:t>
            </w:r>
          </w:p>
          <w:p w:rsidR="00033B5A" w:rsidRDefault="00033B5A" w:rsidP="00033B5A">
            <w:pPr>
              <w:jc w:val="left"/>
            </w:pPr>
            <w:r>
              <w:rPr>
                <w:rFonts w:hint="eastAsia"/>
              </w:rPr>
              <w:t>D.</w:t>
            </w:r>
            <w:r>
              <w:rPr>
                <w:rFonts w:hint="eastAsia"/>
              </w:rPr>
              <w:t>股利：采用支付比率与股利率，一般来说，企业成长初期，股利支付不是一个关键因素。</w:t>
            </w:r>
          </w:p>
          <w:p w:rsidR="00033B5A" w:rsidRDefault="00033B5A" w:rsidP="00033B5A">
            <w:pPr>
              <w:jc w:val="left"/>
            </w:pPr>
            <w:r>
              <w:rPr>
                <w:rFonts w:hint="eastAsia"/>
              </w:rPr>
              <w:t>E.</w:t>
            </w:r>
            <w:r>
              <w:rPr>
                <w:rFonts w:hint="eastAsia"/>
              </w:rPr>
              <w:t>收益的变化性：采用利润、收入与每股经营现金流的变化性，一般来说，业绩波动越大，股票价格波动越大。</w:t>
            </w:r>
          </w:p>
          <w:p w:rsidR="00033B5A" w:rsidRDefault="00033B5A" w:rsidP="00033B5A">
            <w:pPr>
              <w:jc w:val="left"/>
            </w:pPr>
            <w:r>
              <w:rPr>
                <w:rFonts w:hint="eastAsia"/>
              </w:rPr>
              <w:t>F.</w:t>
            </w:r>
            <w:r>
              <w:rPr>
                <w:rFonts w:hint="eastAsia"/>
              </w:rPr>
              <w:t>业务分布：采用市场分布、产品分布和行业分布数据。</w:t>
            </w:r>
          </w:p>
          <w:p w:rsidR="00033B5A" w:rsidRDefault="00033B5A" w:rsidP="00033B5A">
            <w:pPr>
              <w:jc w:val="left"/>
            </w:pPr>
            <w:r>
              <w:rPr>
                <w:rFonts w:hint="eastAsia"/>
              </w:rPr>
              <w:t>G.</w:t>
            </w:r>
            <w:r>
              <w:rPr>
                <w:rFonts w:hint="eastAsia"/>
              </w:rPr>
              <w:t>生产力：采用折旧／收入和资本支出／收入数据。</w:t>
            </w:r>
          </w:p>
          <w:p w:rsidR="00033B5A" w:rsidRDefault="00033B5A" w:rsidP="00033B5A">
            <w:pPr>
              <w:jc w:val="left"/>
            </w:pPr>
            <w:r>
              <w:rPr>
                <w:rFonts w:hint="eastAsia"/>
              </w:rPr>
              <w:t>5</w:t>
            </w:r>
            <w:r>
              <w:rPr>
                <w:rFonts w:hint="eastAsia"/>
              </w:rPr>
              <w:t>、财务健康度分析</w:t>
            </w:r>
          </w:p>
          <w:p w:rsidR="00033B5A" w:rsidRDefault="00033B5A" w:rsidP="00033B5A">
            <w:pPr>
              <w:jc w:val="left"/>
            </w:pPr>
            <w:r>
              <w:rPr>
                <w:rFonts w:hint="eastAsia"/>
              </w:rPr>
              <w:t>通过研究财务数据，来判别企业风险，数据采用三年财务报告数据；指标选择选取反映公司收益、市场比率、成长、效率和风险的五大类指标。</w:t>
            </w:r>
          </w:p>
          <w:p w:rsidR="00033B5A" w:rsidRDefault="00033B5A" w:rsidP="00033B5A">
            <w:pPr>
              <w:jc w:val="left"/>
            </w:pPr>
            <w:r>
              <w:rPr>
                <w:rFonts w:hint="eastAsia"/>
              </w:rPr>
              <w:t>（三）债券投资策略</w:t>
            </w:r>
          </w:p>
          <w:p w:rsidR="00033B5A" w:rsidRDefault="00033B5A" w:rsidP="00033B5A">
            <w:pPr>
              <w:jc w:val="left"/>
            </w:pPr>
            <w:r>
              <w:rPr>
                <w:rFonts w:hint="eastAsia"/>
              </w:rPr>
              <w:t>灵活应用各种期限结构策略、信用策略、互换策略、息差策略，在合理管理并控制组合风险的前提下，最大化组合收益。</w:t>
            </w:r>
          </w:p>
          <w:p w:rsidR="00033B5A" w:rsidRDefault="00033B5A" w:rsidP="00033B5A">
            <w:pPr>
              <w:jc w:val="left"/>
            </w:pPr>
            <w:r>
              <w:rPr>
                <w:rFonts w:hint="eastAsia"/>
              </w:rPr>
              <w:t>1</w:t>
            </w:r>
            <w:r>
              <w:rPr>
                <w:rFonts w:hint="eastAsia"/>
              </w:rPr>
              <w:t>、期限结构策略</w:t>
            </w:r>
          </w:p>
          <w:p w:rsidR="00033B5A" w:rsidRDefault="00033B5A" w:rsidP="00033B5A">
            <w:pPr>
              <w:jc w:val="left"/>
            </w:pPr>
            <w:r>
              <w:rPr>
                <w:rFonts w:hint="eastAsia"/>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033B5A" w:rsidRDefault="00033B5A" w:rsidP="00033B5A">
            <w:pPr>
              <w:jc w:val="left"/>
            </w:pPr>
            <w:r>
              <w:rPr>
                <w:rFonts w:hint="eastAsia"/>
              </w:rPr>
              <w:t>（</w:t>
            </w:r>
            <w:r>
              <w:rPr>
                <w:rFonts w:hint="eastAsia"/>
              </w:rPr>
              <w:t>1</w:t>
            </w:r>
            <w:r>
              <w:rPr>
                <w:rFonts w:hint="eastAsia"/>
              </w:rPr>
              <w:t>）骑乘策略是当收益率曲线比较陡峭时，也即相邻期限利差较大时，买入期限位于收益率曲线陡峭处的债券，通过债券的收益率的下滑，进而获得资本利得收益。</w:t>
            </w:r>
          </w:p>
          <w:p w:rsidR="00033B5A" w:rsidRDefault="00033B5A" w:rsidP="00033B5A">
            <w:pPr>
              <w:jc w:val="left"/>
            </w:pPr>
            <w:r>
              <w:rPr>
                <w:rFonts w:hint="eastAsia"/>
              </w:rPr>
              <w:t>（</w:t>
            </w:r>
            <w:r>
              <w:rPr>
                <w:rFonts w:hint="eastAsia"/>
              </w:rPr>
              <w:t>2</w:t>
            </w:r>
            <w:r>
              <w:rPr>
                <w:rFonts w:hint="eastAsia"/>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033B5A" w:rsidRDefault="00033B5A" w:rsidP="00033B5A">
            <w:pPr>
              <w:jc w:val="left"/>
            </w:pPr>
            <w:r>
              <w:rPr>
                <w:rFonts w:hint="eastAsia"/>
              </w:rPr>
              <w:t>2</w:t>
            </w:r>
            <w:r>
              <w:rPr>
                <w:rFonts w:hint="eastAsia"/>
              </w:rPr>
              <w:t>、信用策略。</w:t>
            </w:r>
          </w:p>
          <w:p w:rsidR="00033B5A" w:rsidRDefault="00033B5A" w:rsidP="00033B5A">
            <w:pPr>
              <w:jc w:val="left"/>
            </w:pPr>
            <w:r>
              <w:rPr>
                <w:rFonts w:hint="eastAsia"/>
              </w:rPr>
              <w:t>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w:t>
            </w:r>
          </w:p>
          <w:p w:rsidR="00033B5A" w:rsidRDefault="00033B5A" w:rsidP="00033B5A">
            <w:pPr>
              <w:jc w:val="left"/>
            </w:pPr>
            <w:r>
              <w:rPr>
                <w:rFonts w:hint="eastAsia"/>
              </w:rPr>
              <w:t>（</w:t>
            </w:r>
            <w:r>
              <w:rPr>
                <w:rFonts w:hint="eastAsia"/>
              </w:rPr>
              <w:t>1</w:t>
            </w:r>
            <w:r>
              <w:rPr>
                <w:rFonts w:hint="eastAsia"/>
              </w:rPr>
              <w:t>）基于信用利差曲线变化策略：一是分析经济周期和相关市场变化对信用利差曲线的影响，二是分析信用债市场容量、结构、流动性等变化趋势对信用利差曲线的影响，最好综合各种因素，分析信用利差曲线整体及分行业走势，确定信用债券总的及分行业投资比例。</w:t>
            </w:r>
          </w:p>
          <w:p w:rsidR="00033B5A" w:rsidRDefault="00033B5A" w:rsidP="00033B5A">
            <w:pPr>
              <w:jc w:val="left"/>
            </w:pPr>
            <w:r>
              <w:rPr>
                <w:rFonts w:hint="eastAsia"/>
              </w:rPr>
              <w:t>（</w:t>
            </w:r>
            <w:r>
              <w:rPr>
                <w:rFonts w:hint="eastAsia"/>
              </w:rPr>
              <w:t>2</w:t>
            </w:r>
            <w:r>
              <w:rPr>
                <w:rFonts w:hint="eastAsia"/>
              </w:rPr>
              <w:t>）基于信用债信用变化策略：发行人信用发生变化后，基金管理人将采用变化后债券信用级别所对应的信用利差曲线对公司债、企业债定价。影响信用债信用风险的因素分为行业风险、公司风险、现金流风险、资产负债风险和其他风险等五个方面。基金管理人主要依靠内部评级系统分析信用债的相对信用水平、违约风险及理论信用利差。</w:t>
            </w:r>
          </w:p>
          <w:p w:rsidR="00033B5A" w:rsidRDefault="00033B5A" w:rsidP="00033B5A">
            <w:pPr>
              <w:jc w:val="left"/>
            </w:pPr>
            <w:r>
              <w:rPr>
                <w:rFonts w:hint="eastAsia"/>
              </w:rPr>
              <w:t>3</w:t>
            </w:r>
            <w:r>
              <w:rPr>
                <w:rFonts w:hint="eastAsia"/>
              </w:rPr>
              <w:t>、互换策略</w:t>
            </w:r>
          </w:p>
          <w:p w:rsidR="00033B5A" w:rsidRDefault="00033B5A" w:rsidP="00033B5A">
            <w:pPr>
              <w:jc w:val="left"/>
            </w:pPr>
            <w:r>
              <w:rPr>
                <w:rFonts w:hint="eastAsia"/>
              </w:rPr>
              <w:t>不同券种在利息、违约风险、久期、流动性、税收和衍生条款等方面存在差别，基金管理人管理人可以同时买入和卖出具有相近特性的两个或两个以上券种，赚取收益级差。互换策略分为两种：</w:t>
            </w:r>
          </w:p>
          <w:p w:rsidR="00033B5A" w:rsidRDefault="00033B5A" w:rsidP="00033B5A">
            <w:pPr>
              <w:jc w:val="left"/>
            </w:pPr>
            <w:r>
              <w:rPr>
                <w:rFonts w:hint="eastAsia"/>
              </w:rPr>
              <w:t>（</w:t>
            </w:r>
            <w:r>
              <w:rPr>
                <w:rFonts w:hint="eastAsia"/>
              </w:rPr>
              <w:t>1</w:t>
            </w:r>
            <w:r>
              <w:rPr>
                <w:rFonts w:hint="eastAsia"/>
              </w:rPr>
              <w:t>）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w:t>
            </w:r>
          </w:p>
          <w:p w:rsidR="00033B5A" w:rsidRDefault="00033B5A" w:rsidP="00033B5A">
            <w:pPr>
              <w:jc w:val="left"/>
            </w:pPr>
            <w:r>
              <w:rPr>
                <w:rFonts w:hint="eastAsia"/>
              </w:rPr>
              <w:t>（</w:t>
            </w:r>
            <w:r>
              <w:rPr>
                <w:rFonts w:hint="eastAsia"/>
              </w:rPr>
              <w:t>2</w:t>
            </w:r>
            <w:r>
              <w:rPr>
                <w:rFonts w:hint="eastAsia"/>
              </w:rPr>
              <w:t>）市场间利差互换。一般在公司信用债和国家信用债之间进行。如果预期信用利差扩大，则用国家信用债替换公司信用债；如果预期信用利差缩小，则用公司信用债替换国家信用债。</w:t>
            </w:r>
          </w:p>
          <w:p w:rsidR="00033B5A" w:rsidRDefault="00033B5A" w:rsidP="00033B5A">
            <w:pPr>
              <w:jc w:val="left"/>
            </w:pPr>
            <w:r>
              <w:rPr>
                <w:rFonts w:hint="eastAsia"/>
              </w:rPr>
              <w:t>4</w:t>
            </w:r>
            <w:r>
              <w:rPr>
                <w:rFonts w:hint="eastAsia"/>
              </w:rPr>
              <w:t>、息差策略</w:t>
            </w:r>
          </w:p>
          <w:p w:rsidR="00033B5A" w:rsidRDefault="00033B5A" w:rsidP="00033B5A">
            <w:pPr>
              <w:jc w:val="left"/>
            </w:pPr>
            <w:r>
              <w:rPr>
                <w:rFonts w:hint="eastAsia"/>
              </w:rPr>
              <w:t>通过正回购，融资买入收益率高于回购成本的债券，从而获得杠杆放大收益。</w:t>
            </w:r>
          </w:p>
          <w:p w:rsidR="00033B5A" w:rsidRDefault="00033B5A" w:rsidP="00033B5A">
            <w:pPr>
              <w:jc w:val="left"/>
            </w:pPr>
            <w:r>
              <w:rPr>
                <w:rFonts w:hint="eastAsia"/>
              </w:rPr>
              <w:t>5</w:t>
            </w:r>
            <w:r>
              <w:rPr>
                <w:rFonts w:hint="eastAsia"/>
              </w:rPr>
              <w:t>、可转换债券与可分离可转债投资策略</w:t>
            </w:r>
          </w:p>
          <w:p w:rsidR="00033B5A" w:rsidRDefault="00033B5A" w:rsidP="00033B5A">
            <w:pPr>
              <w:jc w:val="left"/>
            </w:pPr>
            <w:r>
              <w:rPr>
                <w:rFonts w:hint="eastAsia"/>
              </w:rPr>
              <w:t>可转换债券兼具债性和股性特征。基金管理人采用自上而下的宏观、行业分析和自下而上的转债特性分析相结合的方法，选择债性和股性表现与经济周期相适宜且流动性较好的转债品种进行投资。</w:t>
            </w:r>
          </w:p>
          <w:p w:rsidR="00033B5A" w:rsidRDefault="00033B5A" w:rsidP="00033B5A">
            <w:pPr>
              <w:jc w:val="left"/>
            </w:pPr>
            <w:r>
              <w:rPr>
                <w:rFonts w:hint="eastAsia"/>
              </w:rPr>
              <w:t>6</w:t>
            </w:r>
            <w:r>
              <w:rPr>
                <w:rFonts w:hint="eastAsia"/>
              </w:rPr>
              <w:t>、中小企业私募债券投资策略</w:t>
            </w:r>
          </w:p>
          <w:p w:rsidR="00033B5A" w:rsidRDefault="00033B5A" w:rsidP="00033B5A">
            <w:pPr>
              <w:jc w:val="left"/>
            </w:pPr>
            <w:r>
              <w:rPr>
                <w:rFonts w:hint="eastAsia"/>
              </w:rPr>
              <w:t>针对中小企业私募债券，本基金以持有到期，获得本金和票息收入为主要投资策略，同时，密切关注债券的信用风险变化，力争在控制风险的前提下，获得较高收益。</w:t>
            </w:r>
          </w:p>
          <w:p w:rsidR="00033B5A" w:rsidRDefault="00033B5A" w:rsidP="00033B5A">
            <w:pPr>
              <w:jc w:val="left"/>
            </w:pPr>
            <w:r>
              <w:rPr>
                <w:rFonts w:hint="eastAsia"/>
              </w:rPr>
              <w:t>（四）权证投资策略</w:t>
            </w:r>
          </w:p>
          <w:p w:rsidR="00033B5A" w:rsidRDefault="00033B5A" w:rsidP="00033B5A">
            <w:pPr>
              <w:jc w:val="left"/>
            </w:pPr>
            <w:r>
              <w:rPr>
                <w:rFonts w:hint="eastAsia"/>
              </w:rPr>
              <w:t>权证为本基金辅助性投资工具，投资原则为有利于基金资产增值、控制下跌风险、实现保值和锁定收益。本基金将主要投资满足成长和价值优选条件的公司发行的权证。</w:t>
            </w:r>
          </w:p>
          <w:p w:rsidR="00033B5A" w:rsidRDefault="00033B5A" w:rsidP="00033B5A">
            <w:pPr>
              <w:jc w:val="left"/>
            </w:pPr>
            <w:r>
              <w:rPr>
                <w:rFonts w:hint="eastAsia"/>
              </w:rPr>
              <w:t>（五）股指期货的投资策略</w:t>
            </w:r>
          </w:p>
          <w:p w:rsidR="00033B5A" w:rsidRDefault="00033B5A" w:rsidP="00033B5A">
            <w:pPr>
              <w:jc w:val="left"/>
            </w:pPr>
            <w:r>
              <w:rPr>
                <w:rFonts w:hint="eastAsia"/>
              </w:rPr>
              <w:t>将来根据相关法律法规的规定，本基金在履行适当程序后，将以投资组合的避险保值和有效管理为目标，在风险可控的前提下，本着谨慎原则，适当参与股指期货的投资。</w:t>
            </w:r>
          </w:p>
          <w:p w:rsidR="00033B5A" w:rsidRDefault="00033B5A" w:rsidP="00033B5A">
            <w:pPr>
              <w:jc w:val="left"/>
            </w:pPr>
            <w:r>
              <w:rPr>
                <w:rFonts w:hint="eastAsia"/>
              </w:rPr>
              <w:t>1</w:t>
            </w:r>
            <w:r>
              <w:rPr>
                <w:rFonts w:hint="eastAsia"/>
              </w:rPr>
              <w:t>、避险保值</w:t>
            </w:r>
          </w:p>
          <w:p w:rsidR="00033B5A" w:rsidRDefault="00033B5A" w:rsidP="00033B5A">
            <w:pPr>
              <w:jc w:val="left"/>
            </w:pPr>
            <w:r>
              <w:rPr>
                <w:rFonts w:hint="eastAsia"/>
              </w:rPr>
              <w:t>利用股指期货，调整投资组合的风险暴露，避免市场的系统性风险，改善组合的风险收益特性。</w:t>
            </w:r>
          </w:p>
          <w:p w:rsidR="00033B5A" w:rsidRDefault="00033B5A" w:rsidP="00033B5A">
            <w:pPr>
              <w:jc w:val="left"/>
            </w:pPr>
            <w:r>
              <w:rPr>
                <w:rFonts w:hint="eastAsia"/>
              </w:rPr>
              <w:t>2</w:t>
            </w:r>
            <w:r>
              <w:rPr>
                <w:rFonts w:hint="eastAsia"/>
              </w:rPr>
              <w:t>、有效管理</w:t>
            </w:r>
          </w:p>
          <w:p w:rsidR="00872860" w:rsidRPr="00AE5F6A" w:rsidRDefault="00033B5A" w:rsidP="00033B5A">
            <w:pPr>
              <w:jc w:val="left"/>
              <w:rPr>
                <w:rFonts w:ascii="宋体" w:hAnsi="宋体"/>
                <w:szCs w:val="21"/>
              </w:rPr>
            </w:pPr>
            <w:r>
              <w:rPr>
                <w:rFonts w:hint="eastAsia"/>
              </w:rPr>
              <w:t>利用股指期货流动性好，交易成本低等特点，对投资组合的仓位进行及时调整，提高投资组合的运作效率。</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业绩比较基准</w:t>
            </w:r>
          </w:p>
        </w:tc>
        <w:tc>
          <w:tcPr>
            <w:tcW w:w="7547" w:type="dxa"/>
            <w:vAlign w:val="center"/>
          </w:tcPr>
          <w:p w:rsidR="002C5596" w:rsidRPr="00D515F2" w:rsidRDefault="002C5596" w:rsidP="007A50CA">
            <w:pPr>
              <w:pStyle w:val="ac"/>
            </w:pPr>
            <w:r w:rsidRPr="00D515F2">
              <w:t>60%×</w:t>
            </w:r>
            <w:r w:rsidRPr="00D515F2">
              <w:t>沪深</w:t>
            </w:r>
            <w:r w:rsidRPr="00D515F2">
              <w:t>300</w:t>
            </w:r>
            <w:r w:rsidRPr="00D515F2">
              <w:t>指数收益率＋</w:t>
            </w:r>
            <w:r w:rsidRPr="00D515F2">
              <w:t>40%×</w:t>
            </w:r>
            <w:r w:rsidRPr="00D515F2">
              <w:t>中国债券总指数收益率。</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风险收益特征</w:t>
            </w:r>
          </w:p>
        </w:tc>
        <w:tc>
          <w:tcPr>
            <w:tcW w:w="7547" w:type="dxa"/>
            <w:vAlign w:val="center"/>
          </w:tcPr>
          <w:p w:rsidR="002C5596" w:rsidRPr="00D515F2" w:rsidRDefault="002C5596" w:rsidP="007A50CA">
            <w:pPr>
              <w:pStyle w:val="ac"/>
            </w:pPr>
            <w:r w:rsidRPr="00D515F2">
              <w:t>本基金属于混合型基金，预期收益和预期风险低于股票型基金，高于货币市场基金和债券型基金，具有中等风险</w:t>
            </w:r>
            <w:r w:rsidRPr="00D515F2">
              <w:t>/</w:t>
            </w:r>
            <w:r w:rsidRPr="00D515F2">
              <w:t>收益的特征。</w:t>
            </w:r>
          </w:p>
        </w:tc>
      </w:tr>
    </w:tbl>
    <w:p w:rsidR="00872860" w:rsidRPr="00AE5F6A" w:rsidRDefault="00872860" w:rsidP="009C2B45">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491963082"/>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AE5F6A" w:rsidRDefault="002C5596" w:rsidP="00E94800">
      <w:pPr>
        <w:spacing w:line="360" w:lineRule="auto"/>
        <w:ind w:firstLineChars="200" w:firstLine="420"/>
        <w:rPr>
          <w:rFonts w:ascii="宋体" w:hAnsi="宋体" w:cs="Arial"/>
          <w:color w:val="000000"/>
          <w:szCs w:val="21"/>
        </w:rPr>
      </w:pPr>
      <w:r w:rsidRPr="00E94800">
        <w:rPr>
          <w:rFonts w:ascii="宋体" w:hAnsi="宋体" w:cs="Arial" w:hint="eastAsia"/>
          <w:color w:val="000000"/>
          <w:szCs w:val="21"/>
        </w:rPr>
        <w:t>博时灵活配置混合型证券投资基金经中国证券监督管理委员会证监许可[2013]第626号</w:t>
      </w:r>
      <w:r w:rsidRPr="00E94800">
        <w:rPr>
          <w:rFonts w:ascii="宋体" w:hAnsi="宋体" w:cs="Arial"/>
          <w:color w:val="000000"/>
          <w:szCs w:val="21"/>
        </w:rPr>
        <w:t>《关于核准博时灵活配置混合型证券投资基金募集的批复》核准</w:t>
      </w:r>
      <w:r w:rsidR="00214EB4" w:rsidRPr="00AE5F6A">
        <w:rPr>
          <w:rFonts w:ascii="宋体" w:hAnsi="宋体" w:cs="Arial"/>
          <w:color w:val="000000"/>
          <w:szCs w:val="21"/>
        </w:rPr>
        <w:t>，</w:t>
      </w:r>
      <w:r w:rsidRPr="00E94800">
        <w:rPr>
          <w:rFonts w:ascii="宋体" w:hAnsi="宋体" w:cs="Arial"/>
          <w:color w:val="000000"/>
          <w:szCs w:val="21"/>
        </w:rPr>
        <w:t>由博时基金管理有限公司依照《中华人民共和国证券投资基金法》和《博时灵活配置混合型证券投资基金基金合同》</w:t>
      </w:r>
      <w:r w:rsidR="00214EB4" w:rsidRPr="00AE5F6A">
        <w:rPr>
          <w:rFonts w:ascii="宋体" w:hAnsi="宋体" w:cs="Arial" w:hint="eastAsia"/>
          <w:color w:val="000000"/>
          <w:szCs w:val="21"/>
        </w:rPr>
        <w:t>于</w:t>
      </w:r>
      <w:r w:rsidR="00E94800" w:rsidRPr="00E94800">
        <w:rPr>
          <w:rFonts w:ascii="宋体" w:hAnsi="宋体" w:cs="Arial" w:hint="eastAsia"/>
          <w:color w:val="000000"/>
          <w:szCs w:val="21"/>
        </w:rPr>
        <w:t>2013</w:t>
      </w:r>
      <w:r w:rsidR="00E94800" w:rsidRPr="00E94800">
        <w:rPr>
          <w:rFonts w:ascii="宋体" w:hAnsi="宋体" w:cs="Arial"/>
          <w:color w:val="000000"/>
          <w:szCs w:val="21"/>
        </w:rPr>
        <w:t>年</w:t>
      </w:r>
      <w:r w:rsidR="00E94800" w:rsidRPr="00E94800">
        <w:rPr>
          <w:rFonts w:ascii="宋体" w:hAnsi="宋体" w:cs="Arial" w:hint="eastAsia"/>
          <w:color w:val="000000"/>
          <w:szCs w:val="21"/>
        </w:rPr>
        <w:t>10</w:t>
      </w:r>
      <w:r w:rsidR="00E94800" w:rsidRPr="00E94800">
        <w:rPr>
          <w:rFonts w:ascii="宋体" w:hAnsi="宋体" w:cs="Arial"/>
          <w:color w:val="000000"/>
          <w:szCs w:val="21"/>
        </w:rPr>
        <w:t>月</w:t>
      </w:r>
      <w:r w:rsidR="00E94800" w:rsidRPr="00E94800">
        <w:rPr>
          <w:rFonts w:ascii="宋体" w:hAnsi="宋体" w:cs="Arial" w:hint="eastAsia"/>
          <w:color w:val="000000"/>
          <w:szCs w:val="21"/>
        </w:rPr>
        <w:t>9</w:t>
      </w:r>
      <w:r w:rsidR="00E94800" w:rsidRPr="00E94800">
        <w:rPr>
          <w:rFonts w:ascii="宋体" w:hAnsi="宋体" w:cs="Arial"/>
          <w:color w:val="000000"/>
          <w:szCs w:val="21"/>
        </w:rPr>
        <w:t>日</w:t>
      </w:r>
      <w:r w:rsidR="00214EB4" w:rsidRPr="00AE5F6A">
        <w:rPr>
          <w:rFonts w:ascii="宋体" w:hAnsi="宋体" w:cs="Arial"/>
          <w:color w:val="000000"/>
          <w:szCs w:val="21"/>
        </w:rPr>
        <w:t>至</w:t>
      </w:r>
      <w:r w:rsidR="00E94800" w:rsidRPr="00E94800">
        <w:rPr>
          <w:rFonts w:ascii="宋体" w:hAnsi="宋体" w:cs="Arial" w:hint="eastAsia"/>
          <w:color w:val="000000"/>
          <w:szCs w:val="21"/>
        </w:rPr>
        <w:t>2013</w:t>
      </w:r>
      <w:r w:rsidR="00E94800" w:rsidRPr="00E94800">
        <w:rPr>
          <w:rFonts w:ascii="宋体" w:hAnsi="宋体" w:cs="Arial"/>
          <w:color w:val="000000"/>
          <w:szCs w:val="21"/>
        </w:rPr>
        <w:t>年</w:t>
      </w:r>
      <w:r w:rsidR="00E94800" w:rsidRPr="00E94800">
        <w:rPr>
          <w:rFonts w:ascii="宋体" w:hAnsi="宋体" w:cs="Arial" w:hint="eastAsia"/>
          <w:color w:val="000000"/>
          <w:szCs w:val="21"/>
        </w:rPr>
        <w:t>11</w:t>
      </w:r>
      <w:r w:rsidR="00E94800" w:rsidRPr="00E94800">
        <w:rPr>
          <w:rFonts w:ascii="宋体" w:hAnsi="宋体" w:cs="Arial"/>
          <w:color w:val="000000"/>
          <w:szCs w:val="21"/>
        </w:rPr>
        <w:t>月</w:t>
      </w:r>
      <w:r w:rsidR="00E94800" w:rsidRPr="00E94800">
        <w:rPr>
          <w:rFonts w:ascii="宋体" w:hAnsi="宋体" w:cs="Arial" w:hint="eastAsia"/>
          <w:color w:val="000000"/>
          <w:szCs w:val="21"/>
        </w:rPr>
        <w:t>6</w:t>
      </w:r>
      <w:r w:rsidR="00E94800" w:rsidRPr="00E94800">
        <w:rPr>
          <w:rFonts w:ascii="宋体" w:hAnsi="宋体" w:cs="Arial"/>
          <w:color w:val="000000"/>
          <w:szCs w:val="21"/>
        </w:rPr>
        <w:t>日</w:t>
      </w:r>
      <w:r w:rsidR="00214EB4" w:rsidRPr="00AE5F6A">
        <w:rPr>
          <w:rFonts w:ascii="宋体" w:hAnsi="宋体" w:cs="Arial" w:hint="eastAsia"/>
          <w:color w:val="000000"/>
          <w:szCs w:val="21"/>
        </w:rPr>
        <w:t>向社会公开发行募集，基金合同于</w:t>
      </w:r>
      <w:r w:rsidR="00E94800" w:rsidRPr="00E94800">
        <w:rPr>
          <w:rFonts w:ascii="宋体" w:hAnsi="宋体" w:cs="Arial"/>
          <w:color w:val="000000"/>
          <w:szCs w:val="21"/>
        </w:rPr>
        <w:t>2013年11月</w:t>
      </w:r>
      <w:r w:rsidR="00E94800" w:rsidRPr="00E94800">
        <w:rPr>
          <w:rFonts w:ascii="宋体" w:hAnsi="宋体" w:cs="Arial" w:hint="eastAsia"/>
          <w:color w:val="000000"/>
          <w:szCs w:val="21"/>
        </w:rPr>
        <w:t>8</w:t>
      </w:r>
      <w:r w:rsidR="00E94800" w:rsidRPr="00E94800">
        <w:rPr>
          <w:rFonts w:ascii="宋体" w:hAnsi="宋体" w:cs="Arial"/>
          <w:color w:val="000000"/>
          <w:szCs w:val="21"/>
        </w:rPr>
        <w:t>日</w:t>
      </w:r>
      <w:r w:rsidR="00214EB4" w:rsidRPr="00AE5F6A">
        <w:rPr>
          <w:rFonts w:ascii="宋体" w:hAnsi="宋体" w:cs="Arial" w:hint="eastAsia"/>
          <w:color w:val="000000"/>
          <w:szCs w:val="21"/>
        </w:rPr>
        <w:t>正式生效，募集规模为</w:t>
      </w:r>
      <w:r w:rsidR="00E94800" w:rsidRPr="00E94800">
        <w:rPr>
          <w:rFonts w:ascii="宋体" w:hAnsi="宋体" w:cs="Arial"/>
          <w:color w:val="000000"/>
          <w:szCs w:val="21"/>
        </w:rPr>
        <w:t>237</w:t>
      </w:r>
      <w:r w:rsidR="00E94800" w:rsidRPr="00E94800">
        <w:rPr>
          <w:rFonts w:ascii="宋体" w:hAnsi="宋体" w:cs="Arial" w:hint="eastAsia"/>
          <w:color w:val="000000"/>
          <w:szCs w:val="21"/>
        </w:rPr>
        <w:t>,</w:t>
      </w:r>
      <w:r w:rsidR="00E94800" w:rsidRPr="00E94800">
        <w:rPr>
          <w:rFonts w:ascii="宋体" w:hAnsi="宋体" w:cs="Arial"/>
          <w:color w:val="000000"/>
          <w:szCs w:val="21"/>
        </w:rPr>
        <w:t>382</w:t>
      </w:r>
      <w:r w:rsidR="00E94800" w:rsidRPr="00E94800">
        <w:rPr>
          <w:rFonts w:ascii="宋体" w:hAnsi="宋体" w:cs="Arial" w:hint="eastAsia"/>
          <w:color w:val="000000"/>
          <w:szCs w:val="21"/>
        </w:rPr>
        <w:t>,</w:t>
      </w:r>
      <w:r w:rsidR="00E94800" w:rsidRPr="00E94800">
        <w:rPr>
          <w:rFonts w:ascii="宋体" w:hAnsi="宋体" w:cs="Arial"/>
          <w:color w:val="000000"/>
          <w:szCs w:val="21"/>
        </w:rPr>
        <w:t>680.95</w:t>
      </w:r>
      <w:r w:rsidR="00214EB4" w:rsidRPr="00AE5F6A">
        <w:rPr>
          <w:rFonts w:ascii="宋体" w:hAnsi="宋体" w:cs="Arial" w:hint="eastAsia"/>
          <w:color w:val="000000"/>
          <w:szCs w:val="21"/>
        </w:rPr>
        <w:t>份基金份额。</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 xml:space="preserve">自 </w:t>
      </w:r>
      <w:r w:rsidR="00E94800" w:rsidRPr="00E94800">
        <w:rPr>
          <w:rFonts w:ascii="宋体" w:hAnsi="宋体" w:cs="Arial"/>
          <w:color w:val="000000"/>
          <w:szCs w:val="21"/>
        </w:rPr>
        <w:t>2013年11月</w:t>
      </w:r>
      <w:r w:rsidR="00E94800" w:rsidRPr="00E94800">
        <w:rPr>
          <w:rFonts w:ascii="宋体" w:hAnsi="宋体" w:cs="Arial" w:hint="eastAsia"/>
          <w:color w:val="000000"/>
          <w:szCs w:val="21"/>
        </w:rPr>
        <w:t>8</w:t>
      </w:r>
      <w:r w:rsidR="00E94800" w:rsidRPr="00E94800">
        <w:rPr>
          <w:rFonts w:ascii="宋体" w:hAnsi="宋体" w:cs="Arial"/>
          <w:color w:val="000000"/>
          <w:szCs w:val="21"/>
        </w:rPr>
        <w:t>日</w:t>
      </w:r>
      <w:r w:rsidRPr="00AE5F6A">
        <w:rPr>
          <w:rFonts w:ascii="宋体" w:hAnsi="宋体" w:cs="Arial" w:hint="eastAsia"/>
          <w:color w:val="000000"/>
          <w:szCs w:val="21"/>
        </w:rPr>
        <w:t>至</w:t>
      </w:r>
      <w:r w:rsidR="00E94800">
        <w:rPr>
          <w:rFonts w:ascii="宋体" w:hAnsi="宋体" w:cs="Arial" w:hint="eastAsia"/>
          <w:color w:val="000000"/>
          <w:szCs w:val="21"/>
        </w:rPr>
        <w:t xml:space="preserve"> 2018</w:t>
      </w:r>
      <w:r w:rsidRPr="00AE5F6A">
        <w:rPr>
          <w:rFonts w:ascii="宋体" w:hAnsi="宋体" w:cs="Arial" w:hint="eastAsia"/>
          <w:color w:val="000000"/>
          <w:szCs w:val="21"/>
        </w:rPr>
        <w:t>年</w:t>
      </w:r>
      <w:r w:rsidR="00E94800">
        <w:rPr>
          <w:rFonts w:ascii="宋体" w:hAnsi="宋体" w:cs="Arial" w:hint="eastAsia"/>
          <w:color w:val="000000"/>
          <w:szCs w:val="21"/>
        </w:rPr>
        <w:t xml:space="preserve"> 1</w:t>
      </w:r>
      <w:r w:rsidRPr="00AE5F6A">
        <w:rPr>
          <w:rFonts w:ascii="宋体" w:hAnsi="宋体" w:cs="Arial" w:hint="eastAsia"/>
          <w:color w:val="000000"/>
          <w:szCs w:val="21"/>
        </w:rPr>
        <w:t>月</w:t>
      </w:r>
      <w:r w:rsidR="00E94800">
        <w:rPr>
          <w:rFonts w:ascii="宋体" w:hAnsi="宋体" w:cs="Arial" w:hint="eastAsia"/>
          <w:color w:val="000000"/>
          <w:szCs w:val="21"/>
        </w:rPr>
        <w:t>22</w:t>
      </w:r>
      <w:r w:rsidRPr="00AE5F6A">
        <w:rPr>
          <w:rFonts w:ascii="宋体" w:hAnsi="宋体" w:cs="Arial" w:hint="eastAsia"/>
          <w:color w:val="000000"/>
          <w:szCs w:val="21"/>
        </w:rPr>
        <w:t>日期间，本基金按基金合同正常运作。</w:t>
      </w:r>
    </w:p>
    <w:p w:rsidR="00E94800" w:rsidRPr="00CC38BC" w:rsidRDefault="00E94800" w:rsidP="00E94800">
      <w:pPr>
        <w:spacing w:line="360" w:lineRule="auto"/>
        <w:ind w:firstLineChars="200" w:firstLine="420"/>
        <w:rPr>
          <w:rFonts w:ascii="宋体" w:hAnsi="宋体" w:cs="Arial"/>
          <w:color w:val="000000"/>
          <w:szCs w:val="21"/>
        </w:rPr>
      </w:pPr>
      <w:bookmarkStart w:id="28" w:name="_Toc484769805"/>
      <w:bookmarkStart w:id="29" w:name="_Toc491963083"/>
      <w:r>
        <w:rPr>
          <w:rFonts w:ascii="宋体" w:hAnsi="宋体" w:cs="Arial" w:hint="eastAsia"/>
          <w:color w:val="000000"/>
          <w:szCs w:val="21"/>
        </w:rPr>
        <w:t>由于市场环境变化，为保护基金份额持有人利益，根据</w:t>
      </w:r>
      <w:r w:rsidRPr="00CC38BC">
        <w:rPr>
          <w:rFonts w:ascii="宋体" w:hAnsi="宋体" w:cs="Arial" w:hint="eastAsia"/>
          <w:color w:val="000000"/>
          <w:szCs w:val="21"/>
        </w:rPr>
        <w:t>《中华人民共和国证券投资基金法》、《公开募集证券投资基金运作管理办法》和《博时灵活配置混合型证券投资基金基金合同》的有关规定，本基金基金份额持有人大会于</w:t>
      </w:r>
      <w:r w:rsidRPr="00CC38BC">
        <w:rPr>
          <w:rFonts w:ascii="宋体" w:hAnsi="宋体" w:cs="Arial"/>
          <w:color w:val="000000"/>
          <w:szCs w:val="21"/>
        </w:rPr>
        <w:t>2018年1月19日</w:t>
      </w:r>
      <w:r w:rsidRPr="00CC38BC">
        <w:rPr>
          <w:rFonts w:ascii="宋体" w:hAnsi="宋体" w:cs="Arial" w:hint="eastAsia"/>
          <w:color w:val="000000"/>
          <w:szCs w:val="21"/>
        </w:rPr>
        <w:t>表决通过的《</w:t>
      </w:r>
      <w:r w:rsidRPr="00CC38BC">
        <w:rPr>
          <w:rFonts w:hint="eastAsia"/>
          <w:color w:val="000000"/>
          <w:szCs w:val="21"/>
        </w:rPr>
        <w:t>关于终止博时灵活配置混合型证券投资基金基金合同有关事项的议案</w:t>
      </w:r>
      <w:r w:rsidRPr="00CC38BC">
        <w:rPr>
          <w:rFonts w:ascii="宋体" w:hAnsi="宋体" w:cs="Arial" w:hint="eastAsia"/>
          <w:color w:val="000000"/>
          <w:szCs w:val="21"/>
        </w:rPr>
        <w:t>》以及博时基金管理有限公司于201</w:t>
      </w:r>
      <w:r>
        <w:rPr>
          <w:rFonts w:ascii="宋体" w:hAnsi="宋体" w:cs="Arial" w:hint="eastAsia"/>
          <w:color w:val="000000"/>
          <w:szCs w:val="21"/>
        </w:rPr>
        <w:t>8</w:t>
      </w:r>
      <w:r w:rsidRPr="00CC38BC">
        <w:rPr>
          <w:rFonts w:ascii="宋体" w:hAnsi="宋体" w:cs="Arial" w:hint="eastAsia"/>
          <w:color w:val="000000"/>
          <w:szCs w:val="21"/>
        </w:rPr>
        <w:t>年</w:t>
      </w:r>
      <w:r>
        <w:rPr>
          <w:rFonts w:ascii="宋体" w:hAnsi="宋体" w:cs="Arial" w:hint="eastAsia"/>
          <w:color w:val="000000"/>
          <w:szCs w:val="21"/>
        </w:rPr>
        <w:t>1</w:t>
      </w:r>
      <w:r w:rsidRPr="00CC38BC">
        <w:rPr>
          <w:rFonts w:ascii="宋体" w:hAnsi="宋体" w:cs="Arial" w:hint="eastAsia"/>
          <w:color w:val="000000"/>
          <w:szCs w:val="21"/>
        </w:rPr>
        <w:t>月</w:t>
      </w:r>
      <w:r>
        <w:rPr>
          <w:rFonts w:ascii="宋体" w:hAnsi="宋体" w:cs="Arial" w:hint="eastAsia"/>
          <w:color w:val="000000"/>
          <w:szCs w:val="21"/>
        </w:rPr>
        <w:t>20</w:t>
      </w:r>
      <w:r w:rsidRPr="00CC38BC">
        <w:rPr>
          <w:rFonts w:ascii="宋体" w:hAnsi="宋体" w:cs="Arial" w:hint="eastAsia"/>
          <w:color w:val="000000"/>
          <w:szCs w:val="21"/>
        </w:rPr>
        <w:t>日发布的《博时基金管理有限公司关于博时灵活配置混合型证券投资基金基金份额持有人大会表决结果暨决议生效的公告》，本基金的最后运作日定为</w:t>
      </w:r>
      <w:r>
        <w:rPr>
          <w:rFonts w:ascii="宋体" w:hAnsi="宋体" w:cs="Arial" w:hint="eastAsia"/>
          <w:color w:val="000000"/>
          <w:szCs w:val="21"/>
        </w:rPr>
        <w:t>2018</w:t>
      </w:r>
      <w:r w:rsidRPr="00CC38BC">
        <w:rPr>
          <w:rFonts w:ascii="宋体" w:hAnsi="宋体" w:cs="Arial" w:hint="eastAsia"/>
          <w:color w:val="000000"/>
          <w:szCs w:val="21"/>
        </w:rPr>
        <w:t>年</w:t>
      </w:r>
      <w:r>
        <w:rPr>
          <w:rFonts w:ascii="宋体" w:hAnsi="宋体" w:cs="Arial" w:hint="eastAsia"/>
          <w:color w:val="000000"/>
          <w:szCs w:val="21"/>
        </w:rPr>
        <w:t>1</w:t>
      </w:r>
      <w:r w:rsidRPr="00CC38BC">
        <w:rPr>
          <w:rFonts w:ascii="宋体" w:hAnsi="宋体" w:cs="Arial" w:hint="eastAsia"/>
          <w:color w:val="000000"/>
          <w:szCs w:val="21"/>
        </w:rPr>
        <w:t>月</w:t>
      </w:r>
      <w:r>
        <w:rPr>
          <w:rFonts w:ascii="宋体" w:hAnsi="宋体" w:cs="Arial" w:hint="eastAsia"/>
          <w:color w:val="000000"/>
          <w:szCs w:val="21"/>
        </w:rPr>
        <w:t>22</w:t>
      </w:r>
      <w:r w:rsidRPr="00CC38BC">
        <w:rPr>
          <w:rFonts w:ascii="宋体" w:hAnsi="宋体" w:cs="Arial" w:hint="eastAsia"/>
          <w:color w:val="000000"/>
          <w:szCs w:val="21"/>
        </w:rPr>
        <w:t>日，并于</w:t>
      </w:r>
      <w:r>
        <w:rPr>
          <w:rFonts w:ascii="宋体" w:hAnsi="宋体" w:cs="Arial" w:hint="eastAsia"/>
          <w:color w:val="000000"/>
          <w:szCs w:val="21"/>
        </w:rPr>
        <w:t>2018</w:t>
      </w:r>
      <w:r w:rsidRPr="00CC38BC">
        <w:rPr>
          <w:rFonts w:ascii="宋体" w:hAnsi="宋体" w:cs="Arial" w:hint="eastAsia"/>
          <w:color w:val="000000"/>
          <w:szCs w:val="21"/>
        </w:rPr>
        <w:t>年</w:t>
      </w:r>
      <w:r>
        <w:rPr>
          <w:rFonts w:ascii="宋体" w:hAnsi="宋体" w:cs="Arial" w:hint="eastAsia"/>
          <w:color w:val="000000"/>
          <w:szCs w:val="21"/>
        </w:rPr>
        <w:t>1</w:t>
      </w:r>
      <w:r w:rsidRPr="00CC38BC">
        <w:rPr>
          <w:rFonts w:ascii="宋体" w:hAnsi="宋体" w:cs="Arial" w:hint="eastAsia"/>
          <w:color w:val="000000"/>
          <w:szCs w:val="21"/>
        </w:rPr>
        <w:t>月</w:t>
      </w:r>
      <w:r>
        <w:rPr>
          <w:rFonts w:ascii="宋体" w:hAnsi="宋体" w:cs="Arial" w:hint="eastAsia"/>
          <w:color w:val="000000"/>
          <w:szCs w:val="21"/>
        </w:rPr>
        <w:t>23</w:t>
      </w:r>
      <w:r w:rsidRPr="00CC38BC">
        <w:rPr>
          <w:rFonts w:ascii="宋体" w:hAnsi="宋体" w:cs="Arial" w:hint="eastAsia"/>
          <w:color w:val="000000"/>
          <w:szCs w:val="21"/>
        </w:rPr>
        <w:t>日进入清算程序。</w:t>
      </w:r>
    </w:p>
    <w:p w:rsidR="00214EB4" w:rsidRPr="00AE5F6A" w:rsidRDefault="00AD1682" w:rsidP="009C2B45">
      <w:pPr>
        <w:pStyle w:val="1"/>
        <w:keepNext/>
        <w:keepLines/>
        <w:widowControl w:val="0"/>
        <w:spacing w:beforeLines="100" w:afterLines="100" w:line="360" w:lineRule="auto"/>
        <w:jc w:val="center"/>
        <w:rPr>
          <w:rStyle w:val="2CharCharChar"/>
          <w:rFonts w:ascii="宋体" w:hAnsi="宋体"/>
        </w:rPr>
      </w:pPr>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491963084"/>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bookmarkEnd w:id="38"/>
      <w:r w:rsidR="00C80C26">
        <w:rPr>
          <w:rFonts w:ascii="宋体" w:eastAsia="宋体" w:hAnsi="宋体" w:hint="eastAsia"/>
          <w:kern w:val="0"/>
          <w:sz w:val="21"/>
          <w:szCs w:val="21"/>
        </w:rPr>
        <w:t>(已经审计)</w:t>
      </w:r>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p w:rsidR="00214EB4" w:rsidRPr="00AE5F6A" w:rsidRDefault="00214EB4" w:rsidP="00214EB4">
      <w:pPr>
        <w:rPr>
          <w:rFonts w:ascii="宋体" w:hAnsi="宋体"/>
          <w:szCs w:val="21"/>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559"/>
        <w:gridCol w:w="2551"/>
      </w:tblGrid>
      <w:tr w:rsidR="00E94800" w:rsidRPr="00DC20A3" w:rsidTr="00E94800">
        <w:trPr>
          <w:cantSplit/>
        </w:trPr>
        <w:tc>
          <w:tcPr>
            <w:tcW w:w="2970" w:type="dxa"/>
            <w:tcBorders>
              <w:top w:val="single" w:sz="4" w:space="0" w:color="auto"/>
            </w:tcBorders>
            <w:vAlign w:val="center"/>
          </w:tcPr>
          <w:p w:rsidR="00E94800" w:rsidRPr="00DC20A3" w:rsidRDefault="00E94800" w:rsidP="00E94800">
            <w:pPr>
              <w:pStyle w:val="a5"/>
              <w:spacing w:before="0" w:beforeAutospacing="0" w:after="0" w:afterAutospacing="0"/>
              <w:ind w:firstLine="422"/>
              <w:jc w:val="both"/>
              <w:rPr>
                <w:rFonts w:ascii="Arial" w:eastAsia="宋体" w:hAnsi="Arial" w:cs="Arial"/>
                <w:b/>
              </w:rPr>
            </w:pPr>
            <w:r w:rsidRPr="00DC20A3">
              <w:rPr>
                <w:rFonts w:ascii="Arial" w:eastAsia="宋体" w:hAnsi="Arial" w:cs="Arial"/>
                <w:b/>
              </w:rPr>
              <w:t>资产</w:t>
            </w:r>
          </w:p>
        </w:tc>
        <w:tc>
          <w:tcPr>
            <w:tcW w:w="2559" w:type="dxa"/>
            <w:tcBorders>
              <w:top w:val="single" w:sz="4" w:space="0" w:color="auto"/>
            </w:tcBorders>
            <w:vAlign w:val="bottom"/>
          </w:tcPr>
          <w:p w:rsidR="00E94800" w:rsidRPr="00DC20A3" w:rsidRDefault="00E94800" w:rsidP="007A50CA">
            <w:pPr>
              <w:pStyle w:val="a5"/>
              <w:spacing w:before="0" w:beforeAutospacing="0" w:after="0" w:afterAutospacing="0"/>
              <w:ind w:left="-110" w:right="-84" w:firstLine="422"/>
              <w:jc w:val="center"/>
              <w:rPr>
                <w:rFonts w:ascii="Arial" w:eastAsia="宋体" w:hAnsi="Arial" w:cs="Arial"/>
                <w:b/>
                <w:lang w:eastAsia="zh-CN"/>
              </w:rPr>
            </w:pPr>
            <w:r w:rsidRPr="00DC20A3">
              <w:rPr>
                <w:rFonts w:ascii="Arial" w:eastAsia="宋体" w:hAnsi="Arial" w:cs="Arial" w:hint="eastAsia"/>
                <w:b/>
                <w:lang w:eastAsia="zh-CN"/>
              </w:rPr>
              <w:t>本期末</w:t>
            </w:r>
          </w:p>
          <w:p w:rsidR="00E94800" w:rsidRPr="00DC20A3" w:rsidRDefault="00E94800" w:rsidP="007A50CA">
            <w:pPr>
              <w:pStyle w:val="a5"/>
              <w:spacing w:before="0" w:beforeAutospacing="0" w:after="0" w:afterAutospacing="0"/>
              <w:ind w:left="-110" w:right="-84" w:firstLine="422"/>
              <w:jc w:val="center"/>
              <w:rPr>
                <w:rFonts w:ascii="Arial" w:eastAsia="宋体" w:hAnsi="Arial" w:cs="Arial"/>
                <w:b/>
                <w:lang w:eastAsia="zh-CN"/>
              </w:rPr>
            </w:pPr>
            <w:r>
              <w:rPr>
                <w:rFonts w:ascii="Arial" w:eastAsia="宋体" w:hAnsi="Arial" w:cs="Arial"/>
                <w:b/>
                <w:lang w:eastAsia="zh-CN"/>
              </w:rPr>
              <w:t>2018</w:t>
            </w:r>
            <w:r>
              <w:rPr>
                <w:rFonts w:ascii="Arial" w:eastAsia="宋体" w:hAnsi="Arial" w:cs="Arial"/>
                <w:b/>
                <w:lang w:eastAsia="zh-CN"/>
              </w:rPr>
              <w:t>年</w:t>
            </w:r>
            <w:r>
              <w:rPr>
                <w:rFonts w:ascii="Arial" w:eastAsia="宋体" w:hAnsi="Arial" w:cs="Arial"/>
                <w:b/>
                <w:lang w:eastAsia="zh-CN"/>
              </w:rPr>
              <w:t>1</w:t>
            </w:r>
            <w:r>
              <w:rPr>
                <w:rFonts w:ascii="Arial" w:eastAsia="宋体" w:hAnsi="Arial" w:cs="Arial"/>
                <w:b/>
                <w:lang w:eastAsia="zh-CN"/>
              </w:rPr>
              <w:t>月</w:t>
            </w:r>
            <w:r>
              <w:rPr>
                <w:rFonts w:ascii="Arial" w:eastAsia="宋体" w:hAnsi="Arial" w:cs="Arial"/>
                <w:b/>
                <w:lang w:eastAsia="zh-CN"/>
              </w:rPr>
              <w:t>22</w:t>
            </w:r>
            <w:r>
              <w:rPr>
                <w:rFonts w:ascii="Arial" w:eastAsia="宋体" w:hAnsi="Arial" w:cs="Arial"/>
                <w:b/>
                <w:lang w:eastAsia="zh-CN"/>
              </w:rPr>
              <w:t>日</w:t>
            </w:r>
          </w:p>
          <w:p w:rsidR="00E94800" w:rsidRPr="00DC20A3" w:rsidRDefault="00E94800" w:rsidP="007A50CA">
            <w:pPr>
              <w:pStyle w:val="a5"/>
              <w:spacing w:before="0" w:beforeAutospacing="0" w:after="0" w:afterAutospacing="0"/>
              <w:ind w:left="-110" w:right="-84" w:firstLine="422"/>
              <w:jc w:val="center"/>
              <w:rPr>
                <w:rFonts w:ascii="Arial" w:eastAsia="宋体" w:hAnsi="Arial" w:cs="Arial"/>
                <w:b/>
                <w:lang w:eastAsia="zh-CN"/>
              </w:rPr>
            </w:pPr>
            <w:r w:rsidRPr="00DC20A3">
              <w:rPr>
                <w:rFonts w:ascii="Arial" w:eastAsia="宋体" w:hAnsi="Arial" w:cs="Arial" w:hint="eastAsia"/>
                <w:b/>
                <w:lang w:eastAsia="zh-CN"/>
              </w:rPr>
              <w:t>(</w:t>
            </w:r>
            <w:r w:rsidRPr="00DC20A3">
              <w:rPr>
                <w:rFonts w:ascii="Arial" w:eastAsia="宋体" w:hAnsi="Arial" w:cs="Arial" w:hint="eastAsia"/>
                <w:b/>
                <w:lang w:eastAsia="zh-CN"/>
              </w:rPr>
              <w:t>基金</w:t>
            </w:r>
            <w:r w:rsidRPr="00DC20A3">
              <w:rPr>
                <w:rFonts w:ascii="Arial" w:eastAsia="宋体" w:hAnsi="Arial" w:cs="Arial"/>
                <w:b/>
                <w:lang w:eastAsia="zh-CN"/>
              </w:rPr>
              <w:t>最后运作日</w:t>
            </w:r>
            <w:r w:rsidRPr="00DC20A3">
              <w:rPr>
                <w:rFonts w:ascii="Arial" w:eastAsia="宋体" w:hAnsi="Arial" w:cs="Arial" w:hint="eastAsia"/>
                <w:b/>
                <w:lang w:eastAsia="zh-CN"/>
              </w:rPr>
              <w:t>)</w:t>
            </w:r>
          </w:p>
        </w:tc>
        <w:tc>
          <w:tcPr>
            <w:tcW w:w="2551" w:type="dxa"/>
            <w:tcBorders>
              <w:top w:val="single" w:sz="4" w:space="0" w:color="auto"/>
            </w:tcBorders>
            <w:vAlign w:val="bottom"/>
          </w:tcPr>
          <w:p w:rsidR="00E94800" w:rsidRPr="00DC20A3" w:rsidRDefault="00E94800" w:rsidP="007A50CA">
            <w:pPr>
              <w:pStyle w:val="a5"/>
              <w:spacing w:before="0" w:beforeAutospacing="0" w:after="0" w:afterAutospacing="0"/>
              <w:ind w:left="-48" w:right="-44" w:firstLine="422"/>
              <w:jc w:val="center"/>
              <w:rPr>
                <w:rFonts w:ascii="Arial" w:eastAsia="宋体" w:hAnsi="Arial" w:cs="Arial"/>
                <w:b/>
                <w:lang w:eastAsia="zh-CN"/>
              </w:rPr>
            </w:pPr>
            <w:r w:rsidRPr="00DC20A3">
              <w:rPr>
                <w:rFonts w:ascii="Arial" w:eastAsia="宋体" w:hAnsi="Arial" w:cs="Arial" w:hint="eastAsia"/>
                <w:b/>
                <w:lang w:eastAsia="zh-CN"/>
              </w:rPr>
              <w:t>上年度末</w:t>
            </w:r>
          </w:p>
          <w:p w:rsidR="00E94800" w:rsidRPr="00DC20A3" w:rsidRDefault="00E94800" w:rsidP="007A50CA">
            <w:pPr>
              <w:pStyle w:val="a5"/>
              <w:spacing w:before="0" w:beforeAutospacing="0" w:after="0" w:afterAutospacing="0"/>
              <w:ind w:left="-48" w:right="-44" w:firstLine="422"/>
              <w:jc w:val="center"/>
              <w:rPr>
                <w:rFonts w:ascii="Arial" w:eastAsia="宋体" w:hAnsi="Arial" w:cs="Arial"/>
                <w:b/>
              </w:rPr>
            </w:pPr>
            <w:r>
              <w:rPr>
                <w:rFonts w:ascii="Arial" w:eastAsia="宋体" w:hAnsi="Arial" w:cs="Arial"/>
                <w:b/>
                <w:lang w:eastAsia="zh-CN"/>
              </w:rPr>
              <w:t>2017</w:t>
            </w:r>
            <w:r>
              <w:rPr>
                <w:rFonts w:ascii="Arial" w:eastAsia="宋体" w:hAnsi="Arial" w:cs="Arial"/>
                <w:b/>
                <w:lang w:eastAsia="zh-CN"/>
              </w:rPr>
              <w:t>年</w:t>
            </w:r>
            <w:r>
              <w:rPr>
                <w:rFonts w:ascii="Arial" w:eastAsia="宋体" w:hAnsi="Arial" w:cs="Arial"/>
                <w:b/>
                <w:lang w:eastAsia="zh-CN"/>
              </w:rPr>
              <w:t>12</w:t>
            </w:r>
            <w:r>
              <w:rPr>
                <w:rFonts w:ascii="Arial" w:eastAsia="宋体" w:hAnsi="Arial" w:cs="Arial"/>
                <w:b/>
                <w:lang w:eastAsia="zh-CN"/>
              </w:rPr>
              <w:t>月</w:t>
            </w:r>
            <w:r>
              <w:rPr>
                <w:rFonts w:ascii="Arial" w:eastAsia="宋体" w:hAnsi="Arial" w:cs="Arial"/>
                <w:b/>
                <w:lang w:eastAsia="zh-CN"/>
              </w:rPr>
              <w:t>31</w:t>
            </w:r>
            <w:r>
              <w:rPr>
                <w:rFonts w:ascii="Arial" w:eastAsia="宋体" w:hAnsi="Arial" w:cs="Arial"/>
                <w:b/>
                <w:lang w:eastAsia="zh-CN"/>
              </w:rPr>
              <w:t>日</w:t>
            </w:r>
          </w:p>
        </w:tc>
      </w:tr>
      <w:tr w:rsidR="00E94800" w:rsidRPr="00DC20A3" w:rsidTr="00E94800">
        <w:trPr>
          <w:cantSplit/>
        </w:trPr>
        <w:tc>
          <w:tcPr>
            <w:tcW w:w="2970" w:type="dxa"/>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资产：</w:t>
            </w:r>
          </w:p>
        </w:tc>
        <w:tc>
          <w:tcPr>
            <w:tcW w:w="2559" w:type="dxa"/>
            <w:vAlign w:val="bottom"/>
          </w:tcPr>
          <w:p w:rsidR="00E94800" w:rsidRPr="00DC20A3" w:rsidRDefault="00E94800" w:rsidP="007A50CA">
            <w:pPr>
              <w:pStyle w:val="a5"/>
              <w:spacing w:before="0" w:beforeAutospacing="0" w:after="0" w:afterAutospacing="0"/>
              <w:rPr>
                <w:rFonts w:ascii="Arial" w:eastAsia="宋体" w:hAnsi="Arial" w:cs="Arial"/>
                <w:highlight w:val="yellow"/>
              </w:rPr>
            </w:pPr>
          </w:p>
        </w:tc>
        <w:tc>
          <w:tcPr>
            <w:tcW w:w="2551" w:type="dxa"/>
            <w:vAlign w:val="bottom"/>
          </w:tcPr>
          <w:p w:rsidR="00E94800" w:rsidRPr="00DC20A3" w:rsidRDefault="00E94800" w:rsidP="007A50CA">
            <w:pPr>
              <w:pStyle w:val="a5"/>
              <w:spacing w:before="0" w:beforeAutospacing="0" w:after="0" w:afterAutospacing="0"/>
              <w:rPr>
                <w:rFonts w:ascii="Arial" w:eastAsia="宋体" w:hAnsi="Arial" w:cs="Arial"/>
                <w:highlight w:val="yellow"/>
              </w:rPr>
            </w:pP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银行存款</w:t>
            </w:r>
          </w:p>
        </w:tc>
        <w:tc>
          <w:tcPr>
            <w:tcW w:w="2559" w:type="dxa"/>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11,403,175.71</w:t>
            </w:r>
          </w:p>
        </w:tc>
        <w:tc>
          <w:tcPr>
            <w:tcW w:w="2551" w:type="dxa"/>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17,736,540.01</w:t>
            </w: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结算</w:t>
            </w:r>
            <w:r w:rsidRPr="001463C3">
              <w:rPr>
                <w:rFonts w:ascii="宋体" w:eastAsia="宋体" w:hAnsi="宋体" w:cs="Times New Roman"/>
                <w:color w:val="000000"/>
                <w:kern w:val="2"/>
                <w:sz w:val="21"/>
                <w:szCs w:val="21"/>
                <w:lang w:val="en-US" w:eastAsia="zh-CN"/>
              </w:rPr>
              <w:t>备付金</w:t>
            </w:r>
          </w:p>
        </w:tc>
        <w:tc>
          <w:tcPr>
            <w:tcW w:w="2559" w:type="dxa"/>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71,428.57</w:t>
            </w:r>
          </w:p>
        </w:tc>
        <w:tc>
          <w:tcPr>
            <w:tcW w:w="2551" w:type="dxa"/>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429,545.45</w:t>
            </w: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存出保证金</w:t>
            </w:r>
          </w:p>
        </w:tc>
        <w:tc>
          <w:tcPr>
            <w:tcW w:w="2559" w:type="dxa"/>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116,507.20</w:t>
            </w:r>
          </w:p>
        </w:tc>
        <w:tc>
          <w:tcPr>
            <w:tcW w:w="2551" w:type="dxa"/>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153,019.71</w:t>
            </w: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买入返售金融资产</w:t>
            </w:r>
          </w:p>
        </w:tc>
        <w:tc>
          <w:tcPr>
            <w:tcW w:w="2559" w:type="dxa"/>
            <w:vAlign w:val="bottom"/>
          </w:tcPr>
          <w:p w:rsidR="00E94800" w:rsidRPr="00E94800" w:rsidRDefault="00E94800" w:rsidP="00E94800">
            <w:pPr>
              <w:tabs>
                <w:tab w:val="decimal" w:pos="1607"/>
              </w:tabs>
              <w:jc w:val="right"/>
              <w:rPr>
                <w:rFonts w:ascii="宋体" w:hAnsi="宋体" w:cs="Arial"/>
                <w:color w:val="000000"/>
                <w:szCs w:val="21"/>
              </w:rPr>
            </w:pPr>
            <w:r w:rsidRPr="00E94800">
              <w:rPr>
                <w:rFonts w:ascii="宋体" w:hAnsi="宋体" w:cs="Arial"/>
                <w:color w:val="000000"/>
                <w:szCs w:val="21"/>
              </w:rPr>
              <w:t>5,000,000.00</w:t>
            </w:r>
          </w:p>
        </w:tc>
        <w:tc>
          <w:tcPr>
            <w:tcW w:w="2551" w:type="dxa"/>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15,000,000.00</w:t>
            </w: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应收利息</w:t>
            </w:r>
          </w:p>
        </w:tc>
        <w:tc>
          <w:tcPr>
            <w:tcW w:w="2559" w:type="dxa"/>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13,631.11</w:t>
            </w:r>
          </w:p>
        </w:tc>
        <w:tc>
          <w:tcPr>
            <w:tcW w:w="2551" w:type="dxa"/>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5,518.08</w:t>
            </w:r>
          </w:p>
        </w:tc>
      </w:tr>
      <w:tr w:rsidR="00E94800" w:rsidRPr="00DC20A3" w:rsidTr="00E94800">
        <w:trPr>
          <w:cantSplit/>
        </w:trPr>
        <w:tc>
          <w:tcPr>
            <w:tcW w:w="2970" w:type="dxa"/>
            <w:vAlign w:val="center"/>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应收申购款</w:t>
            </w:r>
          </w:p>
        </w:tc>
        <w:tc>
          <w:tcPr>
            <w:tcW w:w="2559" w:type="dxa"/>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3,709.31</w:t>
            </w:r>
          </w:p>
        </w:tc>
        <w:tc>
          <w:tcPr>
            <w:tcW w:w="2551" w:type="dxa"/>
            <w:vAlign w:val="bottom"/>
          </w:tcPr>
          <w:p w:rsidR="00E94800" w:rsidRPr="00E94800" w:rsidRDefault="00E94800" w:rsidP="00E94800">
            <w:pPr>
              <w:tabs>
                <w:tab w:val="decimal" w:pos="1676"/>
              </w:tabs>
              <w:jc w:val="right"/>
              <w:rPr>
                <w:rFonts w:ascii="宋体" w:hAnsi="宋体" w:cs="Arial"/>
                <w:color w:val="000000"/>
                <w:szCs w:val="21"/>
              </w:rPr>
            </w:pPr>
            <w:r w:rsidRPr="00E94800">
              <w:rPr>
                <w:rFonts w:ascii="宋体" w:hAnsi="宋体" w:cs="Arial"/>
                <w:color w:val="000000"/>
                <w:szCs w:val="21"/>
              </w:rPr>
              <w:t>12,365.65</w:t>
            </w:r>
          </w:p>
        </w:tc>
      </w:tr>
      <w:tr w:rsidR="00E94800" w:rsidRPr="00DC20A3" w:rsidTr="00E94800">
        <w:trPr>
          <w:cantSplit/>
        </w:trPr>
        <w:tc>
          <w:tcPr>
            <w:tcW w:w="2970" w:type="dxa"/>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资产总计</w:t>
            </w:r>
          </w:p>
        </w:tc>
        <w:tc>
          <w:tcPr>
            <w:tcW w:w="2559" w:type="dxa"/>
            <w:vAlign w:val="bottom"/>
          </w:tcPr>
          <w:p w:rsidR="00E94800" w:rsidRPr="00E94800" w:rsidRDefault="00E94800" w:rsidP="00E94800">
            <w:pPr>
              <w:tabs>
                <w:tab w:val="decimal" w:pos="1621"/>
              </w:tabs>
              <w:jc w:val="right"/>
              <w:rPr>
                <w:rFonts w:ascii="宋体" w:hAnsi="宋体" w:cs="Arial"/>
                <w:b/>
                <w:color w:val="000000"/>
                <w:szCs w:val="21"/>
              </w:rPr>
            </w:pPr>
            <w:r w:rsidRPr="00E94800">
              <w:rPr>
                <w:rFonts w:ascii="宋体" w:hAnsi="宋体" w:cs="Arial"/>
                <w:b/>
                <w:color w:val="000000"/>
                <w:szCs w:val="21"/>
              </w:rPr>
              <w:t>16,608,451.90</w:t>
            </w:r>
          </w:p>
        </w:tc>
        <w:tc>
          <w:tcPr>
            <w:tcW w:w="2551" w:type="dxa"/>
            <w:vAlign w:val="bottom"/>
          </w:tcPr>
          <w:p w:rsidR="00E94800" w:rsidRPr="00E94800" w:rsidRDefault="00E94800" w:rsidP="00E94800">
            <w:pPr>
              <w:tabs>
                <w:tab w:val="decimal" w:pos="1833"/>
              </w:tabs>
              <w:jc w:val="right"/>
              <w:rPr>
                <w:rFonts w:ascii="宋体" w:hAnsi="宋体" w:cs="Arial"/>
                <w:b/>
                <w:color w:val="000000"/>
                <w:szCs w:val="21"/>
              </w:rPr>
            </w:pPr>
            <w:r w:rsidRPr="00E94800">
              <w:rPr>
                <w:rFonts w:ascii="宋体" w:hAnsi="宋体" w:cs="Arial"/>
                <w:b/>
                <w:color w:val="000000"/>
                <w:szCs w:val="21"/>
              </w:rPr>
              <w:t>33,336,988.90</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负债和所有者权益</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tabs>
                <w:tab w:val="decimal" w:pos="1621"/>
              </w:tabs>
              <w:spacing w:before="0" w:beforeAutospacing="0" w:after="0" w:afterAutospacing="0"/>
              <w:ind w:left="-110" w:right="-84" w:firstLine="422"/>
              <w:jc w:val="right"/>
              <w:rPr>
                <w:rFonts w:ascii="Arial" w:eastAsia="宋体" w:hAnsi="Arial" w:cs="Arial"/>
                <w:b/>
                <w:highlight w:val="yellow"/>
              </w:rPr>
            </w:pP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left="-48" w:right="-44" w:firstLine="422"/>
              <w:jc w:val="right"/>
              <w:rPr>
                <w:rFonts w:ascii="Arial" w:eastAsia="宋体" w:hAnsi="Arial" w:cs="Arial"/>
                <w:b/>
                <w:highlight w:val="yellow"/>
              </w:rPr>
            </w:pP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负债：</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tabs>
                <w:tab w:val="decimal" w:pos="1621"/>
              </w:tabs>
              <w:spacing w:before="0" w:beforeAutospacing="0" w:after="0" w:afterAutospacing="0"/>
              <w:ind w:firstLine="422"/>
              <w:jc w:val="right"/>
              <w:rPr>
                <w:rFonts w:ascii="Arial" w:eastAsia="宋体" w:hAnsi="Arial" w:cs="Arial"/>
                <w:b/>
              </w:rPr>
            </w:pP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tabs>
                <w:tab w:val="decimal" w:pos="1648"/>
              </w:tabs>
              <w:spacing w:before="0" w:beforeAutospacing="0" w:after="0" w:afterAutospacing="0"/>
              <w:ind w:firstLine="422"/>
              <w:jc w:val="right"/>
              <w:rPr>
                <w:rFonts w:ascii="Arial" w:eastAsia="宋体" w:hAnsi="Arial" w:cs="Arial"/>
                <w:b/>
              </w:rPr>
            </w:pP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应付证券清算款</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hint="eastAsia"/>
                <w:color w:val="000000"/>
                <w:szCs w:val="21"/>
              </w:rPr>
              <w:t>-</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15,000,000.00</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应付赎回款</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71,077.37</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120,603.44</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应付管理人报酬</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5,741.24</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92"/>
              </w:tabs>
              <w:jc w:val="right"/>
              <w:rPr>
                <w:rFonts w:ascii="宋体" w:hAnsi="宋体" w:cs="Arial"/>
                <w:color w:val="000000"/>
                <w:szCs w:val="21"/>
              </w:rPr>
            </w:pPr>
            <w:r w:rsidRPr="00E94800">
              <w:rPr>
                <w:rFonts w:ascii="宋体" w:hAnsi="宋体" w:cs="Arial"/>
                <w:color w:val="000000"/>
                <w:szCs w:val="21"/>
              </w:rPr>
              <w:t>8,808.86</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应付托管费</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1,586,207.62</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1,584,772.30</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应付销售服务费</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11.20</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13.36</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应付交易费用</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335,823.55</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335,973.55</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color w:val="000000"/>
                <w:kern w:val="2"/>
                <w:sz w:val="21"/>
                <w:szCs w:val="21"/>
                <w:lang w:val="en-US" w:eastAsia="zh-CN"/>
              </w:rPr>
              <w:t>其他负债</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301,519.26</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251,284.75</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负债合计</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b/>
                <w:color w:val="000000"/>
                <w:szCs w:val="21"/>
              </w:rPr>
            </w:pPr>
            <w:r w:rsidRPr="00E94800">
              <w:rPr>
                <w:rFonts w:ascii="宋体" w:hAnsi="宋体" w:cs="Arial"/>
                <w:b/>
                <w:color w:val="000000"/>
                <w:szCs w:val="21"/>
              </w:rPr>
              <w:t>2,300,380.24</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b/>
                <w:color w:val="000000"/>
                <w:szCs w:val="21"/>
              </w:rPr>
            </w:pPr>
            <w:r w:rsidRPr="00E94800">
              <w:rPr>
                <w:rFonts w:ascii="宋体" w:hAnsi="宋体" w:cs="Arial"/>
                <w:b/>
                <w:color w:val="000000"/>
                <w:szCs w:val="21"/>
              </w:rPr>
              <w:t>17,301,456.26</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b/>
              </w:rPr>
              <w:t>所有者权益：</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74"/>
              </w:tabs>
              <w:jc w:val="right"/>
              <w:rPr>
                <w:rFonts w:ascii="宋体" w:hAnsi="宋体" w:cs="Arial"/>
                <w:color w:val="000000"/>
                <w:szCs w:val="21"/>
              </w:rPr>
            </w:pP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实收基金</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12,662,780.87</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14,133,919.12</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1463C3" w:rsidRDefault="00E94800" w:rsidP="00E94800">
            <w:pPr>
              <w:pStyle w:val="a5"/>
              <w:spacing w:before="0" w:beforeAutospacing="0" w:after="0" w:afterAutospacing="0"/>
              <w:rPr>
                <w:rFonts w:ascii="宋体" w:eastAsia="宋体" w:hAnsi="宋体" w:cs="Times New Roman"/>
                <w:color w:val="000000"/>
                <w:kern w:val="2"/>
                <w:sz w:val="21"/>
                <w:szCs w:val="21"/>
                <w:lang w:val="en-US" w:eastAsia="zh-CN"/>
              </w:rPr>
            </w:pPr>
            <w:r w:rsidRPr="001463C3">
              <w:rPr>
                <w:rFonts w:ascii="宋体" w:eastAsia="宋体" w:hAnsi="宋体" w:cs="Times New Roman" w:hint="eastAsia"/>
                <w:color w:val="000000"/>
                <w:kern w:val="2"/>
                <w:sz w:val="21"/>
                <w:szCs w:val="21"/>
                <w:lang w:val="en-US" w:eastAsia="zh-CN"/>
              </w:rPr>
              <w:t>未分配利润</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color w:val="000000"/>
                <w:szCs w:val="21"/>
              </w:rPr>
            </w:pPr>
            <w:r w:rsidRPr="00E94800">
              <w:rPr>
                <w:rFonts w:ascii="宋体" w:hAnsi="宋体" w:cs="Arial"/>
                <w:color w:val="000000"/>
                <w:szCs w:val="21"/>
              </w:rPr>
              <w:t>1,645,290.79</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color w:val="000000"/>
                <w:szCs w:val="21"/>
              </w:rPr>
            </w:pPr>
            <w:r w:rsidRPr="00E94800">
              <w:rPr>
                <w:rFonts w:ascii="宋体" w:hAnsi="宋体" w:cs="Arial"/>
                <w:color w:val="000000"/>
                <w:szCs w:val="21"/>
              </w:rPr>
              <w:t>1,901,613.52</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rPr>
            </w:pPr>
            <w:r w:rsidRPr="00DC20A3">
              <w:rPr>
                <w:rFonts w:ascii="Arial" w:eastAsia="宋体" w:hAnsi="Arial" w:cs="Arial" w:hint="eastAsia"/>
                <w:b/>
              </w:rPr>
              <w:t>所有者权益合计</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b/>
                <w:color w:val="000000"/>
                <w:szCs w:val="21"/>
              </w:rPr>
            </w:pPr>
            <w:r w:rsidRPr="00E94800">
              <w:rPr>
                <w:rFonts w:ascii="宋体" w:hAnsi="宋体" w:cs="Arial"/>
                <w:b/>
                <w:color w:val="000000"/>
                <w:szCs w:val="21"/>
              </w:rPr>
              <w:t>14,308,071.66</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b/>
                <w:color w:val="000000"/>
                <w:szCs w:val="21"/>
              </w:rPr>
            </w:pPr>
            <w:r w:rsidRPr="00E94800">
              <w:rPr>
                <w:rFonts w:ascii="宋体" w:hAnsi="宋体" w:cs="Arial"/>
                <w:b/>
                <w:color w:val="000000"/>
                <w:szCs w:val="21"/>
              </w:rPr>
              <w:t>16,035,532.64</w:t>
            </w:r>
          </w:p>
        </w:tc>
      </w:tr>
      <w:tr w:rsidR="00E94800" w:rsidRPr="00DC20A3" w:rsidTr="00E94800">
        <w:trPr>
          <w:cantSplit/>
        </w:trPr>
        <w:tc>
          <w:tcPr>
            <w:tcW w:w="2970" w:type="dxa"/>
            <w:tcBorders>
              <w:top w:val="single" w:sz="4" w:space="0" w:color="auto"/>
              <w:left w:val="single" w:sz="4" w:space="0" w:color="auto"/>
              <w:bottom w:val="single" w:sz="4" w:space="0" w:color="auto"/>
              <w:right w:val="single" w:sz="4" w:space="0" w:color="auto"/>
            </w:tcBorders>
            <w:vAlign w:val="bottom"/>
          </w:tcPr>
          <w:p w:rsidR="00E94800" w:rsidRPr="00DC20A3" w:rsidRDefault="00E94800" w:rsidP="00E94800">
            <w:pPr>
              <w:pStyle w:val="a5"/>
              <w:spacing w:before="0" w:beforeAutospacing="0" w:after="0" w:afterAutospacing="0"/>
              <w:ind w:firstLine="422"/>
              <w:rPr>
                <w:rFonts w:ascii="Arial" w:eastAsia="宋体" w:hAnsi="Arial" w:cs="Arial"/>
                <w:b/>
                <w:lang w:eastAsia="zh-CN"/>
              </w:rPr>
            </w:pPr>
            <w:r w:rsidRPr="00DC20A3">
              <w:rPr>
                <w:rFonts w:ascii="Arial" w:eastAsia="宋体" w:hAnsi="Arial" w:cs="Arial" w:hint="eastAsia"/>
                <w:b/>
                <w:lang w:eastAsia="zh-CN"/>
              </w:rPr>
              <w:t>负债和所有者权益总计</w:t>
            </w:r>
          </w:p>
        </w:tc>
        <w:tc>
          <w:tcPr>
            <w:tcW w:w="2559"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621"/>
              </w:tabs>
              <w:jc w:val="right"/>
              <w:rPr>
                <w:rFonts w:ascii="宋体" w:hAnsi="宋体" w:cs="Arial"/>
                <w:b/>
                <w:color w:val="000000"/>
                <w:szCs w:val="21"/>
              </w:rPr>
            </w:pPr>
            <w:r w:rsidRPr="00E94800">
              <w:rPr>
                <w:rFonts w:ascii="宋体" w:hAnsi="宋体" w:cs="Arial"/>
                <w:b/>
                <w:color w:val="000000"/>
                <w:szCs w:val="21"/>
              </w:rPr>
              <w:t>16,608,451.90</w:t>
            </w:r>
          </w:p>
        </w:tc>
        <w:tc>
          <w:tcPr>
            <w:tcW w:w="2551" w:type="dxa"/>
            <w:tcBorders>
              <w:top w:val="single" w:sz="4" w:space="0" w:color="auto"/>
              <w:left w:val="single" w:sz="4" w:space="0" w:color="auto"/>
              <w:bottom w:val="single" w:sz="4" w:space="0" w:color="auto"/>
              <w:right w:val="single" w:sz="4" w:space="0" w:color="auto"/>
            </w:tcBorders>
            <w:vAlign w:val="bottom"/>
          </w:tcPr>
          <w:p w:rsidR="00E94800" w:rsidRPr="00E94800" w:rsidRDefault="00E94800" w:rsidP="00E94800">
            <w:pPr>
              <w:tabs>
                <w:tab w:val="decimal" w:pos="1833"/>
              </w:tabs>
              <w:jc w:val="right"/>
              <w:rPr>
                <w:rFonts w:ascii="宋体" w:hAnsi="宋体" w:cs="Arial"/>
                <w:b/>
                <w:color w:val="000000"/>
                <w:szCs w:val="21"/>
              </w:rPr>
            </w:pPr>
            <w:r w:rsidRPr="00E94800">
              <w:rPr>
                <w:rFonts w:ascii="宋体" w:hAnsi="宋体" w:cs="Arial"/>
                <w:b/>
                <w:color w:val="000000"/>
                <w:szCs w:val="21"/>
              </w:rPr>
              <w:t>33,336,988.90</w:t>
            </w:r>
          </w:p>
        </w:tc>
      </w:tr>
    </w:tbl>
    <w:p w:rsidR="00214EB4" w:rsidRPr="00EB4F07" w:rsidRDefault="00214EB4" w:rsidP="00EB4F07">
      <w:pPr>
        <w:pStyle w:val="ad"/>
      </w:pPr>
      <w:r w:rsidRPr="00AE5F6A">
        <w:rPr>
          <w:rFonts w:cs="Arial" w:hint="eastAsia"/>
        </w:rPr>
        <w:t>注：报告截止日</w:t>
      </w:r>
      <w:r w:rsidRPr="00AE5F6A">
        <w:rPr>
          <w:rFonts w:cs="Arial"/>
        </w:rPr>
        <w:t>201</w:t>
      </w:r>
      <w:r w:rsidR="00EB4F07">
        <w:rPr>
          <w:rFonts w:cs="Arial" w:hint="eastAsia"/>
        </w:rPr>
        <w:t>8</w:t>
      </w:r>
      <w:r w:rsidRPr="00AE5F6A">
        <w:rPr>
          <w:rFonts w:cs="Arial" w:hint="eastAsia"/>
        </w:rPr>
        <w:t>年</w:t>
      </w:r>
      <w:r w:rsidR="00EB4F07">
        <w:rPr>
          <w:rFonts w:cs="Arial" w:hint="eastAsia"/>
        </w:rPr>
        <w:t>1</w:t>
      </w:r>
      <w:r w:rsidRPr="00AE5F6A">
        <w:rPr>
          <w:rFonts w:cs="Arial" w:hint="eastAsia"/>
        </w:rPr>
        <w:t>月</w:t>
      </w:r>
      <w:r w:rsidR="00EB4F07">
        <w:rPr>
          <w:rFonts w:cs="Arial"/>
        </w:rPr>
        <w:t>2</w:t>
      </w:r>
      <w:r w:rsidR="00EB4F07">
        <w:rPr>
          <w:rFonts w:cs="Arial" w:hint="eastAsia"/>
        </w:rPr>
        <w:t>2</w:t>
      </w:r>
      <w:r w:rsidRPr="00AE5F6A">
        <w:rPr>
          <w:rFonts w:cs="Arial" w:hint="eastAsia"/>
        </w:rPr>
        <w:t>日</w:t>
      </w:r>
      <w:r w:rsidRPr="00AE5F6A">
        <w:rPr>
          <w:rFonts w:cs="Arial"/>
        </w:rPr>
        <w:t>(</w:t>
      </w:r>
      <w:r w:rsidRPr="00AE5F6A">
        <w:rPr>
          <w:rFonts w:cs="Arial" w:hint="eastAsia"/>
        </w:rPr>
        <w:t>基金最后运作日</w:t>
      </w:r>
      <w:r w:rsidRPr="00AE5F6A">
        <w:rPr>
          <w:rFonts w:cs="Arial"/>
        </w:rPr>
        <w:t>)</w:t>
      </w:r>
      <w:r w:rsidRPr="00AE5F6A">
        <w:rPr>
          <w:rFonts w:cs="Arial" w:hint="eastAsia"/>
        </w:rPr>
        <w:t>，基金份额总额</w:t>
      </w:r>
      <w:r w:rsidR="00EB4F07" w:rsidRPr="00E94800">
        <w:rPr>
          <w:rFonts w:cs="Arial"/>
          <w:color w:val="000000"/>
        </w:rPr>
        <w:t>12,662,780.87</w:t>
      </w:r>
      <w:r w:rsidRPr="00AE5F6A">
        <w:rPr>
          <w:rFonts w:cs="Arial" w:hint="eastAsia"/>
        </w:rPr>
        <w:t>份。</w:t>
      </w:r>
      <w:r w:rsidR="00EB4F07" w:rsidRPr="00781E1F">
        <w:t>其中A类基金份额净值</w:t>
      </w:r>
      <w:r w:rsidR="00EB4F07">
        <w:rPr>
          <w:rFonts w:hint="eastAsia"/>
        </w:rPr>
        <w:t>1.1305</w:t>
      </w:r>
      <w:r w:rsidR="00EB4F07" w:rsidRPr="00781E1F">
        <w:t>元，基金份额总额</w:t>
      </w:r>
      <w:r w:rsidR="00EB4F07">
        <w:rPr>
          <w:rFonts w:hint="eastAsia"/>
        </w:rPr>
        <w:t>12,463,789.05</w:t>
      </w:r>
      <w:r w:rsidR="00EB4F07" w:rsidRPr="00781E1F">
        <w:t>份；C类基金份额净值</w:t>
      </w:r>
      <w:r w:rsidR="00EB4F07">
        <w:rPr>
          <w:rFonts w:hint="eastAsia"/>
        </w:rPr>
        <w:t>1.0925</w:t>
      </w:r>
      <w:r w:rsidR="00EB4F07" w:rsidRPr="00781E1F">
        <w:t>元，基金份额总额</w:t>
      </w:r>
      <w:r w:rsidR="00EB4F07">
        <w:rPr>
          <w:rFonts w:hint="eastAsia"/>
        </w:rPr>
        <w:t>198,991.82</w:t>
      </w:r>
      <w:r w:rsidR="00EB4F07" w:rsidRPr="00781E1F">
        <w:t>份。</w:t>
      </w:r>
      <w:r w:rsidR="00EB4F07">
        <w:rPr>
          <w:rFonts w:cs="Arial" w:hint="eastAsia"/>
        </w:rPr>
        <w:t>2018</w:t>
      </w:r>
      <w:r w:rsidR="00D00B39" w:rsidRPr="00AE5F6A">
        <w:rPr>
          <w:rFonts w:cs="Arial" w:hint="eastAsia"/>
        </w:rPr>
        <w:t>年</w:t>
      </w:r>
      <w:r w:rsidR="00EB4F07">
        <w:rPr>
          <w:rFonts w:cs="Arial" w:hint="eastAsia"/>
        </w:rPr>
        <w:t>1</w:t>
      </w:r>
      <w:r w:rsidR="00D00B39" w:rsidRPr="00AE5F6A">
        <w:rPr>
          <w:rFonts w:cs="Arial" w:hint="eastAsia"/>
        </w:rPr>
        <w:t>月</w:t>
      </w:r>
      <w:r w:rsidR="00EB4F07">
        <w:rPr>
          <w:rFonts w:cs="Arial" w:hint="eastAsia"/>
        </w:rPr>
        <w:t>22</w:t>
      </w:r>
      <w:r w:rsidR="00D00B39" w:rsidRPr="00AE5F6A">
        <w:rPr>
          <w:rFonts w:cs="Arial" w:hint="eastAsia"/>
        </w:rPr>
        <w:t>日，</w:t>
      </w:r>
      <w:r w:rsidR="00F03A4C" w:rsidRPr="00AE5F6A">
        <w:rPr>
          <w:rFonts w:cs="Arial" w:hint="eastAsia"/>
        </w:rPr>
        <w:t>基金资产发生</w:t>
      </w:r>
      <w:r w:rsidR="00D00B39" w:rsidRPr="00AE5F6A">
        <w:rPr>
          <w:rFonts w:cs="Arial" w:hint="eastAsia"/>
        </w:rPr>
        <w:t>赎回</w:t>
      </w:r>
      <w:r w:rsidR="007C2052">
        <w:rPr>
          <w:rFonts w:cs="Arial" w:hint="eastAsia"/>
        </w:rPr>
        <w:t>360,305.05</w:t>
      </w:r>
      <w:r w:rsidR="00D00B39" w:rsidRPr="00AE5F6A">
        <w:rPr>
          <w:rFonts w:cs="Arial" w:hint="eastAsia"/>
        </w:rPr>
        <w:t>份</w:t>
      </w:r>
      <w:r w:rsidR="00F03A4C" w:rsidRPr="00AE5F6A">
        <w:rPr>
          <w:rFonts w:cs="Arial" w:hint="eastAsia"/>
        </w:rPr>
        <w:t>，</w:t>
      </w:r>
      <w:r w:rsidR="007C2052">
        <w:rPr>
          <w:rFonts w:cs="Arial" w:hint="eastAsia"/>
        </w:rPr>
        <w:t>转出17,929.18份，</w:t>
      </w:r>
      <w:r w:rsidR="00D00B39" w:rsidRPr="00AE5F6A">
        <w:rPr>
          <w:rFonts w:cs="Arial" w:hint="eastAsia"/>
        </w:rPr>
        <w:t>于</w:t>
      </w:r>
      <w:r w:rsidR="001463C3">
        <w:rPr>
          <w:rFonts w:cs="Arial" w:hint="eastAsia"/>
        </w:rPr>
        <w:t>2018</w:t>
      </w:r>
      <w:r w:rsidR="00D00B39" w:rsidRPr="00AE5F6A">
        <w:rPr>
          <w:rFonts w:cs="Arial" w:hint="eastAsia"/>
        </w:rPr>
        <w:t>年</w:t>
      </w:r>
      <w:r w:rsidR="001463C3">
        <w:rPr>
          <w:rFonts w:cs="Arial" w:hint="eastAsia"/>
        </w:rPr>
        <w:t>1</w:t>
      </w:r>
      <w:r w:rsidR="00D00B39" w:rsidRPr="00AE5F6A">
        <w:rPr>
          <w:rFonts w:cs="Arial" w:hint="eastAsia"/>
        </w:rPr>
        <w:t>月</w:t>
      </w:r>
      <w:r w:rsidR="001463C3">
        <w:rPr>
          <w:rFonts w:cs="Arial" w:hint="eastAsia"/>
        </w:rPr>
        <w:t>23</w:t>
      </w:r>
      <w:r w:rsidR="00D00B39" w:rsidRPr="00AE5F6A">
        <w:rPr>
          <w:rFonts w:cs="Arial" w:hint="eastAsia"/>
        </w:rPr>
        <w:t>日确认，</w:t>
      </w:r>
      <w:r w:rsidR="00587EB1" w:rsidRPr="00AE5F6A">
        <w:rPr>
          <w:rFonts w:cs="Arial" w:hint="eastAsia"/>
        </w:rPr>
        <w:t>产生</w:t>
      </w:r>
      <w:r w:rsidR="00D00B39" w:rsidRPr="00AE5F6A">
        <w:rPr>
          <w:rFonts w:cs="Arial" w:hint="eastAsia"/>
        </w:rPr>
        <w:t>应付赎回款</w:t>
      </w:r>
      <w:r w:rsidR="00AD1682" w:rsidRPr="00AE5F6A">
        <w:rPr>
          <w:rFonts w:cs="Arial" w:hint="eastAsia"/>
        </w:rPr>
        <w:t>为</w:t>
      </w:r>
      <w:r w:rsidR="001463C3">
        <w:rPr>
          <w:rFonts w:cs="Arial" w:hint="eastAsia"/>
        </w:rPr>
        <w:t>427,286.57</w:t>
      </w:r>
      <w:r w:rsidR="00D00B39" w:rsidRPr="00AE5F6A">
        <w:rPr>
          <w:rFonts w:cs="Arial" w:hint="eastAsia"/>
        </w:rPr>
        <w:t>元</w:t>
      </w:r>
      <w:r w:rsidR="00D53E06">
        <w:rPr>
          <w:rFonts w:cs="Arial" w:hint="eastAsia"/>
        </w:rPr>
        <w:t>，应付赎回费224.47元，赎回费收入75.82元</w:t>
      </w:r>
      <w:r w:rsidR="00D00B39" w:rsidRPr="00AE5F6A">
        <w:rPr>
          <w:rFonts w:cs="Arial" w:hint="eastAsia"/>
        </w:rPr>
        <w:t>。</w:t>
      </w:r>
    </w:p>
    <w:p w:rsidR="00214EB4" w:rsidRPr="00BF4B64" w:rsidRDefault="00AD1682" w:rsidP="00214EB4">
      <w:pPr>
        <w:pStyle w:val="2"/>
        <w:spacing w:before="0" w:after="0"/>
        <w:rPr>
          <w:rFonts w:ascii="宋体" w:eastAsia="宋体" w:hAnsi="宋体"/>
          <w:kern w:val="0"/>
          <w:sz w:val="21"/>
          <w:szCs w:val="21"/>
        </w:rPr>
      </w:pPr>
      <w:bookmarkStart w:id="39" w:name="_Toc484769807"/>
      <w:bookmarkStart w:id="40" w:name="_Toc491963085"/>
      <w:r w:rsidRPr="00BF4B64">
        <w:rPr>
          <w:rFonts w:ascii="宋体" w:eastAsia="宋体" w:hAnsi="宋体" w:hint="eastAsia"/>
          <w:kern w:val="0"/>
          <w:sz w:val="21"/>
          <w:szCs w:val="21"/>
        </w:rPr>
        <w:t>4</w:t>
      </w:r>
      <w:r w:rsidR="00214EB4" w:rsidRPr="00BF4B64">
        <w:rPr>
          <w:rFonts w:ascii="宋体" w:eastAsia="宋体" w:hAnsi="宋体"/>
          <w:kern w:val="0"/>
          <w:sz w:val="21"/>
          <w:szCs w:val="21"/>
        </w:rPr>
        <w:t xml:space="preserve">.2 </w:t>
      </w:r>
      <w:r w:rsidR="00214EB4" w:rsidRPr="00BF4B64">
        <w:rPr>
          <w:rFonts w:ascii="宋体" w:eastAsia="宋体" w:hAnsi="宋体" w:hint="eastAsia"/>
          <w:kern w:val="0"/>
          <w:sz w:val="21"/>
          <w:szCs w:val="21"/>
        </w:rPr>
        <w:t>清算损益表</w:t>
      </w:r>
      <w:bookmarkEnd w:id="39"/>
      <w:bookmarkEnd w:id="40"/>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5474C6" w:rsidRPr="00BF4B64" w:rsidTr="00591E34">
        <w:trPr>
          <w:jc w:val="center"/>
        </w:trPr>
        <w:tc>
          <w:tcPr>
            <w:tcW w:w="3420" w:type="dxa"/>
            <w:vAlign w:val="center"/>
          </w:tcPr>
          <w:p w:rsidR="00214EB4" w:rsidRPr="00BF4B64" w:rsidRDefault="00214EB4" w:rsidP="007A50CA">
            <w:pPr>
              <w:pStyle w:val="a5"/>
              <w:jc w:val="center"/>
              <w:rPr>
                <w:rFonts w:ascii="宋体" w:eastAsia="宋体" w:hAnsi="宋体"/>
                <w:b/>
                <w:sz w:val="21"/>
                <w:szCs w:val="21"/>
              </w:rPr>
            </w:pPr>
            <w:r w:rsidRPr="00BF4B64">
              <w:rPr>
                <w:rFonts w:ascii="宋体" w:eastAsia="宋体" w:hAnsi="宋体"/>
                <w:b/>
                <w:sz w:val="21"/>
                <w:szCs w:val="21"/>
              </w:rPr>
              <w:t>项目</w:t>
            </w:r>
          </w:p>
        </w:tc>
        <w:tc>
          <w:tcPr>
            <w:tcW w:w="5652" w:type="dxa"/>
            <w:vAlign w:val="center"/>
          </w:tcPr>
          <w:p w:rsidR="00214EB4" w:rsidRPr="00BF4B64" w:rsidRDefault="00214EB4" w:rsidP="00D454FE">
            <w:pPr>
              <w:pStyle w:val="a5"/>
              <w:spacing w:before="0" w:beforeAutospacing="0" w:after="0" w:afterAutospacing="0"/>
              <w:jc w:val="center"/>
              <w:rPr>
                <w:rFonts w:ascii="宋体" w:eastAsia="宋体" w:hAnsi="宋体"/>
                <w:b/>
                <w:sz w:val="21"/>
                <w:szCs w:val="21"/>
                <w:lang w:eastAsia="zh-CN"/>
              </w:rPr>
            </w:pPr>
            <w:r w:rsidRPr="00BF4B64">
              <w:rPr>
                <w:rFonts w:ascii="宋体" w:eastAsia="宋体" w:hAnsi="宋体"/>
                <w:b/>
                <w:sz w:val="21"/>
                <w:szCs w:val="21"/>
                <w:lang w:eastAsia="zh-CN"/>
              </w:rPr>
              <w:t>201</w:t>
            </w:r>
            <w:r w:rsidR="001463C3" w:rsidRPr="00BF4B64">
              <w:rPr>
                <w:rFonts w:ascii="宋体" w:eastAsia="宋体" w:hAnsi="宋体" w:hint="eastAsia"/>
                <w:b/>
                <w:sz w:val="21"/>
                <w:szCs w:val="21"/>
                <w:lang w:eastAsia="zh-CN"/>
              </w:rPr>
              <w:t>8</w:t>
            </w:r>
            <w:r w:rsidRPr="00BF4B64">
              <w:rPr>
                <w:rFonts w:ascii="宋体" w:eastAsia="宋体" w:hAnsi="宋体"/>
                <w:b/>
                <w:sz w:val="21"/>
                <w:szCs w:val="21"/>
                <w:lang w:eastAsia="zh-CN"/>
              </w:rPr>
              <w:t>年</w:t>
            </w:r>
            <w:r w:rsidR="001463C3" w:rsidRPr="00BF4B64">
              <w:rPr>
                <w:rFonts w:ascii="宋体" w:eastAsia="宋体" w:hAnsi="宋体" w:hint="eastAsia"/>
                <w:b/>
                <w:sz w:val="21"/>
                <w:szCs w:val="21"/>
                <w:lang w:eastAsia="zh-CN"/>
              </w:rPr>
              <w:t>1</w:t>
            </w:r>
            <w:r w:rsidRPr="00BF4B64">
              <w:rPr>
                <w:rFonts w:ascii="宋体" w:eastAsia="宋体" w:hAnsi="宋体"/>
                <w:b/>
                <w:sz w:val="21"/>
                <w:szCs w:val="21"/>
                <w:lang w:eastAsia="zh-CN"/>
              </w:rPr>
              <w:t>月</w:t>
            </w:r>
            <w:r w:rsidR="001463C3" w:rsidRPr="00BF4B64">
              <w:rPr>
                <w:rFonts w:ascii="宋体" w:eastAsia="宋体" w:hAnsi="宋体" w:hint="eastAsia"/>
                <w:b/>
                <w:sz w:val="21"/>
                <w:szCs w:val="21"/>
                <w:lang w:eastAsia="zh-CN"/>
              </w:rPr>
              <w:t>23</w:t>
            </w:r>
            <w:r w:rsidRPr="00BF4B64">
              <w:rPr>
                <w:rFonts w:ascii="宋体" w:eastAsia="宋体" w:hAnsi="宋体"/>
                <w:b/>
                <w:sz w:val="21"/>
                <w:szCs w:val="21"/>
                <w:lang w:eastAsia="zh-CN"/>
              </w:rPr>
              <w:t>至201</w:t>
            </w:r>
            <w:r w:rsidR="001463C3" w:rsidRPr="00BF4B64">
              <w:rPr>
                <w:rFonts w:ascii="宋体" w:eastAsia="宋体" w:hAnsi="宋体" w:hint="eastAsia"/>
                <w:b/>
                <w:sz w:val="21"/>
                <w:szCs w:val="21"/>
                <w:lang w:eastAsia="zh-CN"/>
              </w:rPr>
              <w:t>8</w:t>
            </w:r>
            <w:r w:rsidRPr="00BF4B64">
              <w:rPr>
                <w:rFonts w:ascii="宋体" w:eastAsia="宋体" w:hAnsi="宋体"/>
                <w:b/>
                <w:sz w:val="21"/>
                <w:szCs w:val="21"/>
                <w:lang w:eastAsia="zh-CN"/>
              </w:rPr>
              <w:t>年</w:t>
            </w:r>
            <w:r w:rsidR="001463C3" w:rsidRPr="00BF4B64">
              <w:rPr>
                <w:rFonts w:ascii="宋体" w:eastAsia="宋体" w:hAnsi="宋体" w:hint="eastAsia"/>
                <w:b/>
                <w:sz w:val="21"/>
                <w:szCs w:val="21"/>
                <w:lang w:eastAsia="zh-CN"/>
              </w:rPr>
              <w:t>2</w:t>
            </w:r>
            <w:r w:rsidRPr="00BF4B64">
              <w:rPr>
                <w:rFonts w:ascii="宋体" w:eastAsia="宋体" w:hAnsi="宋体"/>
                <w:b/>
                <w:sz w:val="21"/>
                <w:szCs w:val="21"/>
                <w:lang w:eastAsia="zh-CN"/>
              </w:rPr>
              <w:t>月</w:t>
            </w:r>
            <w:r w:rsidR="001463C3" w:rsidRPr="00BF4B64">
              <w:rPr>
                <w:rFonts w:ascii="宋体" w:eastAsia="宋体" w:hAnsi="宋体" w:hint="eastAsia"/>
                <w:b/>
                <w:sz w:val="21"/>
                <w:szCs w:val="21"/>
                <w:lang w:eastAsia="zh-CN"/>
              </w:rPr>
              <w:t>7</w:t>
            </w:r>
            <w:r w:rsidRPr="00BF4B64">
              <w:rPr>
                <w:rFonts w:ascii="宋体" w:eastAsia="宋体" w:hAnsi="宋体"/>
                <w:b/>
                <w:sz w:val="21"/>
                <w:szCs w:val="21"/>
                <w:lang w:eastAsia="zh-CN"/>
              </w:rPr>
              <w:t>日</w:t>
            </w:r>
            <w:r w:rsidRPr="00BF4B64">
              <w:rPr>
                <w:rFonts w:ascii="宋体" w:eastAsia="宋体" w:hAnsi="宋体" w:hint="eastAsia"/>
                <w:b/>
                <w:sz w:val="21"/>
                <w:szCs w:val="21"/>
                <w:lang w:eastAsia="zh-CN"/>
              </w:rPr>
              <w:t>（清算期间）</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一、</w:t>
            </w:r>
            <w:r w:rsidRPr="00BF4B64">
              <w:rPr>
                <w:rFonts w:ascii="宋体" w:hAnsi="宋体" w:hint="eastAsia"/>
                <w:b/>
                <w:szCs w:val="21"/>
              </w:rPr>
              <w:t>清算收益</w:t>
            </w:r>
          </w:p>
        </w:tc>
        <w:tc>
          <w:tcPr>
            <w:tcW w:w="5652" w:type="dxa"/>
            <w:vAlign w:val="center"/>
          </w:tcPr>
          <w:p w:rsidR="00214EB4" w:rsidRPr="00BF4B64" w:rsidRDefault="00214EB4" w:rsidP="007A50CA">
            <w:pPr>
              <w:jc w:val="right"/>
              <w:rPr>
                <w:rFonts w:ascii="宋体" w:hAnsi="宋体"/>
                <w:b/>
                <w:szCs w:val="21"/>
              </w:rPr>
            </w:pPr>
          </w:p>
        </w:tc>
      </w:tr>
      <w:tr w:rsidR="005474C6" w:rsidRPr="00BF4B64" w:rsidTr="00591E34">
        <w:trPr>
          <w:jc w:val="center"/>
        </w:trPr>
        <w:tc>
          <w:tcPr>
            <w:tcW w:w="3420" w:type="dxa"/>
            <w:vAlign w:val="center"/>
          </w:tcPr>
          <w:p w:rsidR="00214EB4" w:rsidRPr="00BF4B64" w:rsidRDefault="00214EB4" w:rsidP="00214EB4">
            <w:pPr>
              <w:pStyle w:val="a6"/>
              <w:numPr>
                <w:ilvl w:val="0"/>
                <w:numId w:val="2"/>
              </w:numPr>
              <w:ind w:firstLineChars="0"/>
              <w:rPr>
                <w:rFonts w:ascii="宋体" w:hAnsi="宋体"/>
                <w:szCs w:val="21"/>
              </w:rPr>
            </w:pPr>
            <w:r w:rsidRPr="00BF4B64">
              <w:rPr>
                <w:rFonts w:ascii="宋体" w:hAnsi="宋体"/>
                <w:szCs w:val="21"/>
              </w:rPr>
              <w:t>利息收入</w:t>
            </w:r>
          </w:p>
        </w:tc>
        <w:tc>
          <w:tcPr>
            <w:tcW w:w="5652" w:type="dxa"/>
            <w:vAlign w:val="center"/>
          </w:tcPr>
          <w:p w:rsidR="00214EB4" w:rsidRPr="00BF4B64" w:rsidRDefault="00BF4B64" w:rsidP="007A50CA">
            <w:pPr>
              <w:jc w:val="right"/>
              <w:rPr>
                <w:rFonts w:ascii="宋体" w:hAnsi="宋体"/>
                <w:szCs w:val="21"/>
              </w:rPr>
            </w:pPr>
            <w:r>
              <w:rPr>
                <w:rFonts w:ascii="宋体" w:hAnsi="宋体" w:hint="eastAsia"/>
                <w:szCs w:val="21"/>
              </w:rPr>
              <w:t>6,542.14</w:t>
            </w:r>
          </w:p>
        </w:tc>
      </w:tr>
      <w:tr w:rsidR="00BF4B64" w:rsidRPr="00BF4B64" w:rsidTr="00591E34">
        <w:trPr>
          <w:jc w:val="center"/>
        </w:trPr>
        <w:tc>
          <w:tcPr>
            <w:tcW w:w="3420" w:type="dxa"/>
            <w:vAlign w:val="center"/>
          </w:tcPr>
          <w:p w:rsidR="00BF4B64" w:rsidRPr="00BF4B64" w:rsidRDefault="00BF4B64" w:rsidP="00214EB4">
            <w:pPr>
              <w:pStyle w:val="a6"/>
              <w:numPr>
                <w:ilvl w:val="0"/>
                <w:numId w:val="2"/>
              </w:numPr>
              <w:ind w:firstLineChars="0"/>
              <w:rPr>
                <w:rFonts w:ascii="宋体" w:hAnsi="宋体"/>
                <w:szCs w:val="21"/>
              </w:rPr>
            </w:pPr>
            <w:r>
              <w:rPr>
                <w:rFonts w:ascii="宋体" w:hAnsi="宋体" w:hint="eastAsia"/>
                <w:szCs w:val="21"/>
              </w:rPr>
              <w:t>赎回费收入</w:t>
            </w:r>
          </w:p>
        </w:tc>
        <w:tc>
          <w:tcPr>
            <w:tcW w:w="5652" w:type="dxa"/>
            <w:vAlign w:val="center"/>
          </w:tcPr>
          <w:p w:rsidR="00BF4B64" w:rsidRPr="00BF4B64" w:rsidRDefault="00BF4B64" w:rsidP="007A50CA">
            <w:pPr>
              <w:jc w:val="right"/>
              <w:rPr>
                <w:rFonts w:ascii="宋体" w:hAnsi="宋体"/>
                <w:szCs w:val="21"/>
              </w:rPr>
            </w:pPr>
            <w:r w:rsidRPr="00BF4B64">
              <w:rPr>
                <w:rFonts w:ascii="宋体" w:hAnsi="宋体" w:hint="eastAsia"/>
                <w:szCs w:val="21"/>
              </w:rPr>
              <w:t>75.82</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二、</w:t>
            </w:r>
            <w:r w:rsidRPr="00BF4B64">
              <w:rPr>
                <w:rFonts w:ascii="宋体" w:hAnsi="宋体" w:hint="eastAsia"/>
                <w:b/>
                <w:szCs w:val="21"/>
              </w:rPr>
              <w:t>清算</w:t>
            </w:r>
            <w:r w:rsidRPr="00BF4B64">
              <w:rPr>
                <w:rFonts w:ascii="宋体" w:hAnsi="宋体"/>
                <w:b/>
                <w:szCs w:val="21"/>
              </w:rPr>
              <w:t>费用</w:t>
            </w:r>
          </w:p>
        </w:tc>
        <w:tc>
          <w:tcPr>
            <w:tcW w:w="5652" w:type="dxa"/>
            <w:vAlign w:val="center"/>
          </w:tcPr>
          <w:p w:rsidR="00214EB4" w:rsidRPr="00BF4B64" w:rsidRDefault="00214EB4" w:rsidP="007A50CA">
            <w:pPr>
              <w:jc w:val="right"/>
              <w:rPr>
                <w:rFonts w:ascii="宋体" w:hAnsi="宋体"/>
                <w:b/>
                <w:szCs w:val="21"/>
              </w:rPr>
            </w:pPr>
          </w:p>
        </w:tc>
      </w:tr>
      <w:tr w:rsidR="005474C6" w:rsidRPr="00BF4B64" w:rsidTr="00591E34">
        <w:trPr>
          <w:jc w:val="center"/>
        </w:trPr>
        <w:tc>
          <w:tcPr>
            <w:tcW w:w="3420" w:type="dxa"/>
            <w:vAlign w:val="center"/>
          </w:tcPr>
          <w:p w:rsidR="00214EB4" w:rsidRPr="00BF4B64" w:rsidRDefault="00214EB4" w:rsidP="007A50CA">
            <w:pPr>
              <w:rPr>
                <w:rFonts w:ascii="宋体" w:hAnsi="宋体"/>
                <w:szCs w:val="21"/>
              </w:rPr>
            </w:pPr>
            <w:r w:rsidRPr="00BF4B64">
              <w:rPr>
                <w:rFonts w:ascii="宋体" w:hAnsi="宋体" w:hint="eastAsia"/>
                <w:szCs w:val="21"/>
              </w:rPr>
              <w:t>1．</w:t>
            </w:r>
            <w:r w:rsidRPr="00BF4B64">
              <w:rPr>
                <w:rFonts w:ascii="宋体" w:hAnsi="宋体"/>
                <w:szCs w:val="21"/>
              </w:rPr>
              <w:t>其他费用</w:t>
            </w:r>
          </w:p>
        </w:tc>
        <w:tc>
          <w:tcPr>
            <w:tcW w:w="5652" w:type="dxa"/>
            <w:vAlign w:val="center"/>
          </w:tcPr>
          <w:p w:rsidR="00214EB4" w:rsidRPr="00BF4B64" w:rsidRDefault="00BF4B64" w:rsidP="007A50CA">
            <w:pPr>
              <w:jc w:val="right"/>
              <w:rPr>
                <w:rFonts w:ascii="宋体" w:hAnsi="宋体"/>
                <w:szCs w:val="21"/>
              </w:rPr>
            </w:pPr>
            <w:r>
              <w:rPr>
                <w:rFonts w:ascii="宋体" w:hAnsi="宋体" w:hint="eastAsia"/>
                <w:szCs w:val="21"/>
              </w:rPr>
              <w:t>20,</w:t>
            </w:r>
            <w:r w:rsidR="0061062C" w:rsidRPr="00BF4B64">
              <w:rPr>
                <w:rFonts w:ascii="宋体" w:hAnsi="宋体" w:hint="eastAsia"/>
                <w:szCs w:val="21"/>
              </w:rPr>
              <w:t>121.72</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三、</w:t>
            </w:r>
            <w:r w:rsidRPr="00BF4B64">
              <w:rPr>
                <w:rFonts w:ascii="宋体" w:hAnsi="宋体" w:hint="eastAsia"/>
                <w:b/>
                <w:szCs w:val="21"/>
              </w:rPr>
              <w:t>清算收益（损失）总额</w:t>
            </w:r>
          </w:p>
        </w:tc>
        <w:tc>
          <w:tcPr>
            <w:tcW w:w="5652" w:type="dxa"/>
            <w:vAlign w:val="center"/>
          </w:tcPr>
          <w:p w:rsidR="00214EB4" w:rsidRPr="00BF4B64" w:rsidRDefault="00214EB4" w:rsidP="007A50CA">
            <w:pPr>
              <w:jc w:val="right"/>
              <w:rPr>
                <w:rFonts w:ascii="宋体" w:hAnsi="宋体"/>
                <w:b/>
                <w:szCs w:val="21"/>
              </w:rPr>
            </w:pP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szCs w:val="21"/>
              </w:rPr>
              <w:t>减：所得税费用</w:t>
            </w:r>
          </w:p>
        </w:tc>
        <w:tc>
          <w:tcPr>
            <w:tcW w:w="5652" w:type="dxa"/>
            <w:vAlign w:val="center"/>
          </w:tcPr>
          <w:p w:rsidR="00214EB4" w:rsidRPr="00BF4B64" w:rsidRDefault="0061062C" w:rsidP="007A50CA">
            <w:pPr>
              <w:jc w:val="right"/>
              <w:rPr>
                <w:rFonts w:ascii="宋体" w:hAnsi="宋体"/>
                <w:szCs w:val="21"/>
              </w:rPr>
            </w:pPr>
            <w:r w:rsidRPr="00BF4B64">
              <w:rPr>
                <w:rFonts w:ascii="宋体" w:hAnsi="宋体" w:hint="eastAsia"/>
                <w:szCs w:val="21"/>
              </w:rPr>
              <w:t>-</w:t>
            </w:r>
          </w:p>
        </w:tc>
      </w:tr>
      <w:tr w:rsidR="0061062C" w:rsidRPr="00BF4B64" w:rsidTr="00591E34">
        <w:trPr>
          <w:jc w:val="center"/>
        </w:trPr>
        <w:tc>
          <w:tcPr>
            <w:tcW w:w="3420" w:type="dxa"/>
            <w:vAlign w:val="center"/>
          </w:tcPr>
          <w:p w:rsidR="0061062C" w:rsidRPr="00BF4B64" w:rsidRDefault="0061062C" w:rsidP="007A50CA">
            <w:pPr>
              <w:rPr>
                <w:rFonts w:ascii="宋体" w:hAnsi="宋体"/>
                <w:szCs w:val="21"/>
              </w:rPr>
            </w:pPr>
            <w:r w:rsidRPr="00BF4B64">
              <w:rPr>
                <w:rFonts w:ascii="宋体" w:hAnsi="宋体" w:hint="eastAsia"/>
                <w:szCs w:val="21"/>
              </w:rPr>
              <w:t xml:space="preserve">    增值税费用</w:t>
            </w:r>
          </w:p>
        </w:tc>
        <w:tc>
          <w:tcPr>
            <w:tcW w:w="5652" w:type="dxa"/>
            <w:vAlign w:val="center"/>
          </w:tcPr>
          <w:p w:rsidR="0061062C" w:rsidRPr="00BF4B64" w:rsidRDefault="0061062C" w:rsidP="007A50CA">
            <w:pPr>
              <w:jc w:val="right"/>
              <w:rPr>
                <w:rFonts w:ascii="宋体" w:hAnsi="宋体"/>
                <w:szCs w:val="21"/>
              </w:rPr>
            </w:pPr>
            <w:r w:rsidRPr="00BF4B64">
              <w:rPr>
                <w:rFonts w:ascii="宋体" w:hAnsi="宋体" w:hint="eastAsia"/>
                <w:szCs w:val="21"/>
              </w:rPr>
              <w:t>-</w:t>
            </w:r>
          </w:p>
        </w:tc>
      </w:tr>
      <w:tr w:rsidR="005474C6" w:rsidRPr="00BF4B64" w:rsidTr="00591E34">
        <w:trPr>
          <w:jc w:val="center"/>
        </w:trPr>
        <w:tc>
          <w:tcPr>
            <w:tcW w:w="3420" w:type="dxa"/>
            <w:vAlign w:val="center"/>
          </w:tcPr>
          <w:p w:rsidR="00214EB4" w:rsidRPr="00BF4B64" w:rsidRDefault="00214EB4" w:rsidP="007A50CA">
            <w:pPr>
              <w:rPr>
                <w:rFonts w:ascii="宋体" w:hAnsi="宋体"/>
                <w:b/>
                <w:szCs w:val="21"/>
              </w:rPr>
            </w:pPr>
            <w:r w:rsidRPr="00BF4B64">
              <w:rPr>
                <w:rFonts w:ascii="宋体" w:hAnsi="宋体"/>
                <w:b/>
                <w:szCs w:val="21"/>
              </w:rPr>
              <w:t>四、</w:t>
            </w:r>
            <w:r w:rsidRPr="00BF4B64">
              <w:rPr>
                <w:rFonts w:ascii="宋体" w:hAnsi="宋体" w:hint="eastAsia"/>
                <w:b/>
                <w:szCs w:val="21"/>
              </w:rPr>
              <w:t>清算净收益（损失）</w:t>
            </w:r>
          </w:p>
        </w:tc>
        <w:tc>
          <w:tcPr>
            <w:tcW w:w="5652" w:type="dxa"/>
            <w:vAlign w:val="center"/>
          </w:tcPr>
          <w:p w:rsidR="00214EB4" w:rsidRPr="00BF4B64" w:rsidRDefault="00BF4B64" w:rsidP="00BF4B64">
            <w:pPr>
              <w:jc w:val="right"/>
              <w:rPr>
                <w:rFonts w:ascii="宋体" w:hAnsi="宋体"/>
                <w:szCs w:val="21"/>
              </w:rPr>
            </w:pPr>
            <w:r w:rsidRPr="00BF4B64">
              <w:rPr>
                <w:rFonts w:ascii="宋体" w:hAnsi="宋体" w:hint="eastAsia"/>
                <w:szCs w:val="21"/>
              </w:rPr>
              <w:t xml:space="preserve">-13,503.76 </w:t>
            </w:r>
          </w:p>
        </w:tc>
      </w:tr>
    </w:tbl>
    <w:p w:rsidR="009F6E54" w:rsidRDefault="009F6E54" w:rsidP="00587EB1">
      <w:pPr>
        <w:pStyle w:val="XB"/>
        <w:rPr>
          <w:color w:val="auto"/>
        </w:rPr>
      </w:pPr>
      <w:bookmarkStart w:id="41" w:name="_Toc483396840"/>
      <w:bookmarkStart w:id="42" w:name="_Toc484607313"/>
      <w:bookmarkStart w:id="43" w:name="_Toc484769808"/>
      <w:r w:rsidRPr="005500A4">
        <w:rPr>
          <w:rFonts w:hint="eastAsia"/>
          <w:color w:val="auto"/>
        </w:rPr>
        <w:t>注：1.利息收入系以当前适用的利率预估计提的</w:t>
      </w:r>
      <w:r w:rsidR="00F869AE" w:rsidRPr="005500A4">
        <w:rPr>
          <w:rFonts w:hint="eastAsia"/>
          <w:color w:val="auto"/>
        </w:rPr>
        <w:t>自</w:t>
      </w:r>
      <w:r w:rsidR="0045078C" w:rsidRPr="005500A4">
        <w:rPr>
          <w:rFonts w:hint="eastAsia"/>
          <w:color w:val="auto"/>
        </w:rPr>
        <w:t>2018</w:t>
      </w:r>
      <w:r w:rsidRPr="005500A4">
        <w:rPr>
          <w:rFonts w:hint="eastAsia"/>
          <w:color w:val="auto"/>
        </w:rPr>
        <w:t>年</w:t>
      </w:r>
      <w:r w:rsidR="0045078C" w:rsidRPr="005500A4">
        <w:rPr>
          <w:rFonts w:hint="eastAsia"/>
          <w:color w:val="auto"/>
        </w:rPr>
        <w:t>1</w:t>
      </w:r>
      <w:r w:rsidRPr="005500A4">
        <w:rPr>
          <w:rFonts w:hint="eastAsia"/>
          <w:color w:val="auto"/>
        </w:rPr>
        <w:t>月</w:t>
      </w:r>
      <w:r w:rsidR="0045078C" w:rsidRPr="005500A4">
        <w:rPr>
          <w:rFonts w:hint="eastAsia"/>
          <w:color w:val="auto"/>
        </w:rPr>
        <w:t>23</w:t>
      </w:r>
      <w:r w:rsidRPr="005500A4">
        <w:rPr>
          <w:rFonts w:hint="eastAsia"/>
          <w:color w:val="auto"/>
        </w:rPr>
        <w:t>日至</w:t>
      </w:r>
      <w:r w:rsidR="0045078C" w:rsidRPr="005500A4">
        <w:rPr>
          <w:rFonts w:hint="eastAsia"/>
          <w:color w:val="auto"/>
        </w:rPr>
        <w:t>2018</w:t>
      </w:r>
      <w:r w:rsidRPr="005500A4">
        <w:rPr>
          <w:rFonts w:hint="eastAsia"/>
          <w:color w:val="auto"/>
        </w:rPr>
        <w:t>年</w:t>
      </w:r>
      <w:r w:rsidR="0045078C" w:rsidRPr="005500A4">
        <w:rPr>
          <w:rFonts w:hint="eastAsia"/>
          <w:color w:val="auto"/>
        </w:rPr>
        <w:t>2</w:t>
      </w:r>
      <w:r w:rsidRPr="005500A4">
        <w:rPr>
          <w:rFonts w:hint="eastAsia"/>
          <w:color w:val="auto"/>
        </w:rPr>
        <w:t>月</w:t>
      </w:r>
      <w:r w:rsidR="0045078C" w:rsidRPr="005500A4">
        <w:rPr>
          <w:rFonts w:hint="eastAsia"/>
          <w:color w:val="auto"/>
        </w:rPr>
        <w:t>7</w:t>
      </w:r>
      <w:r w:rsidRPr="005500A4">
        <w:rPr>
          <w:rFonts w:hint="eastAsia"/>
          <w:color w:val="auto"/>
        </w:rPr>
        <w:t>日止清算期间的</w:t>
      </w:r>
      <w:r w:rsidR="00F869AE" w:rsidRPr="005500A4">
        <w:rPr>
          <w:rFonts w:hint="eastAsia"/>
          <w:color w:val="auto"/>
        </w:rPr>
        <w:t>活期存款</w:t>
      </w:r>
      <w:r w:rsidR="0045078C" w:rsidRPr="005500A4">
        <w:rPr>
          <w:rFonts w:hint="eastAsia"/>
          <w:color w:val="auto"/>
        </w:rPr>
        <w:t>利息、</w:t>
      </w:r>
      <w:r w:rsidRPr="005500A4">
        <w:rPr>
          <w:rFonts w:hint="eastAsia"/>
          <w:color w:val="auto"/>
        </w:rPr>
        <w:t>存出保证金</w:t>
      </w:r>
      <w:r w:rsidR="00BF4B64">
        <w:rPr>
          <w:rFonts w:hint="eastAsia"/>
          <w:color w:val="auto"/>
        </w:rPr>
        <w:t>、</w:t>
      </w:r>
      <w:r w:rsidR="0045078C" w:rsidRPr="005500A4">
        <w:rPr>
          <w:rFonts w:hint="eastAsia"/>
          <w:color w:val="auto"/>
        </w:rPr>
        <w:t>结算备付金</w:t>
      </w:r>
      <w:r w:rsidR="00BF4B64">
        <w:rPr>
          <w:rFonts w:hint="eastAsia"/>
          <w:color w:val="auto"/>
        </w:rPr>
        <w:t>利息和买入返售金融资产计息。</w:t>
      </w:r>
    </w:p>
    <w:p w:rsidR="00BF4B64" w:rsidRPr="00BF4B64" w:rsidRDefault="00BF4B64" w:rsidP="00BF4B64">
      <w:pPr>
        <w:pStyle w:val="XB"/>
        <w:rPr>
          <w:color w:val="auto"/>
        </w:rPr>
      </w:pPr>
      <w:r w:rsidRPr="00BF4B64">
        <w:rPr>
          <w:rFonts w:hint="eastAsia"/>
          <w:color w:val="auto"/>
        </w:rPr>
        <w:t>2.</w:t>
      </w:r>
      <w:r>
        <w:rPr>
          <w:rFonts w:hint="eastAsia"/>
          <w:color w:val="auto"/>
        </w:rPr>
        <w:t>赎回费收入由2018年1月22日最后运作日赎回和转出产生。</w:t>
      </w:r>
    </w:p>
    <w:p w:rsidR="009F6E54" w:rsidRPr="00BF4B64" w:rsidRDefault="007A2371" w:rsidP="00587EB1">
      <w:pPr>
        <w:pStyle w:val="XB"/>
        <w:rPr>
          <w:color w:val="auto"/>
        </w:rPr>
      </w:pPr>
      <w:r>
        <w:rPr>
          <w:rFonts w:hint="eastAsia"/>
          <w:color w:val="auto"/>
        </w:rPr>
        <w:t>3</w:t>
      </w:r>
      <w:r w:rsidR="009F6E54" w:rsidRPr="00BF4B64">
        <w:rPr>
          <w:rFonts w:hint="eastAsia"/>
          <w:color w:val="auto"/>
        </w:rPr>
        <w:t>.其他费用</w:t>
      </w:r>
      <w:r w:rsidR="00BF4B64" w:rsidRPr="00BF4B64">
        <w:rPr>
          <w:rFonts w:hint="eastAsia"/>
          <w:color w:val="auto"/>
        </w:rPr>
        <w:t>为</w:t>
      </w:r>
      <w:r w:rsidR="00CA5C95" w:rsidRPr="00BF4B64">
        <w:rPr>
          <w:rFonts w:hint="eastAsia"/>
          <w:color w:val="auto"/>
        </w:rPr>
        <w:t>银行</w:t>
      </w:r>
      <w:r w:rsidR="009F6E54" w:rsidRPr="00BF4B64">
        <w:rPr>
          <w:rFonts w:hint="eastAsia"/>
          <w:color w:val="auto"/>
        </w:rPr>
        <w:t>汇划费</w:t>
      </w:r>
      <w:r w:rsidR="0017203A" w:rsidRPr="00BF4B64">
        <w:rPr>
          <w:rFonts w:hint="eastAsia"/>
          <w:color w:val="auto"/>
        </w:rPr>
        <w:t>为</w:t>
      </w:r>
      <w:r w:rsidR="0061062C" w:rsidRPr="00BF4B64">
        <w:rPr>
          <w:rFonts w:hint="eastAsia"/>
          <w:color w:val="auto"/>
        </w:rPr>
        <w:t>121.72</w:t>
      </w:r>
      <w:r w:rsidR="00BF4B64" w:rsidRPr="00BF4B64">
        <w:rPr>
          <w:rFonts w:hint="eastAsia"/>
          <w:color w:val="auto"/>
        </w:rPr>
        <w:t>元</w:t>
      </w:r>
      <w:r w:rsidR="00BF4B64">
        <w:rPr>
          <w:rFonts w:hint="eastAsia"/>
          <w:color w:val="auto"/>
        </w:rPr>
        <w:t>和清算律师费20,000.00元。</w:t>
      </w:r>
    </w:p>
    <w:p w:rsidR="00D454FE" w:rsidRPr="00AE5F6A" w:rsidRDefault="00DB3DDE" w:rsidP="00D454FE">
      <w:pPr>
        <w:pStyle w:val="2"/>
        <w:spacing w:before="0" w:after="0"/>
        <w:rPr>
          <w:rFonts w:ascii="宋体" w:eastAsia="宋体" w:hAnsi="宋体"/>
          <w:kern w:val="0"/>
          <w:sz w:val="21"/>
          <w:szCs w:val="21"/>
        </w:rPr>
      </w:pPr>
      <w:bookmarkStart w:id="44" w:name="_Toc491963086"/>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1"/>
      <w:bookmarkEnd w:id="42"/>
      <w:bookmarkEnd w:id="43"/>
      <w:bookmarkEnd w:id="44"/>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5474C6" w:rsidRPr="005474C6" w:rsidRDefault="005474C6" w:rsidP="005474C6">
      <w:pPr>
        <w:spacing w:line="360" w:lineRule="auto"/>
        <w:ind w:firstLineChars="200" w:firstLine="420"/>
        <w:rPr>
          <w:rFonts w:ascii="宋体" w:hAnsi="宋体" w:cs="Arial"/>
          <w:color w:val="000000"/>
          <w:szCs w:val="21"/>
        </w:rPr>
      </w:pPr>
      <w:r w:rsidRPr="005474C6">
        <w:rPr>
          <w:rFonts w:ascii="宋体" w:hAnsi="宋体" w:cs="Arial" w:hint="eastAsia"/>
          <w:color w:val="000000"/>
          <w:szCs w:val="21"/>
        </w:rPr>
        <w:t>博时灵活配置混合型证券投资基金(以下简称“本基金”)经中国证券监督管理委员会(以下简称“中国证监会”)证监许可[2013]第626号</w:t>
      </w:r>
      <w:r w:rsidRPr="005474C6">
        <w:rPr>
          <w:rFonts w:ascii="宋体" w:hAnsi="宋体" w:cs="Arial"/>
          <w:color w:val="000000"/>
          <w:szCs w:val="21"/>
        </w:rPr>
        <w:t>《关于核准博时灵活配置混合型证券投资基金募集的批复》核准，由博时基金管理有限公司依照《中华人民共和国证券投资基金法》和《博时灵活配置混合型证券投资基金基金合同》负责公开募集。本基金为契约型开放式，存续期限不定，首次设立募集包括认购资金利息共募集237,382,680.95元，业经普华永道中天会计师事务所有限公司普华永道中天验字(2013)第709号验资报告予以验证。经向中国证监会备案，《博时灵活配置混合型证券投资基金基金合同》于2013年11月8日正式生效，基金合同生效日的基金份额总额(包括认购资金利息折算部分)为237,382,680.95份。本基金的基金管理人为博时基金管理有限公司，基金托管人为交通银行股份有限公司。</w:t>
      </w:r>
    </w:p>
    <w:p w:rsidR="005474C6" w:rsidRPr="005474C6" w:rsidRDefault="005474C6" w:rsidP="005474C6">
      <w:pPr>
        <w:spacing w:line="360" w:lineRule="auto"/>
        <w:ind w:firstLineChars="200" w:firstLine="420"/>
        <w:rPr>
          <w:rFonts w:ascii="宋体" w:hAnsi="宋体" w:cs="Arial"/>
          <w:color w:val="000000"/>
          <w:szCs w:val="21"/>
        </w:rPr>
      </w:pPr>
      <w:r w:rsidRPr="005474C6">
        <w:rPr>
          <w:rFonts w:ascii="宋体" w:hAnsi="宋体" w:cs="Arial" w:hint="eastAsia"/>
          <w:color w:val="000000"/>
          <w:szCs w:val="21"/>
        </w:rPr>
        <w:t>根据</w:t>
      </w:r>
      <w:r w:rsidRPr="005474C6">
        <w:rPr>
          <w:rFonts w:ascii="宋体" w:hAnsi="宋体" w:cs="Arial"/>
          <w:color w:val="000000"/>
          <w:szCs w:val="21"/>
        </w:rPr>
        <w:t>《博时基金管理有限公司关于博时灵活配置混合型证券投资基金实施基金份额分类以及相应修改基金合同和托管协议的公告》</w:t>
      </w:r>
      <w:r w:rsidRPr="005474C6">
        <w:rPr>
          <w:rFonts w:ascii="宋体" w:hAnsi="宋体" w:cs="Arial" w:hint="eastAsia"/>
          <w:color w:val="000000"/>
          <w:szCs w:val="21"/>
        </w:rPr>
        <w:t>以及</w:t>
      </w:r>
      <w:r w:rsidRPr="005474C6">
        <w:rPr>
          <w:rFonts w:ascii="宋体" w:hAnsi="宋体" w:cs="Arial"/>
          <w:color w:val="000000"/>
          <w:szCs w:val="21"/>
        </w:rPr>
        <w:t>更新的</w:t>
      </w:r>
      <w:r w:rsidRPr="005474C6">
        <w:rPr>
          <w:rFonts w:ascii="宋体" w:hAnsi="宋体" w:cs="Arial" w:hint="eastAsia"/>
          <w:color w:val="000000"/>
          <w:szCs w:val="21"/>
        </w:rPr>
        <w:t>《博时灵活配置混合型证券投资基金招募说明书》的</w:t>
      </w:r>
      <w:r w:rsidRPr="005474C6">
        <w:rPr>
          <w:rFonts w:ascii="宋体" w:hAnsi="宋体" w:cs="Arial"/>
          <w:color w:val="000000"/>
          <w:szCs w:val="21"/>
        </w:rPr>
        <w:t>有关规定，</w:t>
      </w:r>
      <w:r w:rsidRPr="005474C6">
        <w:rPr>
          <w:rFonts w:ascii="宋体" w:hAnsi="宋体" w:cs="Arial" w:hint="eastAsia"/>
          <w:color w:val="000000"/>
          <w:szCs w:val="21"/>
        </w:rPr>
        <w:t>自2016年3月22日</w:t>
      </w:r>
      <w:r w:rsidRPr="005474C6">
        <w:rPr>
          <w:rFonts w:ascii="宋体" w:hAnsi="宋体" w:cs="Arial"/>
          <w:color w:val="000000"/>
          <w:szCs w:val="21"/>
        </w:rPr>
        <w:t>起</w:t>
      </w:r>
      <w:r w:rsidRPr="005474C6">
        <w:rPr>
          <w:rFonts w:ascii="宋体" w:hAnsi="宋体" w:cs="Arial" w:hint="eastAsia"/>
          <w:color w:val="000000"/>
          <w:szCs w:val="21"/>
        </w:rPr>
        <w:t>，本基金根据</w:t>
      </w:r>
      <w:r w:rsidRPr="005474C6">
        <w:rPr>
          <w:rFonts w:ascii="宋体" w:hAnsi="宋体" w:cs="Arial"/>
          <w:color w:val="000000"/>
          <w:szCs w:val="21"/>
        </w:rPr>
        <w:t>申购费</w:t>
      </w:r>
      <w:r w:rsidRPr="005474C6">
        <w:rPr>
          <w:rFonts w:ascii="宋体" w:hAnsi="宋体" w:cs="Arial" w:hint="eastAsia"/>
          <w:color w:val="000000"/>
          <w:szCs w:val="21"/>
        </w:rPr>
        <w:t>和</w:t>
      </w:r>
      <w:r w:rsidRPr="005474C6">
        <w:rPr>
          <w:rFonts w:ascii="宋体" w:hAnsi="宋体" w:cs="Arial"/>
          <w:color w:val="000000"/>
          <w:szCs w:val="21"/>
        </w:rPr>
        <w:t>销售服务费收取方式的不同，将基金份额分为不同的类别。在投资者申购时收取前端申购费用，在赎回时根据持有期限收取赎回费用的基金份额，称为A类基金份额</w:t>
      </w:r>
      <w:r w:rsidRPr="005474C6">
        <w:rPr>
          <w:rFonts w:ascii="宋体" w:hAnsi="宋体" w:cs="Arial" w:hint="eastAsia"/>
          <w:color w:val="000000"/>
          <w:szCs w:val="21"/>
        </w:rPr>
        <w:t>(</w:t>
      </w:r>
      <w:r w:rsidRPr="005474C6">
        <w:rPr>
          <w:rFonts w:ascii="宋体" w:hAnsi="宋体" w:cs="Arial"/>
          <w:color w:val="000000"/>
          <w:szCs w:val="21"/>
        </w:rPr>
        <w:t>原基金份额自动归入A类基金份额</w:t>
      </w:r>
      <w:r w:rsidRPr="005474C6">
        <w:rPr>
          <w:rFonts w:ascii="宋体" w:hAnsi="宋体" w:cs="Arial" w:hint="eastAsia"/>
          <w:color w:val="000000"/>
          <w:szCs w:val="21"/>
        </w:rPr>
        <w:t>)</w:t>
      </w:r>
      <w:r w:rsidRPr="005474C6">
        <w:rPr>
          <w:rFonts w:ascii="宋体" w:hAnsi="宋体" w:cs="Arial"/>
          <w:color w:val="000000"/>
          <w:szCs w:val="21"/>
        </w:rPr>
        <w:t>；在投资者申购时不收取前端申购费用，在赎回时根据持有期限收取赎回费用，且从本类别基金资产中计提销售服务费的</w:t>
      </w:r>
      <w:r w:rsidRPr="005474C6">
        <w:rPr>
          <w:rFonts w:ascii="宋体" w:hAnsi="宋体" w:cs="Arial" w:hint="eastAsia"/>
          <w:color w:val="000000"/>
          <w:szCs w:val="21"/>
        </w:rPr>
        <w:t>基金</w:t>
      </w:r>
      <w:r w:rsidRPr="005474C6">
        <w:rPr>
          <w:rFonts w:ascii="宋体" w:hAnsi="宋体" w:cs="Arial"/>
          <w:color w:val="000000"/>
          <w:szCs w:val="21"/>
        </w:rPr>
        <w:t>份额，称为C类基金份额。</w:t>
      </w:r>
    </w:p>
    <w:p w:rsidR="005474C6" w:rsidRDefault="005474C6" w:rsidP="005474C6">
      <w:pPr>
        <w:spacing w:line="360" w:lineRule="auto"/>
        <w:ind w:firstLineChars="200" w:firstLine="420"/>
        <w:rPr>
          <w:rFonts w:ascii="宋体" w:hAnsi="宋体" w:cs="Arial"/>
          <w:color w:val="000000"/>
          <w:szCs w:val="21"/>
        </w:rPr>
      </w:pPr>
      <w:r w:rsidRPr="005474C6">
        <w:rPr>
          <w:rFonts w:ascii="宋体" w:hAnsi="宋体" w:cs="Arial"/>
          <w:color w:val="000000"/>
          <w:szCs w:val="21"/>
        </w:rPr>
        <w:t>根据《中华人民共和国证券投资基金法》和《博时灵活配置混合型证券投资基金基金合同》的有关规定，本基金投资于具有良好流动性的金融工具，包括国内依法发行上市的股票(含中小板、创业板及其他经中国证监会核准上市的股票)、债券(含中小企业私募债)、货币市场工具、银行存款、权证、股指期货、中期票据、资产支持证券以及法律法规或中国证监会允许基金投资的其他金融工具。本基金投资于股票、权证、股指期货等权益类资产占基金资产的0%-95%，权证投资比例不得超过基金资产净值的3%；债券、中期票据、资产支持证券、银行存款等固定收益类资产、货币市场工具、现金及法律法规或中国证监会允许基金投资的其他金融工具占基金资产的5%-100%；其中，本基金每个交易日日终在扣除股指期货合约需缴纳的交易保证金后，现金或到期日在一年以内的政府债券不低于基金资产净值的5%。如法律法规或中国证监会变更投资品种的投资比例限制，基金管理人在履行适当程序后，可以调整上述投资品种的投资比例。本基金的业绩比较基准为：60%×沪深300指数收益率＋40%×中国债券总指数收益率。</w:t>
      </w:r>
    </w:p>
    <w:p w:rsidR="00A5627F" w:rsidRPr="00CC38BC" w:rsidRDefault="00D454FE" w:rsidP="00A5627F">
      <w:pPr>
        <w:spacing w:line="360" w:lineRule="auto"/>
        <w:ind w:firstLineChars="200" w:firstLine="420"/>
        <w:rPr>
          <w:rFonts w:ascii="宋体" w:hAnsi="宋体" w:cs="Arial"/>
          <w:color w:val="000000"/>
          <w:szCs w:val="21"/>
        </w:rPr>
      </w:pPr>
      <w:r w:rsidRPr="005474C6">
        <w:rPr>
          <w:rFonts w:ascii="宋体" w:hAnsi="宋体" w:cs="Arial" w:hint="eastAsia"/>
          <w:color w:val="000000"/>
          <w:szCs w:val="21"/>
        </w:rPr>
        <w:t>根据《</w:t>
      </w:r>
      <w:r w:rsidR="00A5627F" w:rsidRPr="00CC38BC">
        <w:rPr>
          <w:rFonts w:ascii="宋体" w:hAnsi="宋体" w:cs="Arial" w:hint="eastAsia"/>
          <w:color w:val="000000"/>
          <w:szCs w:val="21"/>
        </w:rPr>
        <w:t>博时灵活配置混合型证券投资基金</w:t>
      </w:r>
      <w:r w:rsidRPr="005474C6">
        <w:rPr>
          <w:rFonts w:ascii="宋体" w:hAnsi="宋体" w:cs="Arial" w:hint="eastAsia"/>
          <w:color w:val="000000"/>
          <w:szCs w:val="21"/>
        </w:rPr>
        <w:t>基金合同》以及</w:t>
      </w:r>
      <w:r w:rsidR="00A5627F" w:rsidRPr="00CC38BC">
        <w:rPr>
          <w:rFonts w:ascii="宋体" w:hAnsi="宋体" w:cs="Arial" w:hint="eastAsia"/>
          <w:color w:val="000000"/>
          <w:szCs w:val="21"/>
        </w:rPr>
        <w:t>201</w:t>
      </w:r>
      <w:r w:rsidR="00A5627F">
        <w:rPr>
          <w:rFonts w:ascii="宋体" w:hAnsi="宋体" w:cs="Arial" w:hint="eastAsia"/>
          <w:color w:val="000000"/>
          <w:szCs w:val="21"/>
        </w:rPr>
        <w:t>8</w:t>
      </w:r>
      <w:r w:rsidR="00A5627F" w:rsidRPr="00CC38BC">
        <w:rPr>
          <w:rFonts w:ascii="宋体" w:hAnsi="宋体" w:cs="Arial" w:hint="eastAsia"/>
          <w:color w:val="000000"/>
          <w:szCs w:val="21"/>
        </w:rPr>
        <w:t>年</w:t>
      </w:r>
      <w:r w:rsidR="00A5627F">
        <w:rPr>
          <w:rFonts w:ascii="宋体" w:hAnsi="宋体" w:cs="Arial" w:hint="eastAsia"/>
          <w:color w:val="000000"/>
          <w:szCs w:val="21"/>
        </w:rPr>
        <w:t>1</w:t>
      </w:r>
      <w:r w:rsidR="00A5627F" w:rsidRPr="00CC38BC">
        <w:rPr>
          <w:rFonts w:ascii="宋体" w:hAnsi="宋体" w:cs="Arial" w:hint="eastAsia"/>
          <w:color w:val="000000"/>
          <w:szCs w:val="21"/>
        </w:rPr>
        <w:t>月</w:t>
      </w:r>
      <w:r w:rsidR="00A5627F">
        <w:rPr>
          <w:rFonts w:ascii="宋体" w:hAnsi="宋体" w:cs="Arial" w:hint="eastAsia"/>
          <w:color w:val="000000"/>
          <w:szCs w:val="21"/>
        </w:rPr>
        <w:t>20</w:t>
      </w:r>
      <w:r w:rsidR="00A5627F" w:rsidRPr="00CC38BC">
        <w:rPr>
          <w:rFonts w:ascii="宋体" w:hAnsi="宋体" w:cs="Arial" w:hint="eastAsia"/>
          <w:color w:val="000000"/>
          <w:szCs w:val="21"/>
        </w:rPr>
        <w:t>日发布的《博时基金管理有限公司关于博时灵活配置混合型证券投资基金基金份额持有人大会表决结果暨决议生效的公告》，本基金的最后运作日定为</w:t>
      </w:r>
      <w:r w:rsidR="00A5627F">
        <w:rPr>
          <w:rFonts w:ascii="宋体" w:hAnsi="宋体" w:cs="Arial" w:hint="eastAsia"/>
          <w:color w:val="000000"/>
          <w:szCs w:val="21"/>
        </w:rPr>
        <w:t>2018</w:t>
      </w:r>
      <w:r w:rsidR="00A5627F" w:rsidRPr="00CC38BC">
        <w:rPr>
          <w:rFonts w:ascii="宋体" w:hAnsi="宋体" w:cs="Arial" w:hint="eastAsia"/>
          <w:color w:val="000000"/>
          <w:szCs w:val="21"/>
        </w:rPr>
        <w:t>年</w:t>
      </w:r>
      <w:r w:rsidR="00A5627F">
        <w:rPr>
          <w:rFonts w:ascii="宋体" w:hAnsi="宋体" w:cs="Arial" w:hint="eastAsia"/>
          <w:color w:val="000000"/>
          <w:szCs w:val="21"/>
        </w:rPr>
        <w:t>1</w:t>
      </w:r>
      <w:r w:rsidR="00A5627F" w:rsidRPr="00CC38BC">
        <w:rPr>
          <w:rFonts w:ascii="宋体" w:hAnsi="宋体" w:cs="Arial" w:hint="eastAsia"/>
          <w:color w:val="000000"/>
          <w:szCs w:val="21"/>
        </w:rPr>
        <w:t>月</w:t>
      </w:r>
      <w:r w:rsidR="00A5627F">
        <w:rPr>
          <w:rFonts w:ascii="宋体" w:hAnsi="宋体" w:cs="Arial" w:hint="eastAsia"/>
          <w:color w:val="000000"/>
          <w:szCs w:val="21"/>
        </w:rPr>
        <w:t>22</w:t>
      </w:r>
      <w:r w:rsidR="00A5627F" w:rsidRPr="00CC38BC">
        <w:rPr>
          <w:rFonts w:ascii="宋体" w:hAnsi="宋体" w:cs="Arial" w:hint="eastAsia"/>
          <w:color w:val="000000"/>
          <w:szCs w:val="21"/>
        </w:rPr>
        <w:t>日，并于</w:t>
      </w:r>
      <w:r w:rsidR="00A5627F">
        <w:rPr>
          <w:rFonts w:ascii="宋体" w:hAnsi="宋体" w:cs="Arial" w:hint="eastAsia"/>
          <w:color w:val="000000"/>
          <w:szCs w:val="21"/>
        </w:rPr>
        <w:t>2018</w:t>
      </w:r>
      <w:r w:rsidR="00A5627F" w:rsidRPr="00CC38BC">
        <w:rPr>
          <w:rFonts w:ascii="宋体" w:hAnsi="宋体" w:cs="Arial" w:hint="eastAsia"/>
          <w:color w:val="000000"/>
          <w:szCs w:val="21"/>
        </w:rPr>
        <w:t>年</w:t>
      </w:r>
      <w:r w:rsidR="00A5627F">
        <w:rPr>
          <w:rFonts w:ascii="宋体" w:hAnsi="宋体" w:cs="Arial" w:hint="eastAsia"/>
          <w:color w:val="000000"/>
          <w:szCs w:val="21"/>
        </w:rPr>
        <w:t>1</w:t>
      </w:r>
      <w:r w:rsidR="00A5627F" w:rsidRPr="00CC38BC">
        <w:rPr>
          <w:rFonts w:ascii="宋体" w:hAnsi="宋体" w:cs="Arial" w:hint="eastAsia"/>
          <w:color w:val="000000"/>
          <w:szCs w:val="21"/>
        </w:rPr>
        <w:t>月</w:t>
      </w:r>
      <w:r w:rsidR="00A5627F">
        <w:rPr>
          <w:rFonts w:ascii="宋体" w:hAnsi="宋体" w:cs="Arial" w:hint="eastAsia"/>
          <w:color w:val="000000"/>
          <w:szCs w:val="21"/>
        </w:rPr>
        <w:t>23</w:t>
      </w:r>
      <w:r w:rsidR="00A5627F" w:rsidRPr="00CC38BC">
        <w:rPr>
          <w:rFonts w:ascii="宋体" w:hAnsi="宋体" w:cs="Arial" w:hint="eastAsia"/>
          <w:color w:val="000000"/>
          <w:szCs w:val="21"/>
        </w:rPr>
        <w:t>日进入清算程序。</w:t>
      </w:r>
    </w:p>
    <w:p w:rsidR="00D454FE" w:rsidRPr="00AE5F6A" w:rsidRDefault="00DB3DDE" w:rsidP="00A5627F">
      <w:pPr>
        <w:spacing w:line="360" w:lineRule="auto"/>
        <w:ind w:firstLineChars="200" w:firstLine="422"/>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ED53B6" w:rsidRPr="00ED53B6" w:rsidRDefault="00ED53B6" w:rsidP="00ED53B6">
      <w:pPr>
        <w:spacing w:line="360" w:lineRule="auto"/>
        <w:ind w:firstLineChars="200" w:firstLine="420"/>
        <w:rPr>
          <w:rFonts w:ascii="宋体" w:hAnsi="宋体" w:cs="Arial"/>
          <w:color w:val="000000"/>
          <w:szCs w:val="21"/>
        </w:rPr>
      </w:pPr>
      <w:r w:rsidRPr="00ED53B6">
        <w:rPr>
          <w:rFonts w:ascii="宋体" w:hAnsi="宋体" w:cs="Arial" w:hint="eastAsia"/>
          <w:color w:val="000000"/>
          <w:szCs w:val="21"/>
        </w:rPr>
        <w:t>本基金以通讯方式召开了基金份额持有人大会，会议审议了《关于终止博时灵活配置混合型证券投资基金基金合同有关事项的议案》（以下简称“本次会议议案”），并由参加大会的基金份额持有人对本次会议议案进行表决。参会的基金份额持有人及其代理人所代表的</w:t>
      </w:r>
      <w:r w:rsidRPr="00ED53B6">
        <w:rPr>
          <w:rFonts w:ascii="宋体" w:hAnsi="宋体" w:cs="Arial"/>
          <w:color w:val="000000"/>
          <w:szCs w:val="21"/>
        </w:rPr>
        <w:t>14,370,033.45</w:t>
      </w:r>
      <w:r w:rsidRPr="00ED53B6">
        <w:rPr>
          <w:rFonts w:ascii="宋体" w:hAnsi="宋体" w:cs="Arial" w:hint="eastAsia"/>
          <w:color w:val="000000"/>
          <w:szCs w:val="21"/>
        </w:rPr>
        <w:t>份有效的基金份额（超过权益登记日基金总份额的50%）对本次会议议案进行了审议,</w:t>
      </w:r>
      <w:r w:rsidR="004B20EB" w:rsidRPr="004B20EB">
        <w:rPr>
          <w:rFonts w:ascii="宋体" w:hAnsi="宋体" w:cs="Arial" w:hint="eastAsia"/>
          <w:color w:val="000000"/>
          <w:szCs w:val="21"/>
        </w:rPr>
        <w:t>并由提交有</w:t>
      </w:r>
      <w:r w:rsidR="004B20EB">
        <w:rPr>
          <w:rFonts w:ascii="宋体" w:hAnsi="宋体" w:cs="Arial" w:hint="eastAsia"/>
          <w:color w:val="000000"/>
          <w:szCs w:val="21"/>
        </w:rPr>
        <w:t>效表决票的基金份额持有人或其代理人所持表决权的三分之二以上通过</w:t>
      </w:r>
      <w:r w:rsidRPr="00ED53B6">
        <w:rPr>
          <w:rFonts w:ascii="宋体" w:hAnsi="宋体" w:cs="Arial" w:hint="eastAsia"/>
          <w:color w:val="000000"/>
          <w:szCs w:val="21"/>
        </w:rPr>
        <w:t>，同意本次会议议案的基金份额符合《中华人民共和国证券投资基金法》、《公开募集证券投资基金运作管理办法》和《基金合同》的有关规定，本次会议议案有效通过。本次持有人大会决议生效后，根据持有人大会通过的议案及方案说明，本基金从2018年1月23日起进入清算期，</w:t>
      </w:r>
      <w:r w:rsidRPr="00ED53B6">
        <w:rPr>
          <w:rFonts w:ascii="宋体" w:hAnsi="宋体" w:cs="Arial"/>
          <w:color w:val="000000"/>
          <w:szCs w:val="21"/>
        </w:rPr>
        <w:t>基金管理人按照本基金基金合同约定，组织成立基金财产清算小组履行基金财产清算程序。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ED53B6" w:rsidRPr="00ED53B6" w:rsidRDefault="00ED53B6" w:rsidP="00ED53B6">
      <w:pPr>
        <w:spacing w:line="360" w:lineRule="auto"/>
        <w:ind w:firstLineChars="200" w:firstLine="420"/>
        <w:rPr>
          <w:rFonts w:ascii="宋体" w:hAnsi="宋体" w:cs="Arial"/>
          <w:color w:val="000000"/>
          <w:szCs w:val="21"/>
        </w:rPr>
      </w:pPr>
      <w:r w:rsidRPr="00ED53B6">
        <w:rPr>
          <w:rFonts w:ascii="宋体" w:hAnsi="宋体" w:cs="Arial" w:hint="eastAsia"/>
          <w:color w:val="000000"/>
          <w:szCs w:val="21"/>
        </w:rPr>
        <w:t>根据</w:t>
      </w:r>
      <w:r w:rsidRPr="00CC38BC">
        <w:rPr>
          <w:rFonts w:ascii="宋体" w:hAnsi="宋体" w:cs="Arial" w:hint="eastAsia"/>
          <w:color w:val="000000"/>
          <w:szCs w:val="21"/>
        </w:rPr>
        <w:t>《博时基金管理有限公司关于博时灵活配置混合型证券投资基金基金份额持有人大会表决结果暨决议生效的公告》</w:t>
      </w:r>
      <w:r w:rsidRPr="00ED53B6">
        <w:rPr>
          <w:rFonts w:ascii="宋体" w:hAnsi="宋体" w:cs="Arial" w:hint="eastAsia"/>
          <w:color w:val="000000"/>
          <w:szCs w:val="21"/>
        </w:rPr>
        <w:t>，本基金的清算起始日为</w:t>
      </w:r>
      <w:r>
        <w:rPr>
          <w:rFonts w:ascii="宋体" w:hAnsi="宋体" w:cs="Arial" w:hint="eastAsia"/>
          <w:color w:val="000000"/>
          <w:szCs w:val="21"/>
        </w:rPr>
        <w:t>2018</w:t>
      </w:r>
      <w:r w:rsidRPr="00ED53B6">
        <w:rPr>
          <w:rFonts w:ascii="宋体" w:hAnsi="宋体" w:cs="Arial" w:hint="eastAsia"/>
          <w:color w:val="000000"/>
          <w:szCs w:val="21"/>
        </w:rPr>
        <w:t>年</w:t>
      </w:r>
      <w:r>
        <w:rPr>
          <w:rFonts w:ascii="宋体" w:hAnsi="宋体" w:cs="Arial" w:hint="eastAsia"/>
          <w:color w:val="000000"/>
          <w:szCs w:val="21"/>
        </w:rPr>
        <w:t>1</w:t>
      </w:r>
      <w:r w:rsidRPr="00ED53B6">
        <w:rPr>
          <w:rFonts w:ascii="宋体" w:hAnsi="宋体" w:cs="Arial" w:hint="eastAsia"/>
          <w:color w:val="000000"/>
          <w:szCs w:val="21"/>
        </w:rPr>
        <w:t>月</w:t>
      </w:r>
      <w:r>
        <w:rPr>
          <w:rFonts w:ascii="宋体" w:hAnsi="宋体" w:cs="Arial" w:hint="eastAsia"/>
          <w:color w:val="000000"/>
          <w:szCs w:val="21"/>
        </w:rPr>
        <w:t>23日</w:t>
      </w:r>
      <w:r w:rsidRPr="00ED53B6">
        <w:rPr>
          <w:rFonts w:ascii="宋体" w:hAnsi="宋体" w:cs="Arial" w:hint="eastAsia"/>
          <w:color w:val="000000"/>
          <w:szCs w:val="21"/>
        </w:rPr>
        <w:t>。</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如财务报表附注4.3.1所述，</w:t>
      </w:r>
      <w:r w:rsidR="00D454FE" w:rsidRPr="00EA3A58">
        <w:rPr>
          <w:rFonts w:ascii="宋体" w:hAnsi="宋体" w:cs="Arial" w:hint="eastAsia"/>
          <w:color w:val="000000"/>
          <w:szCs w:val="21"/>
        </w:rPr>
        <w:t>自</w:t>
      </w:r>
      <w:r w:rsidR="00ED53B6" w:rsidRPr="00EA3A58">
        <w:rPr>
          <w:rFonts w:ascii="宋体" w:hAnsi="宋体" w:cs="Arial" w:hint="eastAsia"/>
          <w:color w:val="000000"/>
          <w:szCs w:val="21"/>
        </w:rPr>
        <w:t>2018</w:t>
      </w:r>
      <w:r w:rsidR="00D454FE" w:rsidRPr="00EA3A58">
        <w:rPr>
          <w:rFonts w:ascii="宋体" w:hAnsi="宋体" w:cs="Arial" w:hint="eastAsia"/>
          <w:color w:val="000000"/>
          <w:szCs w:val="21"/>
        </w:rPr>
        <w:t>年</w:t>
      </w:r>
      <w:r w:rsidR="00ED53B6" w:rsidRPr="00EA3A58">
        <w:rPr>
          <w:rFonts w:ascii="宋体" w:hAnsi="宋体" w:cs="Arial" w:hint="eastAsia"/>
          <w:color w:val="000000"/>
          <w:szCs w:val="21"/>
        </w:rPr>
        <w:t>1</w:t>
      </w:r>
      <w:r w:rsidR="00D454FE" w:rsidRPr="00EA3A58">
        <w:rPr>
          <w:rFonts w:ascii="宋体" w:hAnsi="宋体" w:cs="Arial" w:hint="eastAsia"/>
          <w:color w:val="000000"/>
          <w:szCs w:val="21"/>
        </w:rPr>
        <w:t>月</w:t>
      </w:r>
      <w:r w:rsidR="00ED53B6" w:rsidRPr="00EA3A58">
        <w:rPr>
          <w:rFonts w:ascii="宋体" w:hAnsi="宋体" w:cs="Arial" w:hint="eastAsia"/>
          <w:color w:val="000000"/>
          <w:szCs w:val="21"/>
        </w:rPr>
        <w:t>23</w:t>
      </w:r>
      <w:r w:rsidR="00D454FE" w:rsidRPr="00EA3A58">
        <w:rPr>
          <w:rFonts w:ascii="宋体" w:hAnsi="宋体" w:cs="Arial" w:hint="eastAsia"/>
          <w:color w:val="000000"/>
          <w:szCs w:val="21"/>
        </w:rPr>
        <w:t>日起，本基金进入基金财产清算期，因此本基金财务报表以清算基础编制。</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本基金财务报表按附注4.3.5中所述的重要会计政策和会计估计以清算基础编制</w:t>
      </w:r>
      <w:r w:rsidR="00D454FE" w:rsidRPr="00EA3A58">
        <w:rPr>
          <w:rFonts w:ascii="宋体" w:hAnsi="宋体" w:cs="Arial" w:hint="eastAsia"/>
          <w:color w:val="000000"/>
          <w:szCs w:val="21"/>
        </w:rPr>
        <w:t>。于201</w:t>
      </w:r>
      <w:r w:rsidRPr="00EA3A58">
        <w:rPr>
          <w:rFonts w:ascii="宋体" w:hAnsi="宋体" w:cs="Arial" w:hint="eastAsia"/>
          <w:color w:val="000000"/>
          <w:szCs w:val="21"/>
        </w:rPr>
        <w:t>8</w:t>
      </w:r>
      <w:r w:rsidR="00D454FE" w:rsidRPr="00EA3A58">
        <w:rPr>
          <w:rFonts w:ascii="宋体" w:hAnsi="宋体" w:cs="Arial" w:hint="eastAsia"/>
          <w:color w:val="000000"/>
          <w:szCs w:val="21"/>
        </w:rPr>
        <w:t>年</w:t>
      </w:r>
      <w:r w:rsidRPr="00EA3A58">
        <w:rPr>
          <w:rFonts w:ascii="宋体" w:hAnsi="宋体" w:cs="Arial" w:hint="eastAsia"/>
          <w:color w:val="000000"/>
          <w:szCs w:val="21"/>
        </w:rPr>
        <w:t>1</w:t>
      </w:r>
      <w:r w:rsidR="00D454FE" w:rsidRPr="00EA3A58">
        <w:rPr>
          <w:rFonts w:ascii="宋体" w:hAnsi="宋体" w:cs="Arial" w:hint="eastAsia"/>
          <w:color w:val="000000"/>
          <w:szCs w:val="21"/>
        </w:rPr>
        <w:t>月</w:t>
      </w:r>
      <w:r w:rsidRPr="00EA3A58">
        <w:rPr>
          <w:rFonts w:ascii="宋体" w:hAnsi="宋体" w:cs="Arial" w:hint="eastAsia"/>
          <w:color w:val="000000"/>
          <w:szCs w:val="21"/>
        </w:rPr>
        <w:t>22</w:t>
      </w:r>
      <w:r w:rsidR="00D454FE" w:rsidRPr="00EA3A58">
        <w:rPr>
          <w:rFonts w:ascii="宋体" w:hAnsi="宋体" w:cs="Arial" w:hint="eastAsia"/>
          <w:color w:val="000000"/>
          <w:szCs w:val="21"/>
        </w:rPr>
        <w:t>日(基金最后运作日)，所有资产以可收回的金额与原账面价值孰低计量，负债以预计需要清偿的金额计量。</w:t>
      </w:r>
    </w:p>
    <w:p w:rsidR="00D454FE" w:rsidRPr="00EA3A58" w:rsidRDefault="00D454FE"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此外，本基金财务报表按照中国证券投资基金业协会颁布的《证券投资基金会计核算业务指引》、《</w:t>
      </w:r>
      <w:r w:rsidR="00EA3A58" w:rsidRPr="00CC38BC">
        <w:rPr>
          <w:rFonts w:ascii="宋体" w:hAnsi="宋体" w:cs="Arial" w:hint="eastAsia"/>
          <w:color w:val="000000"/>
          <w:szCs w:val="21"/>
        </w:rPr>
        <w:t>博时灵活配置混合型证券投资基金</w:t>
      </w:r>
      <w:r w:rsidRPr="00EA3A58">
        <w:rPr>
          <w:rFonts w:ascii="宋体" w:hAnsi="宋体" w:cs="Arial" w:hint="eastAsia"/>
          <w:color w:val="000000"/>
          <w:szCs w:val="21"/>
        </w:rPr>
        <w:t>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EA3A58">
        <w:rPr>
          <w:rFonts w:ascii="宋体" w:hAnsi="宋体" w:hint="eastAsia"/>
          <w:color w:val="000000"/>
          <w:szCs w:val="21"/>
        </w:rPr>
        <w:t>2018</w:t>
      </w:r>
      <w:r w:rsidRPr="00AE5F6A">
        <w:rPr>
          <w:rFonts w:ascii="宋体" w:hAnsi="宋体" w:hint="eastAsia"/>
          <w:color w:val="000000"/>
          <w:szCs w:val="21"/>
        </w:rPr>
        <w:t>年</w:t>
      </w:r>
      <w:r w:rsidR="00EA3A58">
        <w:rPr>
          <w:rFonts w:ascii="宋体" w:hAnsi="宋体" w:hint="eastAsia"/>
          <w:color w:val="000000"/>
          <w:szCs w:val="21"/>
        </w:rPr>
        <w:t>1</w:t>
      </w:r>
      <w:r w:rsidRPr="00AE5F6A">
        <w:rPr>
          <w:rFonts w:ascii="宋体" w:hAnsi="宋体" w:hint="eastAsia"/>
          <w:color w:val="000000"/>
          <w:szCs w:val="21"/>
        </w:rPr>
        <w:t>月</w:t>
      </w:r>
      <w:r w:rsidR="00EA3A58">
        <w:rPr>
          <w:rFonts w:ascii="宋体" w:hAnsi="宋体" w:hint="eastAsia"/>
          <w:color w:val="000000"/>
          <w:szCs w:val="21"/>
        </w:rPr>
        <w:t>23日</w:t>
      </w:r>
      <w:r w:rsidRPr="00AE5F6A">
        <w:rPr>
          <w:rFonts w:ascii="宋体" w:hAnsi="宋体" w:hint="eastAsia"/>
          <w:color w:val="000000"/>
          <w:szCs w:val="21"/>
        </w:rPr>
        <w:t>至</w:t>
      </w:r>
      <w:r w:rsidR="00EA3A58">
        <w:rPr>
          <w:rFonts w:ascii="宋体" w:hAnsi="宋体" w:hint="eastAsia"/>
          <w:color w:val="000000"/>
          <w:szCs w:val="21"/>
        </w:rPr>
        <w:t>2018</w:t>
      </w:r>
      <w:r w:rsidRPr="00AE5F6A">
        <w:rPr>
          <w:rFonts w:ascii="宋体" w:hAnsi="宋体" w:hint="eastAsia"/>
          <w:color w:val="000000"/>
          <w:szCs w:val="21"/>
        </w:rPr>
        <w:t>年</w:t>
      </w:r>
      <w:r w:rsidR="00EA3A58">
        <w:rPr>
          <w:rFonts w:ascii="宋体" w:hAnsi="宋体" w:hint="eastAsia"/>
          <w:color w:val="000000"/>
          <w:szCs w:val="21"/>
        </w:rPr>
        <w:t>2</w:t>
      </w:r>
      <w:r w:rsidRPr="00AE5F6A">
        <w:rPr>
          <w:rFonts w:ascii="宋体" w:hAnsi="宋体" w:hint="eastAsia"/>
          <w:color w:val="000000"/>
          <w:szCs w:val="21"/>
        </w:rPr>
        <w:t>月</w:t>
      </w:r>
      <w:r w:rsidR="00EA3A58">
        <w:rPr>
          <w:rFonts w:ascii="宋体" w:hAnsi="宋体" w:hint="eastAsia"/>
          <w:color w:val="000000"/>
          <w:szCs w:val="21"/>
        </w:rPr>
        <w:t>7日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r w:rsidR="009F7AB2">
        <w:rPr>
          <w:rFonts w:ascii="宋体" w:hAnsi="宋体" w:hint="eastAsia"/>
          <w:color w:val="000000"/>
          <w:szCs w:val="21"/>
        </w:rPr>
        <w:t>币</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F7AB2">
        <w:rPr>
          <w:rFonts w:ascii="宋体" w:hAnsi="宋体" w:hint="eastAsia"/>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EA3A58" w:rsidRPr="00EA3A58" w:rsidRDefault="00EA3A58" w:rsidP="00EA3A58">
      <w:pPr>
        <w:spacing w:line="360" w:lineRule="auto"/>
        <w:ind w:firstLineChars="200" w:firstLine="420"/>
        <w:rPr>
          <w:rFonts w:ascii="宋体" w:hAnsi="宋体" w:cs="Arial"/>
          <w:color w:val="000000"/>
          <w:szCs w:val="21"/>
        </w:rPr>
      </w:pPr>
      <w:bookmarkStart w:id="45" w:name="_Toc491963087"/>
      <w:bookmarkStart w:id="46" w:name="_Toc484769809"/>
      <w:r w:rsidRPr="00EA3A58">
        <w:rPr>
          <w:rFonts w:ascii="宋体" w:hAnsi="宋体" w:cs="Arial" w:hint="eastAsia"/>
          <w:color w:val="000000"/>
          <w:szCs w:val="21"/>
        </w:rPr>
        <w:t>根据财政部、国家税务总局财税</w:t>
      </w:r>
      <w:r w:rsidRPr="00EA3A58">
        <w:rPr>
          <w:rFonts w:ascii="宋体" w:hAnsi="宋体" w:cs="Arial"/>
          <w:color w:val="000000"/>
          <w:szCs w:val="21"/>
        </w:rPr>
        <w:t>[2004]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w:t>
      </w:r>
      <w:r w:rsidRPr="00EA3A58">
        <w:rPr>
          <w:rFonts w:ascii="宋体" w:hAnsi="宋体" w:cs="Arial" w:hint="eastAsia"/>
          <w:color w:val="000000"/>
          <w:szCs w:val="21"/>
        </w:rPr>
        <w:t>同业往来等增值税政策的补充通知》及其他相关财税法规和实务操作，主要税项列示如下：</w:t>
      </w:r>
    </w:p>
    <w:p w:rsidR="00EA3A58"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 xml:space="preserve">(1) 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股票、债券的转让收入免征增值税，对国债、地方政府债以及金融同业往来利息收入亦免征增值税 </w:t>
      </w:r>
    </w:p>
    <w:p w:rsidR="00EA3A58"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(2) 对基金从证券市场中取得的收入，包括买卖股票、债券的差价收入，股票的股息、红利收入，债券的利息收入及其他收入，暂不征收企业所得税。</w:t>
      </w:r>
    </w:p>
    <w:p w:rsidR="00EA3A58"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color w:val="000000"/>
          <w:szCs w:val="21"/>
        </w:rPr>
        <w:t>(4) 基金卖出股票按0.1%的税率缴纳股票交易印花税，买入股票不征收股票交易印花税。</w:t>
      </w:r>
    </w:p>
    <w:p w:rsidR="00AB4223" w:rsidRPr="00EA3A58" w:rsidRDefault="00587EB1" w:rsidP="00EA3A58">
      <w:pPr>
        <w:pStyle w:val="2"/>
        <w:spacing w:before="0" w:after="0"/>
        <w:rPr>
          <w:kern w:val="0"/>
          <w:sz w:val="21"/>
          <w:szCs w:val="21"/>
        </w:rPr>
      </w:pPr>
      <w:r w:rsidRPr="00EA3A58">
        <w:rPr>
          <w:rFonts w:hint="eastAsia"/>
          <w:kern w:val="0"/>
          <w:sz w:val="21"/>
          <w:szCs w:val="21"/>
        </w:rPr>
        <w:t>5</w:t>
      </w:r>
      <w:r w:rsidR="00AB4223" w:rsidRPr="00EA3A58">
        <w:rPr>
          <w:rFonts w:hint="eastAsia"/>
          <w:kern w:val="0"/>
          <w:sz w:val="21"/>
          <w:szCs w:val="21"/>
        </w:rPr>
        <w:t>、清算情况</w:t>
      </w:r>
      <w:bookmarkEnd w:id="45"/>
    </w:p>
    <w:p w:rsidR="00587EB1" w:rsidRPr="00AE5F6A" w:rsidRDefault="00587EB1" w:rsidP="00167779">
      <w:pPr>
        <w:pStyle w:val="2"/>
        <w:spacing w:before="0" w:after="0"/>
        <w:rPr>
          <w:rFonts w:ascii="宋体" w:eastAsia="宋体" w:hAnsi="宋体"/>
          <w:kern w:val="0"/>
          <w:sz w:val="21"/>
          <w:szCs w:val="21"/>
        </w:rPr>
      </w:pPr>
      <w:bookmarkStart w:id="47" w:name="_Toc491963088"/>
      <w:r w:rsidRPr="00AE5F6A">
        <w:rPr>
          <w:rFonts w:ascii="宋体" w:eastAsia="宋体" w:hAnsi="宋体" w:hint="eastAsia"/>
          <w:kern w:val="0"/>
          <w:sz w:val="21"/>
          <w:szCs w:val="21"/>
        </w:rPr>
        <w:t>5.1资产负债清算情况</w:t>
      </w:r>
      <w:bookmarkEnd w:id="47"/>
    </w:p>
    <w:p w:rsidR="00AB4223" w:rsidRPr="00AE5F6A" w:rsidRDefault="00AB4223" w:rsidP="00AB4223">
      <w:pPr>
        <w:pStyle w:val="XB"/>
      </w:pPr>
      <w:r w:rsidRPr="00AE5F6A">
        <w:rPr>
          <w:rFonts w:hint="eastAsia"/>
        </w:rPr>
        <w:t>自</w:t>
      </w:r>
      <w:r w:rsidR="00EA3A58">
        <w:rPr>
          <w:rFonts w:hint="eastAsia"/>
        </w:rPr>
        <w:t>2018</w:t>
      </w:r>
      <w:r w:rsidRPr="00AE5F6A">
        <w:rPr>
          <w:rFonts w:hint="eastAsia"/>
        </w:rPr>
        <w:t>年</w:t>
      </w:r>
      <w:r w:rsidR="00EA3A58">
        <w:rPr>
          <w:rFonts w:hint="eastAsia"/>
        </w:rPr>
        <w:t>1</w:t>
      </w:r>
      <w:r w:rsidRPr="00AE5F6A">
        <w:rPr>
          <w:rFonts w:hint="eastAsia"/>
        </w:rPr>
        <w:t>月</w:t>
      </w:r>
      <w:r w:rsidR="00EA3A58">
        <w:rPr>
          <w:rFonts w:hint="eastAsia"/>
        </w:rPr>
        <w:t>23</w:t>
      </w:r>
      <w:r w:rsidRPr="00AE5F6A">
        <w:rPr>
          <w:rFonts w:hint="eastAsia"/>
        </w:rPr>
        <w:t>日至</w:t>
      </w:r>
      <w:r w:rsidR="00EA3A58">
        <w:rPr>
          <w:rFonts w:hint="eastAsia"/>
        </w:rPr>
        <w:t>2018</w:t>
      </w:r>
      <w:r w:rsidRPr="00AE5F6A">
        <w:rPr>
          <w:rFonts w:hint="eastAsia"/>
        </w:rPr>
        <w:t>年</w:t>
      </w:r>
      <w:r w:rsidR="00EA3A58">
        <w:rPr>
          <w:rFonts w:hint="eastAsia"/>
        </w:rPr>
        <w:t>2</w:t>
      </w:r>
      <w:r w:rsidRPr="00AE5F6A">
        <w:rPr>
          <w:rFonts w:hint="eastAsia"/>
        </w:rPr>
        <w:t>月</w:t>
      </w:r>
      <w:r w:rsidR="00EA3A58">
        <w:rPr>
          <w:rFonts w:hint="eastAsia"/>
        </w:rPr>
        <w:t>7</w:t>
      </w:r>
      <w:r w:rsidRPr="00AE5F6A">
        <w:rPr>
          <w:rFonts w:hint="eastAsia"/>
        </w:rPr>
        <w:t>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BC613B" w:rsidRDefault="00AB4223" w:rsidP="00AB4223">
      <w:pPr>
        <w:pStyle w:val="XB"/>
        <w:rPr>
          <w:color w:val="auto"/>
        </w:rPr>
      </w:pPr>
      <w:r w:rsidRPr="00BC613B">
        <w:rPr>
          <w:rFonts w:hint="eastAsia"/>
          <w:color w:val="auto"/>
        </w:rPr>
        <w:t>截至本次清算期结束日（</w:t>
      </w:r>
      <w:r w:rsidR="00EA3A58" w:rsidRPr="00BC613B">
        <w:rPr>
          <w:rFonts w:hint="eastAsia"/>
          <w:color w:val="auto"/>
        </w:rPr>
        <w:t>2018</w:t>
      </w:r>
      <w:r w:rsidRPr="00BC613B">
        <w:rPr>
          <w:rFonts w:hint="eastAsia"/>
          <w:color w:val="auto"/>
        </w:rPr>
        <w:t>年</w:t>
      </w:r>
      <w:r w:rsidR="00EA3A58" w:rsidRPr="00BC613B">
        <w:rPr>
          <w:rFonts w:hint="eastAsia"/>
          <w:color w:val="auto"/>
        </w:rPr>
        <w:t>2</w:t>
      </w:r>
      <w:r w:rsidRPr="00BC613B">
        <w:rPr>
          <w:rFonts w:hint="eastAsia"/>
          <w:color w:val="auto"/>
        </w:rPr>
        <w:t>月</w:t>
      </w:r>
      <w:r w:rsidR="00EA3A58" w:rsidRPr="00BC613B">
        <w:rPr>
          <w:rFonts w:hint="eastAsia"/>
          <w:color w:val="auto"/>
        </w:rPr>
        <w:t>7</w:t>
      </w:r>
      <w:r w:rsidRPr="00BC613B">
        <w:rPr>
          <w:rFonts w:hint="eastAsia"/>
          <w:color w:val="auto"/>
        </w:rPr>
        <w:t>日），各项资产负债清算情况如下：</w:t>
      </w:r>
    </w:p>
    <w:p w:rsidR="00AB4223" w:rsidRPr="00AE5F6A" w:rsidRDefault="00AB4223" w:rsidP="00AB4223">
      <w:pPr>
        <w:pStyle w:val="XB"/>
      </w:pPr>
      <w:r w:rsidRPr="00AE5F6A">
        <w:rPr>
          <w:rFonts w:hint="eastAsia"/>
        </w:rPr>
        <w:t>1、本基金最后运作日应收利息为人民币</w:t>
      </w:r>
      <w:r w:rsidR="007A50CA">
        <w:rPr>
          <w:rFonts w:cs="Arial" w:hint="eastAsia"/>
        </w:rPr>
        <w:t>13,631.11</w:t>
      </w:r>
      <w:r w:rsidR="002B3940">
        <w:rPr>
          <w:rFonts w:cs="Arial" w:hint="eastAsia"/>
        </w:rPr>
        <w:t>元</w:t>
      </w:r>
      <w:r w:rsidR="007A50CA">
        <w:rPr>
          <w:rFonts w:cs="Arial" w:hint="eastAsia"/>
        </w:rPr>
        <w:t>，其中买入返售金融资产利息2,376.28元于1月26日收回，其余尚未收回</w:t>
      </w:r>
      <w:r w:rsidRPr="00AE5F6A">
        <w:rPr>
          <w:rFonts w:cs="Arial" w:hint="eastAsia"/>
        </w:rPr>
        <w:t>。</w:t>
      </w:r>
    </w:p>
    <w:p w:rsidR="00AB4223" w:rsidRPr="00AE5F6A" w:rsidRDefault="00AB4223" w:rsidP="00AB4223">
      <w:pPr>
        <w:pStyle w:val="XB"/>
      </w:pPr>
      <w:r w:rsidRPr="00AE5F6A">
        <w:rPr>
          <w:rFonts w:hint="eastAsia"/>
        </w:rPr>
        <w:t>2、本基金最后运作日应付管理人报酬为人民币</w:t>
      </w:r>
      <w:r w:rsidR="007A50CA">
        <w:rPr>
          <w:rFonts w:hint="eastAsia"/>
        </w:rPr>
        <w:t>5,741.24</w:t>
      </w:r>
      <w:r w:rsidRPr="00AE5F6A">
        <w:rPr>
          <w:rFonts w:hint="eastAsia"/>
        </w:rPr>
        <w:t>元，该款项已于</w:t>
      </w:r>
      <w:r w:rsidR="007A50CA">
        <w:rPr>
          <w:rFonts w:hint="eastAsia"/>
        </w:rPr>
        <w:t>2018</w:t>
      </w:r>
      <w:r w:rsidRPr="00AE5F6A">
        <w:rPr>
          <w:rFonts w:hint="eastAsia"/>
        </w:rPr>
        <w:t>年</w:t>
      </w:r>
      <w:r w:rsidR="007A50CA">
        <w:rPr>
          <w:rFonts w:hint="eastAsia"/>
        </w:rPr>
        <w:t>2</w:t>
      </w:r>
      <w:r w:rsidRPr="00AE5F6A">
        <w:rPr>
          <w:rFonts w:hint="eastAsia"/>
        </w:rPr>
        <w:t>月</w:t>
      </w:r>
      <w:r w:rsidR="007A50CA">
        <w:rPr>
          <w:rFonts w:hint="eastAsia"/>
        </w:rPr>
        <w:t>5</w:t>
      </w:r>
      <w:r w:rsidRPr="00AE5F6A">
        <w:rPr>
          <w:rFonts w:hint="eastAsia"/>
        </w:rPr>
        <w:t>日支付。</w:t>
      </w:r>
    </w:p>
    <w:p w:rsidR="00AB4223" w:rsidRPr="00AE5F6A" w:rsidRDefault="00AB4223" w:rsidP="00AB4223">
      <w:pPr>
        <w:pStyle w:val="XB"/>
      </w:pPr>
      <w:r w:rsidRPr="00AE5F6A">
        <w:rPr>
          <w:rFonts w:hint="eastAsia"/>
        </w:rPr>
        <w:t>3、本基金最后运作日应付托管费为人民币</w:t>
      </w:r>
      <w:r w:rsidR="00DA3953">
        <w:rPr>
          <w:rFonts w:hint="eastAsia"/>
        </w:rPr>
        <w:t>1,586,207.62</w:t>
      </w:r>
      <w:r w:rsidRPr="00AE5F6A">
        <w:rPr>
          <w:rFonts w:hint="eastAsia"/>
        </w:rPr>
        <w:t>元，该款项已于</w:t>
      </w:r>
      <w:r w:rsidR="00DA3953">
        <w:rPr>
          <w:rFonts w:hint="eastAsia"/>
        </w:rPr>
        <w:t>2018</w:t>
      </w:r>
      <w:r w:rsidR="00DA3953" w:rsidRPr="00AE5F6A">
        <w:rPr>
          <w:rFonts w:hint="eastAsia"/>
        </w:rPr>
        <w:t>年</w:t>
      </w:r>
      <w:r w:rsidR="00DA3953">
        <w:rPr>
          <w:rFonts w:hint="eastAsia"/>
        </w:rPr>
        <w:t>2</w:t>
      </w:r>
      <w:r w:rsidR="00DA3953" w:rsidRPr="00AE5F6A">
        <w:rPr>
          <w:rFonts w:hint="eastAsia"/>
        </w:rPr>
        <w:t>月</w:t>
      </w:r>
      <w:r w:rsidR="00DA3953">
        <w:rPr>
          <w:rFonts w:hint="eastAsia"/>
        </w:rPr>
        <w:t>5</w:t>
      </w:r>
      <w:r w:rsidR="00DA3953" w:rsidRPr="00AE5F6A">
        <w:rPr>
          <w:rFonts w:hint="eastAsia"/>
        </w:rPr>
        <w:t>日</w:t>
      </w:r>
      <w:r w:rsidRPr="00AE5F6A">
        <w:rPr>
          <w:rFonts w:hint="eastAsia"/>
        </w:rPr>
        <w:t>支付。</w:t>
      </w:r>
    </w:p>
    <w:p w:rsidR="00AB4223" w:rsidRPr="00AE5F6A" w:rsidRDefault="00AB4223" w:rsidP="00AB4223">
      <w:pPr>
        <w:pStyle w:val="XB"/>
      </w:pPr>
      <w:r w:rsidRPr="00AE5F6A">
        <w:rPr>
          <w:rFonts w:hint="eastAsia"/>
        </w:rPr>
        <w:t>4、本基金最后运作日应付销售服务费为人民币</w:t>
      </w:r>
      <w:r w:rsidR="00DA3953">
        <w:rPr>
          <w:rFonts w:hint="eastAsia"/>
        </w:rPr>
        <w:t>11.20</w:t>
      </w:r>
      <w:r w:rsidRPr="00AE5F6A">
        <w:rPr>
          <w:rFonts w:hint="eastAsia"/>
        </w:rPr>
        <w:t>元，该款项已于</w:t>
      </w:r>
      <w:r w:rsidR="00DA3953">
        <w:rPr>
          <w:rFonts w:hint="eastAsia"/>
        </w:rPr>
        <w:t>2018</w:t>
      </w:r>
      <w:r w:rsidR="00DA3953" w:rsidRPr="00AE5F6A">
        <w:rPr>
          <w:rFonts w:hint="eastAsia"/>
        </w:rPr>
        <w:t>年</w:t>
      </w:r>
      <w:r w:rsidR="00DA3953">
        <w:rPr>
          <w:rFonts w:hint="eastAsia"/>
        </w:rPr>
        <w:t>2</w:t>
      </w:r>
      <w:r w:rsidR="00DA3953" w:rsidRPr="00AE5F6A">
        <w:rPr>
          <w:rFonts w:hint="eastAsia"/>
        </w:rPr>
        <w:t>月</w:t>
      </w:r>
      <w:r w:rsidR="00DA3953">
        <w:rPr>
          <w:rFonts w:hint="eastAsia"/>
        </w:rPr>
        <w:t>5</w:t>
      </w:r>
      <w:r w:rsidR="00DA3953" w:rsidRPr="00AE5F6A">
        <w:rPr>
          <w:rFonts w:hint="eastAsia"/>
        </w:rPr>
        <w:t>日</w:t>
      </w:r>
      <w:r w:rsidRPr="00AE5F6A">
        <w:rPr>
          <w:rFonts w:hint="eastAsia"/>
        </w:rPr>
        <w:t>支付。</w:t>
      </w:r>
    </w:p>
    <w:p w:rsidR="00E3580D" w:rsidRDefault="00E120A8" w:rsidP="00AB4223">
      <w:pPr>
        <w:pStyle w:val="XB"/>
      </w:pPr>
      <w:r w:rsidRPr="00AE5F6A">
        <w:rPr>
          <w:rFonts w:hint="eastAsia"/>
        </w:rPr>
        <w:t>5</w:t>
      </w:r>
      <w:r w:rsidR="00AB4223" w:rsidRPr="00AE5F6A">
        <w:rPr>
          <w:rFonts w:hint="eastAsia"/>
        </w:rPr>
        <w:t>、本基金最后运作日应付交易费用为人民币</w:t>
      </w:r>
      <w:r w:rsidR="00DA3953">
        <w:rPr>
          <w:rFonts w:hint="eastAsia"/>
        </w:rPr>
        <w:t>335,823.55</w:t>
      </w:r>
      <w:r w:rsidR="00AB4223" w:rsidRPr="00AE5F6A">
        <w:rPr>
          <w:rFonts w:hint="eastAsia"/>
        </w:rPr>
        <w:t>元，其中中债费用</w:t>
      </w:r>
      <w:r w:rsidR="00E3580D">
        <w:rPr>
          <w:rFonts w:hint="eastAsia"/>
        </w:rPr>
        <w:t>1</w:t>
      </w:r>
      <w:r w:rsidR="00DA3953">
        <w:rPr>
          <w:rFonts w:hint="eastAsia"/>
        </w:rPr>
        <w:t>50.00</w:t>
      </w:r>
      <w:r w:rsidR="00AB4223" w:rsidRPr="00AE5F6A">
        <w:rPr>
          <w:rFonts w:hint="eastAsia"/>
        </w:rPr>
        <w:t>元</w:t>
      </w:r>
      <w:r w:rsidR="00DA3953">
        <w:rPr>
          <w:rFonts w:hint="eastAsia"/>
        </w:rPr>
        <w:t>和</w:t>
      </w:r>
      <w:r w:rsidRPr="00AE5F6A">
        <w:rPr>
          <w:rFonts w:hint="eastAsia"/>
        </w:rPr>
        <w:t>外汇交易中心费用</w:t>
      </w:r>
      <w:r w:rsidR="00DA3953">
        <w:rPr>
          <w:rFonts w:hint="eastAsia"/>
        </w:rPr>
        <w:t>150.00元</w:t>
      </w:r>
      <w:r w:rsidR="00DA3953" w:rsidRPr="00AE5F6A">
        <w:rPr>
          <w:rFonts w:hint="eastAsia"/>
        </w:rPr>
        <w:t>已于</w:t>
      </w:r>
      <w:r w:rsidR="00DA3953">
        <w:rPr>
          <w:rFonts w:hint="eastAsia"/>
        </w:rPr>
        <w:t>2018</w:t>
      </w:r>
      <w:r w:rsidR="00DA3953" w:rsidRPr="00AE5F6A">
        <w:rPr>
          <w:rFonts w:hint="eastAsia"/>
        </w:rPr>
        <w:t>年</w:t>
      </w:r>
      <w:r w:rsidR="00DA3953">
        <w:rPr>
          <w:rFonts w:hint="eastAsia"/>
        </w:rPr>
        <w:t>1</w:t>
      </w:r>
      <w:r w:rsidR="00DA3953" w:rsidRPr="00AE5F6A">
        <w:rPr>
          <w:rFonts w:hint="eastAsia"/>
        </w:rPr>
        <w:t>月25日支付</w:t>
      </w:r>
      <w:r w:rsidR="00E3580D">
        <w:rPr>
          <w:rFonts w:hint="eastAsia"/>
        </w:rPr>
        <w:t>。应付齐鲁证券佣金238,177.29元、应付德邦证券佣金70,871.16元和应付中投证券佣金26,475.10元已于1月26日支付。</w:t>
      </w:r>
    </w:p>
    <w:p w:rsidR="00E120A8" w:rsidRDefault="00E120A8" w:rsidP="003A1618">
      <w:pPr>
        <w:pStyle w:val="XB"/>
        <w:rPr>
          <w:color w:val="auto"/>
        </w:rPr>
      </w:pPr>
      <w:r w:rsidRPr="00A72376">
        <w:rPr>
          <w:rFonts w:hint="eastAsia"/>
          <w:color w:val="auto"/>
        </w:rPr>
        <w:t>6、本基金最后运作日其他负债为人民币</w:t>
      </w:r>
      <w:r w:rsidR="00E3580D" w:rsidRPr="00A72376">
        <w:rPr>
          <w:rFonts w:hint="eastAsia"/>
          <w:color w:val="auto"/>
        </w:rPr>
        <w:t>301,272.88</w:t>
      </w:r>
      <w:r w:rsidRPr="00A72376">
        <w:rPr>
          <w:rFonts w:hint="eastAsia"/>
          <w:color w:val="auto"/>
        </w:rPr>
        <w:t>元，包括预提审计费</w:t>
      </w:r>
      <w:r w:rsidR="00F52468" w:rsidRPr="00A72376">
        <w:rPr>
          <w:rFonts w:hint="eastAsia"/>
          <w:color w:val="auto"/>
        </w:rPr>
        <w:t>、预提律师费</w:t>
      </w:r>
      <w:r w:rsidRPr="00A72376">
        <w:rPr>
          <w:rFonts w:hint="eastAsia"/>
          <w:color w:val="auto"/>
        </w:rPr>
        <w:t>、应付信息披露费、中债银行间账户维护费、上清银行间账户维护费等。</w:t>
      </w:r>
      <w:r w:rsidR="00F52468" w:rsidRPr="00A72376">
        <w:rPr>
          <w:rFonts w:hint="eastAsia"/>
          <w:color w:val="auto"/>
        </w:rPr>
        <w:t>本基金最后运作日应付审计费人民币</w:t>
      </w:r>
      <w:r w:rsidR="00E3580D" w:rsidRPr="00A72376">
        <w:rPr>
          <w:rFonts w:hint="eastAsia"/>
          <w:color w:val="auto"/>
        </w:rPr>
        <w:t>75,000.00</w:t>
      </w:r>
      <w:r w:rsidR="00F52468" w:rsidRPr="00A72376">
        <w:rPr>
          <w:rFonts w:hint="eastAsia"/>
          <w:color w:val="auto"/>
        </w:rPr>
        <w:t>元，该款项将于取得审计费发票日支付；</w:t>
      </w:r>
      <w:r w:rsidR="00F52468" w:rsidRPr="003A1618">
        <w:rPr>
          <w:rFonts w:hint="eastAsia"/>
          <w:color w:val="auto"/>
        </w:rPr>
        <w:t>本基金最后运作日应付律师费人民币</w:t>
      </w:r>
      <w:r w:rsidR="00A20471" w:rsidRPr="003A1618">
        <w:rPr>
          <w:rFonts w:hint="eastAsia"/>
          <w:color w:val="auto"/>
        </w:rPr>
        <w:t>20</w:t>
      </w:r>
      <w:r w:rsidR="00F52468" w:rsidRPr="003A1618">
        <w:rPr>
          <w:rFonts w:hint="eastAsia"/>
          <w:color w:val="auto"/>
        </w:rPr>
        <w:t>,000.00元，该款项</w:t>
      </w:r>
      <w:r w:rsidR="00A20471" w:rsidRPr="003A1618">
        <w:rPr>
          <w:rFonts w:hint="eastAsia"/>
          <w:color w:val="auto"/>
        </w:rPr>
        <w:t>将于取得发票后支付</w:t>
      </w:r>
      <w:r w:rsidR="00F52468" w:rsidRPr="003A1618">
        <w:rPr>
          <w:rFonts w:hint="eastAsia"/>
          <w:color w:val="auto"/>
        </w:rPr>
        <w:t>；本基金最后运作日应付信息披露费</w:t>
      </w:r>
      <w:r w:rsidR="003A1618" w:rsidRPr="003A1618">
        <w:rPr>
          <w:rFonts w:hint="eastAsia"/>
          <w:color w:val="auto"/>
        </w:rPr>
        <w:t>175,572.88</w:t>
      </w:r>
      <w:r w:rsidR="00F52468" w:rsidRPr="003A1618">
        <w:rPr>
          <w:rFonts w:hint="eastAsia"/>
          <w:color w:val="auto"/>
        </w:rPr>
        <w:t>元，该款项将于取得信息披露费发票日支付；</w:t>
      </w:r>
      <w:r w:rsidRPr="00CC2A8C">
        <w:rPr>
          <w:rFonts w:hint="eastAsia"/>
          <w:color w:val="auto"/>
        </w:rPr>
        <w:t>本基金最后运作日应付中债银行间账户维护费</w:t>
      </w:r>
      <w:r w:rsidR="00F52468" w:rsidRPr="00CC2A8C">
        <w:rPr>
          <w:rFonts w:hint="eastAsia"/>
          <w:color w:val="auto"/>
        </w:rPr>
        <w:t>为人民币</w:t>
      </w:r>
      <w:r w:rsidR="003A1618" w:rsidRPr="00CC2A8C">
        <w:rPr>
          <w:rFonts w:hint="eastAsia"/>
          <w:color w:val="auto"/>
        </w:rPr>
        <w:t>7,500.00</w:t>
      </w:r>
      <w:r w:rsidR="00F52468" w:rsidRPr="00CC2A8C">
        <w:rPr>
          <w:rFonts w:hint="eastAsia"/>
          <w:color w:val="auto"/>
        </w:rPr>
        <w:t>元，</w:t>
      </w:r>
      <w:r w:rsidR="00CC2A8C" w:rsidRPr="00CC2A8C">
        <w:rPr>
          <w:rFonts w:hint="eastAsia"/>
          <w:color w:val="auto"/>
        </w:rPr>
        <w:t>其中</w:t>
      </w:r>
      <w:r w:rsidR="00100AF1">
        <w:rPr>
          <w:rFonts w:hint="eastAsia"/>
          <w:color w:val="auto"/>
        </w:rPr>
        <w:t>2017年四季度费用</w:t>
      </w:r>
      <w:r w:rsidR="00CC2A8C" w:rsidRPr="00CC2A8C">
        <w:rPr>
          <w:rFonts w:hint="eastAsia"/>
          <w:color w:val="auto"/>
        </w:rPr>
        <w:t>4,500.00元已于1月25日支付，</w:t>
      </w:r>
      <w:r w:rsidR="00100AF1">
        <w:rPr>
          <w:rFonts w:hint="eastAsia"/>
          <w:color w:val="auto"/>
        </w:rPr>
        <w:t>2018年一季度费用3,000.00元已于2月6日支付</w:t>
      </w:r>
      <w:r w:rsidR="00F52468" w:rsidRPr="00CC2A8C">
        <w:rPr>
          <w:rFonts w:hint="eastAsia"/>
          <w:color w:val="auto"/>
        </w:rPr>
        <w:t>；本基金最后运作日应付上清银行间账户维护费为人民币3,200.00元，</w:t>
      </w:r>
      <w:r w:rsidR="00CC2A8C" w:rsidRPr="00CC2A8C">
        <w:rPr>
          <w:rFonts w:hint="eastAsia"/>
          <w:color w:val="auto"/>
        </w:rPr>
        <w:t>该费用将于取得上清所费用付费单后支付。</w:t>
      </w:r>
    </w:p>
    <w:p w:rsidR="0045078C" w:rsidRPr="00CC2A8C" w:rsidRDefault="0045078C" w:rsidP="003A1618">
      <w:pPr>
        <w:pStyle w:val="XB"/>
        <w:rPr>
          <w:color w:val="auto"/>
        </w:rPr>
      </w:pPr>
      <w:r>
        <w:rPr>
          <w:rFonts w:hint="eastAsia"/>
          <w:color w:val="auto"/>
        </w:rPr>
        <w:t>7、本基金最后运作日持仓的买入返售金融资产金额为5,000,000.00元，该买入返售金融资产已于2018年1月25日到期。</w:t>
      </w:r>
    </w:p>
    <w:p w:rsidR="0045078C" w:rsidRPr="00AE5F6A" w:rsidRDefault="0045078C" w:rsidP="0045078C">
      <w:pPr>
        <w:pStyle w:val="XB"/>
      </w:pPr>
      <w:r>
        <w:rPr>
          <w:rFonts w:hint="eastAsia"/>
        </w:rPr>
        <w:t>8</w:t>
      </w:r>
      <w:r w:rsidR="00F52468" w:rsidRPr="00AE5F6A">
        <w:rPr>
          <w:rFonts w:hint="eastAsia"/>
        </w:rPr>
        <w:t>、</w:t>
      </w:r>
      <w:r w:rsidR="00903614">
        <w:rPr>
          <w:rFonts w:hint="eastAsia"/>
        </w:rPr>
        <w:t>2018</w:t>
      </w:r>
      <w:r w:rsidR="00AB4223" w:rsidRPr="00AE5F6A">
        <w:rPr>
          <w:rFonts w:hint="eastAsia"/>
        </w:rPr>
        <w:t>年</w:t>
      </w:r>
      <w:r w:rsidR="00903614">
        <w:rPr>
          <w:rFonts w:hint="eastAsia"/>
        </w:rPr>
        <w:t>1</w:t>
      </w:r>
      <w:r w:rsidR="00AB4223" w:rsidRPr="00AE5F6A">
        <w:rPr>
          <w:rFonts w:hint="eastAsia"/>
        </w:rPr>
        <w:t>月</w:t>
      </w:r>
      <w:r w:rsidR="00903614">
        <w:rPr>
          <w:rFonts w:hint="eastAsia"/>
        </w:rPr>
        <w:t>22</w:t>
      </w:r>
      <w:r w:rsidR="00AB4223" w:rsidRPr="00AE5F6A">
        <w:rPr>
          <w:rFonts w:hint="eastAsia"/>
        </w:rPr>
        <w:t>日赎回产生的应付赎回款为</w:t>
      </w:r>
      <w:r w:rsidR="00E120A8" w:rsidRPr="00AE5F6A">
        <w:rPr>
          <w:rFonts w:hint="eastAsia"/>
        </w:rPr>
        <w:t>人民币</w:t>
      </w:r>
      <w:r w:rsidR="00903614">
        <w:rPr>
          <w:rFonts w:cs="Arial" w:hint="eastAsia"/>
        </w:rPr>
        <w:t>427,286.57</w:t>
      </w:r>
      <w:r w:rsidR="00AB4223" w:rsidRPr="00AE5F6A">
        <w:rPr>
          <w:rFonts w:hint="eastAsia"/>
        </w:rPr>
        <w:t>元，</w:t>
      </w:r>
      <w:r w:rsidR="00BA6D21">
        <w:rPr>
          <w:rFonts w:hint="eastAsia"/>
        </w:rPr>
        <w:t>应付赎回费</w:t>
      </w:r>
      <w:r w:rsidR="00BA6D21">
        <w:rPr>
          <w:rFonts w:cs="Arial" w:hint="eastAsia"/>
        </w:rPr>
        <w:t>224.47元，</w:t>
      </w:r>
      <w:r w:rsidR="00F52468" w:rsidRPr="00AE5F6A">
        <w:rPr>
          <w:rFonts w:hint="eastAsia"/>
        </w:rPr>
        <w:t>该款项</w:t>
      </w:r>
      <w:r w:rsidR="00AB4223" w:rsidRPr="00AE5F6A">
        <w:rPr>
          <w:rFonts w:hint="eastAsia"/>
        </w:rPr>
        <w:t>已于</w:t>
      </w:r>
      <w:r w:rsidR="00903614">
        <w:rPr>
          <w:rFonts w:hint="eastAsia"/>
        </w:rPr>
        <w:t>2018</w:t>
      </w:r>
      <w:r w:rsidR="00AB4223" w:rsidRPr="00AE5F6A">
        <w:rPr>
          <w:rFonts w:hint="eastAsia"/>
        </w:rPr>
        <w:t>年</w:t>
      </w:r>
      <w:r w:rsidR="00903614">
        <w:rPr>
          <w:rFonts w:hint="eastAsia"/>
        </w:rPr>
        <w:t>1</w:t>
      </w:r>
      <w:r w:rsidR="00AB4223" w:rsidRPr="00AE5F6A">
        <w:rPr>
          <w:rFonts w:hint="eastAsia"/>
        </w:rPr>
        <w:t>月</w:t>
      </w:r>
      <w:r w:rsidR="00903614">
        <w:rPr>
          <w:rFonts w:hint="eastAsia"/>
        </w:rPr>
        <w:t>25</w:t>
      </w:r>
      <w:r w:rsidR="00AB4223" w:rsidRPr="00AE5F6A">
        <w:rPr>
          <w:rFonts w:hint="eastAsia"/>
        </w:rPr>
        <w:t>日支付。</w:t>
      </w:r>
    </w:p>
    <w:p w:rsidR="00436D7F" w:rsidRPr="001E5D2F" w:rsidRDefault="00436D7F" w:rsidP="00436D7F">
      <w:pPr>
        <w:pStyle w:val="2"/>
        <w:spacing w:before="0" w:after="0"/>
        <w:rPr>
          <w:rFonts w:ascii="宋体" w:eastAsia="宋体" w:hAnsi="宋体"/>
          <w:kern w:val="0"/>
          <w:sz w:val="21"/>
          <w:szCs w:val="21"/>
        </w:rPr>
      </w:pPr>
      <w:bookmarkStart w:id="48" w:name="_Toc491963089"/>
      <w:bookmarkEnd w:id="46"/>
      <w:r w:rsidRPr="001E5D2F">
        <w:rPr>
          <w:rFonts w:ascii="宋体" w:eastAsia="宋体" w:hAnsi="宋体" w:hint="eastAsia"/>
          <w:kern w:val="0"/>
          <w:sz w:val="21"/>
          <w:szCs w:val="21"/>
        </w:rPr>
        <w:t>5.2 截至本次清算期结束日的剩余财产情况及剩余财产分配安排</w:t>
      </w:r>
      <w:bookmarkEnd w:id="4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7A50C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7A50C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rsidP="007A50CA">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w:t>
            </w:r>
            <w:r w:rsidR="00BA6D21">
              <w:rPr>
                <w:rFonts w:ascii="宋体" w:hAnsi="宋体" w:hint="eastAsia"/>
                <w:b/>
                <w:color w:val="000000" w:themeColor="text1"/>
                <w:szCs w:val="21"/>
              </w:rPr>
              <w:t>018</w:t>
            </w:r>
            <w:r w:rsidRPr="00AE5F6A">
              <w:rPr>
                <w:rFonts w:ascii="宋体" w:hAnsi="宋体" w:hint="eastAsia"/>
                <w:b/>
                <w:color w:val="000000" w:themeColor="text1"/>
                <w:szCs w:val="21"/>
              </w:rPr>
              <w:t>年</w:t>
            </w:r>
            <w:r w:rsidR="001E5D2F">
              <w:rPr>
                <w:rFonts w:ascii="宋体" w:hAnsi="宋体" w:hint="eastAsia"/>
                <w:b/>
                <w:color w:val="000000" w:themeColor="text1"/>
                <w:szCs w:val="21"/>
              </w:rPr>
              <w:t>1</w:t>
            </w:r>
            <w:r w:rsidRPr="00AE5F6A">
              <w:rPr>
                <w:rFonts w:ascii="宋体" w:hAnsi="宋体" w:hint="eastAsia"/>
                <w:b/>
                <w:color w:val="000000" w:themeColor="text1"/>
                <w:szCs w:val="21"/>
              </w:rPr>
              <w:t>月</w:t>
            </w:r>
            <w:r w:rsidR="001E5D2F">
              <w:rPr>
                <w:rFonts w:ascii="宋体" w:hAnsi="宋体" w:hint="eastAsia"/>
                <w:b/>
                <w:color w:val="000000" w:themeColor="text1"/>
                <w:szCs w:val="21"/>
              </w:rPr>
              <w:t>22</w:t>
            </w:r>
            <w:r w:rsidRPr="00AE5F6A">
              <w:rPr>
                <w:rFonts w:ascii="宋体" w:hAnsi="宋体" w:hint="eastAsia"/>
                <w:b/>
                <w:color w:val="000000" w:themeColor="text1"/>
                <w:szCs w:val="21"/>
              </w:rPr>
              <w:t>日基金净资产</w:t>
            </w:r>
          </w:p>
        </w:tc>
        <w:tc>
          <w:tcPr>
            <w:tcW w:w="5652" w:type="dxa"/>
            <w:vAlign w:val="center"/>
          </w:tcPr>
          <w:p w:rsidR="00436D7F" w:rsidRPr="001E5D2F" w:rsidRDefault="001E5D2F" w:rsidP="007A50CA">
            <w:pPr>
              <w:jc w:val="right"/>
              <w:rPr>
                <w:rFonts w:ascii="宋体" w:hAnsi="宋体"/>
                <w:color w:val="000000" w:themeColor="text1"/>
                <w:szCs w:val="21"/>
              </w:rPr>
            </w:pPr>
            <w:r>
              <w:rPr>
                <w:rFonts w:ascii="宋体" w:hAnsi="宋体" w:hint="eastAsia"/>
                <w:color w:val="000000" w:themeColor="text1"/>
                <w:szCs w:val="21"/>
              </w:rPr>
              <w:t>14,308,071.66</w:t>
            </w:r>
          </w:p>
        </w:tc>
      </w:tr>
      <w:tr w:rsidR="00436D7F" w:rsidRPr="00AE5F6A" w:rsidTr="00AE5F6A">
        <w:trPr>
          <w:jc w:val="center"/>
        </w:trPr>
        <w:tc>
          <w:tcPr>
            <w:tcW w:w="3420" w:type="dxa"/>
            <w:vAlign w:val="center"/>
          </w:tcPr>
          <w:p w:rsidR="00436D7F" w:rsidRPr="00AE5F6A" w:rsidRDefault="00436D7F" w:rsidP="007A50CA">
            <w:pPr>
              <w:rPr>
                <w:rFonts w:ascii="宋体" w:hAnsi="宋体"/>
                <w:color w:val="000000" w:themeColor="text1"/>
                <w:szCs w:val="21"/>
              </w:rPr>
            </w:pPr>
            <w:r w:rsidRPr="00AE5F6A">
              <w:rPr>
                <w:rFonts w:ascii="宋体" w:hAnsi="宋体" w:hint="eastAsia"/>
                <w:color w:val="000000" w:themeColor="text1"/>
                <w:szCs w:val="21"/>
              </w:rPr>
              <w:t>减：</w:t>
            </w:r>
            <w:r w:rsidR="00BA6D21">
              <w:rPr>
                <w:rFonts w:ascii="宋体" w:hAnsi="宋体" w:hint="eastAsia"/>
                <w:color w:val="000000" w:themeColor="text1"/>
                <w:szCs w:val="21"/>
              </w:rPr>
              <w:t>2018</w:t>
            </w:r>
            <w:r w:rsidRPr="00AE5F6A">
              <w:rPr>
                <w:rFonts w:ascii="宋体" w:hAnsi="宋体" w:hint="eastAsia"/>
                <w:color w:val="000000" w:themeColor="text1"/>
                <w:szCs w:val="21"/>
              </w:rPr>
              <w:t>年</w:t>
            </w:r>
            <w:r w:rsidR="00BA6D21">
              <w:rPr>
                <w:rFonts w:ascii="宋体" w:hAnsi="宋体" w:hint="eastAsia"/>
                <w:color w:val="000000" w:themeColor="text1"/>
                <w:szCs w:val="21"/>
              </w:rPr>
              <w:t>1</w:t>
            </w:r>
            <w:r w:rsidRPr="00AE5F6A">
              <w:rPr>
                <w:rFonts w:ascii="宋体" w:hAnsi="宋体" w:hint="eastAsia"/>
                <w:color w:val="000000" w:themeColor="text1"/>
                <w:szCs w:val="21"/>
              </w:rPr>
              <w:t>月</w:t>
            </w:r>
            <w:r w:rsidR="00BA6D21">
              <w:rPr>
                <w:rFonts w:ascii="宋体" w:hAnsi="宋体" w:hint="eastAsia"/>
                <w:color w:val="000000" w:themeColor="text1"/>
                <w:szCs w:val="21"/>
              </w:rPr>
              <w:t>22</w:t>
            </w:r>
            <w:r w:rsidR="00D034AB">
              <w:rPr>
                <w:rFonts w:ascii="宋体" w:hAnsi="宋体" w:hint="eastAsia"/>
                <w:color w:val="000000" w:themeColor="text1"/>
                <w:szCs w:val="21"/>
              </w:rPr>
              <w:t>日赎回金额</w:t>
            </w:r>
          </w:p>
        </w:tc>
        <w:tc>
          <w:tcPr>
            <w:tcW w:w="5652" w:type="dxa"/>
            <w:vAlign w:val="center"/>
          </w:tcPr>
          <w:p w:rsidR="00436D7F" w:rsidRPr="00AE5F6A" w:rsidRDefault="00D034AB" w:rsidP="001E5D2F">
            <w:pPr>
              <w:jc w:val="right"/>
              <w:rPr>
                <w:rFonts w:ascii="宋体" w:hAnsi="宋体"/>
                <w:color w:val="000000" w:themeColor="text1"/>
                <w:szCs w:val="21"/>
              </w:rPr>
            </w:pPr>
            <w:r>
              <w:rPr>
                <w:rFonts w:ascii="宋体" w:hAnsi="宋体" w:hint="eastAsia"/>
                <w:color w:val="000000" w:themeColor="text1"/>
                <w:szCs w:val="21"/>
              </w:rPr>
              <w:t>427,586.86</w:t>
            </w:r>
          </w:p>
        </w:tc>
      </w:tr>
      <w:tr w:rsidR="00436D7F" w:rsidRPr="00AE5F6A" w:rsidTr="00AE5F6A">
        <w:trPr>
          <w:jc w:val="center"/>
        </w:trPr>
        <w:tc>
          <w:tcPr>
            <w:tcW w:w="3420" w:type="dxa"/>
            <w:vAlign w:val="center"/>
          </w:tcPr>
          <w:p w:rsidR="00436D7F" w:rsidRPr="00AE5F6A" w:rsidRDefault="00436D7F" w:rsidP="007A50CA">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436D7F" w:rsidRPr="00AE5F6A" w:rsidRDefault="001E5D2F" w:rsidP="007A50CA">
            <w:pPr>
              <w:jc w:val="right"/>
              <w:rPr>
                <w:rFonts w:ascii="宋体" w:hAnsi="宋体"/>
                <w:color w:val="000000" w:themeColor="text1"/>
                <w:szCs w:val="21"/>
              </w:rPr>
            </w:pPr>
            <w:r w:rsidRPr="00BF4B64">
              <w:rPr>
                <w:rFonts w:ascii="宋体" w:hAnsi="宋体" w:hint="eastAsia"/>
                <w:szCs w:val="21"/>
              </w:rPr>
              <w:t>-13,503.76</w:t>
            </w:r>
          </w:p>
        </w:tc>
      </w:tr>
      <w:tr w:rsidR="00436D7F" w:rsidRPr="00AE5F6A" w:rsidTr="00AE5F6A">
        <w:trPr>
          <w:jc w:val="center"/>
        </w:trPr>
        <w:tc>
          <w:tcPr>
            <w:tcW w:w="3420" w:type="dxa"/>
            <w:vAlign w:val="center"/>
          </w:tcPr>
          <w:p w:rsidR="00436D7F" w:rsidRPr="00AE5F6A" w:rsidRDefault="00436D7F" w:rsidP="007A50CA">
            <w:pPr>
              <w:rPr>
                <w:rFonts w:ascii="宋体" w:hAnsi="宋体"/>
                <w:b/>
                <w:color w:val="000000" w:themeColor="text1"/>
                <w:szCs w:val="21"/>
              </w:rPr>
            </w:pPr>
            <w:r w:rsidRPr="00AE5F6A">
              <w:rPr>
                <w:rFonts w:ascii="宋体" w:hAnsi="宋体" w:hint="eastAsia"/>
                <w:b/>
                <w:color w:val="000000" w:themeColor="text1"/>
                <w:szCs w:val="21"/>
              </w:rPr>
              <w:t>二、</w:t>
            </w:r>
            <w:r w:rsidR="001E5D2F">
              <w:rPr>
                <w:rFonts w:ascii="宋体" w:hAnsi="宋体" w:hint="eastAsia"/>
                <w:b/>
                <w:color w:val="000000" w:themeColor="text1"/>
                <w:szCs w:val="21"/>
              </w:rPr>
              <w:t>2018</w:t>
            </w:r>
            <w:r w:rsidRPr="00AE5F6A">
              <w:rPr>
                <w:rFonts w:ascii="宋体" w:hAnsi="宋体" w:hint="eastAsia"/>
                <w:b/>
                <w:color w:val="000000" w:themeColor="text1"/>
                <w:szCs w:val="21"/>
              </w:rPr>
              <w:t>年</w:t>
            </w:r>
            <w:r w:rsidR="001E5D2F">
              <w:rPr>
                <w:rFonts w:ascii="宋体" w:hAnsi="宋体" w:hint="eastAsia"/>
                <w:b/>
                <w:color w:val="000000" w:themeColor="text1"/>
                <w:szCs w:val="21"/>
              </w:rPr>
              <w:t>2</w:t>
            </w:r>
            <w:r w:rsidRPr="00AE5F6A">
              <w:rPr>
                <w:rFonts w:ascii="宋体" w:hAnsi="宋体" w:hint="eastAsia"/>
                <w:b/>
                <w:color w:val="000000" w:themeColor="text1"/>
                <w:szCs w:val="21"/>
              </w:rPr>
              <w:t>月</w:t>
            </w:r>
            <w:r w:rsidR="001E5D2F">
              <w:rPr>
                <w:rFonts w:ascii="宋体" w:hAnsi="宋体" w:hint="eastAsia"/>
                <w:b/>
                <w:color w:val="000000" w:themeColor="text1"/>
                <w:szCs w:val="21"/>
              </w:rPr>
              <w:t>7</w:t>
            </w:r>
            <w:r w:rsidRPr="00AE5F6A">
              <w:rPr>
                <w:rFonts w:ascii="宋体" w:hAnsi="宋体" w:hint="eastAsia"/>
                <w:b/>
                <w:color w:val="000000" w:themeColor="text1"/>
                <w:szCs w:val="21"/>
              </w:rPr>
              <w:t>日基金净资产</w:t>
            </w:r>
          </w:p>
        </w:tc>
        <w:tc>
          <w:tcPr>
            <w:tcW w:w="5652" w:type="dxa"/>
            <w:vAlign w:val="center"/>
          </w:tcPr>
          <w:p w:rsidR="00436D7F" w:rsidRPr="00AE5F6A" w:rsidRDefault="00D034AB" w:rsidP="00D034AB">
            <w:pPr>
              <w:jc w:val="right"/>
              <w:rPr>
                <w:rFonts w:ascii="宋体" w:hAnsi="宋体"/>
                <w:color w:val="000000" w:themeColor="text1"/>
                <w:szCs w:val="21"/>
              </w:rPr>
            </w:pPr>
            <w:r w:rsidRPr="00D034AB">
              <w:rPr>
                <w:rFonts w:ascii="宋体" w:hAnsi="宋体" w:hint="eastAsia"/>
                <w:color w:val="000000" w:themeColor="text1"/>
                <w:szCs w:val="21"/>
              </w:rPr>
              <w:t xml:space="preserve">  13,866,981.04 </w:t>
            </w:r>
          </w:p>
        </w:tc>
      </w:tr>
    </w:tbl>
    <w:p w:rsidR="00436D7F" w:rsidRPr="00AE5F6A" w:rsidRDefault="00436D7F" w:rsidP="00436D7F">
      <w:pPr>
        <w:pStyle w:val="XB"/>
      </w:pPr>
      <w:r w:rsidRPr="00AE5F6A">
        <w:rPr>
          <w:rFonts w:hint="eastAsia"/>
        </w:rPr>
        <w:t>截至本次清算期结束日</w:t>
      </w:r>
      <w:r w:rsidR="001E5D2F">
        <w:rPr>
          <w:rFonts w:hint="eastAsia"/>
        </w:rPr>
        <w:t>2018</w:t>
      </w:r>
      <w:r w:rsidRPr="00AE5F6A">
        <w:rPr>
          <w:rFonts w:hint="eastAsia"/>
        </w:rPr>
        <w:t>年</w:t>
      </w:r>
      <w:r w:rsidR="001E5D2F">
        <w:rPr>
          <w:rFonts w:hint="eastAsia"/>
        </w:rPr>
        <w:t>2</w:t>
      </w:r>
      <w:r w:rsidRPr="00AE5F6A">
        <w:rPr>
          <w:rFonts w:hint="eastAsia"/>
        </w:rPr>
        <w:t>月</w:t>
      </w:r>
      <w:r w:rsidR="001E5D2F">
        <w:rPr>
          <w:rFonts w:hint="eastAsia"/>
        </w:rPr>
        <w:t>7</w:t>
      </w:r>
      <w:r w:rsidRPr="00AE5F6A">
        <w:rPr>
          <w:rFonts w:hint="eastAsia"/>
        </w:rPr>
        <w:t>日，本基金剩余财产为人民币</w:t>
      </w:r>
      <w:r w:rsidR="001E5D2F">
        <w:rPr>
          <w:rFonts w:hint="eastAsia"/>
        </w:rPr>
        <w:t>13,866,981.04</w:t>
      </w:r>
      <w:r w:rsidRPr="00AE5F6A">
        <w:rPr>
          <w:rFonts w:hint="eastAsia"/>
        </w:rPr>
        <w:t>元。自本次清算期结束日次日</w:t>
      </w:r>
      <w:r w:rsidR="001E5D2F">
        <w:rPr>
          <w:rFonts w:hint="eastAsia"/>
        </w:rPr>
        <w:t>2018</w:t>
      </w:r>
      <w:r w:rsidRPr="00AE5F6A">
        <w:rPr>
          <w:rFonts w:hint="eastAsia"/>
        </w:rPr>
        <w:t>年</w:t>
      </w:r>
      <w:r w:rsidR="001E5D2F">
        <w:rPr>
          <w:rFonts w:hint="eastAsia"/>
        </w:rPr>
        <w:t>2</w:t>
      </w:r>
      <w:r w:rsidRPr="00AE5F6A">
        <w:rPr>
          <w:rFonts w:hint="eastAsia"/>
        </w:rPr>
        <w:t>月</w:t>
      </w:r>
      <w:r w:rsidR="001E5D2F">
        <w:rPr>
          <w:rFonts w:hint="eastAsia"/>
        </w:rPr>
        <w:t>8</w:t>
      </w:r>
      <w:r w:rsidRPr="00AE5F6A">
        <w:rPr>
          <w:rFonts w:hint="eastAsia"/>
        </w:rPr>
        <w:t>日至本次清算款划出前一日的银行存款产生的利息亦归基金份额持有人所有。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9C2B45">
      <w:pPr>
        <w:pStyle w:val="1"/>
        <w:keepNext/>
        <w:keepLines/>
        <w:widowControl w:val="0"/>
        <w:spacing w:beforeLines="100" w:afterLines="100" w:line="360" w:lineRule="auto"/>
        <w:jc w:val="center"/>
        <w:rPr>
          <w:rStyle w:val="2CharCharChar"/>
          <w:rFonts w:ascii="宋体" w:hAnsi="宋体"/>
        </w:rPr>
      </w:pPr>
      <w:bookmarkStart w:id="49" w:name="_Toc409100108"/>
      <w:bookmarkStart w:id="50" w:name="_Toc361324903"/>
      <w:bookmarkStart w:id="51" w:name="_Toc409100471"/>
      <w:bookmarkStart w:id="52" w:name="_Toc225500055"/>
      <w:bookmarkStart w:id="53" w:name="_Toc476577307"/>
      <w:bookmarkStart w:id="54" w:name="_Toc484769810"/>
      <w:bookmarkStart w:id="55" w:name="_Toc491963090"/>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49"/>
      <w:bookmarkEnd w:id="50"/>
      <w:bookmarkEnd w:id="51"/>
      <w:bookmarkEnd w:id="52"/>
      <w:bookmarkEnd w:id="53"/>
      <w:bookmarkEnd w:id="54"/>
      <w:bookmarkEnd w:id="55"/>
    </w:p>
    <w:p w:rsidR="00B92205" w:rsidRPr="00AE5F6A" w:rsidRDefault="001A25D5" w:rsidP="00B92205">
      <w:pPr>
        <w:pStyle w:val="2"/>
        <w:spacing w:before="0" w:after="0"/>
        <w:rPr>
          <w:rFonts w:ascii="宋体" w:eastAsia="宋体" w:hAnsi="宋体"/>
          <w:kern w:val="0"/>
          <w:sz w:val="21"/>
          <w:szCs w:val="21"/>
        </w:rPr>
      </w:pPr>
      <w:bookmarkStart w:id="56" w:name="_Toc409100109"/>
      <w:bookmarkStart w:id="57" w:name="_Toc409100472"/>
      <w:bookmarkStart w:id="58" w:name="_Toc361324904"/>
      <w:bookmarkStart w:id="59" w:name="_Toc476577308"/>
      <w:bookmarkStart w:id="60" w:name="_Toc483396843"/>
      <w:bookmarkStart w:id="61" w:name="_Toc484607315"/>
      <w:bookmarkStart w:id="62" w:name="_Toc484769811"/>
      <w:bookmarkStart w:id="63" w:name="_Toc491963091"/>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6"/>
      <w:bookmarkEnd w:id="57"/>
      <w:bookmarkEnd w:id="58"/>
      <w:bookmarkEnd w:id="59"/>
      <w:bookmarkEnd w:id="60"/>
      <w:bookmarkEnd w:id="61"/>
      <w:bookmarkEnd w:id="62"/>
      <w:bookmarkEnd w:id="63"/>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45078C" w:rsidRPr="00E94800">
        <w:rPr>
          <w:rFonts w:ascii="宋体" w:hAnsi="宋体" w:cs="Arial" w:hint="eastAsia"/>
          <w:color w:val="000000"/>
          <w:szCs w:val="21"/>
        </w:rPr>
        <w:t>博时灵活配置混合型证券投资基金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7A2371">
        <w:rPr>
          <w:rFonts w:ascii="宋体" w:hAnsi="宋体" w:hint="eastAsia"/>
          <w:color w:val="000000"/>
          <w:szCs w:val="21"/>
        </w:rPr>
        <w:t>关于《</w:t>
      </w:r>
      <w:r w:rsidR="0045078C" w:rsidRPr="00E94800">
        <w:rPr>
          <w:rFonts w:ascii="宋体" w:hAnsi="宋体" w:cs="Arial" w:hint="eastAsia"/>
          <w:color w:val="000000"/>
          <w:szCs w:val="21"/>
        </w:rPr>
        <w:t>博时灵活配置混合型证券投资基金</w:t>
      </w:r>
      <w:r w:rsidR="007A2371">
        <w:rPr>
          <w:rFonts w:ascii="宋体" w:hAnsi="宋体" w:cs="Arial" w:hint="eastAsia"/>
          <w:color w:val="000000"/>
          <w:szCs w:val="21"/>
        </w:rPr>
        <w:t>清算报告</w:t>
      </w:r>
      <w:r w:rsidR="007A2371">
        <w:rPr>
          <w:rFonts w:ascii="宋体" w:hAnsi="宋体" w:hint="eastAsia"/>
          <w:color w:val="000000"/>
          <w:szCs w:val="21"/>
        </w:rPr>
        <w:t>》</w:t>
      </w:r>
      <w:r w:rsidR="00B92205" w:rsidRPr="00AE5F6A">
        <w:rPr>
          <w:rFonts w:ascii="宋体" w:hAnsi="宋体"/>
          <w:color w:val="000000"/>
          <w:szCs w:val="21"/>
        </w:rPr>
        <w:t>的法律意见</w:t>
      </w:r>
    </w:p>
    <w:p w:rsidR="00B92205" w:rsidRPr="00AE5F6A" w:rsidRDefault="001A25D5" w:rsidP="00B92205">
      <w:pPr>
        <w:pStyle w:val="2"/>
        <w:spacing w:before="0" w:after="0"/>
        <w:rPr>
          <w:rFonts w:ascii="宋体" w:eastAsia="宋体" w:hAnsi="宋体"/>
          <w:kern w:val="0"/>
          <w:sz w:val="21"/>
          <w:szCs w:val="21"/>
        </w:rPr>
      </w:pPr>
      <w:bookmarkStart w:id="64" w:name="_Toc409100110"/>
      <w:bookmarkStart w:id="65" w:name="_Toc409100473"/>
      <w:bookmarkStart w:id="66" w:name="_Toc361324905"/>
      <w:bookmarkStart w:id="67" w:name="_Toc476577309"/>
      <w:bookmarkStart w:id="68" w:name="_Toc483396844"/>
      <w:bookmarkStart w:id="69" w:name="_Toc484607316"/>
      <w:bookmarkStart w:id="70" w:name="_Toc484769812"/>
      <w:bookmarkStart w:id="71" w:name="_Toc491963092"/>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4"/>
      <w:bookmarkEnd w:id="65"/>
      <w:bookmarkEnd w:id="66"/>
      <w:bookmarkEnd w:id="67"/>
      <w:bookmarkEnd w:id="68"/>
      <w:bookmarkEnd w:id="69"/>
      <w:bookmarkEnd w:id="70"/>
      <w:bookmarkEnd w:id="71"/>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2" w:name="_Toc409100474"/>
      <w:bookmarkStart w:id="73" w:name="_Toc361324906"/>
      <w:bookmarkStart w:id="74" w:name="_Toc409100111"/>
      <w:bookmarkStart w:id="75" w:name="_Toc476577310"/>
      <w:bookmarkStart w:id="76" w:name="_Toc483396845"/>
      <w:bookmarkStart w:id="77" w:name="_Toc484607317"/>
      <w:bookmarkStart w:id="78" w:name="_Toc484769813"/>
      <w:bookmarkStart w:id="79" w:name="_Toc491963093"/>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2"/>
      <w:bookmarkEnd w:id="73"/>
      <w:bookmarkEnd w:id="74"/>
      <w:bookmarkEnd w:id="75"/>
      <w:bookmarkEnd w:id="76"/>
      <w:bookmarkEnd w:id="77"/>
      <w:bookmarkEnd w:id="78"/>
      <w:bookmarkEnd w:id="79"/>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45078C" w:rsidP="00B92205">
      <w:pPr>
        <w:spacing w:line="360" w:lineRule="auto"/>
        <w:ind w:left="840"/>
        <w:jc w:val="right"/>
        <w:rPr>
          <w:rFonts w:ascii="宋体" w:hAnsi="宋体"/>
          <w:bCs/>
          <w:szCs w:val="21"/>
        </w:rPr>
      </w:pPr>
      <w:r w:rsidRPr="00E94800">
        <w:rPr>
          <w:rFonts w:ascii="宋体" w:hAnsi="宋体" w:cs="Arial" w:hint="eastAsia"/>
          <w:color w:val="000000"/>
          <w:szCs w:val="21"/>
        </w:rPr>
        <w:t>博时灵活配置混合型证券投资基金</w:t>
      </w:r>
      <w:r w:rsidR="00B92205" w:rsidRPr="001E1155">
        <w:rPr>
          <w:rFonts w:ascii="宋体" w:hAnsi="宋体" w:hint="eastAsia"/>
          <w:bCs/>
          <w:szCs w:val="21"/>
        </w:rPr>
        <w:t>基金财产清算小组</w:t>
      </w:r>
    </w:p>
    <w:p w:rsidR="00B92205" w:rsidRPr="001E1155" w:rsidRDefault="0045078C" w:rsidP="0045078C">
      <w:pPr>
        <w:wordWrap w:val="0"/>
        <w:spacing w:line="360" w:lineRule="auto"/>
        <w:ind w:left="840" w:right="420" w:firstLineChars="2200" w:firstLine="4620"/>
        <w:rPr>
          <w:rFonts w:ascii="宋体" w:hAnsi="宋体"/>
          <w:bCs/>
          <w:szCs w:val="21"/>
        </w:rPr>
      </w:pPr>
      <w:r>
        <w:rPr>
          <w:rFonts w:ascii="宋体" w:hAnsi="宋体"/>
          <w:bCs/>
          <w:szCs w:val="21"/>
        </w:rPr>
        <w:t>二〇一</w:t>
      </w:r>
      <w:r>
        <w:rPr>
          <w:rFonts w:ascii="宋体" w:hAnsi="宋体" w:hint="eastAsia"/>
          <w:bCs/>
          <w:szCs w:val="21"/>
        </w:rPr>
        <w:t>八</w:t>
      </w:r>
      <w:r w:rsidR="00B92205" w:rsidRPr="001E1155">
        <w:rPr>
          <w:rFonts w:ascii="宋体" w:hAnsi="宋体"/>
          <w:bCs/>
          <w:szCs w:val="21"/>
        </w:rPr>
        <w:t>年</w:t>
      </w:r>
      <w:r w:rsidR="00AC6417" w:rsidRPr="00AC6417">
        <w:rPr>
          <w:rFonts w:ascii="宋体" w:hAnsi="宋体" w:hint="eastAsia"/>
          <w:bCs/>
          <w:szCs w:val="21"/>
        </w:rPr>
        <w:t>三月九日</w:t>
      </w:r>
      <w:bookmarkStart w:id="80" w:name="_GoBack"/>
      <w:bookmarkEnd w:id="80"/>
    </w:p>
    <w:p w:rsidR="00B92205" w:rsidRPr="00AD1682" w:rsidRDefault="00B92205" w:rsidP="00B92205">
      <w:pPr>
        <w:spacing w:line="360" w:lineRule="auto"/>
        <w:rPr>
          <w:rFonts w:ascii="宋体" w:hAnsi="宋体"/>
          <w:color w:val="000000" w:themeColor="text1"/>
          <w:szCs w:val="21"/>
        </w:rPr>
      </w:pP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C6" w:rsidRDefault="006549C6" w:rsidP="00881D41">
      <w:r>
        <w:separator/>
      </w:r>
    </w:p>
  </w:endnote>
  <w:endnote w:type="continuationSeparator" w:id="1">
    <w:p w:rsidR="006549C6" w:rsidRDefault="006549C6"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5" w:rsidRDefault="009C2B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7A50CA" w:rsidRDefault="00604955">
        <w:pPr>
          <w:pStyle w:val="a4"/>
          <w:jc w:val="center"/>
        </w:pPr>
        <w:r>
          <w:fldChar w:fldCharType="begin"/>
        </w:r>
        <w:r w:rsidR="007A50CA">
          <w:instrText>PAGE   \* MERGEFORMAT</w:instrText>
        </w:r>
        <w:r>
          <w:fldChar w:fldCharType="separate"/>
        </w:r>
        <w:r w:rsidR="009C2B45" w:rsidRPr="009C2B45">
          <w:rPr>
            <w:noProof/>
            <w:lang w:val="zh-CN"/>
          </w:rPr>
          <w:t>1</w:t>
        </w:r>
        <w:r>
          <w:fldChar w:fldCharType="end"/>
        </w:r>
      </w:p>
    </w:sdtContent>
  </w:sdt>
  <w:p w:rsidR="007A50CA" w:rsidRDefault="007A50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5" w:rsidRDefault="009C2B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C6" w:rsidRDefault="006549C6" w:rsidP="00881D41">
      <w:r>
        <w:separator/>
      </w:r>
    </w:p>
  </w:footnote>
  <w:footnote w:type="continuationSeparator" w:id="1">
    <w:p w:rsidR="006549C6" w:rsidRDefault="006549C6"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5" w:rsidRDefault="009C2B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A" w:rsidRDefault="007A50CA" w:rsidP="007A50CA">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45" w:rsidRDefault="009C2B4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CA" w:rsidRDefault="007A50CA"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33B5A"/>
    <w:rsid w:val="00047E84"/>
    <w:rsid w:val="00061B35"/>
    <w:rsid w:val="0008602F"/>
    <w:rsid w:val="00100AF1"/>
    <w:rsid w:val="001463C3"/>
    <w:rsid w:val="001469B6"/>
    <w:rsid w:val="00167779"/>
    <w:rsid w:val="0017203A"/>
    <w:rsid w:val="00192357"/>
    <w:rsid w:val="001A25D5"/>
    <w:rsid w:val="001B6418"/>
    <w:rsid w:val="001C1FBB"/>
    <w:rsid w:val="001E1155"/>
    <w:rsid w:val="001E5D2F"/>
    <w:rsid w:val="001E6528"/>
    <w:rsid w:val="00214EB4"/>
    <w:rsid w:val="00256EF7"/>
    <w:rsid w:val="0028604A"/>
    <w:rsid w:val="002873D1"/>
    <w:rsid w:val="00287883"/>
    <w:rsid w:val="002B3940"/>
    <w:rsid w:val="002B3A7F"/>
    <w:rsid w:val="002C206A"/>
    <w:rsid w:val="002C5596"/>
    <w:rsid w:val="002D7E5F"/>
    <w:rsid w:val="002E4DAD"/>
    <w:rsid w:val="00367B37"/>
    <w:rsid w:val="003A1618"/>
    <w:rsid w:val="003B1FF9"/>
    <w:rsid w:val="003C62D7"/>
    <w:rsid w:val="003F687A"/>
    <w:rsid w:val="004013BF"/>
    <w:rsid w:val="00436D7F"/>
    <w:rsid w:val="0045078C"/>
    <w:rsid w:val="00455ED0"/>
    <w:rsid w:val="004B20EB"/>
    <w:rsid w:val="004C29F5"/>
    <w:rsid w:val="00502816"/>
    <w:rsid w:val="00506722"/>
    <w:rsid w:val="00516AB2"/>
    <w:rsid w:val="00523B76"/>
    <w:rsid w:val="005460CE"/>
    <w:rsid w:val="005474C6"/>
    <w:rsid w:val="005500A4"/>
    <w:rsid w:val="00587EB1"/>
    <w:rsid w:val="00591E34"/>
    <w:rsid w:val="00604955"/>
    <w:rsid w:val="0061062C"/>
    <w:rsid w:val="00612741"/>
    <w:rsid w:val="00635DE6"/>
    <w:rsid w:val="0064417B"/>
    <w:rsid w:val="006549C6"/>
    <w:rsid w:val="006631AD"/>
    <w:rsid w:val="00672EB1"/>
    <w:rsid w:val="00675E8D"/>
    <w:rsid w:val="006A0CA9"/>
    <w:rsid w:val="006A5E77"/>
    <w:rsid w:val="00765C51"/>
    <w:rsid w:val="00782CA0"/>
    <w:rsid w:val="00784118"/>
    <w:rsid w:val="007A2371"/>
    <w:rsid w:val="007A50CA"/>
    <w:rsid w:val="007C2052"/>
    <w:rsid w:val="00801C52"/>
    <w:rsid w:val="008266BE"/>
    <w:rsid w:val="00845BE6"/>
    <w:rsid w:val="00845FBE"/>
    <w:rsid w:val="00872860"/>
    <w:rsid w:val="00876515"/>
    <w:rsid w:val="00881D41"/>
    <w:rsid w:val="00893D5F"/>
    <w:rsid w:val="008A37AA"/>
    <w:rsid w:val="008A45AA"/>
    <w:rsid w:val="008B50E8"/>
    <w:rsid w:val="008D28CA"/>
    <w:rsid w:val="008F4681"/>
    <w:rsid w:val="00901019"/>
    <w:rsid w:val="00903614"/>
    <w:rsid w:val="009164BB"/>
    <w:rsid w:val="00933D33"/>
    <w:rsid w:val="009530C8"/>
    <w:rsid w:val="00987D82"/>
    <w:rsid w:val="00993E2D"/>
    <w:rsid w:val="009C2B45"/>
    <w:rsid w:val="009F6E54"/>
    <w:rsid w:val="009F7AB2"/>
    <w:rsid w:val="00A01F28"/>
    <w:rsid w:val="00A20471"/>
    <w:rsid w:val="00A44F0D"/>
    <w:rsid w:val="00A5627F"/>
    <w:rsid w:val="00A64A6D"/>
    <w:rsid w:val="00A72376"/>
    <w:rsid w:val="00A728B4"/>
    <w:rsid w:val="00A862A8"/>
    <w:rsid w:val="00AB4223"/>
    <w:rsid w:val="00AB6E89"/>
    <w:rsid w:val="00AC6417"/>
    <w:rsid w:val="00AD1682"/>
    <w:rsid w:val="00AE5F6A"/>
    <w:rsid w:val="00B04DF8"/>
    <w:rsid w:val="00B11DA9"/>
    <w:rsid w:val="00B12304"/>
    <w:rsid w:val="00B175DA"/>
    <w:rsid w:val="00B233AC"/>
    <w:rsid w:val="00B339F1"/>
    <w:rsid w:val="00B92205"/>
    <w:rsid w:val="00BA6D21"/>
    <w:rsid w:val="00BB63F5"/>
    <w:rsid w:val="00BC613B"/>
    <w:rsid w:val="00BF4B64"/>
    <w:rsid w:val="00C14A9A"/>
    <w:rsid w:val="00C80C26"/>
    <w:rsid w:val="00C93B1B"/>
    <w:rsid w:val="00CA0051"/>
    <w:rsid w:val="00CA5C95"/>
    <w:rsid w:val="00CC2A8C"/>
    <w:rsid w:val="00CC38BC"/>
    <w:rsid w:val="00CD1664"/>
    <w:rsid w:val="00CD5F8A"/>
    <w:rsid w:val="00CE52AA"/>
    <w:rsid w:val="00D00B39"/>
    <w:rsid w:val="00D034AB"/>
    <w:rsid w:val="00D05B80"/>
    <w:rsid w:val="00D454FE"/>
    <w:rsid w:val="00D53E06"/>
    <w:rsid w:val="00DA3953"/>
    <w:rsid w:val="00DA69B2"/>
    <w:rsid w:val="00DB3DDE"/>
    <w:rsid w:val="00E036D0"/>
    <w:rsid w:val="00E120A8"/>
    <w:rsid w:val="00E21B3B"/>
    <w:rsid w:val="00E3580D"/>
    <w:rsid w:val="00E444C3"/>
    <w:rsid w:val="00E667C5"/>
    <w:rsid w:val="00E67E9A"/>
    <w:rsid w:val="00E94800"/>
    <w:rsid w:val="00EA3005"/>
    <w:rsid w:val="00EA3A58"/>
    <w:rsid w:val="00EA494A"/>
    <w:rsid w:val="00EB4F07"/>
    <w:rsid w:val="00ED347F"/>
    <w:rsid w:val="00ED53B6"/>
    <w:rsid w:val="00F03A4C"/>
    <w:rsid w:val="00F110B1"/>
    <w:rsid w:val="00F31C2E"/>
    <w:rsid w:val="00F51867"/>
    <w:rsid w:val="00F52468"/>
    <w:rsid w:val="00F869AE"/>
    <w:rsid w:val="00FB4D56"/>
    <w:rsid w:val="00FB68D0"/>
    <w:rsid w:val="00FF1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webSettings.xml><?xml version="1.0" encoding="utf-8"?>
<w:webSettings xmlns:r="http://schemas.openxmlformats.org/officeDocument/2006/relationships" xmlns:w="http://schemas.openxmlformats.org/wordprocessingml/2006/main">
  <w:divs>
    <w:div w:id="63644913">
      <w:bodyDiv w:val="1"/>
      <w:marLeft w:val="0"/>
      <w:marRight w:val="0"/>
      <w:marTop w:val="0"/>
      <w:marBottom w:val="0"/>
      <w:divBdr>
        <w:top w:val="none" w:sz="0" w:space="0" w:color="auto"/>
        <w:left w:val="none" w:sz="0" w:space="0" w:color="auto"/>
        <w:bottom w:val="none" w:sz="0" w:space="0" w:color="auto"/>
        <w:right w:val="none" w:sz="0" w:space="0" w:color="auto"/>
      </w:divBdr>
    </w:div>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485635441">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1262103381">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E66B-9EF1-41BC-AB6B-26E23AAD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10773</Characters>
  <Application>Microsoft Office Word</Application>
  <DocSecurity>4</DocSecurity>
  <Lines>89</Lines>
  <Paragraphs>25</Paragraphs>
  <ScaleCrop>false</ScaleCrop>
  <Company>Microsoft</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dcterms:created xsi:type="dcterms:W3CDTF">2018-03-08T16:33:00Z</dcterms:created>
  <dcterms:modified xsi:type="dcterms:W3CDTF">2018-03-08T16:33:00Z</dcterms:modified>
</cp:coreProperties>
</file>