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13A" w:rsidRDefault="00902FCC" w:rsidP="00B63558">
      <w:pPr>
        <w:spacing w:line="360" w:lineRule="auto"/>
        <w:jc w:val="center"/>
        <w:rPr>
          <w:b/>
          <w:bCs/>
          <w:color w:val="000000"/>
          <w:sz w:val="30"/>
          <w:szCs w:val="30"/>
        </w:rPr>
      </w:pPr>
      <w:bookmarkStart w:id="0" w:name="_Toc249760023"/>
      <w:r>
        <w:rPr>
          <w:rFonts w:hint="eastAsia"/>
          <w:b/>
          <w:bCs/>
          <w:color w:val="000000"/>
          <w:sz w:val="30"/>
          <w:szCs w:val="30"/>
        </w:rPr>
        <w:t>申万菱信基金管理有限公司</w:t>
      </w:r>
    </w:p>
    <w:p w:rsidR="00C076CC" w:rsidRPr="00680CA3" w:rsidRDefault="00680CA3" w:rsidP="00B63558">
      <w:pPr>
        <w:spacing w:line="360" w:lineRule="auto"/>
        <w:jc w:val="center"/>
        <w:rPr>
          <w:b/>
          <w:bCs/>
          <w:sz w:val="30"/>
          <w:szCs w:val="30"/>
        </w:rPr>
      </w:pPr>
      <w:r w:rsidRPr="00680CA3">
        <w:rPr>
          <w:rFonts w:hint="eastAsia"/>
          <w:b/>
          <w:bCs/>
          <w:sz w:val="30"/>
          <w:szCs w:val="30"/>
        </w:rPr>
        <w:t>申万菱信智选一年期定期开放混合型证券投资基金</w:t>
      </w:r>
    </w:p>
    <w:p w:rsidR="001A7B39" w:rsidRPr="00763F03" w:rsidRDefault="00871AE2" w:rsidP="00C076CC">
      <w:pPr>
        <w:spacing w:line="360" w:lineRule="auto"/>
        <w:jc w:val="center"/>
        <w:rPr>
          <w:b/>
          <w:bCs/>
          <w:color w:val="000000"/>
          <w:sz w:val="30"/>
          <w:szCs w:val="30"/>
        </w:rPr>
      </w:pPr>
      <w:r>
        <w:rPr>
          <w:rFonts w:hint="eastAsia"/>
          <w:b/>
          <w:bCs/>
          <w:sz w:val="30"/>
          <w:szCs w:val="30"/>
        </w:rPr>
        <w:t>第一</w:t>
      </w:r>
      <w:r w:rsidR="000408AA">
        <w:rPr>
          <w:rFonts w:hint="eastAsia"/>
          <w:b/>
          <w:bCs/>
          <w:sz w:val="30"/>
          <w:szCs w:val="30"/>
        </w:rPr>
        <w:t>个</w:t>
      </w:r>
      <w:r w:rsidR="00B07E6C" w:rsidRPr="00D8672E">
        <w:rPr>
          <w:rFonts w:hint="eastAsia"/>
          <w:b/>
          <w:bCs/>
          <w:sz w:val="30"/>
          <w:szCs w:val="30"/>
        </w:rPr>
        <w:t>开放期</w:t>
      </w:r>
      <w:r w:rsidR="00902FCC">
        <w:rPr>
          <w:rFonts w:hint="eastAsia"/>
          <w:b/>
          <w:bCs/>
          <w:color w:val="000000"/>
          <w:sz w:val="30"/>
          <w:szCs w:val="30"/>
        </w:rPr>
        <w:t>开放申购、赎回业务公告</w:t>
      </w:r>
    </w:p>
    <w:p w:rsidR="001A7B39" w:rsidRPr="00763F03" w:rsidRDefault="00CE7937" w:rsidP="00B63558">
      <w:pPr>
        <w:spacing w:line="360" w:lineRule="auto"/>
        <w:jc w:val="center"/>
        <w:rPr>
          <w:rFonts w:ascii="宋体" w:hAnsi="宋体"/>
          <w:b/>
          <w:sz w:val="24"/>
        </w:rPr>
      </w:pPr>
      <w:r w:rsidRPr="00763F03">
        <w:rPr>
          <w:rFonts w:ascii="宋体" w:hAnsi="宋体" w:hint="eastAsia"/>
          <w:b/>
          <w:sz w:val="24"/>
        </w:rPr>
        <w:t>公告</w:t>
      </w:r>
      <w:r w:rsidRPr="00763F03">
        <w:rPr>
          <w:rFonts w:ascii="宋体" w:hAnsi="宋体"/>
          <w:b/>
          <w:sz w:val="24"/>
        </w:rPr>
        <w:t>送出日期：</w:t>
      </w:r>
      <w:r w:rsidR="00902FCC">
        <w:rPr>
          <w:rFonts w:ascii="宋体" w:hAnsi="宋体"/>
          <w:b/>
          <w:sz w:val="24"/>
        </w:rPr>
        <w:t>201</w:t>
      </w:r>
      <w:r w:rsidR="00680CA3">
        <w:rPr>
          <w:rFonts w:ascii="宋体" w:hAnsi="宋体" w:hint="eastAsia"/>
          <w:b/>
          <w:sz w:val="24"/>
        </w:rPr>
        <w:t>8</w:t>
      </w:r>
      <w:r w:rsidR="00902FCC" w:rsidRPr="00C06C84">
        <w:rPr>
          <w:rFonts w:ascii="宋体" w:hAnsi="宋体"/>
          <w:b/>
          <w:sz w:val="24"/>
        </w:rPr>
        <w:t>年</w:t>
      </w:r>
      <w:r w:rsidR="00680CA3">
        <w:rPr>
          <w:rFonts w:ascii="宋体" w:hAnsi="宋体" w:hint="eastAsia"/>
          <w:b/>
          <w:sz w:val="24"/>
        </w:rPr>
        <w:t>3</w:t>
      </w:r>
      <w:r w:rsidR="009E248E" w:rsidRPr="00C06C84">
        <w:rPr>
          <w:rFonts w:ascii="宋体" w:hAnsi="宋体"/>
          <w:b/>
          <w:sz w:val="24"/>
        </w:rPr>
        <w:t>月</w:t>
      </w:r>
      <w:r w:rsidR="00680CA3">
        <w:rPr>
          <w:rFonts w:ascii="宋体" w:hAnsi="宋体" w:hint="eastAsia"/>
          <w:b/>
          <w:sz w:val="24"/>
        </w:rPr>
        <w:t>2</w:t>
      </w:r>
      <w:r w:rsidR="009E248E" w:rsidRPr="00C06C84">
        <w:rPr>
          <w:rFonts w:ascii="宋体" w:hAnsi="宋体"/>
          <w:b/>
          <w:sz w:val="24"/>
        </w:rPr>
        <w:t>日</w:t>
      </w:r>
    </w:p>
    <w:p w:rsidR="001A7B39" w:rsidRPr="00763F03" w:rsidRDefault="001A7B39" w:rsidP="00B63558">
      <w:pPr>
        <w:spacing w:line="360" w:lineRule="auto"/>
        <w:jc w:val="center"/>
        <w:rPr>
          <w:color w:val="000000"/>
          <w:sz w:val="24"/>
        </w:rPr>
      </w:pPr>
    </w:p>
    <w:bookmarkEnd w:id="0"/>
    <w:p w:rsidR="00195240" w:rsidRPr="00763F03" w:rsidRDefault="00F33D5C" w:rsidP="00B63558">
      <w:pPr>
        <w:pStyle w:val="30"/>
        <w:keepNext w:val="0"/>
        <w:keepLines w:val="0"/>
        <w:spacing w:before="0" w:after="0" w:line="360" w:lineRule="auto"/>
        <w:rPr>
          <w:rFonts w:ascii="宋体" w:hAnsi="宋体"/>
          <w:bCs w:val="0"/>
          <w:sz w:val="24"/>
          <w:szCs w:val="24"/>
        </w:rPr>
      </w:pPr>
      <w:r w:rsidRPr="00763F03">
        <w:rPr>
          <w:rFonts w:ascii="宋体" w:hAnsi="宋体" w:hint="eastAsia"/>
          <w:bCs w:val="0"/>
          <w:sz w:val="24"/>
          <w:szCs w:val="24"/>
        </w:rPr>
        <w:t>1.</w:t>
      </w:r>
      <w:r w:rsidR="00CE7937" w:rsidRPr="00763F03">
        <w:rPr>
          <w:rFonts w:ascii="宋体" w:hAnsi="宋体" w:hint="eastAsia"/>
          <w:bCs w:val="0"/>
          <w:sz w:val="24"/>
          <w:szCs w:val="24"/>
        </w:rPr>
        <w:t>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2"/>
        <w:gridCol w:w="6314"/>
      </w:tblGrid>
      <w:tr w:rsidR="00902FCC" w:rsidRPr="00763F03">
        <w:trPr>
          <w:jc w:val="center"/>
        </w:trPr>
        <w:tc>
          <w:tcPr>
            <w:tcW w:w="3042" w:type="dxa"/>
          </w:tcPr>
          <w:p w:rsidR="00902FCC" w:rsidRPr="00763F03" w:rsidRDefault="00902FCC" w:rsidP="00B63558">
            <w:pPr>
              <w:spacing w:line="360" w:lineRule="auto"/>
              <w:rPr>
                <w:sz w:val="24"/>
              </w:rPr>
            </w:pPr>
            <w:r>
              <w:rPr>
                <w:rFonts w:hint="eastAsia"/>
                <w:sz w:val="24"/>
              </w:rPr>
              <w:t>基金名称</w:t>
            </w:r>
          </w:p>
        </w:tc>
        <w:tc>
          <w:tcPr>
            <w:tcW w:w="6314" w:type="dxa"/>
          </w:tcPr>
          <w:p w:rsidR="00902FCC" w:rsidRPr="00763F03" w:rsidRDefault="00680CA3" w:rsidP="00D81AA0">
            <w:pPr>
              <w:spacing w:line="360" w:lineRule="auto"/>
              <w:rPr>
                <w:sz w:val="24"/>
              </w:rPr>
            </w:pPr>
            <w:r w:rsidRPr="00680CA3">
              <w:rPr>
                <w:rFonts w:hint="eastAsia"/>
                <w:sz w:val="24"/>
              </w:rPr>
              <w:t>申万菱信智选一年期定期开放混合型证券投资基金</w:t>
            </w:r>
          </w:p>
        </w:tc>
      </w:tr>
      <w:tr w:rsidR="00902FCC" w:rsidRPr="00763F03">
        <w:trPr>
          <w:jc w:val="center"/>
        </w:trPr>
        <w:tc>
          <w:tcPr>
            <w:tcW w:w="3042" w:type="dxa"/>
          </w:tcPr>
          <w:p w:rsidR="00902FCC" w:rsidRDefault="00902FCC" w:rsidP="00B63558">
            <w:pPr>
              <w:spacing w:line="360" w:lineRule="auto"/>
              <w:rPr>
                <w:sz w:val="24"/>
              </w:rPr>
            </w:pPr>
            <w:r>
              <w:rPr>
                <w:rFonts w:hint="eastAsia"/>
                <w:sz w:val="24"/>
              </w:rPr>
              <w:t>基金简称</w:t>
            </w:r>
          </w:p>
        </w:tc>
        <w:tc>
          <w:tcPr>
            <w:tcW w:w="6314" w:type="dxa"/>
          </w:tcPr>
          <w:p w:rsidR="00902FCC" w:rsidRDefault="00680CA3" w:rsidP="00D81AA0">
            <w:pPr>
              <w:spacing w:line="360" w:lineRule="auto"/>
              <w:rPr>
                <w:sz w:val="24"/>
              </w:rPr>
            </w:pPr>
            <w:r w:rsidRPr="00680CA3">
              <w:rPr>
                <w:rFonts w:hint="eastAsia"/>
                <w:sz w:val="24"/>
              </w:rPr>
              <w:t>申万菱信智选一年期定期开放混合</w:t>
            </w:r>
          </w:p>
        </w:tc>
      </w:tr>
      <w:tr w:rsidR="00902FCC" w:rsidRPr="00763F03">
        <w:trPr>
          <w:jc w:val="center"/>
        </w:trPr>
        <w:tc>
          <w:tcPr>
            <w:tcW w:w="3042" w:type="dxa"/>
          </w:tcPr>
          <w:p w:rsidR="00902FCC" w:rsidRDefault="00902FCC" w:rsidP="00B63558">
            <w:pPr>
              <w:spacing w:line="360" w:lineRule="auto"/>
              <w:rPr>
                <w:sz w:val="24"/>
              </w:rPr>
            </w:pPr>
            <w:r>
              <w:rPr>
                <w:rFonts w:hint="eastAsia"/>
                <w:sz w:val="24"/>
              </w:rPr>
              <w:t>基金主代码</w:t>
            </w:r>
          </w:p>
        </w:tc>
        <w:tc>
          <w:tcPr>
            <w:tcW w:w="6314" w:type="dxa"/>
          </w:tcPr>
          <w:p w:rsidR="00902FCC" w:rsidRDefault="00680CA3" w:rsidP="00B63558">
            <w:pPr>
              <w:spacing w:line="360" w:lineRule="auto"/>
              <w:rPr>
                <w:sz w:val="24"/>
              </w:rPr>
            </w:pPr>
            <w:r w:rsidRPr="00580D94">
              <w:rPr>
                <w:sz w:val="24"/>
              </w:rPr>
              <w:t>004412</w:t>
            </w:r>
          </w:p>
        </w:tc>
      </w:tr>
      <w:tr w:rsidR="005322A5" w:rsidRPr="00763F03">
        <w:trPr>
          <w:jc w:val="center"/>
        </w:trPr>
        <w:tc>
          <w:tcPr>
            <w:tcW w:w="3042" w:type="dxa"/>
          </w:tcPr>
          <w:p w:rsidR="005322A5" w:rsidRDefault="005322A5" w:rsidP="00B63558">
            <w:pPr>
              <w:spacing w:line="360" w:lineRule="auto"/>
              <w:rPr>
                <w:sz w:val="24"/>
              </w:rPr>
            </w:pPr>
            <w:r>
              <w:rPr>
                <w:rFonts w:hint="eastAsia"/>
                <w:sz w:val="24"/>
              </w:rPr>
              <w:t>基金运作方式</w:t>
            </w:r>
          </w:p>
        </w:tc>
        <w:tc>
          <w:tcPr>
            <w:tcW w:w="6314" w:type="dxa"/>
          </w:tcPr>
          <w:p w:rsidR="005322A5" w:rsidRDefault="0026023D" w:rsidP="004B2AB5">
            <w:pPr>
              <w:spacing w:line="360" w:lineRule="auto"/>
              <w:rPr>
                <w:sz w:val="24"/>
              </w:rPr>
            </w:pPr>
            <w:r>
              <w:rPr>
                <w:rFonts w:hint="eastAsia"/>
                <w:bCs/>
                <w:sz w:val="24"/>
              </w:rPr>
              <w:t>契约型、定期开放式</w:t>
            </w:r>
          </w:p>
        </w:tc>
      </w:tr>
      <w:tr w:rsidR="005322A5" w:rsidRPr="00763F03">
        <w:trPr>
          <w:jc w:val="center"/>
        </w:trPr>
        <w:tc>
          <w:tcPr>
            <w:tcW w:w="3042" w:type="dxa"/>
          </w:tcPr>
          <w:p w:rsidR="005322A5" w:rsidRDefault="005322A5" w:rsidP="00B63558">
            <w:pPr>
              <w:spacing w:line="360" w:lineRule="auto"/>
              <w:rPr>
                <w:sz w:val="24"/>
              </w:rPr>
            </w:pPr>
            <w:r>
              <w:rPr>
                <w:rFonts w:hint="eastAsia"/>
                <w:sz w:val="24"/>
              </w:rPr>
              <w:t>基金合同生效日</w:t>
            </w:r>
          </w:p>
        </w:tc>
        <w:tc>
          <w:tcPr>
            <w:tcW w:w="6314" w:type="dxa"/>
          </w:tcPr>
          <w:p w:rsidR="005322A5" w:rsidRDefault="00871AE2" w:rsidP="00D81AA0">
            <w:pPr>
              <w:spacing w:line="360" w:lineRule="auto"/>
              <w:rPr>
                <w:sz w:val="24"/>
              </w:rPr>
            </w:pPr>
            <w:r>
              <w:rPr>
                <w:rFonts w:hint="eastAsia"/>
                <w:sz w:val="24"/>
              </w:rPr>
              <w:t>2017</w:t>
            </w:r>
            <w:r w:rsidR="005322A5">
              <w:rPr>
                <w:rFonts w:hint="eastAsia"/>
                <w:sz w:val="24"/>
              </w:rPr>
              <w:t>年</w:t>
            </w:r>
            <w:r w:rsidR="005322A5">
              <w:rPr>
                <w:rFonts w:hint="eastAsia"/>
                <w:sz w:val="24"/>
              </w:rPr>
              <w:t>3</w:t>
            </w:r>
            <w:r w:rsidR="005322A5">
              <w:rPr>
                <w:rFonts w:hint="eastAsia"/>
                <w:sz w:val="24"/>
              </w:rPr>
              <w:t>月</w:t>
            </w:r>
            <w:r>
              <w:rPr>
                <w:rFonts w:hint="eastAsia"/>
                <w:sz w:val="24"/>
              </w:rPr>
              <w:t>3</w:t>
            </w:r>
            <w:r w:rsidR="005322A5">
              <w:rPr>
                <w:rFonts w:hint="eastAsia"/>
                <w:sz w:val="24"/>
              </w:rPr>
              <w:t>日</w:t>
            </w:r>
          </w:p>
        </w:tc>
      </w:tr>
      <w:tr w:rsidR="005322A5" w:rsidRPr="00763F03">
        <w:trPr>
          <w:jc w:val="center"/>
        </w:trPr>
        <w:tc>
          <w:tcPr>
            <w:tcW w:w="3042" w:type="dxa"/>
          </w:tcPr>
          <w:p w:rsidR="005322A5" w:rsidRDefault="005322A5" w:rsidP="00B63558">
            <w:pPr>
              <w:spacing w:line="360" w:lineRule="auto"/>
              <w:rPr>
                <w:sz w:val="24"/>
              </w:rPr>
            </w:pPr>
            <w:r>
              <w:rPr>
                <w:rFonts w:hint="eastAsia"/>
                <w:sz w:val="24"/>
              </w:rPr>
              <w:t>基金管理人名称</w:t>
            </w:r>
          </w:p>
        </w:tc>
        <w:tc>
          <w:tcPr>
            <w:tcW w:w="6314" w:type="dxa"/>
          </w:tcPr>
          <w:p w:rsidR="005322A5" w:rsidRDefault="005322A5" w:rsidP="00B63558">
            <w:pPr>
              <w:spacing w:line="360" w:lineRule="auto"/>
              <w:rPr>
                <w:sz w:val="24"/>
              </w:rPr>
            </w:pPr>
            <w:r>
              <w:rPr>
                <w:rFonts w:hint="eastAsia"/>
                <w:sz w:val="24"/>
              </w:rPr>
              <w:t>申万菱信基金管理有限公司</w:t>
            </w:r>
          </w:p>
        </w:tc>
      </w:tr>
      <w:tr w:rsidR="005322A5" w:rsidRPr="00763F03">
        <w:trPr>
          <w:jc w:val="center"/>
        </w:trPr>
        <w:tc>
          <w:tcPr>
            <w:tcW w:w="3042" w:type="dxa"/>
          </w:tcPr>
          <w:p w:rsidR="005322A5" w:rsidRDefault="005322A5" w:rsidP="00B63558">
            <w:pPr>
              <w:spacing w:line="360" w:lineRule="auto"/>
              <w:rPr>
                <w:sz w:val="24"/>
              </w:rPr>
            </w:pPr>
            <w:r>
              <w:rPr>
                <w:rFonts w:hint="eastAsia"/>
                <w:sz w:val="24"/>
              </w:rPr>
              <w:t>基金托管人名称</w:t>
            </w:r>
          </w:p>
        </w:tc>
        <w:tc>
          <w:tcPr>
            <w:tcW w:w="6314" w:type="dxa"/>
          </w:tcPr>
          <w:p w:rsidR="005322A5" w:rsidRDefault="00680CA3" w:rsidP="00B63558">
            <w:pPr>
              <w:spacing w:line="360" w:lineRule="auto"/>
              <w:rPr>
                <w:sz w:val="24"/>
              </w:rPr>
            </w:pPr>
            <w:r w:rsidRPr="00680CA3">
              <w:rPr>
                <w:rFonts w:hint="eastAsia"/>
                <w:sz w:val="24"/>
              </w:rPr>
              <w:t>宁波银行</w:t>
            </w:r>
            <w:r w:rsidRPr="00680CA3">
              <w:rPr>
                <w:sz w:val="24"/>
              </w:rPr>
              <w:t>股份有限公司</w:t>
            </w:r>
          </w:p>
        </w:tc>
      </w:tr>
      <w:tr w:rsidR="005322A5" w:rsidRPr="00763F03">
        <w:trPr>
          <w:jc w:val="center"/>
        </w:trPr>
        <w:tc>
          <w:tcPr>
            <w:tcW w:w="3042" w:type="dxa"/>
          </w:tcPr>
          <w:p w:rsidR="005322A5" w:rsidRDefault="005322A5" w:rsidP="00B63558">
            <w:pPr>
              <w:spacing w:line="360" w:lineRule="auto"/>
              <w:rPr>
                <w:sz w:val="24"/>
              </w:rPr>
            </w:pPr>
            <w:r>
              <w:rPr>
                <w:rFonts w:hint="eastAsia"/>
                <w:sz w:val="24"/>
              </w:rPr>
              <w:t>基金注册登记机构名称</w:t>
            </w:r>
          </w:p>
        </w:tc>
        <w:tc>
          <w:tcPr>
            <w:tcW w:w="6314" w:type="dxa"/>
          </w:tcPr>
          <w:p w:rsidR="005322A5" w:rsidRDefault="00871AE2" w:rsidP="00B63558">
            <w:pPr>
              <w:spacing w:line="360" w:lineRule="auto"/>
              <w:rPr>
                <w:sz w:val="24"/>
              </w:rPr>
            </w:pPr>
            <w:r>
              <w:rPr>
                <w:rFonts w:hint="eastAsia"/>
                <w:sz w:val="24"/>
              </w:rPr>
              <w:t>申万菱信基金管理有限公司</w:t>
            </w:r>
          </w:p>
        </w:tc>
      </w:tr>
      <w:tr w:rsidR="005322A5" w:rsidRPr="00391990">
        <w:trPr>
          <w:jc w:val="center"/>
        </w:trPr>
        <w:tc>
          <w:tcPr>
            <w:tcW w:w="3042" w:type="dxa"/>
          </w:tcPr>
          <w:p w:rsidR="005322A5" w:rsidRDefault="005322A5" w:rsidP="00B63558">
            <w:pPr>
              <w:spacing w:line="360" w:lineRule="auto"/>
              <w:rPr>
                <w:sz w:val="24"/>
              </w:rPr>
            </w:pPr>
            <w:r>
              <w:rPr>
                <w:rFonts w:hint="eastAsia"/>
                <w:sz w:val="24"/>
              </w:rPr>
              <w:t>公告依据</w:t>
            </w:r>
          </w:p>
        </w:tc>
        <w:tc>
          <w:tcPr>
            <w:tcW w:w="6314" w:type="dxa"/>
          </w:tcPr>
          <w:p w:rsidR="005322A5" w:rsidRDefault="005322A5" w:rsidP="00D81AA0">
            <w:pPr>
              <w:spacing w:line="360" w:lineRule="auto"/>
              <w:rPr>
                <w:sz w:val="24"/>
              </w:rPr>
            </w:pPr>
            <w:r>
              <w:rPr>
                <w:rFonts w:hint="eastAsia"/>
                <w:sz w:val="24"/>
              </w:rPr>
              <w:t>《中华人民共和国证券投资基金法》、《</w:t>
            </w:r>
            <w:r w:rsidR="00391990">
              <w:rPr>
                <w:rFonts w:hint="eastAsia"/>
                <w:color w:val="000000"/>
                <w:sz w:val="24"/>
              </w:rPr>
              <w:t>公开募集</w:t>
            </w:r>
            <w:r w:rsidR="00391990" w:rsidRPr="008773D6">
              <w:rPr>
                <w:rFonts w:hint="eastAsia"/>
                <w:color w:val="000000"/>
                <w:sz w:val="24"/>
              </w:rPr>
              <w:t>证券投资基金运作管理办法</w:t>
            </w:r>
            <w:r>
              <w:rPr>
                <w:rFonts w:hint="eastAsia"/>
                <w:sz w:val="24"/>
              </w:rPr>
              <w:t>》、《</w:t>
            </w:r>
            <w:r w:rsidR="00680CA3" w:rsidRPr="00680CA3">
              <w:rPr>
                <w:rFonts w:hint="eastAsia"/>
                <w:sz w:val="24"/>
              </w:rPr>
              <w:t>申万菱信智选一年期定期开放混合型证券投资基金</w:t>
            </w:r>
            <w:r>
              <w:rPr>
                <w:rFonts w:hint="eastAsia"/>
                <w:sz w:val="24"/>
              </w:rPr>
              <w:t>基金合同》、《</w:t>
            </w:r>
            <w:r w:rsidR="00680CA3" w:rsidRPr="00680CA3">
              <w:rPr>
                <w:rFonts w:hint="eastAsia"/>
                <w:sz w:val="24"/>
              </w:rPr>
              <w:t>申万菱信智选一年期定期开放混合型证券投资基金</w:t>
            </w:r>
            <w:r>
              <w:rPr>
                <w:rFonts w:hint="eastAsia"/>
                <w:sz w:val="24"/>
              </w:rPr>
              <w:t>招募说明书》等的有关规定</w:t>
            </w:r>
          </w:p>
        </w:tc>
      </w:tr>
      <w:tr w:rsidR="005322A5" w:rsidRPr="00763F03">
        <w:trPr>
          <w:jc w:val="center"/>
        </w:trPr>
        <w:tc>
          <w:tcPr>
            <w:tcW w:w="3042" w:type="dxa"/>
          </w:tcPr>
          <w:p w:rsidR="005322A5" w:rsidRDefault="005322A5" w:rsidP="00B63558">
            <w:pPr>
              <w:spacing w:line="360" w:lineRule="auto"/>
              <w:rPr>
                <w:sz w:val="24"/>
              </w:rPr>
            </w:pPr>
            <w:r>
              <w:rPr>
                <w:rFonts w:hint="eastAsia"/>
                <w:sz w:val="24"/>
              </w:rPr>
              <w:t>申购起始日</w:t>
            </w:r>
          </w:p>
        </w:tc>
        <w:tc>
          <w:tcPr>
            <w:tcW w:w="6314" w:type="dxa"/>
          </w:tcPr>
          <w:p w:rsidR="005322A5" w:rsidRDefault="00680CA3" w:rsidP="000408AA">
            <w:pPr>
              <w:spacing w:line="360" w:lineRule="auto"/>
              <w:rPr>
                <w:sz w:val="24"/>
              </w:rPr>
            </w:pPr>
            <w:r>
              <w:rPr>
                <w:rFonts w:hint="eastAsia"/>
                <w:sz w:val="24"/>
              </w:rPr>
              <w:t>2018</w:t>
            </w:r>
            <w:r w:rsidR="005322A5">
              <w:rPr>
                <w:rFonts w:hint="eastAsia"/>
                <w:sz w:val="24"/>
              </w:rPr>
              <w:t>年</w:t>
            </w:r>
            <w:r>
              <w:rPr>
                <w:rFonts w:hint="eastAsia"/>
                <w:sz w:val="24"/>
              </w:rPr>
              <w:t>3</w:t>
            </w:r>
            <w:r w:rsidR="005322A5">
              <w:rPr>
                <w:rFonts w:hint="eastAsia"/>
                <w:sz w:val="24"/>
              </w:rPr>
              <w:t>月</w:t>
            </w:r>
            <w:r>
              <w:rPr>
                <w:rFonts w:hint="eastAsia"/>
                <w:sz w:val="24"/>
              </w:rPr>
              <w:t>5</w:t>
            </w:r>
            <w:r w:rsidR="005322A5">
              <w:rPr>
                <w:rFonts w:hint="eastAsia"/>
                <w:sz w:val="24"/>
              </w:rPr>
              <w:t>日</w:t>
            </w:r>
          </w:p>
        </w:tc>
      </w:tr>
      <w:tr w:rsidR="005322A5" w:rsidRPr="00763F03">
        <w:trPr>
          <w:jc w:val="center"/>
        </w:trPr>
        <w:tc>
          <w:tcPr>
            <w:tcW w:w="3042" w:type="dxa"/>
          </w:tcPr>
          <w:p w:rsidR="005322A5" w:rsidRDefault="005322A5" w:rsidP="00B63558">
            <w:pPr>
              <w:spacing w:line="360" w:lineRule="auto"/>
              <w:rPr>
                <w:sz w:val="24"/>
              </w:rPr>
            </w:pPr>
            <w:r>
              <w:rPr>
                <w:rFonts w:hint="eastAsia"/>
                <w:sz w:val="24"/>
              </w:rPr>
              <w:t>赎回起始日</w:t>
            </w:r>
          </w:p>
        </w:tc>
        <w:tc>
          <w:tcPr>
            <w:tcW w:w="6314" w:type="dxa"/>
          </w:tcPr>
          <w:p w:rsidR="005322A5" w:rsidRDefault="00680CA3" w:rsidP="00B63558">
            <w:pPr>
              <w:spacing w:line="360" w:lineRule="auto"/>
              <w:rPr>
                <w:sz w:val="24"/>
              </w:rPr>
            </w:pPr>
            <w:r>
              <w:rPr>
                <w:rFonts w:hint="eastAsia"/>
                <w:sz w:val="24"/>
              </w:rPr>
              <w:t>2018</w:t>
            </w:r>
            <w:r>
              <w:rPr>
                <w:rFonts w:hint="eastAsia"/>
                <w:sz w:val="24"/>
              </w:rPr>
              <w:t>年</w:t>
            </w:r>
            <w:r>
              <w:rPr>
                <w:rFonts w:hint="eastAsia"/>
                <w:sz w:val="24"/>
              </w:rPr>
              <w:t>3</w:t>
            </w:r>
            <w:r>
              <w:rPr>
                <w:rFonts w:hint="eastAsia"/>
                <w:sz w:val="24"/>
              </w:rPr>
              <w:t>月</w:t>
            </w:r>
            <w:r>
              <w:rPr>
                <w:rFonts w:hint="eastAsia"/>
                <w:sz w:val="24"/>
              </w:rPr>
              <w:t>5</w:t>
            </w:r>
            <w:r>
              <w:rPr>
                <w:rFonts w:hint="eastAsia"/>
                <w:sz w:val="24"/>
              </w:rPr>
              <w:t>日</w:t>
            </w:r>
          </w:p>
        </w:tc>
      </w:tr>
    </w:tbl>
    <w:p w:rsidR="002114E6" w:rsidRDefault="00902FCC" w:rsidP="009E1C90">
      <w:pPr>
        <w:spacing w:line="360" w:lineRule="auto"/>
        <w:ind w:firstLineChars="200" w:firstLine="480"/>
        <w:rPr>
          <w:color w:val="000000"/>
          <w:sz w:val="24"/>
        </w:rPr>
      </w:pPr>
      <w:r>
        <w:rPr>
          <w:rFonts w:hint="eastAsia"/>
          <w:color w:val="000000"/>
          <w:sz w:val="24"/>
        </w:rPr>
        <w:t>注：</w:t>
      </w:r>
      <w:r w:rsidR="002114E6">
        <w:rPr>
          <w:rFonts w:hint="eastAsia"/>
          <w:color w:val="000000"/>
          <w:sz w:val="24"/>
        </w:rPr>
        <w:t>1</w:t>
      </w:r>
      <w:r w:rsidR="002114E6">
        <w:rPr>
          <w:rFonts w:hint="eastAsia"/>
          <w:color w:val="000000"/>
          <w:sz w:val="24"/>
        </w:rPr>
        <w:t>、</w:t>
      </w:r>
      <w:r w:rsidR="00680CA3" w:rsidRPr="00680CA3">
        <w:rPr>
          <w:rFonts w:hint="eastAsia"/>
          <w:sz w:val="24"/>
        </w:rPr>
        <w:t>申万菱信智选一年期定期开放混合型证券投资基金</w:t>
      </w:r>
      <w:r>
        <w:rPr>
          <w:rFonts w:hint="eastAsia"/>
          <w:color w:val="000000"/>
          <w:sz w:val="24"/>
        </w:rPr>
        <w:t>以下简称“本基金”</w:t>
      </w:r>
      <w:r w:rsidR="00E51E93">
        <w:rPr>
          <w:rFonts w:hint="eastAsia"/>
          <w:color w:val="000000"/>
          <w:sz w:val="24"/>
        </w:rPr>
        <w:t>。</w:t>
      </w:r>
    </w:p>
    <w:p w:rsidR="009E1C90" w:rsidRDefault="005E5D0B" w:rsidP="005D60D5">
      <w:pPr>
        <w:spacing w:line="360" w:lineRule="auto"/>
        <w:ind w:firstLineChars="200" w:firstLine="480"/>
        <w:rPr>
          <w:sz w:val="24"/>
        </w:rPr>
      </w:pPr>
      <w:r>
        <w:rPr>
          <w:rFonts w:hint="eastAsia"/>
          <w:color w:val="000000"/>
          <w:sz w:val="24"/>
        </w:rPr>
        <w:t xml:space="preserve">  </w:t>
      </w:r>
      <w:r w:rsidRPr="00B07E6C">
        <w:rPr>
          <w:rFonts w:hint="eastAsia"/>
          <w:color w:val="FF0000"/>
          <w:sz w:val="24"/>
        </w:rPr>
        <w:t xml:space="preserve"> </w:t>
      </w:r>
      <w:r w:rsidR="00102A5A">
        <w:rPr>
          <w:rFonts w:hint="eastAsia"/>
          <w:color w:val="FF0000"/>
          <w:sz w:val="24"/>
        </w:rPr>
        <w:t xml:space="preserve"> </w:t>
      </w:r>
      <w:r w:rsidR="009E1C90">
        <w:rPr>
          <w:rFonts w:hint="eastAsia"/>
          <w:sz w:val="24"/>
        </w:rPr>
        <w:t>2</w:t>
      </w:r>
      <w:r w:rsidRPr="00D8672E">
        <w:rPr>
          <w:rFonts w:hint="eastAsia"/>
          <w:sz w:val="24"/>
        </w:rPr>
        <w:t>、</w:t>
      </w:r>
      <w:r w:rsidR="00161A62" w:rsidRPr="00D8672E">
        <w:rPr>
          <w:rFonts w:hint="eastAsia"/>
          <w:sz w:val="24"/>
        </w:rPr>
        <w:t>本基金的</w:t>
      </w:r>
      <w:r w:rsidR="009E1C90">
        <w:rPr>
          <w:rFonts w:hint="eastAsia"/>
          <w:sz w:val="24"/>
        </w:rPr>
        <w:t>第一</w:t>
      </w:r>
      <w:r w:rsidR="007A199B">
        <w:rPr>
          <w:rFonts w:hint="eastAsia"/>
          <w:sz w:val="24"/>
        </w:rPr>
        <w:t>个</w:t>
      </w:r>
      <w:r w:rsidR="00161A62" w:rsidRPr="00D8672E">
        <w:rPr>
          <w:rFonts w:hint="eastAsia"/>
          <w:sz w:val="24"/>
        </w:rPr>
        <w:t>开放期为</w:t>
      </w:r>
      <w:r w:rsidRPr="00D8672E">
        <w:rPr>
          <w:rFonts w:hint="eastAsia"/>
          <w:sz w:val="24"/>
        </w:rPr>
        <w:t>201</w:t>
      </w:r>
      <w:r w:rsidR="00680CA3">
        <w:rPr>
          <w:rFonts w:hint="eastAsia"/>
          <w:sz w:val="24"/>
        </w:rPr>
        <w:t>8</w:t>
      </w:r>
      <w:r w:rsidRPr="00D8672E">
        <w:rPr>
          <w:rFonts w:hint="eastAsia"/>
          <w:sz w:val="24"/>
        </w:rPr>
        <w:t>年</w:t>
      </w:r>
      <w:r w:rsidR="00680CA3">
        <w:rPr>
          <w:rFonts w:hint="eastAsia"/>
          <w:sz w:val="24"/>
        </w:rPr>
        <w:t>3</w:t>
      </w:r>
      <w:r w:rsidRPr="00EB729A">
        <w:rPr>
          <w:rFonts w:hint="eastAsia"/>
          <w:sz w:val="24"/>
        </w:rPr>
        <w:t>月</w:t>
      </w:r>
      <w:r w:rsidR="00680CA3" w:rsidRPr="00EB729A">
        <w:rPr>
          <w:rFonts w:hint="eastAsia"/>
          <w:sz w:val="24"/>
        </w:rPr>
        <w:t>5</w:t>
      </w:r>
      <w:r w:rsidRPr="00EB729A">
        <w:rPr>
          <w:rFonts w:hint="eastAsia"/>
          <w:sz w:val="24"/>
        </w:rPr>
        <w:t>日（含该日）至</w:t>
      </w:r>
      <w:r w:rsidRPr="00EB729A">
        <w:rPr>
          <w:rFonts w:hint="eastAsia"/>
          <w:sz w:val="24"/>
        </w:rPr>
        <w:t>201</w:t>
      </w:r>
      <w:r w:rsidR="00680CA3" w:rsidRPr="00EB729A">
        <w:rPr>
          <w:rFonts w:hint="eastAsia"/>
          <w:sz w:val="24"/>
        </w:rPr>
        <w:t>8</w:t>
      </w:r>
      <w:r w:rsidRPr="00EB729A">
        <w:rPr>
          <w:rFonts w:hint="eastAsia"/>
          <w:sz w:val="24"/>
        </w:rPr>
        <w:t>年</w:t>
      </w:r>
      <w:r w:rsidR="00680CA3" w:rsidRPr="00EB729A">
        <w:rPr>
          <w:rFonts w:hint="eastAsia"/>
          <w:sz w:val="24"/>
        </w:rPr>
        <w:t>3</w:t>
      </w:r>
      <w:r w:rsidR="00BC0A27" w:rsidRPr="00EB729A">
        <w:rPr>
          <w:rFonts w:hint="eastAsia"/>
          <w:sz w:val="24"/>
        </w:rPr>
        <w:t>月</w:t>
      </w:r>
      <w:r w:rsidR="00EB729A" w:rsidRPr="00EB729A">
        <w:rPr>
          <w:rFonts w:hint="eastAsia"/>
          <w:sz w:val="24"/>
        </w:rPr>
        <w:t>16</w:t>
      </w:r>
      <w:r w:rsidR="00BC0A27" w:rsidRPr="00EB729A">
        <w:rPr>
          <w:rFonts w:hint="eastAsia"/>
          <w:sz w:val="24"/>
        </w:rPr>
        <w:t>日</w:t>
      </w:r>
      <w:r w:rsidRPr="00EB729A">
        <w:rPr>
          <w:rFonts w:hint="eastAsia"/>
          <w:sz w:val="24"/>
        </w:rPr>
        <w:t>（含该日）。</w:t>
      </w:r>
      <w:r w:rsidR="00161A62" w:rsidRPr="00EB729A">
        <w:rPr>
          <w:rFonts w:hint="eastAsia"/>
          <w:sz w:val="24"/>
        </w:rPr>
        <w:t>在开放期内，</w:t>
      </w:r>
      <w:r w:rsidR="00102A5A">
        <w:rPr>
          <w:rFonts w:hint="eastAsia"/>
          <w:sz w:val="24"/>
        </w:rPr>
        <w:t>机构</w:t>
      </w:r>
      <w:r w:rsidR="00161A62" w:rsidRPr="00EB729A">
        <w:rPr>
          <w:rFonts w:hint="eastAsia"/>
          <w:sz w:val="24"/>
        </w:rPr>
        <w:t>投资者</w:t>
      </w:r>
      <w:r w:rsidRPr="00EB729A">
        <w:rPr>
          <w:rFonts w:hint="eastAsia"/>
          <w:sz w:val="24"/>
        </w:rPr>
        <w:t>可以</w:t>
      </w:r>
      <w:r w:rsidR="009E1C90" w:rsidRPr="00EB729A">
        <w:rPr>
          <w:rFonts w:hint="eastAsia"/>
          <w:sz w:val="24"/>
        </w:rPr>
        <w:t>办理基金份额的</w:t>
      </w:r>
      <w:r w:rsidRPr="00EB729A">
        <w:rPr>
          <w:rFonts w:hint="eastAsia"/>
          <w:sz w:val="24"/>
        </w:rPr>
        <w:t>申购、赎回</w:t>
      </w:r>
      <w:r w:rsidR="009E1C90" w:rsidRPr="00EB729A">
        <w:rPr>
          <w:rFonts w:hint="eastAsia"/>
          <w:sz w:val="24"/>
        </w:rPr>
        <w:t>业务</w:t>
      </w:r>
      <w:r w:rsidR="00102A5A">
        <w:rPr>
          <w:rFonts w:hint="eastAsia"/>
          <w:sz w:val="24"/>
        </w:rPr>
        <w:t>，个人投资者可以办理</w:t>
      </w:r>
      <w:r w:rsidR="00102A5A" w:rsidRPr="00EB729A">
        <w:rPr>
          <w:rFonts w:hint="eastAsia"/>
          <w:sz w:val="24"/>
        </w:rPr>
        <w:t>基金份额的赎回业务</w:t>
      </w:r>
      <w:r w:rsidRPr="00EB729A">
        <w:rPr>
          <w:rFonts w:hint="eastAsia"/>
          <w:sz w:val="24"/>
        </w:rPr>
        <w:t>。</w:t>
      </w:r>
      <w:r w:rsidR="00986D86" w:rsidRPr="00EB729A">
        <w:rPr>
          <w:rFonts w:hint="eastAsia"/>
          <w:sz w:val="24"/>
        </w:rPr>
        <w:t>自</w:t>
      </w:r>
      <w:r w:rsidR="00986D86" w:rsidRPr="00EB729A">
        <w:rPr>
          <w:rFonts w:hint="eastAsia"/>
          <w:sz w:val="24"/>
        </w:rPr>
        <w:t>201</w:t>
      </w:r>
      <w:r w:rsidR="00680CA3" w:rsidRPr="00EB729A">
        <w:rPr>
          <w:rFonts w:hint="eastAsia"/>
          <w:sz w:val="24"/>
        </w:rPr>
        <w:t>8</w:t>
      </w:r>
      <w:r w:rsidR="00986D86" w:rsidRPr="00EB729A">
        <w:rPr>
          <w:rFonts w:hint="eastAsia"/>
          <w:sz w:val="24"/>
        </w:rPr>
        <w:t>年</w:t>
      </w:r>
      <w:r w:rsidR="00680CA3" w:rsidRPr="00EB729A">
        <w:rPr>
          <w:rFonts w:hint="eastAsia"/>
          <w:sz w:val="24"/>
        </w:rPr>
        <w:t>3</w:t>
      </w:r>
      <w:r w:rsidR="00BC0A27" w:rsidRPr="00EB729A">
        <w:rPr>
          <w:rFonts w:hint="eastAsia"/>
          <w:sz w:val="24"/>
        </w:rPr>
        <w:t>月</w:t>
      </w:r>
      <w:r w:rsidR="00EB729A" w:rsidRPr="00EB729A">
        <w:rPr>
          <w:rFonts w:hint="eastAsia"/>
          <w:sz w:val="24"/>
        </w:rPr>
        <w:t>17</w:t>
      </w:r>
      <w:r w:rsidR="00BC0A27" w:rsidRPr="00EB729A">
        <w:rPr>
          <w:rFonts w:hint="eastAsia"/>
          <w:sz w:val="24"/>
        </w:rPr>
        <w:t>日</w:t>
      </w:r>
      <w:r w:rsidR="008343D1" w:rsidRPr="00EB729A">
        <w:rPr>
          <w:rFonts w:hint="eastAsia"/>
          <w:sz w:val="24"/>
        </w:rPr>
        <w:t>起</w:t>
      </w:r>
      <w:r w:rsidR="00986D86" w:rsidRPr="00EB729A">
        <w:rPr>
          <w:rFonts w:hint="eastAsia"/>
          <w:sz w:val="24"/>
        </w:rPr>
        <w:t>，本基金进入第</w:t>
      </w:r>
      <w:r w:rsidR="009E1C90" w:rsidRPr="00EB729A">
        <w:rPr>
          <w:rFonts w:hint="eastAsia"/>
          <w:sz w:val="24"/>
        </w:rPr>
        <w:t>二</w:t>
      </w:r>
      <w:r w:rsidR="00986D86" w:rsidRPr="00EB729A">
        <w:rPr>
          <w:rFonts w:hint="eastAsia"/>
          <w:sz w:val="24"/>
        </w:rPr>
        <w:t>个封闭期。</w:t>
      </w:r>
      <w:r w:rsidR="009E1C90" w:rsidRPr="00EB729A">
        <w:rPr>
          <w:rFonts w:hint="eastAsia"/>
          <w:sz w:val="24"/>
        </w:rPr>
        <w:t>在</w:t>
      </w:r>
      <w:r w:rsidR="007B6F0F" w:rsidRPr="00EB729A">
        <w:rPr>
          <w:rFonts w:hint="eastAsia"/>
          <w:sz w:val="24"/>
        </w:rPr>
        <w:t>封闭期内，本基金不办理</w:t>
      </w:r>
      <w:r w:rsidR="00986D86" w:rsidRPr="00EB729A">
        <w:rPr>
          <w:rFonts w:hint="eastAsia"/>
          <w:sz w:val="24"/>
        </w:rPr>
        <w:t>申购、赎回业务</w:t>
      </w:r>
      <w:r w:rsidR="005D60D5" w:rsidRPr="00EB729A">
        <w:rPr>
          <w:rFonts w:hint="eastAsia"/>
          <w:sz w:val="24"/>
        </w:rPr>
        <w:t>，也不上市交易</w:t>
      </w:r>
      <w:r w:rsidR="00986D86" w:rsidRPr="00EB729A">
        <w:rPr>
          <w:rFonts w:hint="eastAsia"/>
          <w:sz w:val="24"/>
        </w:rPr>
        <w:t>。敬请投资者关注。</w:t>
      </w:r>
    </w:p>
    <w:p w:rsidR="00102A5A" w:rsidRPr="00D8672E" w:rsidRDefault="00102A5A" w:rsidP="00102A5A">
      <w:pPr>
        <w:spacing w:line="360" w:lineRule="auto"/>
        <w:ind w:firstLineChars="400" w:firstLine="960"/>
        <w:rPr>
          <w:sz w:val="24"/>
        </w:rPr>
      </w:pPr>
      <w:r w:rsidRPr="00102A5A">
        <w:rPr>
          <w:rFonts w:hint="eastAsia"/>
          <w:color w:val="000000"/>
          <w:sz w:val="24"/>
        </w:rPr>
        <w:t>3</w:t>
      </w:r>
      <w:r w:rsidRPr="00102A5A">
        <w:rPr>
          <w:rFonts w:hint="eastAsia"/>
          <w:color w:val="000000"/>
          <w:sz w:val="24"/>
        </w:rPr>
        <w:t>、</w:t>
      </w:r>
      <w:r w:rsidR="00E51E93">
        <w:rPr>
          <w:rFonts w:hint="eastAsia"/>
          <w:sz w:val="24"/>
        </w:rPr>
        <w:t>为</w:t>
      </w:r>
      <w:r w:rsidR="00E51E93" w:rsidRPr="001C31F9">
        <w:rPr>
          <w:sz w:val="24"/>
        </w:rPr>
        <w:t>保护基金份额持有人的利益</w:t>
      </w:r>
      <w:r w:rsidR="00E51E93">
        <w:rPr>
          <w:rFonts w:hint="eastAsia"/>
          <w:sz w:val="24"/>
        </w:rPr>
        <w:t>，</w:t>
      </w:r>
      <w:r w:rsidRPr="00102A5A">
        <w:rPr>
          <w:rFonts w:hint="eastAsia"/>
          <w:color w:val="000000"/>
          <w:sz w:val="24"/>
        </w:rPr>
        <w:t>在</w:t>
      </w:r>
      <w:r w:rsidR="00E51E93">
        <w:rPr>
          <w:rFonts w:hint="eastAsia"/>
          <w:color w:val="000000"/>
          <w:sz w:val="24"/>
        </w:rPr>
        <w:t>前</w:t>
      </w:r>
      <w:r w:rsidRPr="00102A5A">
        <w:rPr>
          <w:rFonts w:hint="eastAsia"/>
          <w:color w:val="000000"/>
          <w:sz w:val="24"/>
        </w:rPr>
        <w:t>述开放期内，</w:t>
      </w:r>
      <w:r w:rsidRPr="00102A5A">
        <w:rPr>
          <w:color w:val="000000"/>
          <w:sz w:val="24"/>
        </w:rPr>
        <w:t>本基金管理人有</w:t>
      </w:r>
      <w:r w:rsidRPr="00102A5A">
        <w:rPr>
          <w:color w:val="000000"/>
          <w:sz w:val="24"/>
        </w:rPr>
        <w:lastRenderedPageBreak/>
        <w:t>权拒绝</w:t>
      </w:r>
      <w:r w:rsidRPr="00102A5A">
        <w:rPr>
          <w:rFonts w:hint="eastAsia"/>
          <w:color w:val="000000"/>
          <w:sz w:val="24"/>
        </w:rPr>
        <w:t>个人投资者的申购申请，个人投资者</w:t>
      </w:r>
      <w:r w:rsidRPr="00102A5A">
        <w:rPr>
          <w:color w:val="000000"/>
          <w:sz w:val="24"/>
        </w:rPr>
        <w:t>的</w:t>
      </w:r>
      <w:r w:rsidRPr="00102A5A">
        <w:rPr>
          <w:rFonts w:hint="eastAsia"/>
          <w:color w:val="000000"/>
          <w:sz w:val="24"/>
        </w:rPr>
        <w:t>赎回</w:t>
      </w:r>
      <w:r w:rsidRPr="00102A5A">
        <w:rPr>
          <w:color w:val="000000"/>
          <w:sz w:val="24"/>
        </w:rPr>
        <w:t>业务</w:t>
      </w:r>
      <w:r w:rsidRPr="00102A5A">
        <w:rPr>
          <w:rFonts w:hint="eastAsia"/>
          <w:color w:val="000000"/>
          <w:sz w:val="24"/>
        </w:rPr>
        <w:t>不受影响。</w:t>
      </w:r>
    </w:p>
    <w:p w:rsidR="00AC728D" w:rsidRPr="00AC728D" w:rsidRDefault="009215EA" w:rsidP="00AC728D">
      <w:pPr>
        <w:pStyle w:val="30"/>
        <w:keepNext w:val="0"/>
        <w:keepLines w:val="0"/>
        <w:spacing w:before="0" w:after="0" w:line="360" w:lineRule="auto"/>
        <w:rPr>
          <w:rFonts w:ascii="宋体" w:hAnsi="宋体"/>
          <w:bCs w:val="0"/>
          <w:sz w:val="24"/>
          <w:szCs w:val="24"/>
        </w:rPr>
      </w:pPr>
      <w:r w:rsidRPr="00763F03">
        <w:rPr>
          <w:rFonts w:ascii="宋体" w:hAnsi="宋体" w:hint="eastAsia"/>
          <w:bCs w:val="0"/>
          <w:sz w:val="24"/>
          <w:szCs w:val="24"/>
        </w:rPr>
        <w:t>2.日常申购、赎回业务的办理时间</w:t>
      </w:r>
    </w:p>
    <w:p w:rsidR="00613E97" w:rsidRDefault="00045C91" w:rsidP="00613E97">
      <w:pPr>
        <w:spacing w:line="360" w:lineRule="auto"/>
        <w:ind w:firstLineChars="200" w:firstLine="480"/>
        <w:rPr>
          <w:color w:val="000000"/>
          <w:sz w:val="24"/>
        </w:rPr>
      </w:pPr>
      <w:r>
        <w:rPr>
          <w:rFonts w:hint="eastAsia"/>
          <w:color w:val="000000"/>
          <w:sz w:val="24"/>
        </w:rPr>
        <w:t>根据基金合同的</w:t>
      </w:r>
      <w:r w:rsidR="006F3917">
        <w:rPr>
          <w:rFonts w:hint="eastAsia"/>
          <w:color w:val="000000"/>
          <w:sz w:val="24"/>
        </w:rPr>
        <w:t>约</w:t>
      </w:r>
      <w:r>
        <w:rPr>
          <w:rFonts w:hint="eastAsia"/>
          <w:color w:val="000000"/>
          <w:sz w:val="24"/>
        </w:rPr>
        <w:t>定，</w:t>
      </w:r>
      <w:r w:rsidR="00193160">
        <w:rPr>
          <w:rFonts w:hint="eastAsia"/>
          <w:color w:val="000000"/>
          <w:sz w:val="24"/>
        </w:rPr>
        <w:t>本基金</w:t>
      </w:r>
      <w:r w:rsidR="00680CA3" w:rsidRPr="008379E8">
        <w:rPr>
          <w:rFonts w:hint="eastAsia"/>
          <w:color w:val="000000"/>
          <w:sz w:val="24"/>
        </w:rPr>
        <w:t>基金合同生效后，采取封闭期与开放期滚动的方式运作，每个封闭期为</w:t>
      </w:r>
      <w:r w:rsidR="00680CA3" w:rsidRPr="008379E8">
        <w:rPr>
          <w:rFonts w:hint="eastAsia"/>
          <w:color w:val="000000"/>
          <w:sz w:val="24"/>
        </w:rPr>
        <w:t>1</w:t>
      </w:r>
      <w:r w:rsidR="00680CA3" w:rsidRPr="008379E8">
        <w:rPr>
          <w:rFonts w:hint="eastAsia"/>
          <w:color w:val="000000"/>
          <w:sz w:val="24"/>
        </w:rPr>
        <w:t>年。</w:t>
      </w:r>
      <w:r w:rsidR="008379E8" w:rsidRPr="008379E8">
        <w:rPr>
          <w:rFonts w:hint="eastAsia"/>
          <w:color w:val="000000"/>
          <w:sz w:val="24"/>
        </w:rPr>
        <w:t>本基金的第一个封闭期为自基金合同生效之日起至一年后的年度对日的前一日为止。首个封闭期结束之后第一个工作日起进入首个开放期，下一个封闭期为首个开放期结束之日次日起至一年后的年度对日的前一日，以此类推。年度对日不存在的，则该年度对日为该特定日期在后续日历年度中的对应月度的最后一日。年度对日为非工作日的，则顺延至下一个工作日。</w:t>
      </w:r>
      <w:r w:rsidR="00613E97" w:rsidRPr="00613E97">
        <w:rPr>
          <w:rFonts w:hint="eastAsia"/>
          <w:color w:val="000000"/>
          <w:sz w:val="24"/>
        </w:rPr>
        <w:t>本基金每个封闭期结束之后的第一个工作日起进入开放期，开放期的期限为自封闭期结束之日后第一个工作日起（含该日）最长不超过</w:t>
      </w:r>
      <w:r w:rsidR="00613E97" w:rsidRPr="00613E97">
        <w:rPr>
          <w:color w:val="000000"/>
          <w:sz w:val="24"/>
        </w:rPr>
        <w:t>20</w:t>
      </w:r>
      <w:r w:rsidR="00613E97" w:rsidRPr="00613E97">
        <w:rPr>
          <w:rFonts w:hint="eastAsia"/>
          <w:color w:val="000000"/>
          <w:sz w:val="24"/>
        </w:rPr>
        <w:t>个工作日，最短不少于</w:t>
      </w:r>
      <w:r w:rsidR="00613E97" w:rsidRPr="00613E97">
        <w:rPr>
          <w:color w:val="000000"/>
          <w:sz w:val="24"/>
        </w:rPr>
        <w:t>5</w:t>
      </w:r>
      <w:r w:rsidR="00613E97" w:rsidRPr="00613E97">
        <w:rPr>
          <w:rFonts w:hint="eastAsia"/>
          <w:color w:val="000000"/>
          <w:sz w:val="24"/>
        </w:rPr>
        <w:t>个工作日。</w:t>
      </w:r>
    </w:p>
    <w:p w:rsidR="00045C91" w:rsidRDefault="00045C91" w:rsidP="009B06C0">
      <w:pPr>
        <w:spacing w:line="360" w:lineRule="auto"/>
        <w:ind w:firstLineChars="200" w:firstLine="480"/>
        <w:rPr>
          <w:color w:val="000000"/>
          <w:sz w:val="24"/>
        </w:rPr>
      </w:pPr>
      <w:r w:rsidRPr="00CF1D15">
        <w:rPr>
          <w:rFonts w:hint="eastAsia"/>
          <w:color w:val="000000"/>
          <w:sz w:val="24"/>
        </w:rPr>
        <w:t>201</w:t>
      </w:r>
      <w:r w:rsidR="00193160" w:rsidRPr="00CF1D15">
        <w:rPr>
          <w:rFonts w:hint="eastAsia"/>
          <w:color w:val="000000"/>
          <w:sz w:val="24"/>
        </w:rPr>
        <w:t>7</w:t>
      </w:r>
      <w:r w:rsidRPr="00CF1D15">
        <w:rPr>
          <w:rFonts w:hint="eastAsia"/>
          <w:color w:val="000000"/>
          <w:sz w:val="24"/>
        </w:rPr>
        <w:t>年</w:t>
      </w:r>
      <w:r w:rsidR="00193160" w:rsidRPr="00CF1D15">
        <w:rPr>
          <w:rFonts w:hint="eastAsia"/>
          <w:color w:val="000000"/>
          <w:sz w:val="24"/>
        </w:rPr>
        <w:t>3</w:t>
      </w:r>
      <w:r w:rsidRPr="00CF1D15">
        <w:rPr>
          <w:rFonts w:hint="eastAsia"/>
          <w:color w:val="000000"/>
          <w:sz w:val="24"/>
        </w:rPr>
        <w:t>月</w:t>
      </w:r>
      <w:r w:rsidR="00193160" w:rsidRPr="00CF1D15">
        <w:rPr>
          <w:rFonts w:hint="eastAsia"/>
          <w:color w:val="000000"/>
          <w:sz w:val="24"/>
        </w:rPr>
        <w:t>3</w:t>
      </w:r>
      <w:r w:rsidRPr="00CF1D15">
        <w:rPr>
          <w:rFonts w:hint="eastAsia"/>
          <w:color w:val="000000"/>
          <w:sz w:val="24"/>
        </w:rPr>
        <w:t>日至</w:t>
      </w:r>
      <w:r w:rsidR="000F2F13" w:rsidRPr="00CF1D15">
        <w:rPr>
          <w:rFonts w:hint="eastAsia"/>
          <w:color w:val="000000"/>
          <w:sz w:val="24"/>
        </w:rPr>
        <w:t>201</w:t>
      </w:r>
      <w:r w:rsidR="000F2F13">
        <w:rPr>
          <w:rFonts w:hint="eastAsia"/>
          <w:color w:val="000000"/>
          <w:sz w:val="24"/>
        </w:rPr>
        <w:t>8</w:t>
      </w:r>
      <w:r w:rsidR="000F2F13" w:rsidRPr="00CF1D15">
        <w:rPr>
          <w:rFonts w:hint="eastAsia"/>
          <w:color w:val="000000"/>
          <w:sz w:val="24"/>
        </w:rPr>
        <w:t>年</w:t>
      </w:r>
      <w:r w:rsidR="000F2F13">
        <w:rPr>
          <w:rFonts w:hint="eastAsia"/>
          <w:color w:val="000000"/>
          <w:sz w:val="24"/>
        </w:rPr>
        <w:t>3</w:t>
      </w:r>
      <w:r w:rsidR="000F2F13" w:rsidRPr="00CF1D15">
        <w:rPr>
          <w:rFonts w:hint="eastAsia"/>
          <w:color w:val="000000"/>
          <w:sz w:val="24"/>
        </w:rPr>
        <w:t>月</w:t>
      </w:r>
      <w:r w:rsidR="000F2F13">
        <w:rPr>
          <w:rFonts w:hint="eastAsia"/>
          <w:color w:val="000000"/>
          <w:sz w:val="24"/>
        </w:rPr>
        <w:t>4</w:t>
      </w:r>
      <w:bookmarkStart w:id="1" w:name="_GoBack"/>
      <w:bookmarkEnd w:id="1"/>
      <w:r w:rsidRPr="00CF1D15">
        <w:rPr>
          <w:rFonts w:hint="eastAsia"/>
          <w:color w:val="000000"/>
          <w:sz w:val="24"/>
        </w:rPr>
        <w:t>日</w:t>
      </w:r>
      <w:r>
        <w:rPr>
          <w:rFonts w:hint="eastAsia"/>
          <w:color w:val="000000"/>
          <w:sz w:val="24"/>
        </w:rPr>
        <w:t>为本基金第</w:t>
      </w:r>
      <w:r w:rsidR="00193160">
        <w:rPr>
          <w:rFonts w:hint="eastAsia"/>
          <w:color w:val="000000"/>
          <w:sz w:val="24"/>
        </w:rPr>
        <w:t>一个封闭</w:t>
      </w:r>
      <w:r>
        <w:rPr>
          <w:rFonts w:hint="eastAsia"/>
          <w:color w:val="000000"/>
          <w:sz w:val="24"/>
        </w:rPr>
        <w:t>期，</w:t>
      </w:r>
      <w:r w:rsidR="009B06C0" w:rsidRPr="00ED4222">
        <w:rPr>
          <w:rFonts w:hint="eastAsia"/>
          <w:color w:val="000000"/>
          <w:sz w:val="24"/>
        </w:rPr>
        <w:t>201</w:t>
      </w:r>
      <w:r w:rsidR="008379E8" w:rsidRPr="00ED4222">
        <w:rPr>
          <w:rFonts w:hint="eastAsia"/>
          <w:color w:val="000000"/>
          <w:sz w:val="24"/>
        </w:rPr>
        <w:t>8</w:t>
      </w:r>
      <w:r w:rsidR="009B06C0" w:rsidRPr="00ED4222">
        <w:rPr>
          <w:rFonts w:hint="eastAsia"/>
          <w:color w:val="000000"/>
          <w:sz w:val="24"/>
        </w:rPr>
        <w:t>年</w:t>
      </w:r>
      <w:r w:rsidR="008379E8" w:rsidRPr="00ED4222">
        <w:rPr>
          <w:rFonts w:hint="eastAsia"/>
          <w:color w:val="000000"/>
          <w:sz w:val="24"/>
        </w:rPr>
        <w:t>3</w:t>
      </w:r>
      <w:r w:rsidR="009B06C0" w:rsidRPr="00ED4222">
        <w:rPr>
          <w:rFonts w:hint="eastAsia"/>
          <w:color w:val="000000"/>
          <w:sz w:val="24"/>
        </w:rPr>
        <w:t>月</w:t>
      </w:r>
      <w:r w:rsidR="008379E8" w:rsidRPr="00ED4222">
        <w:rPr>
          <w:rFonts w:hint="eastAsia"/>
          <w:color w:val="000000"/>
          <w:sz w:val="24"/>
        </w:rPr>
        <w:t>5</w:t>
      </w:r>
      <w:r w:rsidR="009B06C0" w:rsidRPr="00ED4222">
        <w:rPr>
          <w:rFonts w:hint="eastAsia"/>
          <w:color w:val="000000"/>
          <w:sz w:val="24"/>
        </w:rPr>
        <w:t>日（含该日）至</w:t>
      </w:r>
      <w:r w:rsidR="009B06C0" w:rsidRPr="00ED4222">
        <w:rPr>
          <w:rFonts w:hint="eastAsia"/>
          <w:color w:val="000000"/>
          <w:sz w:val="24"/>
        </w:rPr>
        <w:t>201</w:t>
      </w:r>
      <w:r w:rsidR="008379E8" w:rsidRPr="00ED4222">
        <w:rPr>
          <w:rFonts w:hint="eastAsia"/>
          <w:color w:val="000000"/>
          <w:sz w:val="24"/>
        </w:rPr>
        <w:t>8</w:t>
      </w:r>
      <w:r w:rsidR="009B06C0" w:rsidRPr="00ED4222">
        <w:rPr>
          <w:rFonts w:hint="eastAsia"/>
          <w:color w:val="000000"/>
          <w:sz w:val="24"/>
        </w:rPr>
        <w:t>年</w:t>
      </w:r>
      <w:r w:rsidR="008379E8" w:rsidRPr="00ED4222">
        <w:rPr>
          <w:rFonts w:hint="eastAsia"/>
          <w:color w:val="000000"/>
          <w:sz w:val="24"/>
        </w:rPr>
        <w:t>3</w:t>
      </w:r>
      <w:r w:rsidR="00BC0A27" w:rsidRPr="00ED4222">
        <w:rPr>
          <w:rFonts w:hint="eastAsia"/>
          <w:color w:val="000000"/>
          <w:sz w:val="24"/>
        </w:rPr>
        <w:t>月</w:t>
      </w:r>
      <w:r w:rsidR="00EB729A" w:rsidRPr="00ED4222">
        <w:rPr>
          <w:rFonts w:hint="eastAsia"/>
          <w:color w:val="000000"/>
          <w:sz w:val="24"/>
        </w:rPr>
        <w:t>16</w:t>
      </w:r>
      <w:r w:rsidR="00BC0A27" w:rsidRPr="00ED4222">
        <w:rPr>
          <w:rFonts w:hint="eastAsia"/>
          <w:color w:val="000000"/>
          <w:sz w:val="24"/>
        </w:rPr>
        <w:t>日</w:t>
      </w:r>
      <w:r w:rsidR="009B06C0" w:rsidRPr="00ED4222">
        <w:rPr>
          <w:rFonts w:hint="eastAsia"/>
          <w:color w:val="000000"/>
          <w:sz w:val="24"/>
        </w:rPr>
        <w:t>（含该日）</w:t>
      </w:r>
      <w:r w:rsidR="00D202EF">
        <w:rPr>
          <w:rFonts w:hint="eastAsia"/>
          <w:color w:val="000000"/>
          <w:sz w:val="24"/>
        </w:rPr>
        <w:t>，本基金进入</w:t>
      </w:r>
      <w:r w:rsidR="009B06C0">
        <w:rPr>
          <w:rFonts w:hint="eastAsia"/>
          <w:color w:val="000000"/>
          <w:sz w:val="24"/>
        </w:rPr>
        <w:t>第</w:t>
      </w:r>
      <w:r w:rsidR="007B6F0F">
        <w:rPr>
          <w:rFonts w:hint="eastAsia"/>
          <w:color w:val="000000"/>
          <w:sz w:val="24"/>
        </w:rPr>
        <w:t>一个开放期，</w:t>
      </w:r>
      <w:r w:rsidR="00E51E93">
        <w:rPr>
          <w:rFonts w:hint="eastAsia"/>
          <w:sz w:val="24"/>
        </w:rPr>
        <w:t>机构</w:t>
      </w:r>
      <w:r w:rsidR="00E51E93" w:rsidRPr="00EB729A">
        <w:rPr>
          <w:rFonts w:hint="eastAsia"/>
          <w:sz w:val="24"/>
        </w:rPr>
        <w:t>投资者可以</w:t>
      </w:r>
      <w:r w:rsidR="00E51E93">
        <w:rPr>
          <w:rFonts w:hint="eastAsia"/>
          <w:sz w:val="24"/>
        </w:rPr>
        <w:t>在前述开放期内</w:t>
      </w:r>
      <w:r w:rsidR="00E51E93" w:rsidRPr="00EB729A">
        <w:rPr>
          <w:rFonts w:hint="eastAsia"/>
          <w:sz w:val="24"/>
        </w:rPr>
        <w:t>办理基金份额的申购、赎回业务</w:t>
      </w:r>
      <w:r w:rsidR="00E51E93">
        <w:rPr>
          <w:rFonts w:hint="eastAsia"/>
          <w:sz w:val="24"/>
        </w:rPr>
        <w:t>，个人投资者可以办理</w:t>
      </w:r>
      <w:r w:rsidR="00E51E93" w:rsidRPr="00EB729A">
        <w:rPr>
          <w:rFonts w:hint="eastAsia"/>
          <w:sz w:val="24"/>
        </w:rPr>
        <w:t>基金份额的赎回业务。</w:t>
      </w:r>
      <w:r w:rsidR="008379E8" w:rsidRPr="008379E8">
        <w:rPr>
          <w:color w:val="000000"/>
          <w:sz w:val="24"/>
        </w:rPr>
        <w:t>具体办理时间为上海证券交易所、深圳证券交易所的正常交易日的交易时间，但基金管理人根据法律法规、中国证监会的要求或基金合同的规定公告暂停申购、赎回时除外</w:t>
      </w:r>
      <w:r w:rsidR="007B6F0F" w:rsidRPr="007B6F0F">
        <w:rPr>
          <w:color w:val="000000"/>
          <w:sz w:val="24"/>
        </w:rPr>
        <w:t>。</w:t>
      </w:r>
      <w:r w:rsidR="007B6F0F" w:rsidRPr="00157808">
        <w:rPr>
          <w:rFonts w:hint="eastAsia"/>
          <w:color w:val="000000"/>
          <w:sz w:val="24"/>
        </w:rPr>
        <w:t>由于各销售机构系统及业务安排等原因，开放期</w:t>
      </w:r>
      <w:r w:rsidR="009B06C0" w:rsidRPr="00157808">
        <w:rPr>
          <w:rFonts w:hint="eastAsia"/>
          <w:color w:val="000000"/>
          <w:sz w:val="24"/>
        </w:rPr>
        <w:t>的具体办理时间投资者应以各销售机构规定的具体时间为准。</w:t>
      </w:r>
    </w:p>
    <w:p w:rsidR="00AF7FE5" w:rsidRPr="00D8672E" w:rsidRDefault="00986D86" w:rsidP="009B06C0">
      <w:pPr>
        <w:spacing w:line="360" w:lineRule="auto"/>
        <w:ind w:firstLineChars="200" w:firstLine="480"/>
        <w:rPr>
          <w:sz w:val="24"/>
        </w:rPr>
      </w:pPr>
      <w:r w:rsidRPr="00ED4222">
        <w:rPr>
          <w:rFonts w:hint="eastAsia"/>
          <w:color w:val="000000"/>
          <w:sz w:val="24"/>
        </w:rPr>
        <w:t>自</w:t>
      </w:r>
      <w:r w:rsidR="00AF7FE5" w:rsidRPr="00ED4222">
        <w:rPr>
          <w:rFonts w:hint="eastAsia"/>
          <w:color w:val="000000"/>
          <w:sz w:val="24"/>
        </w:rPr>
        <w:t>201</w:t>
      </w:r>
      <w:r w:rsidR="008379E8" w:rsidRPr="00ED4222">
        <w:rPr>
          <w:rFonts w:hint="eastAsia"/>
          <w:color w:val="000000"/>
          <w:sz w:val="24"/>
        </w:rPr>
        <w:t>8</w:t>
      </w:r>
      <w:r w:rsidR="00AF7FE5" w:rsidRPr="00ED4222">
        <w:rPr>
          <w:rFonts w:hint="eastAsia"/>
          <w:color w:val="000000"/>
          <w:sz w:val="24"/>
        </w:rPr>
        <w:t>年</w:t>
      </w:r>
      <w:r w:rsidR="008379E8" w:rsidRPr="00ED4222">
        <w:rPr>
          <w:rFonts w:hint="eastAsia"/>
          <w:color w:val="000000"/>
          <w:sz w:val="24"/>
        </w:rPr>
        <w:t>3</w:t>
      </w:r>
      <w:r w:rsidR="00BC0A27" w:rsidRPr="00ED4222">
        <w:rPr>
          <w:rFonts w:hint="eastAsia"/>
          <w:color w:val="000000"/>
          <w:sz w:val="24"/>
        </w:rPr>
        <w:t>月</w:t>
      </w:r>
      <w:r w:rsidR="00EB729A" w:rsidRPr="00ED4222">
        <w:rPr>
          <w:rFonts w:hint="eastAsia"/>
          <w:color w:val="000000"/>
          <w:sz w:val="24"/>
        </w:rPr>
        <w:t>17</w:t>
      </w:r>
      <w:r w:rsidR="00BC0A27" w:rsidRPr="00ED4222">
        <w:rPr>
          <w:rFonts w:hint="eastAsia"/>
          <w:color w:val="000000"/>
          <w:sz w:val="24"/>
        </w:rPr>
        <w:t>日</w:t>
      </w:r>
      <w:r w:rsidR="008343D1" w:rsidRPr="00ED4222">
        <w:rPr>
          <w:rFonts w:hint="eastAsia"/>
          <w:color w:val="000000"/>
          <w:sz w:val="24"/>
        </w:rPr>
        <w:t>起</w:t>
      </w:r>
      <w:r w:rsidRPr="00D8672E">
        <w:rPr>
          <w:rFonts w:hint="eastAsia"/>
          <w:sz w:val="24"/>
        </w:rPr>
        <w:t>，</w:t>
      </w:r>
      <w:r w:rsidR="00AF7FE5" w:rsidRPr="00D8672E">
        <w:rPr>
          <w:rFonts w:hint="eastAsia"/>
          <w:sz w:val="24"/>
        </w:rPr>
        <w:t>本基金</w:t>
      </w:r>
      <w:r w:rsidRPr="00D8672E">
        <w:rPr>
          <w:rFonts w:hint="eastAsia"/>
          <w:sz w:val="24"/>
        </w:rPr>
        <w:t>进入第</w:t>
      </w:r>
      <w:r w:rsidR="007B6F0F">
        <w:rPr>
          <w:rFonts w:hint="eastAsia"/>
          <w:sz w:val="24"/>
        </w:rPr>
        <w:t>二个封闭期。</w:t>
      </w:r>
      <w:r w:rsidR="009F53DE">
        <w:rPr>
          <w:rFonts w:hint="eastAsia"/>
          <w:sz w:val="24"/>
        </w:rPr>
        <w:t>在封闭期内，本基金不办理</w:t>
      </w:r>
      <w:r w:rsidR="009F53DE" w:rsidRPr="00D8672E">
        <w:rPr>
          <w:rFonts w:hint="eastAsia"/>
          <w:sz w:val="24"/>
        </w:rPr>
        <w:t>申购、赎回业务</w:t>
      </w:r>
      <w:r w:rsidR="009F53DE">
        <w:rPr>
          <w:rFonts w:hint="eastAsia"/>
          <w:sz w:val="24"/>
        </w:rPr>
        <w:t>，也不上市交易</w:t>
      </w:r>
      <w:r w:rsidR="009F53DE" w:rsidRPr="00D8672E">
        <w:rPr>
          <w:rFonts w:hint="eastAsia"/>
          <w:sz w:val="24"/>
        </w:rPr>
        <w:t>。敬请投资者关注。</w:t>
      </w:r>
    </w:p>
    <w:p w:rsidR="005A7610" w:rsidRPr="008379E8" w:rsidRDefault="008379E8" w:rsidP="008379E8">
      <w:pPr>
        <w:spacing w:line="360" w:lineRule="auto"/>
        <w:ind w:firstLineChars="200" w:firstLine="480"/>
        <w:rPr>
          <w:sz w:val="24"/>
        </w:rPr>
      </w:pPr>
      <w:r w:rsidRPr="008379E8">
        <w:rPr>
          <w:rFonts w:hint="eastAsia"/>
          <w:sz w:val="24"/>
        </w:rPr>
        <w:t>如封闭期结束后或在开放期内发生不可抗力或其他情形致使基金无法按时开放申购与赎回业务的，开放期时间中止计算，在不可抗力或其他情形影响因素消除之日下一个工作日起，继续计算该开放期时间，直至满足开放期的要求，具体时间以基金管理人届时公告为准。</w:t>
      </w:r>
    </w:p>
    <w:p w:rsidR="00DE36FC" w:rsidRPr="00DE36FC" w:rsidRDefault="00D90C46" w:rsidP="00D90C46">
      <w:pPr>
        <w:spacing w:line="360" w:lineRule="auto"/>
        <w:ind w:firstLineChars="200" w:firstLine="480"/>
        <w:rPr>
          <w:sz w:val="24"/>
        </w:rPr>
      </w:pPr>
      <w:r w:rsidRPr="00D90C46">
        <w:rPr>
          <w:sz w:val="24"/>
        </w:rPr>
        <w:t>基金管理人不得在基金合同约定之外的日期或者时间办理基金份额的申购</w:t>
      </w:r>
      <w:r w:rsidRPr="00D90C46">
        <w:rPr>
          <w:rFonts w:hint="eastAsia"/>
          <w:sz w:val="24"/>
        </w:rPr>
        <w:t>、</w:t>
      </w:r>
      <w:r w:rsidRPr="00D90C46">
        <w:rPr>
          <w:sz w:val="24"/>
        </w:rPr>
        <w:t>赎回。</w:t>
      </w:r>
      <w:r w:rsidRPr="00D90C46">
        <w:rPr>
          <w:rFonts w:hint="eastAsia"/>
          <w:sz w:val="24"/>
        </w:rPr>
        <w:t>在开放期内，投资人在基金合同约定之外的日期和时间提出申购、赎回申请且登记机构确认接受的，其基金份额申购、赎回价格为该开放期下一开放日基金份额申购、赎回的价格；但若投资人在开放期最后一日业务办理时间结束之后提出申购、赎回申请的，视为无效申请。</w:t>
      </w:r>
    </w:p>
    <w:p w:rsidR="0035480D" w:rsidRPr="0035480D" w:rsidRDefault="00DE36FC" w:rsidP="00DE36FC">
      <w:pPr>
        <w:spacing w:line="360" w:lineRule="auto"/>
        <w:ind w:firstLineChars="200" w:firstLine="480"/>
        <w:rPr>
          <w:sz w:val="24"/>
        </w:rPr>
      </w:pPr>
      <w:r w:rsidRPr="00DE36FC">
        <w:rPr>
          <w:sz w:val="24"/>
        </w:rPr>
        <w:lastRenderedPageBreak/>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9215EA" w:rsidRPr="00763F03" w:rsidRDefault="009215EA" w:rsidP="00B63558">
      <w:pPr>
        <w:pStyle w:val="30"/>
        <w:keepNext w:val="0"/>
        <w:keepLines w:val="0"/>
        <w:spacing w:before="0" w:after="0" w:line="360" w:lineRule="auto"/>
        <w:rPr>
          <w:rFonts w:ascii="宋体" w:hAnsi="宋体"/>
          <w:bCs w:val="0"/>
          <w:sz w:val="24"/>
          <w:szCs w:val="24"/>
        </w:rPr>
      </w:pPr>
      <w:r w:rsidRPr="00763F03">
        <w:rPr>
          <w:rFonts w:ascii="宋体" w:hAnsi="宋体" w:hint="eastAsia"/>
          <w:bCs w:val="0"/>
          <w:sz w:val="24"/>
          <w:szCs w:val="24"/>
        </w:rPr>
        <w:t>3.日常申购业务</w:t>
      </w:r>
    </w:p>
    <w:p w:rsidR="009215EA" w:rsidRPr="00763F03" w:rsidRDefault="009215EA" w:rsidP="00B63558">
      <w:pPr>
        <w:pStyle w:val="30"/>
        <w:keepNext w:val="0"/>
        <w:keepLines w:val="0"/>
        <w:spacing w:before="0" w:after="0" w:line="360" w:lineRule="auto"/>
        <w:rPr>
          <w:rFonts w:ascii="宋体" w:hAnsi="宋体"/>
          <w:bCs w:val="0"/>
          <w:sz w:val="24"/>
          <w:szCs w:val="24"/>
        </w:rPr>
      </w:pPr>
      <w:r w:rsidRPr="00763F03">
        <w:rPr>
          <w:rFonts w:ascii="宋体" w:hAnsi="宋体" w:hint="eastAsia"/>
          <w:bCs w:val="0"/>
          <w:sz w:val="24"/>
          <w:szCs w:val="24"/>
        </w:rPr>
        <w:t>3.1申购金额限制</w:t>
      </w:r>
    </w:p>
    <w:p w:rsidR="00DE36FC" w:rsidRPr="00DE36FC" w:rsidRDefault="0035480D" w:rsidP="00DE36FC">
      <w:pPr>
        <w:spacing w:line="360" w:lineRule="auto"/>
        <w:ind w:firstLineChars="200" w:firstLine="480"/>
        <w:rPr>
          <w:color w:val="000000"/>
          <w:sz w:val="24"/>
        </w:rPr>
      </w:pPr>
      <w:r w:rsidRPr="00DE36FC">
        <w:rPr>
          <w:rFonts w:hint="eastAsia"/>
          <w:color w:val="000000"/>
          <w:sz w:val="24"/>
        </w:rPr>
        <w:t>1</w:t>
      </w:r>
      <w:r w:rsidRPr="00DE36FC">
        <w:rPr>
          <w:rFonts w:hint="eastAsia"/>
          <w:color w:val="000000"/>
          <w:sz w:val="24"/>
        </w:rPr>
        <w:t>、</w:t>
      </w:r>
      <w:r w:rsidR="00DE36FC" w:rsidRPr="00DE36FC">
        <w:rPr>
          <w:color w:val="000000"/>
          <w:sz w:val="24"/>
        </w:rPr>
        <w:t>投资者</w:t>
      </w:r>
      <w:r w:rsidR="00DE36FC" w:rsidRPr="00DE36FC">
        <w:rPr>
          <w:rFonts w:hint="eastAsia"/>
          <w:color w:val="000000"/>
          <w:sz w:val="24"/>
        </w:rPr>
        <w:t>通过其他销售机构的销售网点申购基金</w:t>
      </w:r>
      <w:r w:rsidR="00DE36FC" w:rsidRPr="00DE36FC">
        <w:rPr>
          <w:color w:val="000000"/>
          <w:sz w:val="24"/>
        </w:rPr>
        <w:t>份额时，单笔最低金额为</w:t>
      </w:r>
      <w:r w:rsidR="00DE36FC" w:rsidRPr="00DE36FC">
        <w:rPr>
          <w:color w:val="000000"/>
          <w:sz w:val="24"/>
        </w:rPr>
        <w:t>10</w:t>
      </w:r>
      <w:r w:rsidR="00DE36FC" w:rsidRPr="00DE36FC">
        <w:rPr>
          <w:color w:val="000000"/>
          <w:sz w:val="24"/>
        </w:rPr>
        <w:t>元人民币（含申购费），追加申购最低金额为</w:t>
      </w:r>
      <w:r w:rsidR="00DE36FC" w:rsidRPr="00DE36FC">
        <w:rPr>
          <w:color w:val="000000"/>
          <w:sz w:val="24"/>
        </w:rPr>
        <w:t>10</w:t>
      </w:r>
      <w:r w:rsidR="00DE36FC" w:rsidRPr="00DE36FC">
        <w:rPr>
          <w:color w:val="000000"/>
          <w:sz w:val="24"/>
        </w:rPr>
        <w:t>元人民币（含申购费）。通过直销中心首次申购的最低金额为</w:t>
      </w:r>
      <w:r w:rsidR="00DE36FC" w:rsidRPr="00DE36FC">
        <w:rPr>
          <w:color w:val="000000"/>
          <w:sz w:val="24"/>
        </w:rPr>
        <w:t>10</w:t>
      </w:r>
      <w:r w:rsidR="00DE36FC" w:rsidRPr="00DE36FC">
        <w:rPr>
          <w:color w:val="000000"/>
          <w:sz w:val="24"/>
        </w:rPr>
        <w:t>元人民币（含申购费），追加申购最低金额为</w:t>
      </w:r>
      <w:r w:rsidR="00DE36FC" w:rsidRPr="00DE36FC">
        <w:rPr>
          <w:color w:val="000000"/>
          <w:sz w:val="24"/>
        </w:rPr>
        <w:t>10</w:t>
      </w:r>
      <w:r w:rsidR="00DE36FC" w:rsidRPr="00DE36FC">
        <w:rPr>
          <w:color w:val="000000"/>
          <w:sz w:val="24"/>
        </w:rPr>
        <w:t>元人民币（含申购费）。本基金直销中心单笔申购最低金额可由基金管理人酌情调整。</w:t>
      </w:r>
    </w:p>
    <w:p w:rsidR="00DE36FC" w:rsidRPr="00DE36FC" w:rsidRDefault="00DE36FC" w:rsidP="00DE36FC">
      <w:pPr>
        <w:spacing w:line="360" w:lineRule="auto"/>
        <w:ind w:firstLineChars="200" w:firstLine="480"/>
        <w:rPr>
          <w:color w:val="000000"/>
          <w:sz w:val="24"/>
        </w:rPr>
      </w:pPr>
      <w:r w:rsidRPr="00DE36FC">
        <w:rPr>
          <w:color w:val="000000"/>
          <w:sz w:val="24"/>
        </w:rPr>
        <w:t>其他销售机构的销售网点的投资者欲转入直销网点进行交易要受直销网点最低金额的限制。基金管理人可根据市场情况，调整首次申购的最低金额。</w:t>
      </w:r>
    </w:p>
    <w:p w:rsidR="00D40AD0" w:rsidRPr="00DE36FC" w:rsidRDefault="00DE36FC" w:rsidP="00DE36FC">
      <w:pPr>
        <w:spacing w:line="360" w:lineRule="auto"/>
        <w:ind w:firstLineChars="200" w:firstLine="480"/>
        <w:rPr>
          <w:color w:val="000000"/>
          <w:sz w:val="24"/>
        </w:rPr>
      </w:pPr>
      <w:r w:rsidRPr="00DE36FC">
        <w:rPr>
          <w:color w:val="000000"/>
          <w:sz w:val="24"/>
        </w:rPr>
        <w:t>投资者可多次申购，对单个投资者累计持有份额不设上限限制。法律法规、中国证监会另有规定的除外。</w:t>
      </w:r>
    </w:p>
    <w:p w:rsidR="009215EA" w:rsidRPr="00D40AD0" w:rsidRDefault="00F61A85" w:rsidP="00C14827">
      <w:pPr>
        <w:spacing w:line="360" w:lineRule="auto"/>
        <w:ind w:firstLineChars="200" w:firstLine="480"/>
        <w:rPr>
          <w:color w:val="000000"/>
          <w:sz w:val="24"/>
        </w:rPr>
      </w:pPr>
      <w:r>
        <w:rPr>
          <w:rFonts w:hint="eastAsia"/>
          <w:color w:val="000000"/>
          <w:sz w:val="24"/>
        </w:rPr>
        <w:t>2</w:t>
      </w:r>
      <w:r w:rsidR="00D40AD0" w:rsidRPr="00D40AD0">
        <w:rPr>
          <w:rFonts w:hint="eastAsia"/>
          <w:color w:val="000000"/>
          <w:sz w:val="24"/>
        </w:rPr>
        <w:t>、</w:t>
      </w:r>
      <w:r w:rsidR="00613E97" w:rsidRPr="00613E97">
        <w:rPr>
          <w:color w:val="000000"/>
          <w:sz w:val="24"/>
        </w:rPr>
        <w:t>基金管理人可</w:t>
      </w:r>
      <w:r w:rsidR="00613E97" w:rsidRPr="00613E97">
        <w:rPr>
          <w:rFonts w:hint="eastAsia"/>
          <w:color w:val="000000"/>
          <w:sz w:val="24"/>
        </w:rPr>
        <w:t>根据市场情况，</w:t>
      </w:r>
      <w:r w:rsidR="00613E97" w:rsidRPr="00613E97">
        <w:rPr>
          <w:color w:val="000000"/>
          <w:sz w:val="24"/>
        </w:rPr>
        <w:t>在法律法规允许的情况下，调整上述规定申购金额的数量限制。基金管理人必须在调整</w:t>
      </w:r>
      <w:r w:rsidR="00613E97" w:rsidRPr="00613E97">
        <w:rPr>
          <w:rFonts w:hint="eastAsia"/>
          <w:color w:val="000000"/>
          <w:sz w:val="24"/>
        </w:rPr>
        <w:t>实施</w:t>
      </w:r>
      <w:r w:rsidR="00613E97" w:rsidRPr="00613E97">
        <w:rPr>
          <w:color w:val="000000"/>
          <w:sz w:val="24"/>
        </w:rPr>
        <w:t>前依照《信息披露办法》的有关规定在指定媒</w:t>
      </w:r>
      <w:r w:rsidR="00613E97" w:rsidRPr="00613E97">
        <w:rPr>
          <w:rFonts w:hint="eastAsia"/>
          <w:color w:val="000000"/>
          <w:sz w:val="24"/>
        </w:rPr>
        <w:t>介</w:t>
      </w:r>
      <w:r w:rsidR="00613E97" w:rsidRPr="00613E97">
        <w:rPr>
          <w:color w:val="000000"/>
          <w:sz w:val="24"/>
        </w:rPr>
        <w:t>上公告。</w:t>
      </w:r>
    </w:p>
    <w:p w:rsidR="009215EA" w:rsidRDefault="009215EA" w:rsidP="00B63558">
      <w:pPr>
        <w:pStyle w:val="30"/>
        <w:keepNext w:val="0"/>
        <w:keepLines w:val="0"/>
        <w:spacing w:before="0" w:after="0" w:line="360" w:lineRule="auto"/>
        <w:rPr>
          <w:rFonts w:ascii="宋体" w:hAnsi="宋体"/>
          <w:bCs w:val="0"/>
          <w:sz w:val="24"/>
          <w:szCs w:val="24"/>
        </w:rPr>
      </w:pPr>
      <w:r w:rsidRPr="00763F03">
        <w:rPr>
          <w:rFonts w:ascii="宋体" w:hAnsi="宋体" w:hint="eastAsia"/>
          <w:bCs w:val="0"/>
          <w:sz w:val="24"/>
          <w:szCs w:val="24"/>
        </w:rPr>
        <w:t>3.2申购费率</w:t>
      </w:r>
    </w:p>
    <w:p w:rsidR="00613E97" w:rsidRPr="00613E97" w:rsidRDefault="00613E97" w:rsidP="00613E97">
      <w:pPr>
        <w:spacing w:line="360" w:lineRule="auto"/>
        <w:ind w:firstLineChars="200" w:firstLine="480"/>
        <w:rPr>
          <w:color w:val="000000"/>
          <w:sz w:val="24"/>
        </w:rPr>
      </w:pPr>
      <w:r w:rsidRPr="00613E97">
        <w:rPr>
          <w:color w:val="000000"/>
          <w:sz w:val="24"/>
        </w:rPr>
        <w:t>本基金对通过基金管理人直销中心申购的养老金客户与除此之外的其他投资者实施差别的申购费率，对通过直销中心申购的养老金客户实施特定申购费率。养老金客户指基本养老基金与依法成立的养老计划筹集的资金及其投资运营收益形成的补充养老基金</w:t>
      </w:r>
      <w:r w:rsidRPr="00613E97">
        <w:rPr>
          <w:rFonts w:hint="eastAsia"/>
          <w:color w:val="000000"/>
          <w:sz w:val="24"/>
        </w:rPr>
        <w:t>等</w:t>
      </w:r>
      <w:r w:rsidRPr="00613E97">
        <w:rPr>
          <w:color w:val="000000"/>
          <w:sz w:val="24"/>
        </w:rPr>
        <w:t>，包括全国社会保障基金、可以投资基金的地方社会保障基金、企业年金单一计划以及集合计划</w:t>
      </w:r>
      <w:r w:rsidRPr="00613E97">
        <w:rPr>
          <w:rFonts w:hint="eastAsia"/>
          <w:color w:val="000000"/>
          <w:sz w:val="24"/>
        </w:rPr>
        <w:t>、企业年金理事会委托的特定客户资产管理计划、企业年金养老金产品</w:t>
      </w:r>
      <w:r w:rsidRPr="00613E97">
        <w:rPr>
          <w:color w:val="000000"/>
          <w:sz w:val="24"/>
        </w:rPr>
        <w:t>。如将来出现经养老基金监管部门认可的新的养老基金类型，基金管理人将在招募说明书更新时或发布临时公告将其纳入养老金客户范围，并按规定向中国证监会备案。非养老金客户指除养老金客户外的其他投资者。</w:t>
      </w:r>
    </w:p>
    <w:p w:rsidR="00434D84" w:rsidRPr="006E6660" w:rsidRDefault="00613E97" w:rsidP="00613E97">
      <w:pPr>
        <w:spacing w:line="360" w:lineRule="auto"/>
        <w:ind w:firstLineChars="200" w:firstLine="480"/>
        <w:rPr>
          <w:color w:val="000000"/>
          <w:sz w:val="24"/>
        </w:rPr>
      </w:pPr>
      <w:r w:rsidRPr="00613E97">
        <w:rPr>
          <w:rFonts w:hint="eastAsia"/>
          <w:color w:val="000000"/>
          <w:sz w:val="24"/>
        </w:rPr>
        <w:t>基金</w:t>
      </w:r>
      <w:r w:rsidRPr="00613E97">
        <w:rPr>
          <w:color w:val="000000"/>
          <w:sz w:val="24"/>
        </w:rPr>
        <w:t>份额的申购费用由投资者承担，不列入基金资产，用于基金的市场推广、销售、登记等各项费用</w:t>
      </w:r>
      <w:r w:rsidRPr="00613E97">
        <w:rPr>
          <w:rFonts w:hint="eastAsia"/>
          <w:color w:val="000000"/>
          <w:sz w:val="24"/>
        </w:rPr>
        <w:t>。</w:t>
      </w:r>
    </w:p>
    <w:p w:rsidR="0035480D" w:rsidRDefault="009215EA" w:rsidP="0035480D">
      <w:pPr>
        <w:pStyle w:val="30"/>
        <w:keepNext w:val="0"/>
        <w:keepLines w:val="0"/>
        <w:spacing w:before="0" w:after="0" w:line="360" w:lineRule="auto"/>
        <w:rPr>
          <w:rFonts w:ascii="宋体" w:hAnsi="宋体"/>
          <w:bCs w:val="0"/>
          <w:sz w:val="24"/>
          <w:szCs w:val="24"/>
        </w:rPr>
      </w:pPr>
      <w:r w:rsidRPr="00763F03">
        <w:rPr>
          <w:rFonts w:ascii="宋体" w:hAnsi="宋体" w:hint="eastAsia"/>
          <w:bCs w:val="0"/>
          <w:sz w:val="24"/>
          <w:szCs w:val="24"/>
        </w:rPr>
        <w:lastRenderedPageBreak/>
        <w:t>3.2.1前端收费</w:t>
      </w:r>
    </w:p>
    <w:tbl>
      <w:tblPr>
        <w:tblW w:w="4891" w:type="pct"/>
        <w:jc w:val="center"/>
        <w:tblInd w:w="-142" w:type="dxa"/>
        <w:tblBorders>
          <w:top w:val="single" w:sz="12" w:space="0" w:color="0000FF"/>
          <w:bottom w:val="single" w:sz="12" w:space="0" w:color="0000FF"/>
          <w:insideH w:val="single" w:sz="6" w:space="0" w:color="0000FF"/>
        </w:tblBorders>
        <w:tblCellMar>
          <w:left w:w="0" w:type="dxa"/>
          <w:right w:w="0" w:type="dxa"/>
        </w:tblCellMar>
        <w:tblLook w:val="04A0"/>
      </w:tblPr>
      <w:tblGrid>
        <w:gridCol w:w="3615"/>
        <w:gridCol w:w="2543"/>
        <w:gridCol w:w="2184"/>
      </w:tblGrid>
      <w:tr w:rsidR="00613E97" w:rsidRPr="00390050" w:rsidTr="007E19EA">
        <w:trPr>
          <w:jc w:val="center"/>
        </w:trPr>
        <w:tc>
          <w:tcPr>
            <w:tcW w:w="2130" w:type="pct"/>
            <w:tcMar>
              <w:top w:w="0" w:type="dxa"/>
              <w:left w:w="108" w:type="dxa"/>
              <w:bottom w:w="0" w:type="dxa"/>
              <w:right w:w="108" w:type="dxa"/>
            </w:tcMar>
            <w:vAlign w:val="center"/>
          </w:tcPr>
          <w:p w:rsidR="00613E97" w:rsidRPr="00613E97" w:rsidRDefault="00613E97" w:rsidP="00613E97">
            <w:pPr>
              <w:spacing w:line="360" w:lineRule="auto"/>
              <w:rPr>
                <w:color w:val="000000"/>
                <w:sz w:val="24"/>
              </w:rPr>
            </w:pPr>
            <w:r w:rsidRPr="00613E97">
              <w:rPr>
                <w:rFonts w:hint="eastAsia"/>
                <w:color w:val="000000"/>
                <w:sz w:val="24"/>
              </w:rPr>
              <w:t>申</w:t>
            </w:r>
            <w:r w:rsidRPr="00613E97">
              <w:rPr>
                <w:color w:val="000000"/>
                <w:sz w:val="24"/>
              </w:rPr>
              <w:t>购金额（元）</w:t>
            </w:r>
          </w:p>
        </w:tc>
        <w:tc>
          <w:tcPr>
            <w:tcW w:w="1498" w:type="pct"/>
            <w:vAlign w:val="center"/>
          </w:tcPr>
          <w:p w:rsidR="00613E97" w:rsidRPr="00613E97" w:rsidRDefault="00613E97" w:rsidP="00613E97">
            <w:pPr>
              <w:spacing w:line="360" w:lineRule="auto"/>
              <w:rPr>
                <w:color w:val="000000"/>
                <w:sz w:val="24"/>
              </w:rPr>
            </w:pPr>
            <w:r w:rsidRPr="00613E97">
              <w:rPr>
                <w:color w:val="000000"/>
                <w:sz w:val="24"/>
              </w:rPr>
              <w:t>特定</w:t>
            </w:r>
            <w:r w:rsidRPr="00613E97">
              <w:rPr>
                <w:rFonts w:hint="eastAsia"/>
                <w:color w:val="000000"/>
                <w:sz w:val="24"/>
              </w:rPr>
              <w:t>申</w:t>
            </w:r>
            <w:r w:rsidRPr="00613E97">
              <w:rPr>
                <w:color w:val="000000"/>
                <w:sz w:val="24"/>
              </w:rPr>
              <w:t>购费率</w:t>
            </w:r>
          </w:p>
        </w:tc>
        <w:tc>
          <w:tcPr>
            <w:tcW w:w="1287" w:type="pct"/>
            <w:tcMar>
              <w:top w:w="0" w:type="dxa"/>
              <w:left w:w="108" w:type="dxa"/>
              <w:bottom w:w="0" w:type="dxa"/>
              <w:right w:w="108" w:type="dxa"/>
            </w:tcMar>
            <w:vAlign w:val="center"/>
          </w:tcPr>
          <w:p w:rsidR="00613E97" w:rsidRPr="00613E97" w:rsidRDefault="00613E97" w:rsidP="00613E97">
            <w:pPr>
              <w:spacing w:line="360" w:lineRule="auto"/>
              <w:rPr>
                <w:color w:val="000000"/>
                <w:sz w:val="24"/>
              </w:rPr>
            </w:pPr>
            <w:r w:rsidRPr="00613E97">
              <w:rPr>
                <w:rFonts w:hint="eastAsia"/>
                <w:color w:val="000000"/>
                <w:sz w:val="24"/>
              </w:rPr>
              <w:t>申</w:t>
            </w:r>
            <w:r w:rsidRPr="00613E97">
              <w:rPr>
                <w:color w:val="000000"/>
                <w:sz w:val="24"/>
              </w:rPr>
              <w:t>购费率</w:t>
            </w:r>
          </w:p>
        </w:tc>
      </w:tr>
      <w:tr w:rsidR="00613E97" w:rsidRPr="00390050" w:rsidTr="007E19EA">
        <w:trPr>
          <w:jc w:val="center"/>
        </w:trPr>
        <w:tc>
          <w:tcPr>
            <w:tcW w:w="2130" w:type="pct"/>
            <w:tcMar>
              <w:top w:w="0" w:type="dxa"/>
              <w:left w:w="108" w:type="dxa"/>
              <w:bottom w:w="0" w:type="dxa"/>
              <w:right w:w="108" w:type="dxa"/>
            </w:tcMar>
            <w:vAlign w:val="center"/>
          </w:tcPr>
          <w:p w:rsidR="00613E97" w:rsidRPr="00613E97" w:rsidRDefault="00613E97" w:rsidP="00613E97">
            <w:pPr>
              <w:spacing w:line="360" w:lineRule="auto"/>
              <w:rPr>
                <w:color w:val="000000"/>
                <w:sz w:val="24"/>
              </w:rPr>
            </w:pPr>
            <w:r w:rsidRPr="00613E97">
              <w:rPr>
                <w:color w:val="000000"/>
                <w:sz w:val="24"/>
              </w:rPr>
              <w:t>10</w:t>
            </w:r>
            <w:r w:rsidRPr="00613E97">
              <w:rPr>
                <w:color w:val="000000"/>
                <w:sz w:val="24"/>
              </w:rPr>
              <w:t>万以下</w:t>
            </w:r>
          </w:p>
        </w:tc>
        <w:tc>
          <w:tcPr>
            <w:tcW w:w="1498" w:type="pct"/>
            <w:vAlign w:val="center"/>
          </w:tcPr>
          <w:p w:rsidR="00613E97" w:rsidRPr="00613E97" w:rsidRDefault="00613E97" w:rsidP="00613E97">
            <w:pPr>
              <w:spacing w:line="360" w:lineRule="auto"/>
              <w:rPr>
                <w:color w:val="000000"/>
                <w:sz w:val="24"/>
              </w:rPr>
            </w:pPr>
            <w:r w:rsidRPr="00613E97">
              <w:rPr>
                <w:color w:val="000000"/>
                <w:sz w:val="24"/>
              </w:rPr>
              <w:t>0.</w:t>
            </w:r>
            <w:r w:rsidRPr="00613E97">
              <w:rPr>
                <w:rFonts w:hint="eastAsia"/>
                <w:color w:val="000000"/>
                <w:sz w:val="24"/>
              </w:rPr>
              <w:t>18%</w:t>
            </w:r>
          </w:p>
        </w:tc>
        <w:tc>
          <w:tcPr>
            <w:tcW w:w="1287" w:type="pct"/>
            <w:tcMar>
              <w:top w:w="0" w:type="dxa"/>
              <w:left w:w="108" w:type="dxa"/>
              <w:bottom w:w="0" w:type="dxa"/>
              <w:right w:w="108" w:type="dxa"/>
            </w:tcMar>
            <w:vAlign w:val="center"/>
          </w:tcPr>
          <w:p w:rsidR="00613E97" w:rsidRPr="00613E97" w:rsidRDefault="00613E97" w:rsidP="00613E97">
            <w:pPr>
              <w:spacing w:line="360" w:lineRule="auto"/>
              <w:rPr>
                <w:color w:val="000000"/>
                <w:sz w:val="24"/>
              </w:rPr>
            </w:pPr>
            <w:r w:rsidRPr="00613E97">
              <w:rPr>
                <w:rFonts w:hint="eastAsia"/>
                <w:color w:val="000000"/>
                <w:sz w:val="24"/>
              </w:rPr>
              <w:t>0.60</w:t>
            </w:r>
            <w:r w:rsidRPr="00613E97">
              <w:rPr>
                <w:color w:val="000000"/>
                <w:sz w:val="24"/>
              </w:rPr>
              <w:t>%</w:t>
            </w:r>
          </w:p>
        </w:tc>
      </w:tr>
      <w:tr w:rsidR="00613E97" w:rsidRPr="00390050" w:rsidTr="007E19EA">
        <w:trPr>
          <w:jc w:val="center"/>
        </w:trPr>
        <w:tc>
          <w:tcPr>
            <w:tcW w:w="2130" w:type="pct"/>
            <w:tcMar>
              <w:top w:w="0" w:type="dxa"/>
              <w:left w:w="108" w:type="dxa"/>
              <w:bottom w:w="0" w:type="dxa"/>
              <w:right w:w="108" w:type="dxa"/>
            </w:tcMar>
            <w:vAlign w:val="center"/>
          </w:tcPr>
          <w:p w:rsidR="00613E97" w:rsidRPr="00613E97" w:rsidRDefault="00613E97" w:rsidP="00613E97">
            <w:pPr>
              <w:spacing w:line="360" w:lineRule="auto"/>
              <w:rPr>
                <w:color w:val="000000"/>
                <w:sz w:val="24"/>
              </w:rPr>
            </w:pPr>
            <w:r w:rsidRPr="00613E97">
              <w:rPr>
                <w:color w:val="000000"/>
                <w:sz w:val="24"/>
              </w:rPr>
              <w:t>10</w:t>
            </w:r>
            <w:r w:rsidRPr="00613E97">
              <w:rPr>
                <w:color w:val="000000"/>
                <w:sz w:val="24"/>
              </w:rPr>
              <w:t>万（含）～</w:t>
            </w:r>
            <w:r w:rsidRPr="00613E97">
              <w:rPr>
                <w:rFonts w:hint="eastAsia"/>
                <w:color w:val="000000"/>
                <w:sz w:val="24"/>
              </w:rPr>
              <w:t>5</w:t>
            </w:r>
            <w:r w:rsidRPr="00613E97">
              <w:rPr>
                <w:color w:val="000000"/>
                <w:sz w:val="24"/>
              </w:rPr>
              <w:t>0</w:t>
            </w:r>
            <w:r w:rsidRPr="00613E97">
              <w:rPr>
                <w:color w:val="000000"/>
                <w:sz w:val="24"/>
              </w:rPr>
              <w:t>万</w:t>
            </w:r>
          </w:p>
        </w:tc>
        <w:tc>
          <w:tcPr>
            <w:tcW w:w="1498" w:type="pct"/>
            <w:vAlign w:val="center"/>
          </w:tcPr>
          <w:p w:rsidR="00613E97" w:rsidRPr="00613E97" w:rsidRDefault="00613E97" w:rsidP="00613E97">
            <w:pPr>
              <w:spacing w:line="360" w:lineRule="auto"/>
              <w:rPr>
                <w:color w:val="000000"/>
                <w:sz w:val="24"/>
              </w:rPr>
            </w:pPr>
            <w:r w:rsidRPr="00613E97">
              <w:rPr>
                <w:color w:val="000000"/>
                <w:sz w:val="24"/>
              </w:rPr>
              <w:t>0.1</w:t>
            </w:r>
            <w:r w:rsidRPr="00613E97">
              <w:rPr>
                <w:rFonts w:hint="eastAsia"/>
                <w:color w:val="000000"/>
                <w:sz w:val="24"/>
              </w:rPr>
              <w:t>2</w:t>
            </w:r>
            <w:r w:rsidRPr="00613E97">
              <w:rPr>
                <w:color w:val="000000"/>
                <w:sz w:val="24"/>
              </w:rPr>
              <w:t>%</w:t>
            </w:r>
          </w:p>
        </w:tc>
        <w:tc>
          <w:tcPr>
            <w:tcW w:w="1287" w:type="pct"/>
            <w:tcMar>
              <w:top w:w="0" w:type="dxa"/>
              <w:left w:w="108" w:type="dxa"/>
              <w:bottom w:w="0" w:type="dxa"/>
              <w:right w:w="108" w:type="dxa"/>
            </w:tcMar>
            <w:vAlign w:val="center"/>
          </w:tcPr>
          <w:p w:rsidR="00613E97" w:rsidRPr="00613E97" w:rsidRDefault="00613E97" w:rsidP="00613E97">
            <w:pPr>
              <w:spacing w:line="360" w:lineRule="auto"/>
              <w:rPr>
                <w:color w:val="000000"/>
                <w:sz w:val="24"/>
              </w:rPr>
            </w:pPr>
            <w:r w:rsidRPr="00613E97">
              <w:rPr>
                <w:rFonts w:hint="eastAsia"/>
                <w:color w:val="000000"/>
                <w:sz w:val="24"/>
              </w:rPr>
              <w:t>0.40</w:t>
            </w:r>
            <w:r w:rsidRPr="00613E97">
              <w:rPr>
                <w:color w:val="000000"/>
                <w:sz w:val="24"/>
              </w:rPr>
              <w:t>%</w:t>
            </w:r>
          </w:p>
        </w:tc>
      </w:tr>
      <w:tr w:rsidR="00613E97" w:rsidRPr="00390050" w:rsidTr="007E19EA">
        <w:trPr>
          <w:jc w:val="center"/>
        </w:trPr>
        <w:tc>
          <w:tcPr>
            <w:tcW w:w="2130" w:type="pct"/>
            <w:tcMar>
              <w:top w:w="0" w:type="dxa"/>
              <w:left w:w="108" w:type="dxa"/>
              <w:bottom w:w="0" w:type="dxa"/>
              <w:right w:w="108" w:type="dxa"/>
            </w:tcMar>
            <w:vAlign w:val="center"/>
          </w:tcPr>
          <w:p w:rsidR="00613E97" w:rsidRPr="00613E97" w:rsidRDefault="00613E97" w:rsidP="00613E97">
            <w:pPr>
              <w:spacing w:line="360" w:lineRule="auto"/>
              <w:rPr>
                <w:color w:val="000000"/>
                <w:sz w:val="24"/>
              </w:rPr>
            </w:pPr>
            <w:r w:rsidRPr="00613E97">
              <w:rPr>
                <w:rFonts w:hint="eastAsia"/>
                <w:color w:val="000000"/>
                <w:sz w:val="24"/>
              </w:rPr>
              <w:t>5</w:t>
            </w:r>
            <w:r w:rsidRPr="00613E97">
              <w:rPr>
                <w:color w:val="000000"/>
                <w:sz w:val="24"/>
              </w:rPr>
              <w:t>0</w:t>
            </w:r>
            <w:r w:rsidRPr="00613E97">
              <w:rPr>
                <w:color w:val="000000"/>
                <w:sz w:val="24"/>
              </w:rPr>
              <w:t>万（含）～</w:t>
            </w:r>
            <w:r w:rsidRPr="00613E97">
              <w:rPr>
                <w:rFonts w:hint="eastAsia"/>
                <w:color w:val="000000"/>
                <w:sz w:val="24"/>
              </w:rPr>
              <w:t>1</w:t>
            </w:r>
            <w:r w:rsidRPr="00613E97">
              <w:rPr>
                <w:color w:val="000000"/>
                <w:sz w:val="24"/>
              </w:rPr>
              <w:t>00</w:t>
            </w:r>
            <w:r w:rsidRPr="00613E97">
              <w:rPr>
                <w:color w:val="000000"/>
                <w:sz w:val="24"/>
              </w:rPr>
              <w:t>万</w:t>
            </w:r>
          </w:p>
        </w:tc>
        <w:tc>
          <w:tcPr>
            <w:tcW w:w="1498" w:type="pct"/>
            <w:vAlign w:val="center"/>
          </w:tcPr>
          <w:p w:rsidR="00613E97" w:rsidRPr="00613E97" w:rsidRDefault="00613E97" w:rsidP="00613E97">
            <w:pPr>
              <w:spacing w:line="360" w:lineRule="auto"/>
              <w:rPr>
                <w:color w:val="000000"/>
                <w:sz w:val="24"/>
              </w:rPr>
            </w:pPr>
            <w:r w:rsidRPr="00613E97">
              <w:rPr>
                <w:rFonts w:hint="eastAsia"/>
                <w:color w:val="000000"/>
                <w:sz w:val="24"/>
              </w:rPr>
              <w:t>0.06%</w:t>
            </w:r>
          </w:p>
        </w:tc>
        <w:tc>
          <w:tcPr>
            <w:tcW w:w="1287" w:type="pct"/>
            <w:tcMar>
              <w:top w:w="0" w:type="dxa"/>
              <w:left w:w="108" w:type="dxa"/>
              <w:bottom w:w="0" w:type="dxa"/>
              <w:right w:w="108" w:type="dxa"/>
            </w:tcMar>
            <w:vAlign w:val="center"/>
          </w:tcPr>
          <w:p w:rsidR="00613E97" w:rsidRPr="00613E97" w:rsidRDefault="00613E97" w:rsidP="00613E97">
            <w:pPr>
              <w:spacing w:line="360" w:lineRule="auto"/>
              <w:rPr>
                <w:color w:val="000000"/>
                <w:sz w:val="24"/>
              </w:rPr>
            </w:pPr>
            <w:r w:rsidRPr="00613E97">
              <w:rPr>
                <w:rFonts w:hint="eastAsia"/>
                <w:color w:val="000000"/>
                <w:sz w:val="24"/>
              </w:rPr>
              <w:t>0.20%</w:t>
            </w:r>
          </w:p>
        </w:tc>
      </w:tr>
      <w:tr w:rsidR="00613E97" w:rsidRPr="00390050" w:rsidTr="007E19EA">
        <w:trPr>
          <w:jc w:val="center"/>
        </w:trPr>
        <w:tc>
          <w:tcPr>
            <w:tcW w:w="2130" w:type="pct"/>
            <w:tcMar>
              <w:top w:w="0" w:type="dxa"/>
              <w:left w:w="108" w:type="dxa"/>
              <w:bottom w:w="0" w:type="dxa"/>
              <w:right w:w="108" w:type="dxa"/>
            </w:tcMar>
            <w:vAlign w:val="center"/>
          </w:tcPr>
          <w:p w:rsidR="00613E97" w:rsidRPr="00613E97" w:rsidRDefault="00613E97" w:rsidP="00613E97">
            <w:pPr>
              <w:spacing w:line="360" w:lineRule="auto"/>
              <w:rPr>
                <w:color w:val="000000"/>
                <w:sz w:val="24"/>
              </w:rPr>
            </w:pPr>
            <w:r w:rsidRPr="00613E97">
              <w:rPr>
                <w:rFonts w:hint="eastAsia"/>
                <w:color w:val="000000"/>
                <w:sz w:val="24"/>
              </w:rPr>
              <w:t>1</w:t>
            </w:r>
            <w:r w:rsidRPr="00613E97">
              <w:rPr>
                <w:color w:val="000000"/>
                <w:sz w:val="24"/>
              </w:rPr>
              <w:t>00</w:t>
            </w:r>
            <w:r w:rsidRPr="00613E97">
              <w:rPr>
                <w:color w:val="000000"/>
                <w:sz w:val="24"/>
              </w:rPr>
              <w:t>万（含）以上</w:t>
            </w:r>
          </w:p>
        </w:tc>
        <w:tc>
          <w:tcPr>
            <w:tcW w:w="1498" w:type="pct"/>
            <w:vAlign w:val="center"/>
          </w:tcPr>
          <w:p w:rsidR="00613E97" w:rsidRPr="00613E97" w:rsidRDefault="00613E97" w:rsidP="00613E97">
            <w:pPr>
              <w:spacing w:line="360" w:lineRule="auto"/>
              <w:rPr>
                <w:color w:val="000000"/>
                <w:sz w:val="24"/>
              </w:rPr>
            </w:pPr>
            <w:r w:rsidRPr="00613E97">
              <w:rPr>
                <w:rFonts w:hint="eastAsia"/>
                <w:color w:val="000000"/>
                <w:sz w:val="24"/>
              </w:rPr>
              <w:t>150</w:t>
            </w:r>
            <w:r w:rsidRPr="00613E97">
              <w:rPr>
                <w:color w:val="000000"/>
                <w:sz w:val="24"/>
              </w:rPr>
              <w:t>元</w:t>
            </w:r>
            <w:r w:rsidRPr="00613E97">
              <w:rPr>
                <w:color w:val="000000"/>
                <w:sz w:val="24"/>
              </w:rPr>
              <w:t>/</w:t>
            </w:r>
            <w:r w:rsidRPr="00613E97">
              <w:rPr>
                <w:color w:val="000000"/>
                <w:sz w:val="24"/>
              </w:rPr>
              <w:t>笔</w:t>
            </w:r>
          </w:p>
        </w:tc>
        <w:tc>
          <w:tcPr>
            <w:tcW w:w="1287" w:type="pct"/>
            <w:tcMar>
              <w:top w:w="0" w:type="dxa"/>
              <w:left w:w="108" w:type="dxa"/>
              <w:bottom w:w="0" w:type="dxa"/>
              <w:right w:w="108" w:type="dxa"/>
            </w:tcMar>
            <w:vAlign w:val="center"/>
          </w:tcPr>
          <w:p w:rsidR="00613E97" w:rsidRPr="00613E97" w:rsidRDefault="00613E97" w:rsidP="00613E97">
            <w:pPr>
              <w:spacing w:line="360" w:lineRule="auto"/>
              <w:rPr>
                <w:color w:val="000000"/>
                <w:sz w:val="24"/>
              </w:rPr>
            </w:pPr>
            <w:r w:rsidRPr="00613E97">
              <w:rPr>
                <w:rFonts w:hint="eastAsia"/>
                <w:color w:val="000000"/>
                <w:sz w:val="24"/>
              </w:rPr>
              <w:t>500</w:t>
            </w:r>
            <w:r w:rsidRPr="00613E97">
              <w:rPr>
                <w:color w:val="000000"/>
                <w:sz w:val="24"/>
              </w:rPr>
              <w:t>元</w:t>
            </w:r>
            <w:r w:rsidRPr="00613E97">
              <w:rPr>
                <w:color w:val="000000"/>
                <w:sz w:val="24"/>
              </w:rPr>
              <w:t>/</w:t>
            </w:r>
            <w:r w:rsidRPr="00613E97">
              <w:rPr>
                <w:color w:val="000000"/>
                <w:sz w:val="24"/>
              </w:rPr>
              <w:t>笔</w:t>
            </w:r>
          </w:p>
        </w:tc>
      </w:tr>
    </w:tbl>
    <w:p w:rsidR="000D0897" w:rsidRDefault="000D0897" w:rsidP="00B63558">
      <w:pPr>
        <w:pStyle w:val="30"/>
        <w:keepNext w:val="0"/>
        <w:keepLines w:val="0"/>
        <w:spacing w:before="0" w:after="0" w:line="360" w:lineRule="auto"/>
        <w:rPr>
          <w:rFonts w:ascii="宋体" w:hAnsi="宋体"/>
          <w:sz w:val="24"/>
          <w:szCs w:val="24"/>
        </w:rPr>
      </w:pPr>
      <w:r w:rsidRPr="00763F03">
        <w:rPr>
          <w:rFonts w:ascii="宋体" w:hAnsi="宋体" w:hint="eastAsia"/>
          <w:bCs w:val="0"/>
          <w:sz w:val="24"/>
          <w:szCs w:val="24"/>
        </w:rPr>
        <w:t>3.3</w:t>
      </w:r>
      <w:r w:rsidRPr="00763F03">
        <w:rPr>
          <w:rFonts w:ascii="宋体" w:hAnsi="宋体" w:hint="eastAsia"/>
          <w:sz w:val="24"/>
          <w:szCs w:val="24"/>
        </w:rPr>
        <w:t>其他与申购相关的事项</w:t>
      </w:r>
    </w:p>
    <w:p w:rsidR="007E19EA" w:rsidRPr="007E19EA" w:rsidRDefault="00645AD2" w:rsidP="007E19EA">
      <w:pPr>
        <w:spacing w:line="360" w:lineRule="auto"/>
        <w:ind w:firstLineChars="200" w:firstLine="480"/>
        <w:rPr>
          <w:color w:val="000000"/>
          <w:sz w:val="24"/>
        </w:rPr>
      </w:pPr>
      <w:r w:rsidRPr="007E19EA">
        <w:rPr>
          <w:rFonts w:hint="eastAsia"/>
          <w:color w:val="000000"/>
          <w:sz w:val="24"/>
        </w:rPr>
        <w:t>1</w:t>
      </w:r>
      <w:r w:rsidRPr="007E19EA">
        <w:rPr>
          <w:rFonts w:hint="eastAsia"/>
          <w:color w:val="000000"/>
          <w:sz w:val="24"/>
        </w:rPr>
        <w:t>、</w:t>
      </w:r>
      <w:r w:rsidR="007E19EA" w:rsidRPr="007E19EA">
        <w:rPr>
          <w:rFonts w:hint="eastAsia"/>
          <w:color w:val="000000"/>
          <w:sz w:val="24"/>
        </w:rPr>
        <w:t>在开放期内，</w:t>
      </w:r>
      <w:r w:rsidR="007E19EA" w:rsidRPr="007E19EA">
        <w:rPr>
          <w:color w:val="000000"/>
          <w:sz w:val="24"/>
        </w:rPr>
        <w:t>基金管理人应以交易时间结束前受理</w:t>
      </w:r>
      <w:r w:rsidR="007E19EA" w:rsidRPr="007E19EA">
        <w:rPr>
          <w:rFonts w:hint="eastAsia"/>
          <w:color w:val="000000"/>
          <w:sz w:val="24"/>
        </w:rPr>
        <w:t>有效</w:t>
      </w:r>
      <w:r w:rsidR="007E19EA" w:rsidRPr="007E19EA">
        <w:rPr>
          <w:color w:val="000000"/>
          <w:sz w:val="24"/>
        </w:rPr>
        <w:t>申购申请的当天作为申购申请日</w:t>
      </w:r>
      <w:r w:rsidR="007E19EA" w:rsidRPr="007E19EA">
        <w:rPr>
          <w:color w:val="000000"/>
          <w:sz w:val="24"/>
        </w:rPr>
        <w:t>(T</w:t>
      </w:r>
      <w:r w:rsidR="007E19EA" w:rsidRPr="007E19EA">
        <w:rPr>
          <w:color w:val="000000"/>
          <w:sz w:val="24"/>
        </w:rPr>
        <w:t>日</w:t>
      </w:r>
      <w:r w:rsidR="007E19EA" w:rsidRPr="007E19EA">
        <w:rPr>
          <w:color w:val="000000"/>
          <w:sz w:val="24"/>
        </w:rPr>
        <w:t>)</w:t>
      </w:r>
      <w:r w:rsidR="007E19EA" w:rsidRPr="007E19EA">
        <w:rPr>
          <w:color w:val="000000"/>
          <w:sz w:val="24"/>
        </w:rPr>
        <w:t>，在正常情况下，本基金登记机构在</w:t>
      </w:r>
      <w:r w:rsidR="007E19EA" w:rsidRPr="007E19EA">
        <w:rPr>
          <w:color w:val="000000"/>
          <w:sz w:val="24"/>
        </w:rPr>
        <w:t>T+</w:t>
      </w:r>
      <w:r w:rsidR="007E19EA" w:rsidRPr="007E19EA">
        <w:rPr>
          <w:rFonts w:hint="eastAsia"/>
          <w:color w:val="000000"/>
          <w:sz w:val="24"/>
        </w:rPr>
        <w:t>1</w:t>
      </w:r>
      <w:r w:rsidR="007E19EA" w:rsidRPr="007E19EA">
        <w:rPr>
          <w:color w:val="000000"/>
          <w:sz w:val="24"/>
        </w:rPr>
        <w:t>日内对该交易的有效性进行确认。</w:t>
      </w:r>
      <w:r w:rsidR="007E19EA" w:rsidRPr="007E19EA">
        <w:rPr>
          <w:color w:val="000000"/>
          <w:sz w:val="24"/>
        </w:rPr>
        <w:t>T</w:t>
      </w:r>
      <w:r w:rsidR="007E19EA" w:rsidRPr="007E19EA">
        <w:rPr>
          <w:color w:val="000000"/>
          <w:sz w:val="24"/>
        </w:rPr>
        <w:t>日提交的有效申请，投资人</w:t>
      </w:r>
      <w:r w:rsidR="007E19EA" w:rsidRPr="007E19EA">
        <w:rPr>
          <w:rFonts w:hint="eastAsia"/>
          <w:color w:val="000000"/>
          <w:sz w:val="24"/>
        </w:rPr>
        <w:t>应</w:t>
      </w:r>
      <w:r w:rsidR="007E19EA" w:rsidRPr="007E19EA">
        <w:rPr>
          <w:color w:val="000000"/>
          <w:sz w:val="24"/>
        </w:rPr>
        <w:t>在</w:t>
      </w:r>
      <w:r w:rsidR="007E19EA" w:rsidRPr="007E19EA">
        <w:rPr>
          <w:color w:val="000000"/>
          <w:sz w:val="24"/>
        </w:rPr>
        <w:t>T+</w:t>
      </w:r>
      <w:r w:rsidR="007E19EA" w:rsidRPr="007E19EA">
        <w:rPr>
          <w:rFonts w:hint="eastAsia"/>
          <w:color w:val="000000"/>
          <w:sz w:val="24"/>
        </w:rPr>
        <w:t>2</w:t>
      </w:r>
      <w:r w:rsidR="007E19EA" w:rsidRPr="007E19EA">
        <w:rPr>
          <w:color w:val="000000"/>
          <w:sz w:val="24"/>
        </w:rPr>
        <w:t>日后</w:t>
      </w:r>
      <w:r w:rsidR="007E19EA" w:rsidRPr="007E19EA">
        <w:rPr>
          <w:color w:val="000000"/>
          <w:sz w:val="24"/>
        </w:rPr>
        <w:t>(</w:t>
      </w:r>
      <w:r w:rsidR="007E19EA" w:rsidRPr="007E19EA">
        <w:rPr>
          <w:color w:val="000000"/>
          <w:sz w:val="24"/>
        </w:rPr>
        <w:t>包括该日</w:t>
      </w:r>
      <w:r w:rsidR="007E19EA" w:rsidRPr="007E19EA">
        <w:rPr>
          <w:color w:val="000000"/>
          <w:sz w:val="24"/>
        </w:rPr>
        <w:t>)</w:t>
      </w:r>
      <w:r w:rsidR="007E19EA" w:rsidRPr="007E19EA">
        <w:rPr>
          <w:rFonts w:hint="eastAsia"/>
          <w:color w:val="000000"/>
          <w:sz w:val="24"/>
        </w:rPr>
        <w:t>及时</w:t>
      </w:r>
      <w:r w:rsidR="007E19EA" w:rsidRPr="007E19EA">
        <w:rPr>
          <w:color w:val="000000"/>
          <w:sz w:val="24"/>
        </w:rPr>
        <w:t>到销售网点柜台或以销售机构规定的其他方式查询申请的确认情况。若申购不成功，则申购款项</w:t>
      </w:r>
      <w:r w:rsidR="007E19EA" w:rsidRPr="007E19EA">
        <w:rPr>
          <w:rFonts w:hint="eastAsia"/>
          <w:color w:val="000000"/>
          <w:sz w:val="24"/>
        </w:rPr>
        <w:t>本金</w:t>
      </w:r>
      <w:r w:rsidR="007E19EA" w:rsidRPr="007E19EA">
        <w:rPr>
          <w:color w:val="000000"/>
          <w:sz w:val="24"/>
        </w:rPr>
        <w:t>退还给投资人。</w:t>
      </w:r>
    </w:p>
    <w:p w:rsidR="00645AD2" w:rsidRPr="007E19EA" w:rsidRDefault="007E19EA" w:rsidP="007E19EA">
      <w:pPr>
        <w:spacing w:line="360" w:lineRule="auto"/>
        <w:ind w:firstLineChars="200" w:firstLine="480"/>
        <w:rPr>
          <w:color w:val="000000"/>
          <w:sz w:val="24"/>
        </w:rPr>
      </w:pPr>
      <w:r w:rsidRPr="007E19EA">
        <w:rPr>
          <w:rFonts w:hint="eastAsia"/>
          <w:color w:val="000000"/>
          <w:sz w:val="24"/>
        </w:rPr>
        <w:t>销售机构对申购申请的受理并不代表申请一定成功，而仅代表销售机构确实接收到申请。申购的确认以登记机构的确认结果为准。对于申请的确认情况，投资者应及时查询。</w:t>
      </w:r>
    </w:p>
    <w:p w:rsidR="00645AD2" w:rsidRPr="00645AD2" w:rsidRDefault="00645AD2" w:rsidP="00645AD2">
      <w:pPr>
        <w:spacing w:line="360" w:lineRule="auto"/>
        <w:ind w:firstLineChars="200" w:firstLine="480"/>
        <w:rPr>
          <w:color w:val="000000"/>
          <w:sz w:val="24"/>
        </w:rPr>
      </w:pPr>
      <w:r>
        <w:rPr>
          <w:rFonts w:hint="eastAsia"/>
          <w:color w:val="000000"/>
          <w:sz w:val="24"/>
        </w:rPr>
        <w:t>2</w:t>
      </w:r>
      <w:r>
        <w:rPr>
          <w:rFonts w:hint="eastAsia"/>
          <w:color w:val="000000"/>
          <w:sz w:val="24"/>
        </w:rPr>
        <w:t>、</w:t>
      </w:r>
      <w:r w:rsidR="007E19EA" w:rsidRPr="007E19EA">
        <w:rPr>
          <w:color w:val="000000"/>
          <w:sz w:val="24"/>
        </w:rPr>
        <w:t>投资人申购基金份额时，必须全额交付申购款项，投资人交付</w:t>
      </w:r>
      <w:r w:rsidR="007E19EA" w:rsidRPr="007E19EA">
        <w:rPr>
          <w:rFonts w:hint="eastAsia"/>
          <w:color w:val="000000"/>
          <w:sz w:val="24"/>
        </w:rPr>
        <w:t>申购</w:t>
      </w:r>
      <w:r w:rsidR="007E19EA" w:rsidRPr="007E19EA">
        <w:rPr>
          <w:color w:val="000000"/>
          <w:sz w:val="24"/>
        </w:rPr>
        <w:t>款项</w:t>
      </w:r>
      <w:r w:rsidR="007E19EA" w:rsidRPr="007E19EA">
        <w:rPr>
          <w:rFonts w:hint="eastAsia"/>
          <w:color w:val="000000"/>
          <w:sz w:val="24"/>
        </w:rPr>
        <w:t>的</w:t>
      </w:r>
      <w:r w:rsidR="007E19EA" w:rsidRPr="007E19EA">
        <w:rPr>
          <w:color w:val="000000"/>
          <w:sz w:val="24"/>
        </w:rPr>
        <w:t>，</w:t>
      </w:r>
      <w:r w:rsidR="007E19EA" w:rsidRPr="007E19EA">
        <w:rPr>
          <w:rFonts w:hint="eastAsia"/>
          <w:color w:val="000000"/>
          <w:sz w:val="24"/>
        </w:rPr>
        <w:t>申购成立；登记机构确认基金份额时，申购生效。若申购款项在规定时间内未全额到账，则申购不成立</w:t>
      </w:r>
      <w:r w:rsidR="007E19EA" w:rsidRPr="007E19EA">
        <w:rPr>
          <w:color w:val="000000"/>
          <w:sz w:val="24"/>
        </w:rPr>
        <w:t>。</w:t>
      </w:r>
    </w:p>
    <w:p w:rsidR="007E19EA" w:rsidRPr="007E19EA" w:rsidRDefault="007E19EA" w:rsidP="007E19EA">
      <w:pPr>
        <w:spacing w:line="360" w:lineRule="auto"/>
        <w:ind w:firstLineChars="200" w:firstLine="480"/>
        <w:rPr>
          <w:color w:val="000000"/>
          <w:sz w:val="24"/>
        </w:rPr>
      </w:pPr>
      <w:r w:rsidRPr="007E19EA">
        <w:rPr>
          <w:color w:val="000000"/>
          <w:sz w:val="24"/>
        </w:rPr>
        <w:t>3</w:t>
      </w:r>
      <w:r w:rsidRPr="007E19EA">
        <w:rPr>
          <w:color w:val="000000"/>
          <w:sz w:val="24"/>
        </w:rPr>
        <w:t>、基金管理人可以在基金合同约定的范围内调整费率或收费方式，并最迟应于新的费率或收费方式实施日前依照《信息披露办法》的有关规定在指定媒介上公告。</w:t>
      </w:r>
    </w:p>
    <w:p w:rsidR="007E19EA" w:rsidRPr="007E19EA" w:rsidRDefault="007E19EA" w:rsidP="007E19EA">
      <w:pPr>
        <w:spacing w:line="360" w:lineRule="auto"/>
        <w:ind w:firstLineChars="200" w:firstLine="480"/>
        <w:rPr>
          <w:color w:val="000000"/>
          <w:sz w:val="24"/>
        </w:rPr>
      </w:pPr>
      <w:r w:rsidRPr="007E19EA">
        <w:rPr>
          <w:color w:val="000000"/>
          <w:sz w:val="24"/>
        </w:rPr>
        <w:t>4</w:t>
      </w:r>
      <w:r w:rsidRPr="007E19EA">
        <w:rPr>
          <w:color w:val="000000"/>
          <w:sz w:val="24"/>
        </w:rPr>
        <w:t>、对特定交易方式（如网上交易、电话交易等），基金管理人履行适当程序后可以采用低于柜台交易方式的基金申购费率和基金赎回费率。</w:t>
      </w:r>
    </w:p>
    <w:p w:rsidR="00645AD2" w:rsidRPr="00645AD2" w:rsidRDefault="007E19EA" w:rsidP="007E19EA">
      <w:pPr>
        <w:spacing w:line="360" w:lineRule="auto"/>
        <w:ind w:firstLineChars="200" w:firstLine="480"/>
        <w:rPr>
          <w:color w:val="000000"/>
          <w:sz w:val="24"/>
        </w:rPr>
      </w:pPr>
      <w:r w:rsidRPr="007E19EA">
        <w:rPr>
          <w:color w:val="000000"/>
          <w:sz w:val="24"/>
        </w:rPr>
        <w:t>5</w:t>
      </w:r>
      <w:r w:rsidRPr="007E19EA">
        <w:rPr>
          <w:color w:val="000000"/>
          <w:sz w:val="24"/>
        </w:rPr>
        <w:t>、基金管理人可以在不违背法律法规规定及基金合同约定的情况下根据市场情况制定基金促销计划，针对基金投资者定期和不定期地开展基金促销活动。</w:t>
      </w:r>
    </w:p>
    <w:p w:rsidR="00A8036E" w:rsidRPr="00763F03" w:rsidRDefault="00902FCC" w:rsidP="00B63558">
      <w:pPr>
        <w:pStyle w:val="30"/>
        <w:keepNext w:val="0"/>
        <w:keepLines w:val="0"/>
        <w:spacing w:before="0" w:after="0" w:line="360" w:lineRule="auto"/>
        <w:rPr>
          <w:rFonts w:ascii="宋体" w:hAnsi="宋体"/>
          <w:bCs w:val="0"/>
          <w:sz w:val="24"/>
          <w:szCs w:val="24"/>
        </w:rPr>
      </w:pPr>
      <w:r>
        <w:rPr>
          <w:rFonts w:ascii="宋体" w:hAnsi="宋体"/>
          <w:bCs w:val="0"/>
          <w:sz w:val="24"/>
          <w:szCs w:val="24"/>
        </w:rPr>
        <w:t>4.日常赎回业务</w:t>
      </w:r>
    </w:p>
    <w:p w:rsidR="00A8036E" w:rsidRPr="00763F03" w:rsidRDefault="00902FCC" w:rsidP="00B63558">
      <w:pPr>
        <w:pStyle w:val="30"/>
        <w:keepNext w:val="0"/>
        <w:keepLines w:val="0"/>
        <w:spacing w:before="0" w:after="0" w:line="360" w:lineRule="auto"/>
        <w:rPr>
          <w:rFonts w:ascii="宋体" w:hAnsi="宋体"/>
          <w:sz w:val="24"/>
          <w:szCs w:val="24"/>
        </w:rPr>
      </w:pPr>
      <w:r>
        <w:rPr>
          <w:rFonts w:ascii="宋体" w:hAnsi="宋体"/>
          <w:bCs w:val="0"/>
          <w:sz w:val="24"/>
          <w:szCs w:val="24"/>
        </w:rPr>
        <w:t>4.1赎回份额限制</w:t>
      </w:r>
    </w:p>
    <w:p w:rsidR="00E01CF9" w:rsidRDefault="00962D5A" w:rsidP="00B63558">
      <w:pPr>
        <w:pStyle w:val="30"/>
        <w:keepNext w:val="0"/>
        <w:keepLines w:val="0"/>
        <w:spacing w:before="0" w:after="0" w:line="360" w:lineRule="auto"/>
        <w:rPr>
          <w:b w:val="0"/>
          <w:bCs w:val="0"/>
          <w:color w:val="000000"/>
          <w:sz w:val="24"/>
          <w:szCs w:val="24"/>
        </w:rPr>
      </w:pPr>
      <w:r>
        <w:rPr>
          <w:rFonts w:hint="eastAsia"/>
          <w:b w:val="0"/>
          <w:bCs w:val="0"/>
          <w:color w:val="000000"/>
          <w:sz w:val="24"/>
          <w:szCs w:val="24"/>
        </w:rPr>
        <w:t xml:space="preserve">    </w:t>
      </w:r>
      <w:r w:rsidR="009A1F02">
        <w:rPr>
          <w:rFonts w:hint="eastAsia"/>
          <w:b w:val="0"/>
          <w:bCs w:val="0"/>
          <w:color w:val="000000"/>
          <w:sz w:val="24"/>
          <w:szCs w:val="24"/>
        </w:rPr>
        <w:t>1</w:t>
      </w:r>
      <w:r w:rsidR="009A1F02">
        <w:rPr>
          <w:rFonts w:hint="eastAsia"/>
          <w:b w:val="0"/>
          <w:bCs w:val="0"/>
          <w:color w:val="000000"/>
          <w:sz w:val="24"/>
          <w:szCs w:val="24"/>
        </w:rPr>
        <w:t>、</w:t>
      </w:r>
      <w:r w:rsidR="00E16093" w:rsidRPr="00E16093">
        <w:rPr>
          <w:rFonts w:hint="eastAsia"/>
          <w:b w:val="0"/>
          <w:bCs w:val="0"/>
          <w:color w:val="000000"/>
          <w:sz w:val="24"/>
          <w:szCs w:val="24"/>
        </w:rPr>
        <w:t>基金</w:t>
      </w:r>
      <w:r w:rsidR="00E16093" w:rsidRPr="00E16093">
        <w:rPr>
          <w:b w:val="0"/>
          <w:bCs w:val="0"/>
          <w:color w:val="000000"/>
          <w:sz w:val="24"/>
          <w:szCs w:val="24"/>
        </w:rPr>
        <w:t>份额持有人在销售机构赎回时，每笔赎回申请不得低于</w:t>
      </w:r>
      <w:r w:rsidR="00E16093" w:rsidRPr="00E16093">
        <w:rPr>
          <w:rFonts w:hint="eastAsia"/>
          <w:b w:val="0"/>
          <w:bCs w:val="0"/>
          <w:color w:val="000000"/>
          <w:sz w:val="24"/>
          <w:szCs w:val="24"/>
        </w:rPr>
        <w:t>1000</w:t>
      </w:r>
      <w:r w:rsidR="00E16093" w:rsidRPr="00E16093">
        <w:rPr>
          <w:b w:val="0"/>
          <w:bCs w:val="0"/>
          <w:color w:val="000000"/>
          <w:sz w:val="24"/>
          <w:szCs w:val="24"/>
        </w:rPr>
        <w:t>份</w:t>
      </w:r>
      <w:r w:rsidR="00E16093" w:rsidRPr="00E16093">
        <w:rPr>
          <w:rFonts w:hint="eastAsia"/>
          <w:b w:val="0"/>
          <w:bCs w:val="0"/>
          <w:color w:val="000000"/>
          <w:sz w:val="24"/>
          <w:szCs w:val="24"/>
        </w:rPr>
        <w:t>基金</w:t>
      </w:r>
      <w:r w:rsidR="00E16093" w:rsidRPr="00E16093">
        <w:rPr>
          <w:b w:val="0"/>
          <w:bCs w:val="0"/>
          <w:color w:val="000000"/>
          <w:sz w:val="24"/>
          <w:szCs w:val="24"/>
        </w:rPr>
        <w:t>份额</w:t>
      </w:r>
      <w:r w:rsidR="00E16093" w:rsidRPr="00E16093">
        <w:rPr>
          <w:rFonts w:hint="eastAsia"/>
          <w:b w:val="0"/>
          <w:bCs w:val="0"/>
          <w:color w:val="000000"/>
          <w:sz w:val="24"/>
          <w:szCs w:val="24"/>
        </w:rPr>
        <w:t>（但交易账户内剩余基金份额不足</w:t>
      </w:r>
      <w:r w:rsidR="00E16093" w:rsidRPr="00E16093">
        <w:rPr>
          <w:rFonts w:hint="eastAsia"/>
          <w:b w:val="0"/>
          <w:bCs w:val="0"/>
          <w:color w:val="000000"/>
          <w:sz w:val="24"/>
          <w:szCs w:val="24"/>
        </w:rPr>
        <w:t>1000</w:t>
      </w:r>
      <w:r w:rsidR="00E16093" w:rsidRPr="00E16093">
        <w:rPr>
          <w:rFonts w:hint="eastAsia"/>
          <w:b w:val="0"/>
          <w:bCs w:val="0"/>
          <w:color w:val="000000"/>
          <w:sz w:val="24"/>
          <w:szCs w:val="24"/>
        </w:rPr>
        <w:t>份的除外）</w:t>
      </w:r>
      <w:r w:rsidR="00E16093" w:rsidRPr="00E16093">
        <w:rPr>
          <w:b w:val="0"/>
          <w:bCs w:val="0"/>
          <w:color w:val="000000"/>
          <w:sz w:val="24"/>
          <w:szCs w:val="24"/>
        </w:rPr>
        <w:t>；</w:t>
      </w:r>
      <w:r w:rsidR="00E16093" w:rsidRPr="00E16093">
        <w:rPr>
          <w:rFonts w:hint="eastAsia"/>
          <w:b w:val="0"/>
          <w:bCs w:val="0"/>
          <w:color w:val="000000"/>
          <w:sz w:val="24"/>
          <w:szCs w:val="24"/>
        </w:rPr>
        <w:t>基金</w:t>
      </w:r>
      <w:r w:rsidR="00E16093" w:rsidRPr="00E16093">
        <w:rPr>
          <w:b w:val="0"/>
          <w:bCs w:val="0"/>
          <w:color w:val="000000"/>
          <w:sz w:val="24"/>
          <w:szCs w:val="24"/>
        </w:rPr>
        <w:t>份额持有人在销售机构（网点）的某一交易账户内</w:t>
      </w:r>
      <w:r w:rsidR="00E16093" w:rsidRPr="00E16093">
        <w:rPr>
          <w:rFonts w:hint="eastAsia"/>
          <w:b w:val="0"/>
          <w:bCs w:val="0"/>
          <w:color w:val="000000"/>
          <w:sz w:val="24"/>
          <w:szCs w:val="24"/>
        </w:rPr>
        <w:t>基金份额</w:t>
      </w:r>
      <w:r w:rsidR="00E16093" w:rsidRPr="00E16093">
        <w:rPr>
          <w:b w:val="0"/>
          <w:bCs w:val="0"/>
          <w:color w:val="000000"/>
          <w:sz w:val="24"/>
          <w:szCs w:val="24"/>
        </w:rPr>
        <w:t>不足</w:t>
      </w:r>
      <w:r w:rsidR="00E16093" w:rsidRPr="00E16093">
        <w:rPr>
          <w:b w:val="0"/>
          <w:bCs w:val="0"/>
          <w:color w:val="000000"/>
          <w:sz w:val="24"/>
          <w:szCs w:val="24"/>
        </w:rPr>
        <w:t>10</w:t>
      </w:r>
      <w:r w:rsidR="00E16093" w:rsidRPr="00E16093">
        <w:rPr>
          <w:rFonts w:hint="eastAsia"/>
          <w:b w:val="0"/>
          <w:bCs w:val="0"/>
          <w:color w:val="000000"/>
          <w:sz w:val="24"/>
          <w:szCs w:val="24"/>
        </w:rPr>
        <w:t>00</w:t>
      </w:r>
      <w:r w:rsidR="00E16093" w:rsidRPr="00E16093">
        <w:rPr>
          <w:b w:val="0"/>
          <w:bCs w:val="0"/>
          <w:color w:val="000000"/>
          <w:sz w:val="24"/>
          <w:szCs w:val="24"/>
        </w:rPr>
        <w:t>份的，应一次性全部赎回。</w:t>
      </w:r>
    </w:p>
    <w:p w:rsidR="009A1F02" w:rsidRPr="009A1F02" w:rsidRDefault="009A1F02" w:rsidP="009A1F02">
      <w:pPr>
        <w:spacing w:line="360" w:lineRule="auto"/>
        <w:ind w:firstLineChars="200" w:firstLine="480"/>
        <w:rPr>
          <w:color w:val="000000"/>
          <w:sz w:val="24"/>
        </w:rPr>
      </w:pPr>
      <w:r w:rsidRPr="009A1F02">
        <w:rPr>
          <w:rFonts w:hint="eastAsia"/>
          <w:color w:val="000000"/>
          <w:sz w:val="24"/>
        </w:rPr>
        <w:t>2</w:t>
      </w:r>
      <w:r w:rsidRPr="009A1F02">
        <w:rPr>
          <w:rFonts w:hint="eastAsia"/>
          <w:color w:val="000000"/>
          <w:sz w:val="24"/>
        </w:rPr>
        <w:t>、</w:t>
      </w:r>
      <w:r w:rsidR="00E16093" w:rsidRPr="00E16093">
        <w:rPr>
          <w:color w:val="000000"/>
          <w:sz w:val="24"/>
        </w:rPr>
        <w:t>基金管理人可</w:t>
      </w:r>
      <w:r w:rsidR="00E16093" w:rsidRPr="00E16093">
        <w:rPr>
          <w:rFonts w:hint="eastAsia"/>
          <w:color w:val="000000"/>
          <w:sz w:val="24"/>
        </w:rPr>
        <w:t>根据市场情况，</w:t>
      </w:r>
      <w:r w:rsidR="00E16093" w:rsidRPr="00E16093">
        <w:rPr>
          <w:color w:val="000000"/>
          <w:sz w:val="24"/>
        </w:rPr>
        <w:t>在法律法规允许的情况下，调整上述规定赎回份额的数量限制。基金管理人必须在调整</w:t>
      </w:r>
      <w:r w:rsidR="00E16093" w:rsidRPr="00E16093">
        <w:rPr>
          <w:rFonts w:hint="eastAsia"/>
          <w:color w:val="000000"/>
          <w:sz w:val="24"/>
        </w:rPr>
        <w:t>实施</w:t>
      </w:r>
      <w:r w:rsidR="00E16093" w:rsidRPr="00E16093">
        <w:rPr>
          <w:color w:val="000000"/>
          <w:sz w:val="24"/>
        </w:rPr>
        <w:t>前依照《信息披露办法》的有关规定在指定媒</w:t>
      </w:r>
      <w:r w:rsidR="00E16093" w:rsidRPr="00E16093">
        <w:rPr>
          <w:rFonts w:hint="eastAsia"/>
          <w:color w:val="000000"/>
          <w:sz w:val="24"/>
        </w:rPr>
        <w:t>介</w:t>
      </w:r>
      <w:r w:rsidR="00E16093" w:rsidRPr="00E16093">
        <w:rPr>
          <w:color w:val="000000"/>
          <w:sz w:val="24"/>
        </w:rPr>
        <w:t>上公告。</w:t>
      </w:r>
    </w:p>
    <w:p w:rsidR="003962FB" w:rsidRDefault="00902FCC" w:rsidP="00B63558">
      <w:pPr>
        <w:pStyle w:val="30"/>
        <w:keepNext w:val="0"/>
        <w:keepLines w:val="0"/>
        <w:spacing w:before="0" w:after="0" w:line="360" w:lineRule="auto"/>
        <w:rPr>
          <w:rFonts w:ascii="宋体" w:hAnsi="宋体"/>
          <w:sz w:val="24"/>
          <w:szCs w:val="24"/>
        </w:rPr>
      </w:pPr>
      <w:r>
        <w:rPr>
          <w:rFonts w:ascii="宋体" w:hAnsi="宋体"/>
          <w:bCs w:val="0"/>
          <w:sz w:val="24"/>
          <w:szCs w:val="24"/>
        </w:rPr>
        <w:t>4.2赎回费率</w:t>
      </w:r>
    </w:p>
    <w:p w:rsidR="00193FD2" w:rsidRPr="00E16093" w:rsidRDefault="00E16093" w:rsidP="00E16093">
      <w:pPr>
        <w:spacing w:line="360" w:lineRule="auto"/>
        <w:ind w:firstLineChars="200" w:firstLine="480"/>
        <w:rPr>
          <w:color w:val="000000"/>
          <w:sz w:val="24"/>
        </w:rPr>
      </w:pPr>
      <w:r w:rsidRPr="00E16093">
        <w:rPr>
          <w:color w:val="000000"/>
          <w:sz w:val="24"/>
        </w:rPr>
        <w:t>赎回费用由赎回</w:t>
      </w:r>
      <w:r w:rsidRPr="00E16093">
        <w:rPr>
          <w:rFonts w:hint="eastAsia"/>
          <w:color w:val="000000"/>
          <w:sz w:val="24"/>
        </w:rPr>
        <w:t>基金</w:t>
      </w:r>
      <w:r w:rsidRPr="00E16093">
        <w:rPr>
          <w:color w:val="000000"/>
          <w:sz w:val="24"/>
        </w:rPr>
        <w:t>份额的基金份额持有人承担，在基金份额持有人赎回</w:t>
      </w:r>
      <w:r w:rsidRPr="00E16093">
        <w:rPr>
          <w:rFonts w:hint="eastAsia"/>
          <w:color w:val="000000"/>
          <w:sz w:val="24"/>
        </w:rPr>
        <w:t>基金</w:t>
      </w:r>
      <w:r w:rsidRPr="00E16093">
        <w:rPr>
          <w:color w:val="000000"/>
          <w:sz w:val="24"/>
        </w:rPr>
        <w:t>份额时收取。</w:t>
      </w:r>
      <w:r w:rsidRPr="00E16093">
        <w:rPr>
          <w:rFonts w:hint="eastAsia"/>
          <w:color w:val="000000"/>
          <w:sz w:val="24"/>
        </w:rPr>
        <w:t>对于持有基金份额期限小于</w:t>
      </w:r>
      <w:r w:rsidRPr="00E16093">
        <w:rPr>
          <w:color w:val="000000"/>
          <w:sz w:val="24"/>
        </w:rPr>
        <w:t>30</w:t>
      </w:r>
      <w:r w:rsidRPr="00E16093">
        <w:rPr>
          <w:rFonts w:hint="eastAsia"/>
          <w:color w:val="000000"/>
          <w:sz w:val="24"/>
        </w:rPr>
        <w:t>天的，应将赎回费总额的</w:t>
      </w:r>
      <w:r w:rsidRPr="00E16093">
        <w:rPr>
          <w:color w:val="000000"/>
          <w:sz w:val="24"/>
        </w:rPr>
        <w:t>100%</w:t>
      </w:r>
      <w:r w:rsidRPr="00E16093">
        <w:rPr>
          <w:rFonts w:hint="eastAsia"/>
          <w:color w:val="000000"/>
          <w:sz w:val="24"/>
        </w:rPr>
        <w:t>归入基金财产；对于持有基金份额期限在</w:t>
      </w:r>
      <w:r w:rsidRPr="00E16093">
        <w:rPr>
          <w:color w:val="000000"/>
          <w:sz w:val="24"/>
        </w:rPr>
        <w:t>30</w:t>
      </w:r>
      <w:r w:rsidRPr="00E16093">
        <w:rPr>
          <w:rFonts w:hint="eastAsia"/>
          <w:color w:val="000000"/>
          <w:sz w:val="24"/>
        </w:rPr>
        <w:t>天（含）以上但少于</w:t>
      </w:r>
      <w:r w:rsidRPr="00E16093">
        <w:rPr>
          <w:color w:val="000000"/>
          <w:sz w:val="24"/>
        </w:rPr>
        <w:t>3</w:t>
      </w:r>
      <w:r w:rsidRPr="00E16093">
        <w:rPr>
          <w:rFonts w:hint="eastAsia"/>
          <w:color w:val="000000"/>
          <w:sz w:val="24"/>
        </w:rPr>
        <w:t>个月的，应将不低于赎回费总额的</w:t>
      </w:r>
      <w:r w:rsidRPr="00E16093">
        <w:rPr>
          <w:color w:val="000000"/>
          <w:sz w:val="24"/>
        </w:rPr>
        <w:t>75%</w:t>
      </w:r>
      <w:r w:rsidRPr="00E16093">
        <w:rPr>
          <w:rFonts w:hint="eastAsia"/>
          <w:color w:val="000000"/>
          <w:sz w:val="24"/>
        </w:rPr>
        <w:t>应归基金财产，对持续持有期长于</w:t>
      </w:r>
      <w:r w:rsidRPr="00E16093">
        <w:rPr>
          <w:color w:val="000000"/>
          <w:sz w:val="24"/>
        </w:rPr>
        <w:t>3</w:t>
      </w:r>
      <w:r w:rsidRPr="00E16093">
        <w:rPr>
          <w:rFonts w:hint="eastAsia"/>
          <w:color w:val="000000"/>
          <w:sz w:val="24"/>
        </w:rPr>
        <w:t>个月但少于</w:t>
      </w:r>
      <w:r w:rsidRPr="00E16093">
        <w:rPr>
          <w:color w:val="000000"/>
          <w:sz w:val="24"/>
        </w:rPr>
        <w:t>6</w:t>
      </w:r>
      <w:r w:rsidRPr="00E16093">
        <w:rPr>
          <w:rFonts w:hint="eastAsia"/>
          <w:color w:val="000000"/>
          <w:sz w:val="24"/>
        </w:rPr>
        <w:t>个月的，应将不低于赎回费总额的</w:t>
      </w:r>
      <w:r w:rsidRPr="00E16093">
        <w:rPr>
          <w:color w:val="000000"/>
          <w:sz w:val="24"/>
        </w:rPr>
        <w:t>50%</w:t>
      </w:r>
      <w:r w:rsidRPr="00E16093">
        <w:rPr>
          <w:rFonts w:hint="eastAsia"/>
          <w:color w:val="000000"/>
          <w:sz w:val="24"/>
        </w:rPr>
        <w:t>计入基金财产；对持续持有期长于</w:t>
      </w:r>
      <w:r w:rsidRPr="00E16093">
        <w:rPr>
          <w:color w:val="000000"/>
          <w:sz w:val="24"/>
        </w:rPr>
        <w:t>6</w:t>
      </w:r>
      <w:r w:rsidRPr="00E16093">
        <w:rPr>
          <w:rFonts w:hint="eastAsia"/>
          <w:color w:val="000000"/>
          <w:sz w:val="24"/>
        </w:rPr>
        <w:t>个月的投资人，应当将不低于赎回费总额的</w:t>
      </w:r>
      <w:r w:rsidRPr="00E16093">
        <w:rPr>
          <w:color w:val="000000"/>
          <w:sz w:val="24"/>
        </w:rPr>
        <w:t>25%</w:t>
      </w:r>
      <w:r w:rsidRPr="00E16093">
        <w:rPr>
          <w:rFonts w:hint="eastAsia"/>
          <w:color w:val="000000"/>
          <w:sz w:val="24"/>
        </w:rPr>
        <w:t>计入基金财产；其余用于支付登记费和其他必要的手续费。</w:t>
      </w:r>
    </w:p>
    <w:p w:rsidR="00E16093" w:rsidRPr="00E16093" w:rsidRDefault="00E16093" w:rsidP="00E16093">
      <w:pPr>
        <w:spacing w:line="360" w:lineRule="auto"/>
        <w:ind w:firstLineChars="200" w:firstLine="480"/>
        <w:rPr>
          <w:color w:val="000000"/>
          <w:sz w:val="24"/>
        </w:rPr>
      </w:pPr>
      <w:r w:rsidRPr="00E16093">
        <w:rPr>
          <w:color w:val="000000"/>
          <w:sz w:val="24"/>
        </w:rPr>
        <w:t>本基金的赎回费率</w:t>
      </w:r>
      <w:r w:rsidRPr="00E16093">
        <w:rPr>
          <w:rFonts w:hint="eastAsia"/>
          <w:color w:val="000000"/>
          <w:sz w:val="24"/>
        </w:rPr>
        <w:t>如下表：</w:t>
      </w:r>
    </w:p>
    <w:tbl>
      <w:tblPr>
        <w:tblW w:w="4907" w:type="pct"/>
        <w:jc w:val="center"/>
        <w:tblInd w:w="-142" w:type="dxa"/>
        <w:tblBorders>
          <w:top w:val="single" w:sz="12" w:space="0" w:color="0000FF"/>
          <w:bottom w:val="single" w:sz="12" w:space="0" w:color="0000FF"/>
          <w:insideH w:val="single" w:sz="6" w:space="0" w:color="0000FF"/>
        </w:tblBorders>
        <w:tblCellMar>
          <w:left w:w="0" w:type="dxa"/>
          <w:right w:w="0" w:type="dxa"/>
        </w:tblCellMar>
        <w:tblLook w:val="04A0"/>
      </w:tblPr>
      <w:tblGrid>
        <w:gridCol w:w="4170"/>
        <w:gridCol w:w="4093"/>
      </w:tblGrid>
      <w:tr w:rsidR="00E16093" w:rsidRPr="00390050" w:rsidTr="00E16093">
        <w:trPr>
          <w:jc w:val="center"/>
        </w:trPr>
        <w:tc>
          <w:tcPr>
            <w:tcW w:w="2523" w:type="pct"/>
            <w:tcBorders>
              <w:top w:val="single" w:sz="12" w:space="0" w:color="0000FF"/>
              <w:left w:val="nil"/>
              <w:bottom w:val="single" w:sz="6" w:space="0" w:color="0000FF"/>
              <w:right w:val="nil"/>
            </w:tcBorders>
            <w:tcMar>
              <w:top w:w="0" w:type="dxa"/>
              <w:left w:w="108" w:type="dxa"/>
              <w:bottom w:w="0" w:type="dxa"/>
              <w:right w:w="108" w:type="dxa"/>
            </w:tcMar>
            <w:vAlign w:val="center"/>
          </w:tcPr>
          <w:p w:rsidR="00E16093" w:rsidRPr="00E16093" w:rsidRDefault="00E16093" w:rsidP="00E16093">
            <w:pPr>
              <w:spacing w:line="360" w:lineRule="auto"/>
              <w:rPr>
                <w:color w:val="000000"/>
                <w:sz w:val="24"/>
              </w:rPr>
            </w:pPr>
            <w:r w:rsidRPr="00E16093">
              <w:rPr>
                <w:color w:val="000000"/>
                <w:sz w:val="24"/>
              </w:rPr>
              <w:t>持有期限</w:t>
            </w:r>
          </w:p>
        </w:tc>
        <w:tc>
          <w:tcPr>
            <w:tcW w:w="2477" w:type="pct"/>
            <w:tcBorders>
              <w:top w:val="single" w:sz="12" w:space="0" w:color="0000FF"/>
              <w:left w:val="nil"/>
              <w:bottom w:val="single" w:sz="6" w:space="0" w:color="0000FF"/>
            </w:tcBorders>
            <w:vAlign w:val="center"/>
          </w:tcPr>
          <w:p w:rsidR="00E16093" w:rsidRPr="00E16093" w:rsidRDefault="00E16093" w:rsidP="00E16093">
            <w:pPr>
              <w:spacing w:line="360" w:lineRule="auto"/>
              <w:rPr>
                <w:color w:val="000000"/>
                <w:sz w:val="24"/>
              </w:rPr>
            </w:pPr>
            <w:r w:rsidRPr="00E16093">
              <w:rPr>
                <w:color w:val="000000"/>
                <w:sz w:val="24"/>
              </w:rPr>
              <w:t>赎回费率</w:t>
            </w:r>
          </w:p>
        </w:tc>
      </w:tr>
      <w:tr w:rsidR="00E16093" w:rsidRPr="00390050" w:rsidTr="00E16093">
        <w:trPr>
          <w:jc w:val="center"/>
        </w:trPr>
        <w:tc>
          <w:tcPr>
            <w:tcW w:w="2523" w:type="pct"/>
            <w:tcBorders>
              <w:top w:val="single" w:sz="6" w:space="0" w:color="0000FF"/>
              <w:left w:val="nil"/>
              <w:bottom w:val="single" w:sz="6" w:space="0" w:color="0000FF"/>
              <w:right w:val="nil"/>
            </w:tcBorders>
            <w:tcMar>
              <w:top w:w="0" w:type="dxa"/>
              <w:left w:w="108" w:type="dxa"/>
              <w:bottom w:w="0" w:type="dxa"/>
              <w:right w:w="108" w:type="dxa"/>
            </w:tcMar>
            <w:vAlign w:val="center"/>
          </w:tcPr>
          <w:p w:rsidR="00E16093" w:rsidRPr="00E16093" w:rsidRDefault="00E16093" w:rsidP="00E16093">
            <w:pPr>
              <w:spacing w:line="360" w:lineRule="auto"/>
              <w:rPr>
                <w:color w:val="000000"/>
                <w:sz w:val="24"/>
              </w:rPr>
            </w:pPr>
            <w:r w:rsidRPr="00E16093">
              <w:rPr>
                <w:rFonts w:hint="eastAsia"/>
                <w:color w:val="000000"/>
                <w:sz w:val="24"/>
              </w:rPr>
              <w:t>1</w:t>
            </w:r>
            <w:r w:rsidRPr="00E16093">
              <w:rPr>
                <w:rFonts w:hint="eastAsia"/>
                <w:color w:val="000000"/>
                <w:sz w:val="24"/>
              </w:rPr>
              <w:t>年以内</w:t>
            </w:r>
          </w:p>
        </w:tc>
        <w:tc>
          <w:tcPr>
            <w:tcW w:w="2477" w:type="pct"/>
            <w:tcBorders>
              <w:top w:val="single" w:sz="6" w:space="0" w:color="0000FF"/>
              <w:left w:val="nil"/>
              <w:bottom w:val="single" w:sz="6" w:space="0" w:color="0000FF"/>
            </w:tcBorders>
            <w:vAlign w:val="center"/>
          </w:tcPr>
          <w:p w:rsidR="00E16093" w:rsidRPr="00E16093" w:rsidRDefault="00E16093" w:rsidP="00E16093">
            <w:pPr>
              <w:spacing w:line="360" w:lineRule="auto"/>
              <w:rPr>
                <w:color w:val="000000"/>
                <w:sz w:val="24"/>
              </w:rPr>
            </w:pPr>
            <w:r w:rsidRPr="00E16093">
              <w:rPr>
                <w:rFonts w:hint="eastAsia"/>
                <w:color w:val="000000"/>
                <w:sz w:val="24"/>
              </w:rPr>
              <w:t>1</w:t>
            </w:r>
            <w:r w:rsidRPr="00E16093">
              <w:rPr>
                <w:color w:val="000000"/>
                <w:sz w:val="24"/>
              </w:rPr>
              <w:t>.50%</w:t>
            </w:r>
          </w:p>
        </w:tc>
      </w:tr>
      <w:tr w:rsidR="00E16093" w:rsidRPr="00390050" w:rsidTr="00E16093">
        <w:trPr>
          <w:jc w:val="center"/>
        </w:trPr>
        <w:tc>
          <w:tcPr>
            <w:tcW w:w="2523" w:type="pct"/>
            <w:tcBorders>
              <w:top w:val="single" w:sz="6" w:space="0" w:color="0000FF"/>
              <w:left w:val="nil"/>
              <w:bottom w:val="single" w:sz="12" w:space="0" w:color="0000FF"/>
              <w:right w:val="nil"/>
            </w:tcBorders>
            <w:tcMar>
              <w:top w:w="0" w:type="dxa"/>
              <w:left w:w="108" w:type="dxa"/>
              <w:bottom w:w="0" w:type="dxa"/>
              <w:right w:w="108" w:type="dxa"/>
            </w:tcMar>
            <w:vAlign w:val="center"/>
          </w:tcPr>
          <w:p w:rsidR="00E16093" w:rsidRPr="00E16093" w:rsidRDefault="00E16093" w:rsidP="00E16093">
            <w:pPr>
              <w:spacing w:line="360" w:lineRule="auto"/>
              <w:rPr>
                <w:color w:val="000000"/>
                <w:sz w:val="24"/>
              </w:rPr>
            </w:pPr>
            <w:r w:rsidRPr="00E16093">
              <w:rPr>
                <w:rFonts w:hint="eastAsia"/>
                <w:color w:val="000000"/>
                <w:sz w:val="24"/>
              </w:rPr>
              <w:t>1</w:t>
            </w:r>
            <w:r w:rsidRPr="00E16093">
              <w:rPr>
                <w:rFonts w:hint="eastAsia"/>
                <w:color w:val="000000"/>
                <w:sz w:val="24"/>
              </w:rPr>
              <w:t>年</w:t>
            </w:r>
            <w:r w:rsidRPr="00E16093">
              <w:rPr>
                <w:color w:val="000000"/>
                <w:sz w:val="24"/>
              </w:rPr>
              <w:t>（含）以上</w:t>
            </w:r>
          </w:p>
        </w:tc>
        <w:tc>
          <w:tcPr>
            <w:tcW w:w="2477" w:type="pct"/>
            <w:tcBorders>
              <w:top w:val="single" w:sz="6" w:space="0" w:color="0000FF"/>
              <w:left w:val="nil"/>
              <w:bottom w:val="single" w:sz="12" w:space="0" w:color="0000FF"/>
            </w:tcBorders>
            <w:vAlign w:val="center"/>
          </w:tcPr>
          <w:p w:rsidR="00E16093" w:rsidRPr="00E16093" w:rsidRDefault="00E16093" w:rsidP="00E16093">
            <w:pPr>
              <w:spacing w:line="360" w:lineRule="auto"/>
              <w:rPr>
                <w:color w:val="000000"/>
                <w:sz w:val="24"/>
              </w:rPr>
            </w:pPr>
            <w:r w:rsidRPr="00E16093">
              <w:rPr>
                <w:color w:val="000000"/>
                <w:sz w:val="24"/>
              </w:rPr>
              <w:t>0.00%</w:t>
            </w:r>
          </w:p>
        </w:tc>
      </w:tr>
    </w:tbl>
    <w:p w:rsidR="003C6DCA" w:rsidRPr="00FF57CD" w:rsidRDefault="00193FD2" w:rsidP="00FF57CD">
      <w:pPr>
        <w:pStyle w:val="30"/>
        <w:keepNext w:val="0"/>
        <w:keepLines w:val="0"/>
        <w:spacing w:before="0" w:after="0" w:line="360" w:lineRule="auto"/>
        <w:rPr>
          <w:b w:val="0"/>
          <w:bCs w:val="0"/>
          <w:color w:val="000000"/>
          <w:sz w:val="24"/>
          <w:szCs w:val="24"/>
        </w:rPr>
      </w:pPr>
      <w:r w:rsidRPr="00193FD2">
        <w:rPr>
          <w:rFonts w:hint="eastAsia"/>
          <w:b w:val="0"/>
          <w:bCs w:val="0"/>
          <w:color w:val="000000"/>
          <w:sz w:val="24"/>
          <w:szCs w:val="24"/>
        </w:rPr>
        <w:t>注：</w:t>
      </w:r>
      <w:r w:rsidR="00E16093" w:rsidRPr="00E16093">
        <w:rPr>
          <w:rFonts w:hint="eastAsia"/>
          <w:b w:val="0"/>
          <w:bCs w:val="0"/>
          <w:color w:val="000000"/>
          <w:sz w:val="24"/>
          <w:szCs w:val="24"/>
        </w:rPr>
        <w:t>年按</w:t>
      </w:r>
      <w:r w:rsidR="00E16093" w:rsidRPr="00E16093">
        <w:rPr>
          <w:rFonts w:hint="eastAsia"/>
          <w:b w:val="0"/>
          <w:bCs w:val="0"/>
          <w:color w:val="000000"/>
          <w:sz w:val="24"/>
          <w:szCs w:val="24"/>
        </w:rPr>
        <w:t>365</w:t>
      </w:r>
      <w:r w:rsidR="00E16093" w:rsidRPr="00E16093">
        <w:rPr>
          <w:rFonts w:hint="eastAsia"/>
          <w:b w:val="0"/>
          <w:bCs w:val="0"/>
          <w:color w:val="000000"/>
          <w:sz w:val="24"/>
          <w:szCs w:val="24"/>
        </w:rPr>
        <w:t>天计算。</w:t>
      </w:r>
    </w:p>
    <w:p w:rsidR="009E3569" w:rsidRDefault="00902FCC" w:rsidP="00B63558">
      <w:pPr>
        <w:pStyle w:val="30"/>
        <w:keepNext w:val="0"/>
        <w:keepLines w:val="0"/>
        <w:spacing w:before="0" w:after="0" w:line="360" w:lineRule="auto"/>
        <w:rPr>
          <w:rFonts w:ascii="宋体" w:hAnsi="宋体"/>
          <w:bCs w:val="0"/>
          <w:sz w:val="24"/>
          <w:szCs w:val="24"/>
        </w:rPr>
      </w:pPr>
      <w:r>
        <w:rPr>
          <w:rFonts w:ascii="宋体" w:hAnsi="宋体"/>
          <w:bCs w:val="0"/>
          <w:sz w:val="24"/>
          <w:szCs w:val="24"/>
        </w:rPr>
        <w:t>4.3其他与赎回相关的事项</w:t>
      </w:r>
    </w:p>
    <w:p w:rsidR="00193FD2" w:rsidRDefault="00645AD2" w:rsidP="00193FD2">
      <w:pPr>
        <w:spacing w:line="360" w:lineRule="auto"/>
        <w:ind w:firstLineChars="200" w:firstLine="480"/>
        <w:rPr>
          <w:color w:val="000000"/>
          <w:sz w:val="24"/>
        </w:rPr>
      </w:pPr>
      <w:r>
        <w:rPr>
          <w:rFonts w:hint="eastAsia"/>
          <w:color w:val="000000"/>
          <w:sz w:val="24"/>
        </w:rPr>
        <w:t>1</w:t>
      </w:r>
      <w:r>
        <w:rPr>
          <w:rFonts w:hint="eastAsia"/>
          <w:color w:val="000000"/>
          <w:sz w:val="24"/>
        </w:rPr>
        <w:t>、</w:t>
      </w:r>
      <w:r w:rsidR="00E16093" w:rsidRPr="00E16093">
        <w:rPr>
          <w:rFonts w:hint="eastAsia"/>
          <w:color w:val="000000"/>
          <w:sz w:val="24"/>
        </w:rPr>
        <w:t>在开放期内，</w:t>
      </w:r>
      <w:r w:rsidR="00E16093" w:rsidRPr="00E16093">
        <w:rPr>
          <w:color w:val="000000"/>
          <w:sz w:val="24"/>
        </w:rPr>
        <w:t>基金管理人应以交易时间结束前受理</w:t>
      </w:r>
      <w:r w:rsidR="00E16093" w:rsidRPr="00E16093">
        <w:rPr>
          <w:rFonts w:hint="eastAsia"/>
          <w:color w:val="000000"/>
          <w:sz w:val="24"/>
        </w:rPr>
        <w:t>有效</w:t>
      </w:r>
      <w:r w:rsidR="00E16093" w:rsidRPr="00E16093">
        <w:rPr>
          <w:color w:val="000000"/>
          <w:sz w:val="24"/>
        </w:rPr>
        <w:t>赎回申请的当天作为赎回申请日</w:t>
      </w:r>
      <w:r w:rsidR="00E16093" w:rsidRPr="00E16093">
        <w:rPr>
          <w:color w:val="000000"/>
          <w:sz w:val="24"/>
        </w:rPr>
        <w:t>(T</w:t>
      </w:r>
      <w:r w:rsidR="00E16093" w:rsidRPr="00E16093">
        <w:rPr>
          <w:color w:val="000000"/>
          <w:sz w:val="24"/>
        </w:rPr>
        <w:t>日</w:t>
      </w:r>
      <w:r w:rsidR="00E16093" w:rsidRPr="00E16093">
        <w:rPr>
          <w:color w:val="000000"/>
          <w:sz w:val="24"/>
        </w:rPr>
        <w:t>)</w:t>
      </w:r>
      <w:r w:rsidR="00E16093" w:rsidRPr="00E16093">
        <w:rPr>
          <w:color w:val="000000"/>
          <w:sz w:val="24"/>
        </w:rPr>
        <w:t>，在正常情况下，本基金登记机构在</w:t>
      </w:r>
      <w:r w:rsidR="00E16093" w:rsidRPr="00E16093">
        <w:rPr>
          <w:color w:val="000000"/>
          <w:sz w:val="24"/>
        </w:rPr>
        <w:t>T+</w:t>
      </w:r>
      <w:r w:rsidR="00E16093" w:rsidRPr="00E16093">
        <w:rPr>
          <w:rFonts w:hint="eastAsia"/>
          <w:color w:val="000000"/>
          <w:sz w:val="24"/>
        </w:rPr>
        <w:t>1</w:t>
      </w:r>
      <w:r w:rsidR="00E16093" w:rsidRPr="00E16093">
        <w:rPr>
          <w:color w:val="000000"/>
          <w:sz w:val="24"/>
        </w:rPr>
        <w:t>日内对该交易的有效性进行确认。</w:t>
      </w:r>
      <w:r w:rsidR="00E16093" w:rsidRPr="00E16093">
        <w:rPr>
          <w:color w:val="000000"/>
          <w:sz w:val="24"/>
        </w:rPr>
        <w:t>T</w:t>
      </w:r>
      <w:r w:rsidR="00E16093" w:rsidRPr="00E16093">
        <w:rPr>
          <w:color w:val="000000"/>
          <w:sz w:val="24"/>
        </w:rPr>
        <w:t>日提交的有效申请，投资人</w:t>
      </w:r>
      <w:r w:rsidR="00E16093" w:rsidRPr="00E16093">
        <w:rPr>
          <w:rFonts w:hint="eastAsia"/>
          <w:color w:val="000000"/>
          <w:sz w:val="24"/>
        </w:rPr>
        <w:t>应</w:t>
      </w:r>
      <w:r w:rsidR="00E16093" w:rsidRPr="00E16093">
        <w:rPr>
          <w:color w:val="000000"/>
          <w:sz w:val="24"/>
        </w:rPr>
        <w:t>在</w:t>
      </w:r>
      <w:r w:rsidR="00E16093" w:rsidRPr="00E16093">
        <w:rPr>
          <w:color w:val="000000"/>
          <w:sz w:val="24"/>
        </w:rPr>
        <w:t>T+</w:t>
      </w:r>
      <w:r w:rsidR="00E16093" w:rsidRPr="00E16093">
        <w:rPr>
          <w:rFonts w:hint="eastAsia"/>
          <w:color w:val="000000"/>
          <w:sz w:val="24"/>
        </w:rPr>
        <w:t>2</w:t>
      </w:r>
      <w:r w:rsidR="00E16093" w:rsidRPr="00E16093">
        <w:rPr>
          <w:color w:val="000000"/>
          <w:sz w:val="24"/>
        </w:rPr>
        <w:t>日后</w:t>
      </w:r>
      <w:r w:rsidR="00E16093" w:rsidRPr="00E16093">
        <w:rPr>
          <w:color w:val="000000"/>
          <w:sz w:val="24"/>
        </w:rPr>
        <w:t>(</w:t>
      </w:r>
      <w:r w:rsidR="00E16093" w:rsidRPr="00E16093">
        <w:rPr>
          <w:color w:val="000000"/>
          <w:sz w:val="24"/>
        </w:rPr>
        <w:t>包括该日</w:t>
      </w:r>
      <w:r w:rsidR="00E16093" w:rsidRPr="00E16093">
        <w:rPr>
          <w:color w:val="000000"/>
          <w:sz w:val="24"/>
        </w:rPr>
        <w:t>)</w:t>
      </w:r>
      <w:r w:rsidR="00E16093" w:rsidRPr="00E16093">
        <w:rPr>
          <w:rFonts w:hint="eastAsia"/>
          <w:color w:val="000000"/>
          <w:sz w:val="24"/>
        </w:rPr>
        <w:t>及时</w:t>
      </w:r>
      <w:r w:rsidR="00E16093" w:rsidRPr="00E16093">
        <w:rPr>
          <w:color w:val="000000"/>
          <w:sz w:val="24"/>
        </w:rPr>
        <w:t>到销售网点柜台或以销售机构规定的其他方式查询申请的确认情况。</w:t>
      </w:r>
    </w:p>
    <w:p w:rsidR="00645AD2" w:rsidRDefault="00E16093" w:rsidP="00E16093">
      <w:pPr>
        <w:spacing w:line="360" w:lineRule="auto"/>
        <w:ind w:firstLineChars="200" w:firstLine="480"/>
        <w:rPr>
          <w:color w:val="000000"/>
          <w:sz w:val="24"/>
        </w:rPr>
      </w:pPr>
      <w:r w:rsidRPr="00E16093">
        <w:rPr>
          <w:rFonts w:hint="eastAsia"/>
          <w:color w:val="000000"/>
          <w:sz w:val="24"/>
        </w:rPr>
        <w:t>销售机构对赎回申请的受理并不代表申请一定成功，而仅代表销售机构确实接收到申请。赎回的确认以登记机构的确认结果为准。对于申请的确认情况，投资者应及时查询。</w:t>
      </w:r>
    </w:p>
    <w:p w:rsidR="00645AD2" w:rsidRPr="00645AD2" w:rsidRDefault="00645AD2" w:rsidP="00645AD2">
      <w:pPr>
        <w:spacing w:line="360" w:lineRule="auto"/>
        <w:ind w:firstLineChars="200" w:firstLine="480"/>
        <w:rPr>
          <w:color w:val="000000"/>
          <w:sz w:val="24"/>
        </w:rPr>
      </w:pPr>
      <w:r>
        <w:rPr>
          <w:rFonts w:hint="eastAsia"/>
          <w:color w:val="000000"/>
          <w:sz w:val="24"/>
        </w:rPr>
        <w:t>2</w:t>
      </w:r>
      <w:r>
        <w:rPr>
          <w:rFonts w:hint="eastAsia"/>
          <w:color w:val="000000"/>
          <w:sz w:val="24"/>
        </w:rPr>
        <w:t>、</w:t>
      </w:r>
      <w:r w:rsidR="00E16093" w:rsidRPr="00E16093">
        <w:rPr>
          <w:rFonts w:hint="eastAsia"/>
          <w:color w:val="000000"/>
          <w:sz w:val="24"/>
        </w:rPr>
        <w:t>基金份额持有人递交赎回申请，赎回成立；登记机构确认赎回时，赎回生效。投资者在提交赎回申请时，必须有足够的基金份额余额，否则所提交的赎回申请不成立。</w:t>
      </w:r>
      <w:r w:rsidR="00E16093" w:rsidRPr="00E16093">
        <w:rPr>
          <w:color w:val="000000"/>
          <w:sz w:val="24"/>
        </w:rPr>
        <w:t>投资人赎回申请成功后，基金管理人将在</w:t>
      </w:r>
      <w:r w:rsidR="00E16093" w:rsidRPr="00E16093">
        <w:rPr>
          <w:color w:val="000000"/>
          <w:sz w:val="24"/>
        </w:rPr>
        <w:t>T</w:t>
      </w:r>
      <w:r w:rsidR="00E16093" w:rsidRPr="00E16093">
        <w:rPr>
          <w:color w:val="000000"/>
          <w:sz w:val="24"/>
        </w:rPr>
        <w:t>＋</w:t>
      </w:r>
      <w:r w:rsidR="00E16093" w:rsidRPr="00E16093">
        <w:rPr>
          <w:rFonts w:hint="eastAsia"/>
          <w:color w:val="000000"/>
          <w:sz w:val="24"/>
        </w:rPr>
        <w:t>7</w:t>
      </w:r>
      <w:r w:rsidR="00E16093" w:rsidRPr="00E16093">
        <w:rPr>
          <w:color w:val="000000"/>
          <w:sz w:val="24"/>
        </w:rPr>
        <w:t>日</w:t>
      </w:r>
      <w:r w:rsidR="00E16093" w:rsidRPr="00E16093">
        <w:rPr>
          <w:color w:val="000000"/>
          <w:sz w:val="24"/>
        </w:rPr>
        <w:t>(</w:t>
      </w:r>
      <w:r w:rsidR="00E16093" w:rsidRPr="00E16093">
        <w:rPr>
          <w:color w:val="000000"/>
          <w:sz w:val="24"/>
        </w:rPr>
        <w:t>包括该日</w:t>
      </w:r>
      <w:r w:rsidR="00E16093" w:rsidRPr="00E16093">
        <w:rPr>
          <w:color w:val="000000"/>
          <w:sz w:val="24"/>
        </w:rPr>
        <w:t>)</w:t>
      </w:r>
      <w:r w:rsidR="00E16093" w:rsidRPr="00E16093">
        <w:rPr>
          <w:color w:val="000000"/>
          <w:sz w:val="24"/>
        </w:rPr>
        <w:t>内支付赎回款项。在发生巨额赎回</w:t>
      </w:r>
      <w:r w:rsidR="00E16093" w:rsidRPr="00E16093">
        <w:rPr>
          <w:rFonts w:hint="eastAsia"/>
          <w:color w:val="000000"/>
          <w:sz w:val="24"/>
        </w:rPr>
        <w:t>或基金合同载明的其他暂停赎回或延缓支付赎回款项的情形</w:t>
      </w:r>
      <w:r w:rsidR="00E16093" w:rsidRPr="00E16093">
        <w:rPr>
          <w:color w:val="000000"/>
          <w:sz w:val="24"/>
        </w:rPr>
        <w:t>时，款项的支付办法参照基金合同有关条款处理。</w:t>
      </w:r>
    </w:p>
    <w:p w:rsidR="006B4576" w:rsidRPr="006B4576" w:rsidRDefault="006B4576" w:rsidP="006B4576">
      <w:pPr>
        <w:spacing w:line="360" w:lineRule="auto"/>
        <w:ind w:firstLineChars="200" w:firstLine="480"/>
        <w:rPr>
          <w:color w:val="000000"/>
          <w:sz w:val="24"/>
        </w:rPr>
      </w:pPr>
      <w:r w:rsidRPr="006B4576">
        <w:rPr>
          <w:color w:val="000000"/>
          <w:sz w:val="24"/>
        </w:rPr>
        <w:t>3</w:t>
      </w:r>
      <w:r w:rsidRPr="006B4576">
        <w:rPr>
          <w:color w:val="000000"/>
          <w:sz w:val="24"/>
        </w:rPr>
        <w:t>、基金管理人可以在基金合同约定的范围内调整费率或收费方式，并最迟应于新的费率或收费方式实施日前依照《信息披露办法》的有关规定在指定媒介上公告。</w:t>
      </w:r>
    </w:p>
    <w:p w:rsidR="006B4576" w:rsidRPr="006B4576" w:rsidRDefault="006B4576" w:rsidP="006B4576">
      <w:pPr>
        <w:spacing w:line="360" w:lineRule="auto"/>
        <w:ind w:firstLineChars="200" w:firstLine="480"/>
        <w:rPr>
          <w:color w:val="000000"/>
          <w:sz w:val="24"/>
        </w:rPr>
      </w:pPr>
      <w:r w:rsidRPr="006B4576">
        <w:rPr>
          <w:color w:val="000000"/>
          <w:sz w:val="24"/>
        </w:rPr>
        <w:t>4</w:t>
      </w:r>
      <w:r w:rsidRPr="006B4576">
        <w:rPr>
          <w:color w:val="000000"/>
          <w:sz w:val="24"/>
        </w:rPr>
        <w:t>、对特定交易方式（如网上交易、电话交易等），基金管理人履行适当程序后可以采用低于柜台交易方式的基金申购费率和基金赎回费率。</w:t>
      </w:r>
    </w:p>
    <w:p w:rsidR="00E65890" w:rsidRPr="00DF7FE6" w:rsidRDefault="006B4576" w:rsidP="006B4576">
      <w:pPr>
        <w:spacing w:line="360" w:lineRule="auto"/>
        <w:ind w:firstLineChars="200" w:firstLine="480"/>
        <w:rPr>
          <w:color w:val="000000"/>
          <w:sz w:val="24"/>
        </w:rPr>
      </w:pPr>
      <w:r w:rsidRPr="006B4576">
        <w:rPr>
          <w:color w:val="000000"/>
          <w:sz w:val="24"/>
        </w:rPr>
        <w:t>5</w:t>
      </w:r>
      <w:r w:rsidRPr="006B4576">
        <w:rPr>
          <w:color w:val="000000"/>
          <w:sz w:val="24"/>
        </w:rPr>
        <w:t>、基金管理人可以在不违背法律法规规定及基金合同约定的情况下根据市场情况制定基金促销计划，针对基金投资者定期和不定期地开展基金促销活动。</w:t>
      </w:r>
    </w:p>
    <w:p w:rsidR="00B63558" w:rsidRPr="00763F03" w:rsidRDefault="00DF7FE6" w:rsidP="00B63558">
      <w:pPr>
        <w:spacing w:line="360" w:lineRule="auto"/>
        <w:rPr>
          <w:rFonts w:ascii="宋体" w:hAnsi="宋体"/>
          <w:b/>
          <w:bCs/>
          <w:sz w:val="24"/>
        </w:rPr>
      </w:pPr>
      <w:r>
        <w:rPr>
          <w:rFonts w:ascii="宋体" w:hAnsi="宋体" w:hint="eastAsia"/>
          <w:b/>
          <w:bCs/>
          <w:sz w:val="24"/>
        </w:rPr>
        <w:t>5</w:t>
      </w:r>
      <w:r w:rsidR="00902FCC">
        <w:rPr>
          <w:rFonts w:ascii="宋体" w:hAnsi="宋体"/>
          <w:b/>
          <w:bCs/>
          <w:sz w:val="24"/>
        </w:rPr>
        <w:t>. 基金销售机构</w:t>
      </w:r>
    </w:p>
    <w:p w:rsidR="00B63558" w:rsidRPr="00763F03" w:rsidRDefault="00DF7FE6" w:rsidP="00B63558">
      <w:pPr>
        <w:spacing w:line="360" w:lineRule="auto"/>
        <w:rPr>
          <w:rFonts w:ascii="宋体" w:hAnsi="宋体"/>
          <w:b/>
          <w:bCs/>
          <w:sz w:val="24"/>
        </w:rPr>
      </w:pPr>
      <w:r>
        <w:rPr>
          <w:rFonts w:ascii="宋体" w:hAnsi="宋体" w:hint="eastAsia"/>
          <w:b/>
          <w:bCs/>
          <w:sz w:val="24"/>
        </w:rPr>
        <w:t>5</w:t>
      </w:r>
      <w:r w:rsidR="00902FCC">
        <w:rPr>
          <w:rFonts w:ascii="宋体" w:hAnsi="宋体"/>
          <w:b/>
          <w:bCs/>
          <w:sz w:val="24"/>
        </w:rPr>
        <w:t>.1 场外销售机构</w:t>
      </w:r>
    </w:p>
    <w:p w:rsidR="00B63558" w:rsidRPr="00763F03" w:rsidRDefault="00DF7FE6" w:rsidP="00B63558">
      <w:pPr>
        <w:spacing w:line="360" w:lineRule="auto"/>
        <w:rPr>
          <w:rFonts w:ascii="宋体" w:hAnsi="宋体"/>
          <w:b/>
          <w:bCs/>
          <w:sz w:val="24"/>
        </w:rPr>
      </w:pPr>
      <w:r>
        <w:rPr>
          <w:rFonts w:ascii="宋体" w:hAnsi="宋体" w:hint="eastAsia"/>
          <w:b/>
          <w:bCs/>
          <w:sz w:val="24"/>
        </w:rPr>
        <w:t>5</w:t>
      </w:r>
      <w:r w:rsidR="00902FCC">
        <w:rPr>
          <w:rFonts w:ascii="宋体" w:hAnsi="宋体"/>
          <w:b/>
          <w:bCs/>
          <w:sz w:val="24"/>
        </w:rPr>
        <w:t>.1.1 直销机构</w:t>
      </w:r>
    </w:p>
    <w:p w:rsidR="00902FCC" w:rsidRPr="00C14827" w:rsidRDefault="00902FCC" w:rsidP="00B63558">
      <w:pPr>
        <w:spacing w:line="360" w:lineRule="auto"/>
        <w:ind w:firstLineChars="200" w:firstLine="480"/>
        <w:rPr>
          <w:color w:val="000000"/>
          <w:sz w:val="24"/>
        </w:rPr>
      </w:pPr>
      <w:r w:rsidRPr="00C14827">
        <w:rPr>
          <w:rFonts w:hint="eastAsia"/>
          <w:color w:val="000000"/>
          <w:sz w:val="24"/>
        </w:rPr>
        <w:t>申万菱信基金管理有限公司直销中心</w:t>
      </w:r>
    </w:p>
    <w:p w:rsidR="00902FCC" w:rsidRPr="00C14827" w:rsidRDefault="00902FCC" w:rsidP="00B63558">
      <w:pPr>
        <w:spacing w:line="360" w:lineRule="auto"/>
        <w:ind w:firstLineChars="200" w:firstLine="480"/>
        <w:rPr>
          <w:color w:val="000000"/>
          <w:sz w:val="24"/>
        </w:rPr>
      </w:pPr>
      <w:r w:rsidRPr="00C14827">
        <w:rPr>
          <w:rFonts w:hint="eastAsia"/>
          <w:color w:val="000000"/>
          <w:sz w:val="24"/>
        </w:rPr>
        <w:t>地址：</w:t>
      </w:r>
      <w:r w:rsidR="00E65890" w:rsidRPr="00E65890">
        <w:rPr>
          <w:rFonts w:hint="eastAsia"/>
          <w:color w:val="000000"/>
          <w:sz w:val="24"/>
        </w:rPr>
        <w:t>上海市中山南路</w:t>
      </w:r>
      <w:r w:rsidR="00E65890" w:rsidRPr="00E65890">
        <w:rPr>
          <w:color w:val="000000"/>
          <w:sz w:val="24"/>
        </w:rPr>
        <w:t>100</w:t>
      </w:r>
      <w:r w:rsidR="00E65890" w:rsidRPr="00E65890">
        <w:rPr>
          <w:rFonts w:hint="eastAsia"/>
          <w:color w:val="000000"/>
          <w:sz w:val="24"/>
        </w:rPr>
        <w:t>号</w:t>
      </w:r>
      <w:r w:rsidR="00E65890" w:rsidRPr="00E65890">
        <w:rPr>
          <w:color w:val="000000"/>
          <w:sz w:val="24"/>
        </w:rPr>
        <w:t>11</w:t>
      </w:r>
      <w:r w:rsidR="00E65890" w:rsidRPr="00E65890">
        <w:rPr>
          <w:rFonts w:hint="eastAsia"/>
          <w:color w:val="000000"/>
          <w:sz w:val="24"/>
        </w:rPr>
        <w:t>层</w:t>
      </w:r>
      <w:r w:rsidRPr="00C14827">
        <w:rPr>
          <w:rFonts w:hint="eastAsia"/>
          <w:color w:val="000000"/>
          <w:sz w:val="24"/>
        </w:rPr>
        <w:t>（</w:t>
      </w:r>
      <w:r w:rsidRPr="00C14827">
        <w:rPr>
          <w:rFonts w:hint="eastAsia"/>
          <w:color w:val="000000"/>
          <w:sz w:val="24"/>
        </w:rPr>
        <w:t>2000</w:t>
      </w:r>
      <w:r w:rsidR="00092AB4">
        <w:rPr>
          <w:rFonts w:hint="eastAsia"/>
          <w:color w:val="000000"/>
          <w:sz w:val="24"/>
        </w:rPr>
        <w:t>10</w:t>
      </w:r>
      <w:r w:rsidRPr="00C14827">
        <w:rPr>
          <w:rFonts w:hint="eastAsia"/>
          <w:color w:val="000000"/>
          <w:sz w:val="24"/>
        </w:rPr>
        <w:t>）</w:t>
      </w:r>
    </w:p>
    <w:p w:rsidR="00902FCC" w:rsidRPr="00C14827" w:rsidRDefault="00902FCC" w:rsidP="00B63558">
      <w:pPr>
        <w:spacing w:line="360" w:lineRule="auto"/>
        <w:ind w:firstLineChars="200" w:firstLine="480"/>
        <w:rPr>
          <w:color w:val="000000"/>
          <w:sz w:val="24"/>
        </w:rPr>
      </w:pPr>
      <w:r w:rsidRPr="00C14827">
        <w:rPr>
          <w:rFonts w:hint="eastAsia"/>
          <w:color w:val="000000"/>
          <w:sz w:val="24"/>
        </w:rPr>
        <w:t>电话：</w:t>
      </w:r>
      <w:r w:rsidRPr="00C14827">
        <w:rPr>
          <w:rFonts w:hint="eastAsia"/>
          <w:color w:val="000000"/>
          <w:sz w:val="24"/>
        </w:rPr>
        <w:t>400 880 8588</w:t>
      </w:r>
      <w:r w:rsidRPr="00C14827">
        <w:rPr>
          <w:rFonts w:hint="eastAsia"/>
          <w:color w:val="000000"/>
          <w:sz w:val="24"/>
        </w:rPr>
        <w:t>（免长途话费）或</w:t>
      </w:r>
      <w:r w:rsidRPr="00C14827">
        <w:rPr>
          <w:rFonts w:hint="eastAsia"/>
          <w:color w:val="000000"/>
          <w:sz w:val="24"/>
        </w:rPr>
        <w:t>021-962299</w:t>
      </w:r>
    </w:p>
    <w:p w:rsidR="00B63558" w:rsidRPr="00C14827" w:rsidRDefault="00902FCC" w:rsidP="00FF57CD">
      <w:pPr>
        <w:spacing w:line="360" w:lineRule="auto"/>
        <w:ind w:firstLineChars="200" w:firstLine="480"/>
        <w:rPr>
          <w:color w:val="000000"/>
          <w:sz w:val="24"/>
        </w:rPr>
      </w:pPr>
      <w:r w:rsidRPr="00C14827">
        <w:rPr>
          <w:rFonts w:hint="eastAsia"/>
          <w:color w:val="000000"/>
          <w:sz w:val="24"/>
        </w:rPr>
        <w:t>传真：</w:t>
      </w:r>
      <w:r w:rsidRPr="00C14827">
        <w:rPr>
          <w:rFonts w:hint="eastAsia"/>
          <w:color w:val="000000"/>
          <w:sz w:val="24"/>
        </w:rPr>
        <w:t xml:space="preserve">+86-21 </w:t>
      </w:r>
      <w:r w:rsidR="00E65890" w:rsidRPr="00E65890">
        <w:rPr>
          <w:color w:val="000000"/>
          <w:sz w:val="24"/>
        </w:rPr>
        <w:t>23261199</w:t>
      </w:r>
    </w:p>
    <w:p w:rsidR="00B63558" w:rsidRPr="00FF57CD" w:rsidRDefault="00DF7FE6" w:rsidP="00B63558">
      <w:pPr>
        <w:spacing w:line="360" w:lineRule="auto"/>
        <w:rPr>
          <w:rFonts w:ascii="宋体" w:hAnsi="宋体"/>
          <w:b/>
          <w:bCs/>
          <w:sz w:val="24"/>
        </w:rPr>
      </w:pPr>
      <w:r>
        <w:rPr>
          <w:rFonts w:ascii="宋体" w:hAnsi="宋体" w:hint="eastAsia"/>
          <w:b/>
          <w:bCs/>
          <w:sz w:val="24"/>
        </w:rPr>
        <w:t>5</w:t>
      </w:r>
      <w:r w:rsidR="00902FCC" w:rsidRPr="00FF57CD">
        <w:rPr>
          <w:rFonts w:ascii="宋体" w:hAnsi="宋体"/>
          <w:b/>
          <w:bCs/>
          <w:sz w:val="24"/>
        </w:rPr>
        <w:t>.1.2 场外</w:t>
      </w:r>
      <w:r w:rsidR="00AA276F">
        <w:rPr>
          <w:rFonts w:ascii="宋体" w:hAnsi="宋体" w:hint="eastAsia"/>
          <w:b/>
          <w:bCs/>
          <w:sz w:val="24"/>
        </w:rPr>
        <w:t>非直销</w:t>
      </w:r>
      <w:r w:rsidR="00902FCC" w:rsidRPr="00FF57CD">
        <w:rPr>
          <w:rFonts w:ascii="宋体" w:hAnsi="宋体"/>
          <w:b/>
          <w:bCs/>
          <w:sz w:val="24"/>
        </w:rPr>
        <w:t>机构</w:t>
      </w:r>
    </w:p>
    <w:p w:rsidR="00B63558" w:rsidRPr="00092D19" w:rsidRDefault="00AA276F" w:rsidP="00FF57CD">
      <w:pPr>
        <w:spacing w:line="360" w:lineRule="auto"/>
        <w:ind w:firstLineChars="200" w:firstLine="480"/>
        <w:rPr>
          <w:sz w:val="24"/>
        </w:rPr>
      </w:pPr>
      <w:r>
        <w:rPr>
          <w:rFonts w:hint="eastAsia"/>
          <w:sz w:val="24"/>
        </w:rPr>
        <w:t>天天基金。</w:t>
      </w:r>
    </w:p>
    <w:p w:rsidR="00B63558" w:rsidRPr="00763F03" w:rsidRDefault="00DF7FE6" w:rsidP="00B63558">
      <w:pPr>
        <w:spacing w:line="360" w:lineRule="auto"/>
        <w:rPr>
          <w:rFonts w:ascii="宋体" w:hAnsi="宋体"/>
          <w:b/>
          <w:bCs/>
          <w:sz w:val="24"/>
        </w:rPr>
      </w:pPr>
      <w:r>
        <w:rPr>
          <w:rFonts w:ascii="宋体" w:hAnsi="宋体" w:hint="eastAsia"/>
          <w:b/>
          <w:bCs/>
          <w:sz w:val="24"/>
        </w:rPr>
        <w:t>5</w:t>
      </w:r>
      <w:r w:rsidR="00902FCC">
        <w:rPr>
          <w:rFonts w:ascii="宋体" w:hAnsi="宋体"/>
          <w:b/>
          <w:bCs/>
          <w:sz w:val="24"/>
        </w:rPr>
        <w:t>.2 场内销售机构</w:t>
      </w:r>
    </w:p>
    <w:p w:rsidR="00E5019E" w:rsidRDefault="00AA276F">
      <w:pPr>
        <w:snapToGrid w:val="0"/>
        <w:spacing w:line="360" w:lineRule="auto"/>
        <w:ind w:firstLine="480"/>
        <w:rPr>
          <w:color w:val="000000"/>
          <w:sz w:val="24"/>
        </w:rPr>
      </w:pPr>
      <w:r>
        <w:rPr>
          <w:rFonts w:hint="eastAsia"/>
          <w:color w:val="000000"/>
          <w:sz w:val="24"/>
        </w:rPr>
        <w:t>无</w:t>
      </w:r>
      <w:r w:rsidR="00E63FA4">
        <w:rPr>
          <w:rFonts w:hint="eastAsia"/>
          <w:color w:val="000000"/>
          <w:sz w:val="24"/>
        </w:rPr>
        <w:t>。</w:t>
      </w:r>
    </w:p>
    <w:p w:rsidR="00B63558" w:rsidRDefault="00DF7FE6" w:rsidP="00E63FA4">
      <w:pPr>
        <w:snapToGrid w:val="0"/>
        <w:rPr>
          <w:b/>
          <w:color w:val="000000"/>
          <w:sz w:val="24"/>
        </w:rPr>
      </w:pPr>
      <w:r>
        <w:rPr>
          <w:rFonts w:hint="eastAsia"/>
          <w:b/>
          <w:color w:val="000000"/>
          <w:sz w:val="24"/>
        </w:rPr>
        <w:t>6</w:t>
      </w:r>
      <w:r w:rsidR="00FF57CD">
        <w:rPr>
          <w:rFonts w:ascii="宋体" w:hAnsi="宋体"/>
          <w:b/>
          <w:bCs/>
          <w:sz w:val="24"/>
        </w:rPr>
        <w:t>.</w:t>
      </w:r>
      <w:r w:rsidR="00902FCC">
        <w:rPr>
          <w:rFonts w:hint="eastAsia"/>
          <w:b/>
          <w:color w:val="000000"/>
          <w:sz w:val="24"/>
        </w:rPr>
        <w:t xml:space="preserve"> </w:t>
      </w:r>
      <w:r w:rsidR="00902FCC">
        <w:rPr>
          <w:rFonts w:hint="eastAsia"/>
          <w:b/>
          <w:color w:val="000000"/>
          <w:sz w:val="24"/>
        </w:rPr>
        <w:t>基金份额净值公告</w:t>
      </w:r>
      <w:r w:rsidR="00902FCC">
        <w:rPr>
          <w:rFonts w:hint="eastAsia"/>
          <w:b/>
          <w:color w:val="000000"/>
          <w:sz w:val="24"/>
        </w:rPr>
        <w:t>/</w:t>
      </w:r>
      <w:r w:rsidR="00902FCC">
        <w:rPr>
          <w:rFonts w:hint="eastAsia"/>
          <w:b/>
          <w:color w:val="000000"/>
          <w:sz w:val="24"/>
        </w:rPr>
        <w:t>基金收益公告的披露安排</w:t>
      </w:r>
    </w:p>
    <w:p w:rsidR="006B4576" w:rsidRPr="006B4576" w:rsidRDefault="006B4576" w:rsidP="006B4576">
      <w:pPr>
        <w:spacing w:line="360" w:lineRule="auto"/>
        <w:ind w:firstLineChars="200" w:firstLine="480"/>
        <w:rPr>
          <w:color w:val="000000"/>
          <w:sz w:val="24"/>
        </w:rPr>
      </w:pPr>
      <w:r w:rsidRPr="006B4576">
        <w:rPr>
          <w:color w:val="000000"/>
          <w:sz w:val="24"/>
        </w:rPr>
        <w:t>《基金合同》生效后，在</w:t>
      </w:r>
      <w:r w:rsidRPr="006B4576">
        <w:rPr>
          <w:rFonts w:hint="eastAsia"/>
          <w:color w:val="000000"/>
          <w:sz w:val="24"/>
        </w:rPr>
        <w:t>基金封闭期内</w:t>
      </w:r>
      <w:r w:rsidRPr="006B4576">
        <w:rPr>
          <w:color w:val="000000"/>
          <w:sz w:val="24"/>
        </w:rPr>
        <w:t>，基金管理人应当至少每周公告一次基金资产净值和基金份额净值。</w:t>
      </w:r>
    </w:p>
    <w:p w:rsidR="006B4576" w:rsidRPr="006B4576" w:rsidRDefault="006B4576" w:rsidP="006B4576">
      <w:pPr>
        <w:spacing w:line="360" w:lineRule="auto"/>
        <w:ind w:firstLineChars="200" w:firstLine="480"/>
        <w:rPr>
          <w:color w:val="000000"/>
          <w:sz w:val="24"/>
        </w:rPr>
      </w:pPr>
      <w:r w:rsidRPr="006B4576">
        <w:rPr>
          <w:rFonts w:hint="eastAsia"/>
          <w:color w:val="000000"/>
          <w:sz w:val="24"/>
        </w:rPr>
        <w:t>基金管理人应在开放期前最后一个工作日的次日，披露开放期前最后一个工作日的</w:t>
      </w:r>
      <w:r w:rsidRPr="006B4576">
        <w:rPr>
          <w:color w:val="000000"/>
          <w:sz w:val="24"/>
        </w:rPr>
        <w:t>基金份额净值和基金份额累计净值</w:t>
      </w:r>
      <w:r w:rsidRPr="006B4576">
        <w:rPr>
          <w:rFonts w:hint="eastAsia"/>
          <w:color w:val="000000"/>
          <w:sz w:val="24"/>
        </w:rPr>
        <w:t>。</w:t>
      </w:r>
    </w:p>
    <w:p w:rsidR="006B4576" w:rsidRPr="006B4576" w:rsidRDefault="006B4576" w:rsidP="006B4576">
      <w:pPr>
        <w:spacing w:line="360" w:lineRule="auto"/>
        <w:ind w:firstLineChars="200" w:firstLine="480"/>
        <w:rPr>
          <w:color w:val="000000"/>
          <w:sz w:val="24"/>
        </w:rPr>
      </w:pPr>
      <w:r w:rsidRPr="006B4576">
        <w:rPr>
          <w:color w:val="000000"/>
          <w:sz w:val="24"/>
        </w:rPr>
        <w:t>在</w:t>
      </w:r>
      <w:r w:rsidRPr="006B4576">
        <w:rPr>
          <w:rFonts w:hint="eastAsia"/>
          <w:color w:val="000000"/>
          <w:sz w:val="24"/>
        </w:rPr>
        <w:t>基金开放期内</w:t>
      </w:r>
      <w:r w:rsidRPr="006B4576">
        <w:rPr>
          <w:color w:val="000000"/>
          <w:sz w:val="24"/>
        </w:rPr>
        <w:t>，基金管理人应当在每个开放日的次日，通过网站、基金份额发售网点以及其他媒介，披露开放日的基金份额净值和基金份额累计净值。</w:t>
      </w:r>
    </w:p>
    <w:p w:rsidR="007917EC" w:rsidRPr="007917EC" w:rsidRDefault="006B4576" w:rsidP="006B4576">
      <w:pPr>
        <w:spacing w:line="360" w:lineRule="auto"/>
        <w:ind w:firstLineChars="200" w:firstLine="480"/>
        <w:rPr>
          <w:color w:val="000000"/>
          <w:sz w:val="24"/>
        </w:rPr>
      </w:pPr>
      <w:r w:rsidRPr="006B4576">
        <w:rPr>
          <w:color w:val="000000"/>
          <w:sz w:val="24"/>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6D7060" w:rsidRDefault="00DF7FE6" w:rsidP="00B63558">
      <w:pPr>
        <w:pStyle w:val="30"/>
        <w:keepNext w:val="0"/>
        <w:keepLines w:val="0"/>
        <w:spacing w:before="0" w:after="0" w:line="360" w:lineRule="auto"/>
        <w:rPr>
          <w:color w:val="000000"/>
          <w:sz w:val="24"/>
          <w:szCs w:val="24"/>
        </w:rPr>
      </w:pPr>
      <w:r>
        <w:rPr>
          <w:rFonts w:hint="eastAsia"/>
          <w:color w:val="000000"/>
          <w:sz w:val="24"/>
          <w:szCs w:val="24"/>
        </w:rPr>
        <w:t>7</w:t>
      </w:r>
      <w:r w:rsidR="00902FCC">
        <w:rPr>
          <w:rFonts w:hint="eastAsia"/>
          <w:color w:val="000000"/>
          <w:sz w:val="24"/>
          <w:szCs w:val="24"/>
        </w:rPr>
        <w:t>.</w:t>
      </w:r>
      <w:r>
        <w:rPr>
          <w:rFonts w:hint="eastAsia"/>
          <w:color w:val="000000"/>
          <w:sz w:val="24"/>
          <w:szCs w:val="24"/>
        </w:rPr>
        <w:t xml:space="preserve"> </w:t>
      </w:r>
      <w:r w:rsidR="00902FCC">
        <w:rPr>
          <w:rFonts w:hint="eastAsia"/>
          <w:color w:val="000000"/>
          <w:sz w:val="24"/>
          <w:szCs w:val="24"/>
        </w:rPr>
        <w:t>其他需要提示的事项</w:t>
      </w:r>
    </w:p>
    <w:p w:rsidR="00411EB5" w:rsidRDefault="00411EB5" w:rsidP="005C41BF">
      <w:pPr>
        <w:spacing w:line="360" w:lineRule="auto"/>
        <w:ind w:firstLineChars="200" w:firstLine="480"/>
        <w:rPr>
          <w:color w:val="000000"/>
          <w:sz w:val="24"/>
        </w:rPr>
      </w:pPr>
      <w:r>
        <w:rPr>
          <w:rFonts w:hint="eastAsia"/>
          <w:color w:val="000000"/>
          <w:sz w:val="24"/>
        </w:rPr>
        <w:t>1</w:t>
      </w:r>
      <w:r w:rsidR="00902FCC">
        <w:rPr>
          <w:rFonts w:hint="eastAsia"/>
          <w:color w:val="000000"/>
          <w:sz w:val="24"/>
        </w:rPr>
        <w:t>、本公告仅对本基金开始办理</w:t>
      </w:r>
      <w:r w:rsidR="006629A3">
        <w:rPr>
          <w:rFonts w:hint="eastAsia"/>
          <w:color w:val="000000"/>
          <w:sz w:val="24"/>
        </w:rPr>
        <w:t>开放</w:t>
      </w:r>
      <w:r w:rsidR="00902FCC">
        <w:rPr>
          <w:rFonts w:hint="eastAsia"/>
          <w:color w:val="000000"/>
          <w:sz w:val="24"/>
        </w:rPr>
        <w:t>申购、赎回</w:t>
      </w:r>
      <w:r w:rsidR="000369AD">
        <w:rPr>
          <w:rFonts w:hint="eastAsia"/>
          <w:color w:val="000000"/>
          <w:sz w:val="24"/>
        </w:rPr>
        <w:t>业务</w:t>
      </w:r>
      <w:r w:rsidR="00902FCC">
        <w:rPr>
          <w:rFonts w:hint="eastAsia"/>
          <w:color w:val="000000"/>
          <w:sz w:val="24"/>
        </w:rPr>
        <w:t>等相关事项予以说明。</w:t>
      </w:r>
      <w:r>
        <w:rPr>
          <w:rFonts w:hint="eastAsia"/>
          <w:color w:val="000000"/>
          <w:sz w:val="24"/>
        </w:rPr>
        <w:t>投资者欲了解本基金的详细情况，请认真阅读</w:t>
      </w:r>
      <w:r>
        <w:rPr>
          <w:rFonts w:hint="eastAsia"/>
          <w:color w:val="000000"/>
          <w:sz w:val="24"/>
        </w:rPr>
        <w:t>2017</w:t>
      </w:r>
      <w:r>
        <w:rPr>
          <w:rFonts w:hint="eastAsia"/>
          <w:color w:val="000000"/>
          <w:sz w:val="24"/>
        </w:rPr>
        <w:t>年</w:t>
      </w:r>
      <w:r>
        <w:rPr>
          <w:rFonts w:hint="eastAsia"/>
          <w:color w:val="000000"/>
          <w:sz w:val="24"/>
        </w:rPr>
        <w:t>2</w:t>
      </w:r>
      <w:r>
        <w:rPr>
          <w:rFonts w:hint="eastAsia"/>
          <w:color w:val="000000"/>
          <w:sz w:val="24"/>
        </w:rPr>
        <w:t>月</w:t>
      </w:r>
      <w:r>
        <w:rPr>
          <w:rFonts w:hint="eastAsia"/>
          <w:color w:val="000000"/>
          <w:sz w:val="24"/>
        </w:rPr>
        <w:t>22</w:t>
      </w:r>
      <w:r>
        <w:rPr>
          <w:rFonts w:hint="eastAsia"/>
          <w:color w:val="000000"/>
          <w:sz w:val="24"/>
        </w:rPr>
        <w:t>日刊登在《中国证券报》、《证券时报》及《上海证券报》上的《</w:t>
      </w:r>
      <w:r w:rsidR="006B4576" w:rsidRPr="006B4576">
        <w:rPr>
          <w:rFonts w:hint="eastAsia"/>
          <w:color w:val="000000"/>
          <w:sz w:val="24"/>
        </w:rPr>
        <w:t>申万菱信智选一年期定期开放混合型证券投资基金</w:t>
      </w:r>
      <w:r>
        <w:rPr>
          <w:rFonts w:hint="eastAsia"/>
          <w:color w:val="000000"/>
          <w:sz w:val="24"/>
        </w:rPr>
        <w:t>招募说明书》及《</w:t>
      </w:r>
      <w:r w:rsidR="006B4576" w:rsidRPr="006B4576">
        <w:rPr>
          <w:rFonts w:hint="eastAsia"/>
          <w:color w:val="000000"/>
          <w:sz w:val="24"/>
        </w:rPr>
        <w:t>申万菱信智选一年期定期开放混合型证券投资基金</w:t>
      </w:r>
      <w:r>
        <w:rPr>
          <w:rFonts w:hint="eastAsia"/>
          <w:color w:val="000000"/>
          <w:sz w:val="24"/>
        </w:rPr>
        <w:t>基金合同（摘要）》，亦可登录本公司网站（</w:t>
      </w:r>
      <w:r>
        <w:rPr>
          <w:rFonts w:hint="eastAsia"/>
          <w:color w:val="000000"/>
          <w:sz w:val="24"/>
        </w:rPr>
        <w:t>www.swsmu.com</w:t>
      </w:r>
      <w:r>
        <w:rPr>
          <w:rFonts w:hint="eastAsia"/>
          <w:color w:val="000000"/>
          <w:sz w:val="24"/>
        </w:rPr>
        <w:t>）进行查询。</w:t>
      </w:r>
    </w:p>
    <w:p w:rsidR="00902FCC" w:rsidRDefault="00411EB5" w:rsidP="00B63558">
      <w:pPr>
        <w:spacing w:line="360" w:lineRule="auto"/>
        <w:ind w:firstLineChars="200" w:firstLine="480"/>
        <w:rPr>
          <w:color w:val="000000"/>
          <w:sz w:val="24"/>
        </w:rPr>
      </w:pPr>
      <w:r>
        <w:rPr>
          <w:rFonts w:hint="eastAsia"/>
          <w:color w:val="000000"/>
          <w:sz w:val="24"/>
        </w:rPr>
        <w:t>2</w:t>
      </w:r>
      <w:r w:rsidR="00902FCC">
        <w:rPr>
          <w:rFonts w:hint="eastAsia"/>
          <w:color w:val="000000"/>
          <w:sz w:val="24"/>
        </w:rPr>
        <w:t>、投资者可通过以下途径咨询：</w:t>
      </w:r>
    </w:p>
    <w:p w:rsidR="00902FCC" w:rsidRDefault="00902FCC" w:rsidP="00B63558">
      <w:pPr>
        <w:spacing w:line="360" w:lineRule="auto"/>
        <w:ind w:firstLineChars="200" w:firstLine="480"/>
        <w:rPr>
          <w:color w:val="000000"/>
          <w:sz w:val="24"/>
        </w:rPr>
      </w:pPr>
      <w:r>
        <w:rPr>
          <w:rFonts w:hint="eastAsia"/>
          <w:color w:val="000000"/>
          <w:sz w:val="24"/>
        </w:rPr>
        <w:t>申万菱信基金管理有限公司</w:t>
      </w:r>
    </w:p>
    <w:p w:rsidR="00902FCC" w:rsidRDefault="00902FCC" w:rsidP="00B63558">
      <w:pPr>
        <w:spacing w:line="360" w:lineRule="auto"/>
        <w:ind w:firstLineChars="200" w:firstLine="480"/>
        <w:rPr>
          <w:color w:val="000000"/>
          <w:sz w:val="24"/>
        </w:rPr>
      </w:pPr>
      <w:r>
        <w:rPr>
          <w:rFonts w:hint="eastAsia"/>
          <w:color w:val="000000"/>
          <w:sz w:val="24"/>
        </w:rPr>
        <w:t>网站：</w:t>
      </w:r>
      <w:r>
        <w:rPr>
          <w:rFonts w:hint="eastAsia"/>
          <w:color w:val="000000"/>
          <w:sz w:val="24"/>
        </w:rPr>
        <w:t>www.swsmu.com</w:t>
      </w:r>
    </w:p>
    <w:p w:rsidR="00902FCC" w:rsidRDefault="00902FCC" w:rsidP="00B63558">
      <w:pPr>
        <w:spacing w:line="360" w:lineRule="auto"/>
        <w:ind w:firstLineChars="200" w:firstLine="480"/>
        <w:rPr>
          <w:color w:val="000000"/>
          <w:sz w:val="24"/>
        </w:rPr>
      </w:pPr>
      <w:r>
        <w:rPr>
          <w:rFonts w:hint="eastAsia"/>
          <w:color w:val="000000"/>
          <w:sz w:val="24"/>
        </w:rPr>
        <w:t>客服电话：</w:t>
      </w:r>
      <w:r>
        <w:rPr>
          <w:rFonts w:hint="eastAsia"/>
          <w:color w:val="000000"/>
          <w:sz w:val="24"/>
        </w:rPr>
        <w:t>400 880 8588</w:t>
      </w:r>
      <w:r>
        <w:rPr>
          <w:rFonts w:hint="eastAsia"/>
          <w:color w:val="000000"/>
          <w:sz w:val="24"/>
        </w:rPr>
        <w:t>（免长途话费）或</w:t>
      </w:r>
      <w:r>
        <w:rPr>
          <w:rFonts w:hint="eastAsia"/>
          <w:color w:val="000000"/>
          <w:sz w:val="24"/>
        </w:rPr>
        <w:t>021-962299</w:t>
      </w:r>
    </w:p>
    <w:p w:rsidR="00902FCC" w:rsidRDefault="00411EB5" w:rsidP="00B63558">
      <w:pPr>
        <w:spacing w:line="360" w:lineRule="auto"/>
        <w:ind w:firstLineChars="200" w:firstLine="480"/>
        <w:rPr>
          <w:color w:val="000000"/>
          <w:sz w:val="24"/>
        </w:rPr>
      </w:pPr>
      <w:r>
        <w:rPr>
          <w:rFonts w:hint="eastAsia"/>
          <w:color w:val="000000"/>
          <w:sz w:val="24"/>
        </w:rPr>
        <w:t>3</w:t>
      </w:r>
      <w:r w:rsidR="00902FCC">
        <w:rPr>
          <w:rFonts w:hint="eastAsia"/>
          <w:color w:val="000000"/>
          <w:sz w:val="24"/>
        </w:rPr>
        <w:t>、本基金办理申购、赎回业务的具体规定请以各销售机构办理基金</w:t>
      </w:r>
      <w:r>
        <w:rPr>
          <w:rFonts w:hint="eastAsia"/>
          <w:color w:val="000000"/>
          <w:sz w:val="24"/>
        </w:rPr>
        <w:t>上述业务</w:t>
      </w:r>
      <w:r w:rsidR="00902FCC">
        <w:rPr>
          <w:rFonts w:hint="eastAsia"/>
          <w:color w:val="000000"/>
          <w:sz w:val="24"/>
        </w:rPr>
        <w:t>的有关规定为准。</w:t>
      </w:r>
    </w:p>
    <w:p w:rsidR="00902FCC" w:rsidRDefault="00411EB5" w:rsidP="00B63558">
      <w:pPr>
        <w:spacing w:line="360" w:lineRule="auto"/>
        <w:ind w:firstLineChars="200" w:firstLine="480"/>
        <w:rPr>
          <w:color w:val="000000"/>
          <w:sz w:val="24"/>
        </w:rPr>
      </w:pPr>
      <w:r>
        <w:rPr>
          <w:rFonts w:hint="eastAsia"/>
          <w:color w:val="000000"/>
          <w:sz w:val="24"/>
        </w:rPr>
        <w:t>4</w:t>
      </w:r>
      <w:r w:rsidR="00902FCC">
        <w:rPr>
          <w:rFonts w:hint="eastAsia"/>
          <w:color w:val="000000"/>
          <w:sz w:val="24"/>
        </w:rPr>
        <w:t>、本公告解释权归本公司所有。</w:t>
      </w:r>
    </w:p>
    <w:p w:rsidR="00902FCC" w:rsidRDefault="00411EB5" w:rsidP="00B63558">
      <w:pPr>
        <w:spacing w:line="360" w:lineRule="auto"/>
        <w:ind w:firstLineChars="200" w:firstLine="480"/>
        <w:rPr>
          <w:color w:val="000000"/>
          <w:sz w:val="24"/>
        </w:rPr>
      </w:pPr>
      <w:r>
        <w:rPr>
          <w:rFonts w:hint="eastAsia"/>
          <w:color w:val="000000"/>
          <w:sz w:val="24"/>
        </w:rPr>
        <w:t>5</w:t>
      </w:r>
      <w:r w:rsidR="00902FCC">
        <w:rPr>
          <w:rFonts w:hint="eastAsia"/>
          <w:color w:val="000000"/>
          <w:sz w:val="24"/>
        </w:rPr>
        <w:t>、风险提示：基金管理人承诺以诚实信用、勤勉尽责的原则管理和运用基金资产，但不保证基金一定盈利，也不保证最低收益。投资者投资于本基金前应认真阅读本基金的招募说明书。</w:t>
      </w:r>
    </w:p>
    <w:p w:rsidR="00FC1547" w:rsidRPr="00763F03" w:rsidRDefault="00902FCC" w:rsidP="00B63558">
      <w:pPr>
        <w:spacing w:line="360" w:lineRule="auto"/>
        <w:ind w:firstLineChars="200" w:firstLine="480"/>
        <w:rPr>
          <w:color w:val="000000"/>
          <w:sz w:val="24"/>
        </w:rPr>
      </w:pPr>
      <w:r>
        <w:rPr>
          <w:rFonts w:hint="eastAsia"/>
          <w:color w:val="000000"/>
          <w:sz w:val="24"/>
        </w:rPr>
        <w:t>特此公告。</w:t>
      </w:r>
    </w:p>
    <w:p w:rsidR="00283F41" w:rsidRPr="00763F03" w:rsidRDefault="00283F41" w:rsidP="00283F41">
      <w:pPr>
        <w:rPr>
          <w:sz w:val="24"/>
        </w:rPr>
      </w:pPr>
    </w:p>
    <w:sectPr w:rsidR="00283F41" w:rsidRPr="00763F03" w:rsidSect="00D82CA0">
      <w:headerReference w:type="default" r:id="rId9"/>
      <w:footerReference w:type="default" r:id="rId10"/>
      <w:footerReference w:type="first" r:id="rId11"/>
      <w:pgSz w:w="11906" w:h="16838"/>
      <w:pgMar w:top="1440" w:right="1797" w:bottom="1440" w:left="1797" w:header="851" w:footer="992" w:gutter="0"/>
      <w:pgNumType w:start="1"/>
      <w:cols w:space="425"/>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F6A" w:rsidRDefault="00EC3F6A">
      <w:r>
        <w:separator/>
      </w:r>
    </w:p>
  </w:endnote>
  <w:endnote w:type="continuationSeparator" w:id="1">
    <w:p w:rsidR="00EC3F6A" w:rsidRDefault="00EC3F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Arial Unicode MS"/>
    <w:panose1 w:val="02010609030101010101"/>
    <w:charset w:val="86"/>
    <w:family w:val="modern"/>
    <w:pitch w:val="fixed"/>
    <w:sig w:usb0="00000000"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22" w:rsidRDefault="00385B71" w:rsidP="00E57126">
    <w:pPr>
      <w:pStyle w:val="a4"/>
      <w:jc w:val="center"/>
    </w:pPr>
    <w:r>
      <w:rPr>
        <w:rStyle w:val="aa"/>
      </w:rPr>
      <w:fldChar w:fldCharType="begin"/>
    </w:r>
    <w:r w:rsidR="00ED4222">
      <w:rPr>
        <w:rStyle w:val="aa"/>
      </w:rPr>
      <w:instrText xml:space="preserve"> PAGE </w:instrText>
    </w:r>
    <w:r>
      <w:rPr>
        <w:rStyle w:val="aa"/>
      </w:rPr>
      <w:fldChar w:fldCharType="separate"/>
    </w:r>
    <w:r w:rsidR="00C06B75">
      <w:rPr>
        <w:rStyle w:val="aa"/>
        <w:noProof/>
      </w:rPr>
      <w:t>2</w:t>
    </w:r>
    <w:r>
      <w:rPr>
        <w:rStyle w:val="a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92583"/>
      <w:docPartObj>
        <w:docPartGallery w:val="Page Numbers (Bottom of Page)"/>
        <w:docPartUnique/>
      </w:docPartObj>
    </w:sdtPr>
    <w:sdtContent>
      <w:p w:rsidR="00ED4222" w:rsidRDefault="00ED4222">
        <w:pPr>
          <w:pStyle w:val="a4"/>
          <w:jc w:val="center"/>
        </w:pPr>
        <w:r>
          <w:rPr>
            <w:rFonts w:hint="eastAsia"/>
          </w:rPr>
          <w:t>1</w:t>
        </w:r>
      </w:p>
    </w:sdtContent>
  </w:sdt>
  <w:p w:rsidR="00ED4222" w:rsidRDefault="00ED422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F6A" w:rsidRDefault="00EC3F6A">
      <w:r>
        <w:separator/>
      </w:r>
    </w:p>
  </w:footnote>
  <w:footnote w:type="continuationSeparator" w:id="1">
    <w:p w:rsidR="00EC3F6A" w:rsidRDefault="00EC3F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22" w:rsidRPr="004649DF" w:rsidRDefault="00ED4222" w:rsidP="004649DF">
    <w:pPr>
      <w:pStyle w:val="a3"/>
      <w:rPr>
        <w:rStyle w:val="aa"/>
      </w:rPr>
    </w:pPr>
    <w:r>
      <w:rPr>
        <w:rStyle w:val="aa"/>
        <w:rFonts w:hint="eastAsia"/>
      </w:rPr>
      <w:t xml:space="preserve">                                             </w:t>
    </w:r>
  </w:p>
  <w:p w:rsidR="00ED4222" w:rsidRPr="004649DF" w:rsidRDefault="00ED4222" w:rsidP="004649DF">
    <w:pPr>
      <w:pStyle w:val="a3"/>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7E1A4842">
      <w:start w:val="1"/>
      <w:numFmt w:val="decimal"/>
      <w:lvlText w:val="%1）"/>
      <w:lvlJc w:val="left"/>
      <w:pPr>
        <w:tabs>
          <w:tab w:val="num" w:pos="360"/>
        </w:tabs>
        <w:ind w:left="360" w:hanging="360"/>
      </w:pPr>
      <w:rPr>
        <w:rFonts w:hint="default"/>
      </w:rPr>
    </w:lvl>
    <w:lvl w:ilvl="1" w:tplc="61044696" w:tentative="1">
      <w:start w:val="1"/>
      <w:numFmt w:val="lowerLetter"/>
      <w:lvlText w:val="%2)"/>
      <w:lvlJc w:val="left"/>
      <w:pPr>
        <w:tabs>
          <w:tab w:val="num" w:pos="840"/>
        </w:tabs>
        <w:ind w:left="840" w:hanging="420"/>
      </w:pPr>
    </w:lvl>
    <w:lvl w:ilvl="2" w:tplc="4442E6CE" w:tentative="1">
      <w:start w:val="1"/>
      <w:numFmt w:val="lowerRoman"/>
      <w:lvlText w:val="%3."/>
      <w:lvlJc w:val="right"/>
      <w:pPr>
        <w:tabs>
          <w:tab w:val="num" w:pos="1260"/>
        </w:tabs>
        <w:ind w:left="1260" w:hanging="420"/>
      </w:pPr>
    </w:lvl>
    <w:lvl w:ilvl="3" w:tplc="E89AF382" w:tentative="1">
      <w:start w:val="1"/>
      <w:numFmt w:val="decimal"/>
      <w:lvlText w:val="%4."/>
      <w:lvlJc w:val="left"/>
      <w:pPr>
        <w:tabs>
          <w:tab w:val="num" w:pos="1680"/>
        </w:tabs>
        <w:ind w:left="1680" w:hanging="420"/>
      </w:pPr>
    </w:lvl>
    <w:lvl w:ilvl="4" w:tplc="5F909A10" w:tentative="1">
      <w:start w:val="1"/>
      <w:numFmt w:val="lowerLetter"/>
      <w:lvlText w:val="%5)"/>
      <w:lvlJc w:val="left"/>
      <w:pPr>
        <w:tabs>
          <w:tab w:val="num" w:pos="2100"/>
        </w:tabs>
        <w:ind w:left="2100" w:hanging="420"/>
      </w:pPr>
    </w:lvl>
    <w:lvl w:ilvl="5" w:tplc="07A4855A" w:tentative="1">
      <w:start w:val="1"/>
      <w:numFmt w:val="lowerRoman"/>
      <w:lvlText w:val="%6."/>
      <w:lvlJc w:val="right"/>
      <w:pPr>
        <w:tabs>
          <w:tab w:val="num" w:pos="2520"/>
        </w:tabs>
        <w:ind w:left="2520" w:hanging="420"/>
      </w:pPr>
    </w:lvl>
    <w:lvl w:ilvl="6" w:tplc="499AE942" w:tentative="1">
      <w:start w:val="1"/>
      <w:numFmt w:val="decimal"/>
      <w:lvlText w:val="%7."/>
      <w:lvlJc w:val="left"/>
      <w:pPr>
        <w:tabs>
          <w:tab w:val="num" w:pos="2940"/>
        </w:tabs>
        <w:ind w:left="2940" w:hanging="420"/>
      </w:pPr>
    </w:lvl>
    <w:lvl w:ilvl="7" w:tplc="15C47F10" w:tentative="1">
      <w:start w:val="1"/>
      <w:numFmt w:val="lowerLetter"/>
      <w:lvlText w:val="%8)"/>
      <w:lvlJc w:val="left"/>
      <w:pPr>
        <w:tabs>
          <w:tab w:val="num" w:pos="3360"/>
        </w:tabs>
        <w:ind w:left="3360" w:hanging="420"/>
      </w:pPr>
    </w:lvl>
    <w:lvl w:ilvl="8" w:tplc="0862E216"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2EF5"/>
    <w:rsid w:val="00003643"/>
    <w:rsid w:val="00003689"/>
    <w:rsid w:val="00004181"/>
    <w:rsid w:val="000042EE"/>
    <w:rsid w:val="00004A56"/>
    <w:rsid w:val="000053B1"/>
    <w:rsid w:val="000068A0"/>
    <w:rsid w:val="00006AFB"/>
    <w:rsid w:val="000078DC"/>
    <w:rsid w:val="00010335"/>
    <w:rsid w:val="00011385"/>
    <w:rsid w:val="00012FBB"/>
    <w:rsid w:val="00013DEC"/>
    <w:rsid w:val="000147F4"/>
    <w:rsid w:val="00016267"/>
    <w:rsid w:val="000173B1"/>
    <w:rsid w:val="000174B9"/>
    <w:rsid w:val="00017A90"/>
    <w:rsid w:val="000211A0"/>
    <w:rsid w:val="0002132A"/>
    <w:rsid w:val="000219DD"/>
    <w:rsid w:val="00022564"/>
    <w:rsid w:val="000250A9"/>
    <w:rsid w:val="00030918"/>
    <w:rsid w:val="0003196B"/>
    <w:rsid w:val="000320D8"/>
    <w:rsid w:val="00032404"/>
    <w:rsid w:val="00032E23"/>
    <w:rsid w:val="00034059"/>
    <w:rsid w:val="000342E3"/>
    <w:rsid w:val="0003513B"/>
    <w:rsid w:val="00035A6F"/>
    <w:rsid w:val="000368C2"/>
    <w:rsid w:val="000369AD"/>
    <w:rsid w:val="000400EE"/>
    <w:rsid w:val="00040284"/>
    <w:rsid w:val="000408AA"/>
    <w:rsid w:val="0004211E"/>
    <w:rsid w:val="00042244"/>
    <w:rsid w:val="00042EB1"/>
    <w:rsid w:val="00044A21"/>
    <w:rsid w:val="00045C91"/>
    <w:rsid w:val="00046AD8"/>
    <w:rsid w:val="0004779C"/>
    <w:rsid w:val="00047CDA"/>
    <w:rsid w:val="00050CAE"/>
    <w:rsid w:val="00051D2D"/>
    <w:rsid w:val="000546BB"/>
    <w:rsid w:val="0005608A"/>
    <w:rsid w:val="00057B3C"/>
    <w:rsid w:val="00060225"/>
    <w:rsid w:val="00061B34"/>
    <w:rsid w:val="00061DA8"/>
    <w:rsid w:val="00062D60"/>
    <w:rsid w:val="00062FDA"/>
    <w:rsid w:val="000644A3"/>
    <w:rsid w:val="000655D4"/>
    <w:rsid w:val="00065BA8"/>
    <w:rsid w:val="00065D90"/>
    <w:rsid w:val="000662E0"/>
    <w:rsid w:val="000675B6"/>
    <w:rsid w:val="000702E5"/>
    <w:rsid w:val="0007061E"/>
    <w:rsid w:val="00070C60"/>
    <w:rsid w:val="00070D95"/>
    <w:rsid w:val="0007127F"/>
    <w:rsid w:val="00074069"/>
    <w:rsid w:val="000748A5"/>
    <w:rsid w:val="00076099"/>
    <w:rsid w:val="000770CC"/>
    <w:rsid w:val="000804E7"/>
    <w:rsid w:val="000805C2"/>
    <w:rsid w:val="000816D7"/>
    <w:rsid w:val="00084AB9"/>
    <w:rsid w:val="00086B61"/>
    <w:rsid w:val="000870C0"/>
    <w:rsid w:val="0008749A"/>
    <w:rsid w:val="00090C1A"/>
    <w:rsid w:val="000916A3"/>
    <w:rsid w:val="00091B13"/>
    <w:rsid w:val="000926FC"/>
    <w:rsid w:val="00092AB4"/>
    <w:rsid w:val="00092D19"/>
    <w:rsid w:val="00093212"/>
    <w:rsid w:val="00094A85"/>
    <w:rsid w:val="00095149"/>
    <w:rsid w:val="00095C68"/>
    <w:rsid w:val="00095DC9"/>
    <w:rsid w:val="000A0430"/>
    <w:rsid w:val="000A1095"/>
    <w:rsid w:val="000A6E54"/>
    <w:rsid w:val="000A77B4"/>
    <w:rsid w:val="000A78D1"/>
    <w:rsid w:val="000B101D"/>
    <w:rsid w:val="000B1E7A"/>
    <w:rsid w:val="000B2FD6"/>
    <w:rsid w:val="000B32FB"/>
    <w:rsid w:val="000B43E5"/>
    <w:rsid w:val="000B7854"/>
    <w:rsid w:val="000C006E"/>
    <w:rsid w:val="000C171B"/>
    <w:rsid w:val="000C262B"/>
    <w:rsid w:val="000C330C"/>
    <w:rsid w:val="000C37B0"/>
    <w:rsid w:val="000C3CBE"/>
    <w:rsid w:val="000C435B"/>
    <w:rsid w:val="000C4B0C"/>
    <w:rsid w:val="000C4C08"/>
    <w:rsid w:val="000C4C60"/>
    <w:rsid w:val="000C5080"/>
    <w:rsid w:val="000C59C2"/>
    <w:rsid w:val="000C6918"/>
    <w:rsid w:val="000D04FA"/>
    <w:rsid w:val="000D06C8"/>
    <w:rsid w:val="000D0897"/>
    <w:rsid w:val="000D27DC"/>
    <w:rsid w:val="000D37C0"/>
    <w:rsid w:val="000D51E8"/>
    <w:rsid w:val="000D60C8"/>
    <w:rsid w:val="000D7069"/>
    <w:rsid w:val="000D72F6"/>
    <w:rsid w:val="000D7307"/>
    <w:rsid w:val="000E12D3"/>
    <w:rsid w:val="000E49EF"/>
    <w:rsid w:val="000F1221"/>
    <w:rsid w:val="000F157F"/>
    <w:rsid w:val="000F1F16"/>
    <w:rsid w:val="000F227A"/>
    <w:rsid w:val="000F274B"/>
    <w:rsid w:val="000F2F13"/>
    <w:rsid w:val="000F306D"/>
    <w:rsid w:val="000F40C6"/>
    <w:rsid w:val="000F4841"/>
    <w:rsid w:val="001016A1"/>
    <w:rsid w:val="0010182D"/>
    <w:rsid w:val="001019AE"/>
    <w:rsid w:val="00102A5A"/>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BE8"/>
    <w:rsid w:val="00112FA5"/>
    <w:rsid w:val="00112FAB"/>
    <w:rsid w:val="00113EE4"/>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26B97"/>
    <w:rsid w:val="001304FE"/>
    <w:rsid w:val="00130918"/>
    <w:rsid w:val="001313E7"/>
    <w:rsid w:val="00131630"/>
    <w:rsid w:val="00131A50"/>
    <w:rsid w:val="001328E0"/>
    <w:rsid w:val="00133010"/>
    <w:rsid w:val="0013349F"/>
    <w:rsid w:val="00133D18"/>
    <w:rsid w:val="00134051"/>
    <w:rsid w:val="00134735"/>
    <w:rsid w:val="00134898"/>
    <w:rsid w:val="00135876"/>
    <w:rsid w:val="00135AC2"/>
    <w:rsid w:val="0013639C"/>
    <w:rsid w:val="0014308D"/>
    <w:rsid w:val="00144390"/>
    <w:rsid w:val="00144C33"/>
    <w:rsid w:val="00146C9D"/>
    <w:rsid w:val="00150C95"/>
    <w:rsid w:val="00151D4A"/>
    <w:rsid w:val="001540C2"/>
    <w:rsid w:val="00154A37"/>
    <w:rsid w:val="00155D84"/>
    <w:rsid w:val="00156E4F"/>
    <w:rsid w:val="00157808"/>
    <w:rsid w:val="001613D9"/>
    <w:rsid w:val="00161A62"/>
    <w:rsid w:val="001637A6"/>
    <w:rsid w:val="00165613"/>
    <w:rsid w:val="0016661A"/>
    <w:rsid w:val="0016729C"/>
    <w:rsid w:val="00167E28"/>
    <w:rsid w:val="0017050D"/>
    <w:rsid w:val="001726AF"/>
    <w:rsid w:val="00172C5E"/>
    <w:rsid w:val="0017530D"/>
    <w:rsid w:val="00175612"/>
    <w:rsid w:val="00175BD8"/>
    <w:rsid w:val="00176EF0"/>
    <w:rsid w:val="00177135"/>
    <w:rsid w:val="0017766C"/>
    <w:rsid w:val="00177940"/>
    <w:rsid w:val="00177A86"/>
    <w:rsid w:val="00180A97"/>
    <w:rsid w:val="00180D49"/>
    <w:rsid w:val="001833E8"/>
    <w:rsid w:val="00183684"/>
    <w:rsid w:val="00183A49"/>
    <w:rsid w:val="001862F4"/>
    <w:rsid w:val="0018671B"/>
    <w:rsid w:val="00190A51"/>
    <w:rsid w:val="0019168C"/>
    <w:rsid w:val="00191EF7"/>
    <w:rsid w:val="00193160"/>
    <w:rsid w:val="001932D0"/>
    <w:rsid w:val="00193FD2"/>
    <w:rsid w:val="00194C80"/>
    <w:rsid w:val="00195240"/>
    <w:rsid w:val="0019545C"/>
    <w:rsid w:val="00196095"/>
    <w:rsid w:val="00196473"/>
    <w:rsid w:val="00197382"/>
    <w:rsid w:val="001A061F"/>
    <w:rsid w:val="001A0F7C"/>
    <w:rsid w:val="001A12AC"/>
    <w:rsid w:val="001A2253"/>
    <w:rsid w:val="001A70A4"/>
    <w:rsid w:val="001A74F7"/>
    <w:rsid w:val="001A7B39"/>
    <w:rsid w:val="001A7CE6"/>
    <w:rsid w:val="001B1A2D"/>
    <w:rsid w:val="001B2691"/>
    <w:rsid w:val="001B2F15"/>
    <w:rsid w:val="001B318F"/>
    <w:rsid w:val="001B4E01"/>
    <w:rsid w:val="001B7D67"/>
    <w:rsid w:val="001C0028"/>
    <w:rsid w:val="001C0DCA"/>
    <w:rsid w:val="001C16E5"/>
    <w:rsid w:val="001C2003"/>
    <w:rsid w:val="001C2529"/>
    <w:rsid w:val="001C492E"/>
    <w:rsid w:val="001C4F06"/>
    <w:rsid w:val="001C581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102"/>
    <w:rsid w:val="001E02F5"/>
    <w:rsid w:val="001E0612"/>
    <w:rsid w:val="001E3121"/>
    <w:rsid w:val="001E4608"/>
    <w:rsid w:val="001E61B3"/>
    <w:rsid w:val="001E6A67"/>
    <w:rsid w:val="001E7CC4"/>
    <w:rsid w:val="001F0C2B"/>
    <w:rsid w:val="001F19FB"/>
    <w:rsid w:val="001F4596"/>
    <w:rsid w:val="001F4FD9"/>
    <w:rsid w:val="001F574B"/>
    <w:rsid w:val="001F6A57"/>
    <w:rsid w:val="00201BE0"/>
    <w:rsid w:val="00201FE3"/>
    <w:rsid w:val="002027D4"/>
    <w:rsid w:val="0020457E"/>
    <w:rsid w:val="00204C2F"/>
    <w:rsid w:val="0020649C"/>
    <w:rsid w:val="00206E5A"/>
    <w:rsid w:val="002078C2"/>
    <w:rsid w:val="00207EF9"/>
    <w:rsid w:val="00207FEE"/>
    <w:rsid w:val="002100A6"/>
    <w:rsid w:val="002114E6"/>
    <w:rsid w:val="002121AE"/>
    <w:rsid w:val="0021278C"/>
    <w:rsid w:val="002139A5"/>
    <w:rsid w:val="00214037"/>
    <w:rsid w:val="00215880"/>
    <w:rsid w:val="00215EF5"/>
    <w:rsid w:val="0021783C"/>
    <w:rsid w:val="0021792F"/>
    <w:rsid w:val="002205FB"/>
    <w:rsid w:val="002221B1"/>
    <w:rsid w:val="00223EF6"/>
    <w:rsid w:val="00226A1D"/>
    <w:rsid w:val="00226AA7"/>
    <w:rsid w:val="00226AF3"/>
    <w:rsid w:val="00227713"/>
    <w:rsid w:val="0022781C"/>
    <w:rsid w:val="0022784D"/>
    <w:rsid w:val="00231FB0"/>
    <w:rsid w:val="00232B1D"/>
    <w:rsid w:val="002350E9"/>
    <w:rsid w:val="0023539A"/>
    <w:rsid w:val="00236213"/>
    <w:rsid w:val="00236645"/>
    <w:rsid w:val="0023731D"/>
    <w:rsid w:val="00240863"/>
    <w:rsid w:val="002411EF"/>
    <w:rsid w:val="00241EA7"/>
    <w:rsid w:val="00242040"/>
    <w:rsid w:val="00242EF0"/>
    <w:rsid w:val="00242F7A"/>
    <w:rsid w:val="00244168"/>
    <w:rsid w:val="00244491"/>
    <w:rsid w:val="00244AB9"/>
    <w:rsid w:val="00244ED9"/>
    <w:rsid w:val="0024543A"/>
    <w:rsid w:val="002503AC"/>
    <w:rsid w:val="002504CC"/>
    <w:rsid w:val="0025194C"/>
    <w:rsid w:val="0025209D"/>
    <w:rsid w:val="002536B3"/>
    <w:rsid w:val="00254BCF"/>
    <w:rsid w:val="00257492"/>
    <w:rsid w:val="0026023D"/>
    <w:rsid w:val="0026149C"/>
    <w:rsid w:val="00262146"/>
    <w:rsid w:val="00262BCB"/>
    <w:rsid w:val="00264694"/>
    <w:rsid w:val="002646F0"/>
    <w:rsid w:val="0026566E"/>
    <w:rsid w:val="00267E52"/>
    <w:rsid w:val="00273A26"/>
    <w:rsid w:val="00273ACD"/>
    <w:rsid w:val="00273F5F"/>
    <w:rsid w:val="00273FD4"/>
    <w:rsid w:val="00274BC9"/>
    <w:rsid w:val="002834DA"/>
    <w:rsid w:val="002835A0"/>
    <w:rsid w:val="00283D05"/>
    <w:rsid w:val="00283F41"/>
    <w:rsid w:val="002855A0"/>
    <w:rsid w:val="00285EC5"/>
    <w:rsid w:val="0028664B"/>
    <w:rsid w:val="00286C48"/>
    <w:rsid w:val="00286C66"/>
    <w:rsid w:val="00287EBD"/>
    <w:rsid w:val="00287EC8"/>
    <w:rsid w:val="00290BA6"/>
    <w:rsid w:val="0029114F"/>
    <w:rsid w:val="00297FAA"/>
    <w:rsid w:val="002A00A5"/>
    <w:rsid w:val="002A1DC6"/>
    <w:rsid w:val="002A27EE"/>
    <w:rsid w:val="002A2828"/>
    <w:rsid w:val="002A2C3A"/>
    <w:rsid w:val="002A3127"/>
    <w:rsid w:val="002A6718"/>
    <w:rsid w:val="002A6889"/>
    <w:rsid w:val="002A71D3"/>
    <w:rsid w:val="002B0F15"/>
    <w:rsid w:val="002B1B3D"/>
    <w:rsid w:val="002B3287"/>
    <w:rsid w:val="002B492C"/>
    <w:rsid w:val="002B6446"/>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D7A3A"/>
    <w:rsid w:val="002E228D"/>
    <w:rsid w:val="002E3072"/>
    <w:rsid w:val="002E34FF"/>
    <w:rsid w:val="002E52B4"/>
    <w:rsid w:val="002E6982"/>
    <w:rsid w:val="002E78AA"/>
    <w:rsid w:val="002F02A6"/>
    <w:rsid w:val="002F0ED8"/>
    <w:rsid w:val="002F10EE"/>
    <w:rsid w:val="002F1531"/>
    <w:rsid w:val="002F2DD1"/>
    <w:rsid w:val="002F418D"/>
    <w:rsid w:val="002F477D"/>
    <w:rsid w:val="002F7199"/>
    <w:rsid w:val="002F7550"/>
    <w:rsid w:val="003011CB"/>
    <w:rsid w:val="00302430"/>
    <w:rsid w:val="003032CE"/>
    <w:rsid w:val="003033B1"/>
    <w:rsid w:val="00304413"/>
    <w:rsid w:val="003048FA"/>
    <w:rsid w:val="003048FB"/>
    <w:rsid w:val="0030710F"/>
    <w:rsid w:val="00307718"/>
    <w:rsid w:val="00310396"/>
    <w:rsid w:val="00310725"/>
    <w:rsid w:val="00311A93"/>
    <w:rsid w:val="00312632"/>
    <w:rsid w:val="003139F8"/>
    <w:rsid w:val="00313A10"/>
    <w:rsid w:val="00314BED"/>
    <w:rsid w:val="00315D36"/>
    <w:rsid w:val="00316115"/>
    <w:rsid w:val="00316C60"/>
    <w:rsid w:val="00316FE3"/>
    <w:rsid w:val="00321552"/>
    <w:rsid w:val="0032256B"/>
    <w:rsid w:val="00322857"/>
    <w:rsid w:val="00322F8E"/>
    <w:rsid w:val="0032564B"/>
    <w:rsid w:val="00327D92"/>
    <w:rsid w:val="00330F87"/>
    <w:rsid w:val="00332452"/>
    <w:rsid w:val="00332773"/>
    <w:rsid w:val="003351CF"/>
    <w:rsid w:val="003356EB"/>
    <w:rsid w:val="00336602"/>
    <w:rsid w:val="00336B7C"/>
    <w:rsid w:val="0034170A"/>
    <w:rsid w:val="00341B70"/>
    <w:rsid w:val="0034314C"/>
    <w:rsid w:val="00345156"/>
    <w:rsid w:val="00345618"/>
    <w:rsid w:val="003458AF"/>
    <w:rsid w:val="00345C56"/>
    <w:rsid w:val="00345C96"/>
    <w:rsid w:val="00346428"/>
    <w:rsid w:val="00350F43"/>
    <w:rsid w:val="0035257E"/>
    <w:rsid w:val="00352C98"/>
    <w:rsid w:val="003536F0"/>
    <w:rsid w:val="00353B67"/>
    <w:rsid w:val="0035480D"/>
    <w:rsid w:val="003558A3"/>
    <w:rsid w:val="0035595C"/>
    <w:rsid w:val="00360575"/>
    <w:rsid w:val="00360A37"/>
    <w:rsid w:val="003617A0"/>
    <w:rsid w:val="00362AC5"/>
    <w:rsid w:val="00362B38"/>
    <w:rsid w:val="003647C6"/>
    <w:rsid w:val="00366D9B"/>
    <w:rsid w:val="00367133"/>
    <w:rsid w:val="00370B48"/>
    <w:rsid w:val="00370DBA"/>
    <w:rsid w:val="00371299"/>
    <w:rsid w:val="0037181C"/>
    <w:rsid w:val="00371F64"/>
    <w:rsid w:val="00372A51"/>
    <w:rsid w:val="00373CA5"/>
    <w:rsid w:val="00373F25"/>
    <w:rsid w:val="003757CE"/>
    <w:rsid w:val="00376306"/>
    <w:rsid w:val="00377C25"/>
    <w:rsid w:val="00380499"/>
    <w:rsid w:val="00381196"/>
    <w:rsid w:val="00382589"/>
    <w:rsid w:val="00382E8E"/>
    <w:rsid w:val="00383AA5"/>
    <w:rsid w:val="00385B71"/>
    <w:rsid w:val="00386A12"/>
    <w:rsid w:val="00386C3E"/>
    <w:rsid w:val="00387F10"/>
    <w:rsid w:val="0039021B"/>
    <w:rsid w:val="00390EC0"/>
    <w:rsid w:val="00391990"/>
    <w:rsid w:val="003927ED"/>
    <w:rsid w:val="00392B2A"/>
    <w:rsid w:val="00393EDA"/>
    <w:rsid w:val="003940D2"/>
    <w:rsid w:val="00394CE2"/>
    <w:rsid w:val="003962FB"/>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C0F6B"/>
    <w:rsid w:val="003C1148"/>
    <w:rsid w:val="003C3107"/>
    <w:rsid w:val="003C6DCA"/>
    <w:rsid w:val="003D091D"/>
    <w:rsid w:val="003D14EF"/>
    <w:rsid w:val="003D2E43"/>
    <w:rsid w:val="003D5593"/>
    <w:rsid w:val="003D5A05"/>
    <w:rsid w:val="003D6376"/>
    <w:rsid w:val="003D665B"/>
    <w:rsid w:val="003D6CF0"/>
    <w:rsid w:val="003D7025"/>
    <w:rsid w:val="003E0139"/>
    <w:rsid w:val="003E0782"/>
    <w:rsid w:val="003E0D5B"/>
    <w:rsid w:val="003E0E6C"/>
    <w:rsid w:val="003E3544"/>
    <w:rsid w:val="003E3AE6"/>
    <w:rsid w:val="003E44D1"/>
    <w:rsid w:val="003E6E4E"/>
    <w:rsid w:val="003E70D0"/>
    <w:rsid w:val="003E72FE"/>
    <w:rsid w:val="003F0730"/>
    <w:rsid w:val="003F130F"/>
    <w:rsid w:val="003F13F0"/>
    <w:rsid w:val="003F1D17"/>
    <w:rsid w:val="003F2D9F"/>
    <w:rsid w:val="003F30F7"/>
    <w:rsid w:val="003F3AD4"/>
    <w:rsid w:val="003F4982"/>
    <w:rsid w:val="003F4AB9"/>
    <w:rsid w:val="003F5577"/>
    <w:rsid w:val="003F5B3A"/>
    <w:rsid w:val="003F5DDB"/>
    <w:rsid w:val="003F63F2"/>
    <w:rsid w:val="003F6A92"/>
    <w:rsid w:val="003F795A"/>
    <w:rsid w:val="00403E19"/>
    <w:rsid w:val="0040449F"/>
    <w:rsid w:val="004054C4"/>
    <w:rsid w:val="00405CF7"/>
    <w:rsid w:val="00410870"/>
    <w:rsid w:val="00410E37"/>
    <w:rsid w:val="00411EB5"/>
    <w:rsid w:val="0041265B"/>
    <w:rsid w:val="0041693A"/>
    <w:rsid w:val="00420380"/>
    <w:rsid w:val="00420F27"/>
    <w:rsid w:val="004222B8"/>
    <w:rsid w:val="00423383"/>
    <w:rsid w:val="004237BF"/>
    <w:rsid w:val="0042415C"/>
    <w:rsid w:val="0042496C"/>
    <w:rsid w:val="00425049"/>
    <w:rsid w:val="00425F10"/>
    <w:rsid w:val="00426038"/>
    <w:rsid w:val="004264F5"/>
    <w:rsid w:val="0043081F"/>
    <w:rsid w:val="004315FF"/>
    <w:rsid w:val="0043169D"/>
    <w:rsid w:val="0043270B"/>
    <w:rsid w:val="00432DD0"/>
    <w:rsid w:val="004330D6"/>
    <w:rsid w:val="00433C18"/>
    <w:rsid w:val="00434D84"/>
    <w:rsid w:val="00436DE5"/>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1917"/>
    <w:rsid w:val="0046366A"/>
    <w:rsid w:val="004649DF"/>
    <w:rsid w:val="00464C32"/>
    <w:rsid w:val="00464EBE"/>
    <w:rsid w:val="00467902"/>
    <w:rsid w:val="00467975"/>
    <w:rsid w:val="00470F7C"/>
    <w:rsid w:val="004717F7"/>
    <w:rsid w:val="00471C57"/>
    <w:rsid w:val="00472ADC"/>
    <w:rsid w:val="00472BB8"/>
    <w:rsid w:val="0047388C"/>
    <w:rsid w:val="004766EF"/>
    <w:rsid w:val="004776F5"/>
    <w:rsid w:val="004801EE"/>
    <w:rsid w:val="00482A77"/>
    <w:rsid w:val="00484946"/>
    <w:rsid w:val="00484C3A"/>
    <w:rsid w:val="0048608B"/>
    <w:rsid w:val="00487B46"/>
    <w:rsid w:val="00490AAB"/>
    <w:rsid w:val="00492EAC"/>
    <w:rsid w:val="00493362"/>
    <w:rsid w:val="00494990"/>
    <w:rsid w:val="00495533"/>
    <w:rsid w:val="00495738"/>
    <w:rsid w:val="00495D84"/>
    <w:rsid w:val="00495DF2"/>
    <w:rsid w:val="00497160"/>
    <w:rsid w:val="004A00D8"/>
    <w:rsid w:val="004A0947"/>
    <w:rsid w:val="004A1AFF"/>
    <w:rsid w:val="004A1C4F"/>
    <w:rsid w:val="004A2CA9"/>
    <w:rsid w:val="004A332E"/>
    <w:rsid w:val="004A4341"/>
    <w:rsid w:val="004A4CAA"/>
    <w:rsid w:val="004A575A"/>
    <w:rsid w:val="004B0095"/>
    <w:rsid w:val="004B07C8"/>
    <w:rsid w:val="004B08A9"/>
    <w:rsid w:val="004B2AB5"/>
    <w:rsid w:val="004B3B75"/>
    <w:rsid w:val="004B5386"/>
    <w:rsid w:val="004B5EBE"/>
    <w:rsid w:val="004B6DEA"/>
    <w:rsid w:val="004B7C59"/>
    <w:rsid w:val="004C04F6"/>
    <w:rsid w:val="004C279F"/>
    <w:rsid w:val="004C3640"/>
    <w:rsid w:val="004C4CEC"/>
    <w:rsid w:val="004C528E"/>
    <w:rsid w:val="004C6E0E"/>
    <w:rsid w:val="004C75C6"/>
    <w:rsid w:val="004C7D37"/>
    <w:rsid w:val="004C7F32"/>
    <w:rsid w:val="004D03D7"/>
    <w:rsid w:val="004D0C69"/>
    <w:rsid w:val="004D0D75"/>
    <w:rsid w:val="004D111C"/>
    <w:rsid w:val="004D144C"/>
    <w:rsid w:val="004D4A21"/>
    <w:rsid w:val="004D5061"/>
    <w:rsid w:val="004D592C"/>
    <w:rsid w:val="004D6148"/>
    <w:rsid w:val="004D6AF5"/>
    <w:rsid w:val="004D7879"/>
    <w:rsid w:val="004D7A35"/>
    <w:rsid w:val="004D7B26"/>
    <w:rsid w:val="004E0F73"/>
    <w:rsid w:val="004E1882"/>
    <w:rsid w:val="004E19DD"/>
    <w:rsid w:val="004E39AA"/>
    <w:rsid w:val="004E54FC"/>
    <w:rsid w:val="004E6651"/>
    <w:rsid w:val="004E667A"/>
    <w:rsid w:val="004E6DC9"/>
    <w:rsid w:val="004E72D1"/>
    <w:rsid w:val="004F0429"/>
    <w:rsid w:val="004F14A3"/>
    <w:rsid w:val="004F214E"/>
    <w:rsid w:val="004F2D87"/>
    <w:rsid w:val="004F34EB"/>
    <w:rsid w:val="004F4BC6"/>
    <w:rsid w:val="004F62C5"/>
    <w:rsid w:val="004F728A"/>
    <w:rsid w:val="004F7BA8"/>
    <w:rsid w:val="00500F35"/>
    <w:rsid w:val="00501D65"/>
    <w:rsid w:val="00503589"/>
    <w:rsid w:val="00503C2E"/>
    <w:rsid w:val="005053E8"/>
    <w:rsid w:val="005059DB"/>
    <w:rsid w:val="00505D2B"/>
    <w:rsid w:val="0050712B"/>
    <w:rsid w:val="00507CE6"/>
    <w:rsid w:val="005109FC"/>
    <w:rsid w:val="005111B4"/>
    <w:rsid w:val="005119A4"/>
    <w:rsid w:val="005148BB"/>
    <w:rsid w:val="00514B76"/>
    <w:rsid w:val="00515833"/>
    <w:rsid w:val="00516EA9"/>
    <w:rsid w:val="00520775"/>
    <w:rsid w:val="00520A80"/>
    <w:rsid w:val="00520C4C"/>
    <w:rsid w:val="00522306"/>
    <w:rsid w:val="005231BC"/>
    <w:rsid w:val="00523C2E"/>
    <w:rsid w:val="00524911"/>
    <w:rsid w:val="0052577E"/>
    <w:rsid w:val="00526FDF"/>
    <w:rsid w:val="00527192"/>
    <w:rsid w:val="00527B9F"/>
    <w:rsid w:val="00531891"/>
    <w:rsid w:val="00531B24"/>
    <w:rsid w:val="005322A5"/>
    <w:rsid w:val="005325D9"/>
    <w:rsid w:val="005326A9"/>
    <w:rsid w:val="00532944"/>
    <w:rsid w:val="00532B71"/>
    <w:rsid w:val="0053361D"/>
    <w:rsid w:val="00533AD4"/>
    <w:rsid w:val="005345F9"/>
    <w:rsid w:val="0053497A"/>
    <w:rsid w:val="00534AB2"/>
    <w:rsid w:val="005352B2"/>
    <w:rsid w:val="005356EE"/>
    <w:rsid w:val="0053587D"/>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D91"/>
    <w:rsid w:val="00556101"/>
    <w:rsid w:val="005563F4"/>
    <w:rsid w:val="00556583"/>
    <w:rsid w:val="0055686E"/>
    <w:rsid w:val="00556EBA"/>
    <w:rsid w:val="0055765F"/>
    <w:rsid w:val="00560D89"/>
    <w:rsid w:val="005613BE"/>
    <w:rsid w:val="005619F4"/>
    <w:rsid w:val="005636DA"/>
    <w:rsid w:val="00563E76"/>
    <w:rsid w:val="005657F5"/>
    <w:rsid w:val="005704F1"/>
    <w:rsid w:val="00570979"/>
    <w:rsid w:val="005711E2"/>
    <w:rsid w:val="0057134A"/>
    <w:rsid w:val="0057176B"/>
    <w:rsid w:val="0057211A"/>
    <w:rsid w:val="00573A01"/>
    <w:rsid w:val="005752FB"/>
    <w:rsid w:val="0057655D"/>
    <w:rsid w:val="00577536"/>
    <w:rsid w:val="00577CC5"/>
    <w:rsid w:val="0058012C"/>
    <w:rsid w:val="0058068B"/>
    <w:rsid w:val="00581610"/>
    <w:rsid w:val="00582BA0"/>
    <w:rsid w:val="00583603"/>
    <w:rsid w:val="00583C26"/>
    <w:rsid w:val="00584BEE"/>
    <w:rsid w:val="005852AB"/>
    <w:rsid w:val="005861FC"/>
    <w:rsid w:val="005901C8"/>
    <w:rsid w:val="00592D5B"/>
    <w:rsid w:val="00594635"/>
    <w:rsid w:val="00594744"/>
    <w:rsid w:val="00595B14"/>
    <w:rsid w:val="005A0588"/>
    <w:rsid w:val="005A2029"/>
    <w:rsid w:val="005A2273"/>
    <w:rsid w:val="005A2B15"/>
    <w:rsid w:val="005A449A"/>
    <w:rsid w:val="005A54FD"/>
    <w:rsid w:val="005A5FF7"/>
    <w:rsid w:val="005A625A"/>
    <w:rsid w:val="005A7610"/>
    <w:rsid w:val="005A78EA"/>
    <w:rsid w:val="005B0097"/>
    <w:rsid w:val="005B112D"/>
    <w:rsid w:val="005B1B4C"/>
    <w:rsid w:val="005B2106"/>
    <w:rsid w:val="005B3C0B"/>
    <w:rsid w:val="005B4095"/>
    <w:rsid w:val="005B55B2"/>
    <w:rsid w:val="005B67A7"/>
    <w:rsid w:val="005B744C"/>
    <w:rsid w:val="005C0D69"/>
    <w:rsid w:val="005C224D"/>
    <w:rsid w:val="005C3599"/>
    <w:rsid w:val="005C41BF"/>
    <w:rsid w:val="005C6066"/>
    <w:rsid w:val="005D05E5"/>
    <w:rsid w:val="005D363F"/>
    <w:rsid w:val="005D46D6"/>
    <w:rsid w:val="005D47D1"/>
    <w:rsid w:val="005D60D5"/>
    <w:rsid w:val="005E0C0B"/>
    <w:rsid w:val="005E0F3B"/>
    <w:rsid w:val="005E3199"/>
    <w:rsid w:val="005E38C9"/>
    <w:rsid w:val="005E4B47"/>
    <w:rsid w:val="005E54C9"/>
    <w:rsid w:val="005E5D0B"/>
    <w:rsid w:val="005E5F43"/>
    <w:rsid w:val="005F1A04"/>
    <w:rsid w:val="005F3210"/>
    <w:rsid w:val="005F5B5A"/>
    <w:rsid w:val="005F716D"/>
    <w:rsid w:val="005F7732"/>
    <w:rsid w:val="00600818"/>
    <w:rsid w:val="00600AE7"/>
    <w:rsid w:val="00601DFE"/>
    <w:rsid w:val="006030CF"/>
    <w:rsid w:val="00603680"/>
    <w:rsid w:val="0060369C"/>
    <w:rsid w:val="00603909"/>
    <w:rsid w:val="00604224"/>
    <w:rsid w:val="006067A6"/>
    <w:rsid w:val="006069AD"/>
    <w:rsid w:val="00606D5C"/>
    <w:rsid w:val="0061085F"/>
    <w:rsid w:val="00610D71"/>
    <w:rsid w:val="00612D51"/>
    <w:rsid w:val="00613D9D"/>
    <w:rsid w:val="00613E97"/>
    <w:rsid w:val="00613F05"/>
    <w:rsid w:val="0061495D"/>
    <w:rsid w:val="00614E3A"/>
    <w:rsid w:val="006175D4"/>
    <w:rsid w:val="00617BC3"/>
    <w:rsid w:val="00620895"/>
    <w:rsid w:val="00620F52"/>
    <w:rsid w:val="0062286F"/>
    <w:rsid w:val="00623473"/>
    <w:rsid w:val="00623A1C"/>
    <w:rsid w:val="006247DF"/>
    <w:rsid w:val="0062546A"/>
    <w:rsid w:val="006259CB"/>
    <w:rsid w:val="0062755C"/>
    <w:rsid w:val="00627EC1"/>
    <w:rsid w:val="006303AA"/>
    <w:rsid w:val="00631DDD"/>
    <w:rsid w:val="00632246"/>
    <w:rsid w:val="00632CE4"/>
    <w:rsid w:val="00633CB6"/>
    <w:rsid w:val="00635B36"/>
    <w:rsid w:val="006405E3"/>
    <w:rsid w:val="006407B1"/>
    <w:rsid w:val="00640947"/>
    <w:rsid w:val="00641EAB"/>
    <w:rsid w:val="00643FEB"/>
    <w:rsid w:val="0064459C"/>
    <w:rsid w:val="0064511D"/>
    <w:rsid w:val="00645826"/>
    <w:rsid w:val="00645AD2"/>
    <w:rsid w:val="00645D4A"/>
    <w:rsid w:val="00650CEC"/>
    <w:rsid w:val="00650DFA"/>
    <w:rsid w:val="00651256"/>
    <w:rsid w:val="006532A4"/>
    <w:rsid w:val="006538CE"/>
    <w:rsid w:val="00653CB3"/>
    <w:rsid w:val="00654967"/>
    <w:rsid w:val="00654D90"/>
    <w:rsid w:val="00654DC2"/>
    <w:rsid w:val="00655A09"/>
    <w:rsid w:val="00655E54"/>
    <w:rsid w:val="00656011"/>
    <w:rsid w:val="00661BDC"/>
    <w:rsid w:val="006629A3"/>
    <w:rsid w:val="00662EF5"/>
    <w:rsid w:val="006640F8"/>
    <w:rsid w:val="00664CC9"/>
    <w:rsid w:val="00667865"/>
    <w:rsid w:val="00671737"/>
    <w:rsid w:val="0067220F"/>
    <w:rsid w:val="00672C67"/>
    <w:rsid w:val="0067313F"/>
    <w:rsid w:val="00673CA2"/>
    <w:rsid w:val="00673CC1"/>
    <w:rsid w:val="0067601B"/>
    <w:rsid w:val="00680459"/>
    <w:rsid w:val="00680CA3"/>
    <w:rsid w:val="00681725"/>
    <w:rsid w:val="00681D44"/>
    <w:rsid w:val="006834C5"/>
    <w:rsid w:val="00683E0B"/>
    <w:rsid w:val="00684785"/>
    <w:rsid w:val="0068488B"/>
    <w:rsid w:val="00686739"/>
    <w:rsid w:val="0068694C"/>
    <w:rsid w:val="00686B04"/>
    <w:rsid w:val="00686BC6"/>
    <w:rsid w:val="006902A0"/>
    <w:rsid w:val="006946E6"/>
    <w:rsid w:val="0069493B"/>
    <w:rsid w:val="0069515A"/>
    <w:rsid w:val="006954BD"/>
    <w:rsid w:val="00697CDB"/>
    <w:rsid w:val="006A408F"/>
    <w:rsid w:val="006A5974"/>
    <w:rsid w:val="006A68EB"/>
    <w:rsid w:val="006A6CEB"/>
    <w:rsid w:val="006A7569"/>
    <w:rsid w:val="006B0023"/>
    <w:rsid w:val="006B02A3"/>
    <w:rsid w:val="006B08A9"/>
    <w:rsid w:val="006B138D"/>
    <w:rsid w:val="006B1A1F"/>
    <w:rsid w:val="006B2BD3"/>
    <w:rsid w:val="006B4576"/>
    <w:rsid w:val="006B45DD"/>
    <w:rsid w:val="006B5604"/>
    <w:rsid w:val="006B5F02"/>
    <w:rsid w:val="006B70D9"/>
    <w:rsid w:val="006C04BA"/>
    <w:rsid w:val="006C1E27"/>
    <w:rsid w:val="006C5562"/>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43A7"/>
    <w:rsid w:val="006E74AF"/>
    <w:rsid w:val="006E7CDD"/>
    <w:rsid w:val="006F1306"/>
    <w:rsid w:val="006F1D09"/>
    <w:rsid w:val="006F3917"/>
    <w:rsid w:val="006F4C4E"/>
    <w:rsid w:val="006F55AE"/>
    <w:rsid w:val="006F5BA1"/>
    <w:rsid w:val="006F7748"/>
    <w:rsid w:val="006F7772"/>
    <w:rsid w:val="006F7D01"/>
    <w:rsid w:val="0070167B"/>
    <w:rsid w:val="00706F23"/>
    <w:rsid w:val="007074EF"/>
    <w:rsid w:val="00707758"/>
    <w:rsid w:val="0071216D"/>
    <w:rsid w:val="00712EE4"/>
    <w:rsid w:val="00713261"/>
    <w:rsid w:val="00713DDC"/>
    <w:rsid w:val="007152C5"/>
    <w:rsid w:val="007158E0"/>
    <w:rsid w:val="00716F3D"/>
    <w:rsid w:val="0071783D"/>
    <w:rsid w:val="007201D9"/>
    <w:rsid w:val="00720C95"/>
    <w:rsid w:val="007210EA"/>
    <w:rsid w:val="007222FB"/>
    <w:rsid w:val="00722AF8"/>
    <w:rsid w:val="007248E5"/>
    <w:rsid w:val="0072534B"/>
    <w:rsid w:val="00726E9F"/>
    <w:rsid w:val="0073007E"/>
    <w:rsid w:val="0073016C"/>
    <w:rsid w:val="00730333"/>
    <w:rsid w:val="00730FC9"/>
    <w:rsid w:val="0073415D"/>
    <w:rsid w:val="00734298"/>
    <w:rsid w:val="00734EE7"/>
    <w:rsid w:val="0073534F"/>
    <w:rsid w:val="00737CDA"/>
    <w:rsid w:val="00740244"/>
    <w:rsid w:val="00742EDA"/>
    <w:rsid w:val="00746A17"/>
    <w:rsid w:val="00747BB3"/>
    <w:rsid w:val="00747F13"/>
    <w:rsid w:val="007500FE"/>
    <w:rsid w:val="0075030C"/>
    <w:rsid w:val="00751918"/>
    <w:rsid w:val="00753E01"/>
    <w:rsid w:val="007543AB"/>
    <w:rsid w:val="00756B77"/>
    <w:rsid w:val="00757248"/>
    <w:rsid w:val="00760CAD"/>
    <w:rsid w:val="00762E1D"/>
    <w:rsid w:val="00763F03"/>
    <w:rsid w:val="007646F7"/>
    <w:rsid w:val="0076606B"/>
    <w:rsid w:val="00766EB7"/>
    <w:rsid w:val="00767682"/>
    <w:rsid w:val="0076769A"/>
    <w:rsid w:val="00767ED7"/>
    <w:rsid w:val="0077113E"/>
    <w:rsid w:val="00772BF6"/>
    <w:rsid w:val="007743E2"/>
    <w:rsid w:val="00775C22"/>
    <w:rsid w:val="00776BEF"/>
    <w:rsid w:val="00776E74"/>
    <w:rsid w:val="00780C51"/>
    <w:rsid w:val="0078102B"/>
    <w:rsid w:val="007917EC"/>
    <w:rsid w:val="007927B1"/>
    <w:rsid w:val="00793396"/>
    <w:rsid w:val="00794E0B"/>
    <w:rsid w:val="007965E8"/>
    <w:rsid w:val="00797532"/>
    <w:rsid w:val="007A02F5"/>
    <w:rsid w:val="007A1287"/>
    <w:rsid w:val="007A1948"/>
    <w:rsid w:val="007A199B"/>
    <w:rsid w:val="007A343C"/>
    <w:rsid w:val="007A3959"/>
    <w:rsid w:val="007A4D9F"/>
    <w:rsid w:val="007A51C9"/>
    <w:rsid w:val="007A69A8"/>
    <w:rsid w:val="007A6DEF"/>
    <w:rsid w:val="007A71B1"/>
    <w:rsid w:val="007B06A8"/>
    <w:rsid w:val="007B1238"/>
    <w:rsid w:val="007B273D"/>
    <w:rsid w:val="007B279E"/>
    <w:rsid w:val="007B31E6"/>
    <w:rsid w:val="007B33E7"/>
    <w:rsid w:val="007B3D95"/>
    <w:rsid w:val="007B44A8"/>
    <w:rsid w:val="007B4674"/>
    <w:rsid w:val="007B4796"/>
    <w:rsid w:val="007B4C7D"/>
    <w:rsid w:val="007B6F0F"/>
    <w:rsid w:val="007B71D3"/>
    <w:rsid w:val="007B748A"/>
    <w:rsid w:val="007B7852"/>
    <w:rsid w:val="007C1078"/>
    <w:rsid w:val="007C3F4D"/>
    <w:rsid w:val="007C5297"/>
    <w:rsid w:val="007C5EFD"/>
    <w:rsid w:val="007C6F4D"/>
    <w:rsid w:val="007C7E87"/>
    <w:rsid w:val="007D055C"/>
    <w:rsid w:val="007D0BCA"/>
    <w:rsid w:val="007D0C27"/>
    <w:rsid w:val="007D0EFC"/>
    <w:rsid w:val="007D1D4C"/>
    <w:rsid w:val="007D25E3"/>
    <w:rsid w:val="007D2C1A"/>
    <w:rsid w:val="007D5652"/>
    <w:rsid w:val="007D58C5"/>
    <w:rsid w:val="007D63DD"/>
    <w:rsid w:val="007D6957"/>
    <w:rsid w:val="007D6A80"/>
    <w:rsid w:val="007E051A"/>
    <w:rsid w:val="007E13B8"/>
    <w:rsid w:val="007E15AD"/>
    <w:rsid w:val="007E19EA"/>
    <w:rsid w:val="007E323D"/>
    <w:rsid w:val="007E3FB8"/>
    <w:rsid w:val="007E4D77"/>
    <w:rsid w:val="007E4FAA"/>
    <w:rsid w:val="007E667A"/>
    <w:rsid w:val="007E6F57"/>
    <w:rsid w:val="007E713E"/>
    <w:rsid w:val="007E756A"/>
    <w:rsid w:val="007F0F01"/>
    <w:rsid w:val="007F2EDC"/>
    <w:rsid w:val="007F376A"/>
    <w:rsid w:val="007F38A5"/>
    <w:rsid w:val="007F4624"/>
    <w:rsid w:val="007F4791"/>
    <w:rsid w:val="007F59BC"/>
    <w:rsid w:val="007F5E08"/>
    <w:rsid w:val="007F7B0F"/>
    <w:rsid w:val="0080039C"/>
    <w:rsid w:val="008006BF"/>
    <w:rsid w:val="008012F1"/>
    <w:rsid w:val="00801451"/>
    <w:rsid w:val="00801C80"/>
    <w:rsid w:val="008020F4"/>
    <w:rsid w:val="00802DDF"/>
    <w:rsid w:val="008034DC"/>
    <w:rsid w:val="00803D49"/>
    <w:rsid w:val="00803ED0"/>
    <w:rsid w:val="00804923"/>
    <w:rsid w:val="00804924"/>
    <w:rsid w:val="00804B80"/>
    <w:rsid w:val="00804DF2"/>
    <w:rsid w:val="008050F5"/>
    <w:rsid w:val="00805335"/>
    <w:rsid w:val="00807540"/>
    <w:rsid w:val="00814855"/>
    <w:rsid w:val="008150A3"/>
    <w:rsid w:val="0081593C"/>
    <w:rsid w:val="00815D0B"/>
    <w:rsid w:val="0081687D"/>
    <w:rsid w:val="008179FE"/>
    <w:rsid w:val="00821FD5"/>
    <w:rsid w:val="00822ACB"/>
    <w:rsid w:val="00823ECC"/>
    <w:rsid w:val="00826879"/>
    <w:rsid w:val="00826FAA"/>
    <w:rsid w:val="00827B76"/>
    <w:rsid w:val="0083072D"/>
    <w:rsid w:val="00830BB1"/>
    <w:rsid w:val="0083177F"/>
    <w:rsid w:val="00831869"/>
    <w:rsid w:val="0083198A"/>
    <w:rsid w:val="0083249D"/>
    <w:rsid w:val="0083268C"/>
    <w:rsid w:val="0083335C"/>
    <w:rsid w:val="008343D1"/>
    <w:rsid w:val="008352E6"/>
    <w:rsid w:val="00835587"/>
    <w:rsid w:val="00836338"/>
    <w:rsid w:val="008379E8"/>
    <w:rsid w:val="008400C6"/>
    <w:rsid w:val="00840ADC"/>
    <w:rsid w:val="00840EA7"/>
    <w:rsid w:val="00841B2A"/>
    <w:rsid w:val="00841E19"/>
    <w:rsid w:val="00841F55"/>
    <w:rsid w:val="00842045"/>
    <w:rsid w:val="008427BE"/>
    <w:rsid w:val="00843678"/>
    <w:rsid w:val="00844647"/>
    <w:rsid w:val="00851684"/>
    <w:rsid w:val="008546CB"/>
    <w:rsid w:val="00855123"/>
    <w:rsid w:val="008558EF"/>
    <w:rsid w:val="008567AE"/>
    <w:rsid w:val="00856D27"/>
    <w:rsid w:val="008608F9"/>
    <w:rsid w:val="00861676"/>
    <w:rsid w:val="0086248C"/>
    <w:rsid w:val="00862C2B"/>
    <w:rsid w:val="00863034"/>
    <w:rsid w:val="008636EB"/>
    <w:rsid w:val="00864C21"/>
    <w:rsid w:val="00864C70"/>
    <w:rsid w:val="00864E46"/>
    <w:rsid w:val="00866F28"/>
    <w:rsid w:val="0086718A"/>
    <w:rsid w:val="0086792D"/>
    <w:rsid w:val="00867E7D"/>
    <w:rsid w:val="00871602"/>
    <w:rsid w:val="008719F0"/>
    <w:rsid w:val="00871AE2"/>
    <w:rsid w:val="0087330A"/>
    <w:rsid w:val="00874277"/>
    <w:rsid w:val="00876700"/>
    <w:rsid w:val="00876DC2"/>
    <w:rsid w:val="0088016C"/>
    <w:rsid w:val="00881984"/>
    <w:rsid w:val="00882D6F"/>
    <w:rsid w:val="008832B6"/>
    <w:rsid w:val="008832E8"/>
    <w:rsid w:val="008839C4"/>
    <w:rsid w:val="008847FC"/>
    <w:rsid w:val="00887514"/>
    <w:rsid w:val="00890B5E"/>
    <w:rsid w:val="008916A2"/>
    <w:rsid w:val="00893D09"/>
    <w:rsid w:val="008947DE"/>
    <w:rsid w:val="00895EF7"/>
    <w:rsid w:val="008961BE"/>
    <w:rsid w:val="00897AA4"/>
    <w:rsid w:val="008A10FD"/>
    <w:rsid w:val="008A1F97"/>
    <w:rsid w:val="008A4515"/>
    <w:rsid w:val="008A46A1"/>
    <w:rsid w:val="008A5A2C"/>
    <w:rsid w:val="008A5C06"/>
    <w:rsid w:val="008A68D5"/>
    <w:rsid w:val="008B037E"/>
    <w:rsid w:val="008B0567"/>
    <w:rsid w:val="008B24A8"/>
    <w:rsid w:val="008B261A"/>
    <w:rsid w:val="008B2F53"/>
    <w:rsid w:val="008B3E08"/>
    <w:rsid w:val="008B6DAB"/>
    <w:rsid w:val="008C123C"/>
    <w:rsid w:val="008C164E"/>
    <w:rsid w:val="008C1982"/>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D76F6"/>
    <w:rsid w:val="008E0AA1"/>
    <w:rsid w:val="008E136B"/>
    <w:rsid w:val="008E1CDB"/>
    <w:rsid w:val="008E2392"/>
    <w:rsid w:val="008E2A44"/>
    <w:rsid w:val="008E4D4C"/>
    <w:rsid w:val="008E53F7"/>
    <w:rsid w:val="008E6017"/>
    <w:rsid w:val="008E6ADD"/>
    <w:rsid w:val="008E7CA0"/>
    <w:rsid w:val="008F0699"/>
    <w:rsid w:val="008F1CE7"/>
    <w:rsid w:val="008F347E"/>
    <w:rsid w:val="008F4676"/>
    <w:rsid w:val="008F5E66"/>
    <w:rsid w:val="008F63DD"/>
    <w:rsid w:val="008F67D8"/>
    <w:rsid w:val="008F70B1"/>
    <w:rsid w:val="008F7FDD"/>
    <w:rsid w:val="00900576"/>
    <w:rsid w:val="00902680"/>
    <w:rsid w:val="00902FCC"/>
    <w:rsid w:val="00903140"/>
    <w:rsid w:val="00904F1B"/>
    <w:rsid w:val="00905498"/>
    <w:rsid w:val="00905C64"/>
    <w:rsid w:val="00906AB4"/>
    <w:rsid w:val="00907707"/>
    <w:rsid w:val="00907F30"/>
    <w:rsid w:val="00910523"/>
    <w:rsid w:val="00910675"/>
    <w:rsid w:val="00910927"/>
    <w:rsid w:val="00910982"/>
    <w:rsid w:val="00910C31"/>
    <w:rsid w:val="0091125D"/>
    <w:rsid w:val="00914C87"/>
    <w:rsid w:val="0091561F"/>
    <w:rsid w:val="0091646F"/>
    <w:rsid w:val="009167CB"/>
    <w:rsid w:val="00916B6D"/>
    <w:rsid w:val="00917F00"/>
    <w:rsid w:val="009215EA"/>
    <w:rsid w:val="009231A8"/>
    <w:rsid w:val="0092487B"/>
    <w:rsid w:val="00924F7B"/>
    <w:rsid w:val="00925587"/>
    <w:rsid w:val="009257C4"/>
    <w:rsid w:val="009258AF"/>
    <w:rsid w:val="00925E57"/>
    <w:rsid w:val="00926A35"/>
    <w:rsid w:val="009271F1"/>
    <w:rsid w:val="00927250"/>
    <w:rsid w:val="0092730F"/>
    <w:rsid w:val="00932F24"/>
    <w:rsid w:val="009335B4"/>
    <w:rsid w:val="00933DD3"/>
    <w:rsid w:val="00933EEC"/>
    <w:rsid w:val="00934BCD"/>
    <w:rsid w:val="00934C71"/>
    <w:rsid w:val="009361E3"/>
    <w:rsid w:val="009366C9"/>
    <w:rsid w:val="00936A99"/>
    <w:rsid w:val="009411E2"/>
    <w:rsid w:val="00942033"/>
    <w:rsid w:val="0094569A"/>
    <w:rsid w:val="009468E3"/>
    <w:rsid w:val="00946DF9"/>
    <w:rsid w:val="00950F84"/>
    <w:rsid w:val="00952187"/>
    <w:rsid w:val="00953CE2"/>
    <w:rsid w:val="009547B7"/>
    <w:rsid w:val="00954971"/>
    <w:rsid w:val="00956293"/>
    <w:rsid w:val="00957698"/>
    <w:rsid w:val="009608E7"/>
    <w:rsid w:val="00962D5A"/>
    <w:rsid w:val="00963A35"/>
    <w:rsid w:val="00963B4F"/>
    <w:rsid w:val="00967AAB"/>
    <w:rsid w:val="00967FC7"/>
    <w:rsid w:val="00971898"/>
    <w:rsid w:val="009748EE"/>
    <w:rsid w:val="009766B0"/>
    <w:rsid w:val="009803C3"/>
    <w:rsid w:val="00980448"/>
    <w:rsid w:val="00980716"/>
    <w:rsid w:val="00980B6F"/>
    <w:rsid w:val="0098289D"/>
    <w:rsid w:val="00982B1F"/>
    <w:rsid w:val="00983E8F"/>
    <w:rsid w:val="00985546"/>
    <w:rsid w:val="0098564E"/>
    <w:rsid w:val="00986D86"/>
    <w:rsid w:val="00987338"/>
    <w:rsid w:val="00987EF4"/>
    <w:rsid w:val="00990254"/>
    <w:rsid w:val="00991507"/>
    <w:rsid w:val="00991D42"/>
    <w:rsid w:val="009938AC"/>
    <w:rsid w:val="00994026"/>
    <w:rsid w:val="0099437A"/>
    <w:rsid w:val="00994A91"/>
    <w:rsid w:val="00994F61"/>
    <w:rsid w:val="00995491"/>
    <w:rsid w:val="00995C84"/>
    <w:rsid w:val="00997EFE"/>
    <w:rsid w:val="009A1958"/>
    <w:rsid w:val="009A1F02"/>
    <w:rsid w:val="009A25A9"/>
    <w:rsid w:val="009A2F90"/>
    <w:rsid w:val="009A5771"/>
    <w:rsid w:val="009A6C9C"/>
    <w:rsid w:val="009A6D10"/>
    <w:rsid w:val="009A6D6A"/>
    <w:rsid w:val="009A7865"/>
    <w:rsid w:val="009B06C0"/>
    <w:rsid w:val="009B1824"/>
    <w:rsid w:val="009B1CD9"/>
    <w:rsid w:val="009B3893"/>
    <w:rsid w:val="009B5410"/>
    <w:rsid w:val="009B5BF6"/>
    <w:rsid w:val="009B6C57"/>
    <w:rsid w:val="009B6DA8"/>
    <w:rsid w:val="009B6DB0"/>
    <w:rsid w:val="009C16BA"/>
    <w:rsid w:val="009C1C84"/>
    <w:rsid w:val="009C3EEB"/>
    <w:rsid w:val="009C3EF8"/>
    <w:rsid w:val="009C4B4F"/>
    <w:rsid w:val="009D074D"/>
    <w:rsid w:val="009D448B"/>
    <w:rsid w:val="009D4A25"/>
    <w:rsid w:val="009D4BEE"/>
    <w:rsid w:val="009D6713"/>
    <w:rsid w:val="009D6A98"/>
    <w:rsid w:val="009D759A"/>
    <w:rsid w:val="009D7D97"/>
    <w:rsid w:val="009E012F"/>
    <w:rsid w:val="009E13E5"/>
    <w:rsid w:val="009E1BB9"/>
    <w:rsid w:val="009E1C90"/>
    <w:rsid w:val="009E248E"/>
    <w:rsid w:val="009E335F"/>
    <w:rsid w:val="009E3569"/>
    <w:rsid w:val="009E37D2"/>
    <w:rsid w:val="009E3A98"/>
    <w:rsid w:val="009E48E1"/>
    <w:rsid w:val="009E5E3C"/>
    <w:rsid w:val="009E7111"/>
    <w:rsid w:val="009E7798"/>
    <w:rsid w:val="009F13E0"/>
    <w:rsid w:val="009F1F77"/>
    <w:rsid w:val="009F53DE"/>
    <w:rsid w:val="009F6343"/>
    <w:rsid w:val="00A028CB"/>
    <w:rsid w:val="00A02B6E"/>
    <w:rsid w:val="00A04026"/>
    <w:rsid w:val="00A04B9C"/>
    <w:rsid w:val="00A057B3"/>
    <w:rsid w:val="00A0748A"/>
    <w:rsid w:val="00A07CD0"/>
    <w:rsid w:val="00A11D54"/>
    <w:rsid w:val="00A127E6"/>
    <w:rsid w:val="00A13547"/>
    <w:rsid w:val="00A141C0"/>
    <w:rsid w:val="00A145E4"/>
    <w:rsid w:val="00A15B5D"/>
    <w:rsid w:val="00A15B98"/>
    <w:rsid w:val="00A16D21"/>
    <w:rsid w:val="00A2138C"/>
    <w:rsid w:val="00A21B2E"/>
    <w:rsid w:val="00A225CC"/>
    <w:rsid w:val="00A2404D"/>
    <w:rsid w:val="00A240A5"/>
    <w:rsid w:val="00A2490B"/>
    <w:rsid w:val="00A24E5C"/>
    <w:rsid w:val="00A27D92"/>
    <w:rsid w:val="00A31C13"/>
    <w:rsid w:val="00A322AA"/>
    <w:rsid w:val="00A331B6"/>
    <w:rsid w:val="00A337C2"/>
    <w:rsid w:val="00A36732"/>
    <w:rsid w:val="00A369EB"/>
    <w:rsid w:val="00A36EA7"/>
    <w:rsid w:val="00A37263"/>
    <w:rsid w:val="00A41AFC"/>
    <w:rsid w:val="00A4217D"/>
    <w:rsid w:val="00A426FC"/>
    <w:rsid w:val="00A44656"/>
    <w:rsid w:val="00A466B3"/>
    <w:rsid w:val="00A478B1"/>
    <w:rsid w:val="00A50003"/>
    <w:rsid w:val="00A50FD2"/>
    <w:rsid w:val="00A51CB7"/>
    <w:rsid w:val="00A51D5E"/>
    <w:rsid w:val="00A522F1"/>
    <w:rsid w:val="00A52FDE"/>
    <w:rsid w:val="00A549F5"/>
    <w:rsid w:val="00A55839"/>
    <w:rsid w:val="00A55888"/>
    <w:rsid w:val="00A55903"/>
    <w:rsid w:val="00A5708D"/>
    <w:rsid w:val="00A600BB"/>
    <w:rsid w:val="00A601AE"/>
    <w:rsid w:val="00A60669"/>
    <w:rsid w:val="00A60E19"/>
    <w:rsid w:val="00A614F0"/>
    <w:rsid w:val="00A623F7"/>
    <w:rsid w:val="00A62F6A"/>
    <w:rsid w:val="00A63F1F"/>
    <w:rsid w:val="00A65155"/>
    <w:rsid w:val="00A66131"/>
    <w:rsid w:val="00A67201"/>
    <w:rsid w:val="00A71E83"/>
    <w:rsid w:val="00A72C2B"/>
    <w:rsid w:val="00A734AE"/>
    <w:rsid w:val="00A73806"/>
    <w:rsid w:val="00A73B63"/>
    <w:rsid w:val="00A73F22"/>
    <w:rsid w:val="00A75489"/>
    <w:rsid w:val="00A7549E"/>
    <w:rsid w:val="00A7750F"/>
    <w:rsid w:val="00A800A8"/>
    <w:rsid w:val="00A80166"/>
    <w:rsid w:val="00A8036E"/>
    <w:rsid w:val="00A80706"/>
    <w:rsid w:val="00A80DDA"/>
    <w:rsid w:val="00A80ED8"/>
    <w:rsid w:val="00A84D27"/>
    <w:rsid w:val="00A863EA"/>
    <w:rsid w:val="00A86AB7"/>
    <w:rsid w:val="00A876DA"/>
    <w:rsid w:val="00A90015"/>
    <w:rsid w:val="00A91A96"/>
    <w:rsid w:val="00A92934"/>
    <w:rsid w:val="00A93D4A"/>
    <w:rsid w:val="00A93E82"/>
    <w:rsid w:val="00A9520F"/>
    <w:rsid w:val="00A969BC"/>
    <w:rsid w:val="00A96E87"/>
    <w:rsid w:val="00A97EFF"/>
    <w:rsid w:val="00AA190A"/>
    <w:rsid w:val="00AA2027"/>
    <w:rsid w:val="00AA276F"/>
    <w:rsid w:val="00AA3598"/>
    <w:rsid w:val="00AA4003"/>
    <w:rsid w:val="00AA41AC"/>
    <w:rsid w:val="00AA5AD6"/>
    <w:rsid w:val="00AA6B21"/>
    <w:rsid w:val="00AA6E0C"/>
    <w:rsid w:val="00AA7E16"/>
    <w:rsid w:val="00AB057F"/>
    <w:rsid w:val="00AB0ADE"/>
    <w:rsid w:val="00AB2B62"/>
    <w:rsid w:val="00AB332C"/>
    <w:rsid w:val="00AB345D"/>
    <w:rsid w:val="00AB3949"/>
    <w:rsid w:val="00AB3F82"/>
    <w:rsid w:val="00AB4403"/>
    <w:rsid w:val="00AB4A6D"/>
    <w:rsid w:val="00AB6DC6"/>
    <w:rsid w:val="00AC0706"/>
    <w:rsid w:val="00AC0F6D"/>
    <w:rsid w:val="00AC0F8F"/>
    <w:rsid w:val="00AC2B78"/>
    <w:rsid w:val="00AC54C8"/>
    <w:rsid w:val="00AC5747"/>
    <w:rsid w:val="00AC57C1"/>
    <w:rsid w:val="00AC644F"/>
    <w:rsid w:val="00AC696F"/>
    <w:rsid w:val="00AC6F43"/>
    <w:rsid w:val="00AC728D"/>
    <w:rsid w:val="00AC7956"/>
    <w:rsid w:val="00AD05EF"/>
    <w:rsid w:val="00AD13EF"/>
    <w:rsid w:val="00AD1486"/>
    <w:rsid w:val="00AD1A9E"/>
    <w:rsid w:val="00AD1C90"/>
    <w:rsid w:val="00AD266D"/>
    <w:rsid w:val="00AD27BD"/>
    <w:rsid w:val="00AD3D03"/>
    <w:rsid w:val="00AD6D98"/>
    <w:rsid w:val="00AE28E1"/>
    <w:rsid w:val="00AE3337"/>
    <w:rsid w:val="00AE33E2"/>
    <w:rsid w:val="00AE3D24"/>
    <w:rsid w:val="00AE3DB2"/>
    <w:rsid w:val="00AE5152"/>
    <w:rsid w:val="00AE5A0F"/>
    <w:rsid w:val="00AE61A9"/>
    <w:rsid w:val="00AE6D57"/>
    <w:rsid w:val="00AF02E4"/>
    <w:rsid w:val="00AF1AA5"/>
    <w:rsid w:val="00AF3123"/>
    <w:rsid w:val="00AF4EA5"/>
    <w:rsid w:val="00AF4EFB"/>
    <w:rsid w:val="00AF578B"/>
    <w:rsid w:val="00AF732C"/>
    <w:rsid w:val="00AF7FE5"/>
    <w:rsid w:val="00B024EC"/>
    <w:rsid w:val="00B02B0C"/>
    <w:rsid w:val="00B03077"/>
    <w:rsid w:val="00B03149"/>
    <w:rsid w:val="00B03388"/>
    <w:rsid w:val="00B03A8C"/>
    <w:rsid w:val="00B03CD3"/>
    <w:rsid w:val="00B04C76"/>
    <w:rsid w:val="00B05465"/>
    <w:rsid w:val="00B058EC"/>
    <w:rsid w:val="00B05FA1"/>
    <w:rsid w:val="00B069A8"/>
    <w:rsid w:val="00B06D1E"/>
    <w:rsid w:val="00B07E6C"/>
    <w:rsid w:val="00B10B08"/>
    <w:rsid w:val="00B11878"/>
    <w:rsid w:val="00B1192F"/>
    <w:rsid w:val="00B11F4D"/>
    <w:rsid w:val="00B12FDF"/>
    <w:rsid w:val="00B135FE"/>
    <w:rsid w:val="00B15192"/>
    <w:rsid w:val="00B16BBE"/>
    <w:rsid w:val="00B17BFB"/>
    <w:rsid w:val="00B21858"/>
    <w:rsid w:val="00B21C43"/>
    <w:rsid w:val="00B21D3E"/>
    <w:rsid w:val="00B242A5"/>
    <w:rsid w:val="00B24B5C"/>
    <w:rsid w:val="00B251E8"/>
    <w:rsid w:val="00B26C4D"/>
    <w:rsid w:val="00B27B63"/>
    <w:rsid w:val="00B32C11"/>
    <w:rsid w:val="00B333D7"/>
    <w:rsid w:val="00B33581"/>
    <w:rsid w:val="00B35E40"/>
    <w:rsid w:val="00B37375"/>
    <w:rsid w:val="00B37708"/>
    <w:rsid w:val="00B40012"/>
    <w:rsid w:val="00B40883"/>
    <w:rsid w:val="00B41191"/>
    <w:rsid w:val="00B42B03"/>
    <w:rsid w:val="00B4392E"/>
    <w:rsid w:val="00B44C23"/>
    <w:rsid w:val="00B44DE9"/>
    <w:rsid w:val="00B4507C"/>
    <w:rsid w:val="00B50D42"/>
    <w:rsid w:val="00B511FA"/>
    <w:rsid w:val="00B5291F"/>
    <w:rsid w:val="00B52C70"/>
    <w:rsid w:val="00B5309F"/>
    <w:rsid w:val="00B531EC"/>
    <w:rsid w:val="00B53DC5"/>
    <w:rsid w:val="00B55BB9"/>
    <w:rsid w:val="00B5616A"/>
    <w:rsid w:val="00B607A3"/>
    <w:rsid w:val="00B60967"/>
    <w:rsid w:val="00B6203F"/>
    <w:rsid w:val="00B63448"/>
    <w:rsid w:val="00B63558"/>
    <w:rsid w:val="00B65370"/>
    <w:rsid w:val="00B66209"/>
    <w:rsid w:val="00B67B58"/>
    <w:rsid w:val="00B7112C"/>
    <w:rsid w:val="00B7267C"/>
    <w:rsid w:val="00B731C8"/>
    <w:rsid w:val="00B73490"/>
    <w:rsid w:val="00B75B89"/>
    <w:rsid w:val="00B766D8"/>
    <w:rsid w:val="00B76802"/>
    <w:rsid w:val="00B76D36"/>
    <w:rsid w:val="00B77A3E"/>
    <w:rsid w:val="00B77BFE"/>
    <w:rsid w:val="00B824F6"/>
    <w:rsid w:val="00B82928"/>
    <w:rsid w:val="00B82C0F"/>
    <w:rsid w:val="00B84235"/>
    <w:rsid w:val="00B8507E"/>
    <w:rsid w:val="00B923DF"/>
    <w:rsid w:val="00B92402"/>
    <w:rsid w:val="00B92530"/>
    <w:rsid w:val="00B92AFB"/>
    <w:rsid w:val="00B9301A"/>
    <w:rsid w:val="00B9337C"/>
    <w:rsid w:val="00B9376D"/>
    <w:rsid w:val="00B94792"/>
    <w:rsid w:val="00B94BEF"/>
    <w:rsid w:val="00B95CCF"/>
    <w:rsid w:val="00B97C5E"/>
    <w:rsid w:val="00B97FE5"/>
    <w:rsid w:val="00BA1789"/>
    <w:rsid w:val="00BA29A9"/>
    <w:rsid w:val="00BA45A7"/>
    <w:rsid w:val="00BA672E"/>
    <w:rsid w:val="00BB0225"/>
    <w:rsid w:val="00BB08AD"/>
    <w:rsid w:val="00BB19FB"/>
    <w:rsid w:val="00BB1C95"/>
    <w:rsid w:val="00BB2202"/>
    <w:rsid w:val="00BB2D77"/>
    <w:rsid w:val="00BB320B"/>
    <w:rsid w:val="00BB439A"/>
    <w:rsid w:val="00BB4BA1"/>
    <w:rsid w:val="00BB6669"/>
    <w:rsid w:val="00BB6A68"/>
    <w:rsid w:val="00BC00A4"/>
    <w:rsid w:val="00BC0827"/>
    <w:rsid w:val="00BC0A27"/>
    <w:rsid w:val="00BC1082"/>
    <w:rsid w:val="00BC1132"/>
    <w:rsid w:val="00BC3498"/>
    <w:rsid w:val="00BC4FE9"/>
    <w:rsid w:val="00BC5837"/>
    <w:rsid w:val="00BC6F41"/>
    <w:rsid w:val="00BC72A4"/>
    <w:rsid w:val="00BC7474"/>
    <w:rsid w:val="00BC7530"/>
    <w:rsid w:val="00BC78BF"/>
    <w:rsid w:val="00BC7B89"/>
    <w:rsid w:val="00BC7F15"/>
    <w:rsid w:val="00BD0C32"/>
    <w:rsid w:val="00BD185F"/>
    <w:rsid w:val="00BD1E4B"/>
    <w:rsid w:val="00BD2F65"/>
    <w:rsid w:val="00BD4AAD"/>
    <w:rsid w:val="00BD5A41"/>
    <w:rsid w:val="00BD5FF9"/>
    <w:rsid w:val="00BD6725"/>
    <w:rsid w:val="00BD7C7C"/>
    <w:rsid w:val="00BE11C1"/>
    <w:rsid w:val="00BE17D4"/>
    <w:rsid w:val="00BE25C7"/>
    <w:rsid w:val="00BE2601"/>
    <w:rsid w:val="00BE3662"/>
    <w:rsid w:val="00BE390F"/>
    <w:rsid w:val="00BE4CDE"/>
    <w:rsid w:val="00BE5085"/>
    <w:rsid w:val="00BE5BBD"/>
    <w:rsid w:val="00BE5D40"/>
    <w:rsid w:val="00BE6D8A"/>
    <w:rsid w:val="00BE6F5C"/>
    <w:rsid w:val="00BF10E2"/>
    <w:rsid w:val="00BF1D8C"/>
    <w:rsid w:val="00BF22A8"/>
    <w:rsid w:val="00BF4726"/>
    <w:rsid w:val="00BF5743"/>
    <w:rsid w:val="00BF5AE9"/>
    <w:rsid w:val="00BF5F8A"/>
    <w:rsid w:val="00C00EBF"/>
    <w:rsid w:val="00C02D65"/>
    <w:rsid w:val="00C03EEB"/>
    <w:rsid w:val="00C04326"/>
    <w:rsid w:val="00C04736"/>
    <w:rsid w:val="00C05730"/>
    <w:rsid w:val="00C05ED3"/>
    <w:rsid w:val="00C05F7E"/>
    <w:rsid w:val="00C06430"/>
    <w:rsid w:val="00C06895"/>
    <w:rsid w:val="00C06B75"/>
    <w:rsid w:val="00C06C84"/>
    <w:rsid w:val="00C076CC"/>
    <w:rsid w:val="00C07793"/>
    <w:rsid w:val="00C12380"/>
    <w:rsid w:val="00C12F9B"/>
    <w:rsid w:val="00C1302F"/>
    <w:rsid w:val="00C136AC"/>
    <w:rsid w:val="00C13EA5"/>
    <w:rsid w:val="00C143FB"/>
    <w:rsid w:val="00C14827"/>
    <w:rsid w:val="00C14BE4"/>
    <w:rsid w:val="00C14D1D"/>
    <w:rsid w:val="00C14FE6"/>
    <w:rsid w:val="00C15FC4"/>
    <w:rsid w:val="00C1754A"/>
    <w:rsid w:val="00C20D46"/>
    <w:rsid w:val="00C228AF"/>
    <w:rsid w:val="00C23026"/>
    <w:rsid w:val="00C231A7"/>
    <w:rsid w:val="00C248EA"/>
    <w:rsid w:val="00C24DB7"/>
    <w:rsid w:val="00C26827"/>
    <w:rsid w:val="00C2794D"/>
    <w:rsid w:val="00C27F3B"/>
    <w:rsid w:val="00C30B14"/>
    <w:rsid w:val="00C32D17"/>
    <w:rsid w:val="00C3353A"/>
    <w:rsid w:val="00C33774"/>
    <w:rsid w:val="00C33D33"/>
    <w:rsid w:val="00C3501D"/>
    <w:rsid w:val="00C37A42"/>
    <w:rsid w:val="00C4070C"/>
    <w:rsid w:val="00C4307B"/>
    <w:rsid w:val="00C44087"/>
    <w:rsid w:val="00C4565E"/>
    <w:rsid w:val="00C46644"/>
    <w:rsid w:val="00C46A90"/>
    <w:rsid w:val="00C47AB1"/>
    <w:rsid w:val="00C50201"/>
    <w:rsid w:val="00C52179"/>
    <w:rsid w:val="00C53658"/>
    <w:rsid w:val="00C540ED"/>
    <w:rsid w:val="00C54139"/>
    <w:rsid w:val="00C547B6"/>
    <w:rsid w:val="00C570AA"/>
    <w:rsid w:val="00C5781F"/>
    <w:rsid w:val="00C61757"/>
    <w:rsid w:val="00C623DF"/>
    <w:rsid w:val="00C64C18"/>
    <w:rsid w:val="00C64DBC"/>
    <w:rsid w:val="00C6553D"/>
    <w:rsid w:val="00C6670F"/>
    <w:rsid w:val="00C66E49"/>
    <w:rsid w:val="00C67F4A"/>
    <w:rsid w:val="00C710C6"/>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29FA"/>
    <w:rsid w:val="00C85F58"/>
    <w:rsid w:val="00C8748A"/>
    <w:rsid w:val="00C912A0"/>
    <w:rsid w:val="00C92D1F"/>
    <w:rsid w:val="00C93240"/>
    <w:rsid w:val="00C9333E"/>
    <w:rsid w:val="00C957E0"/>
    <w:rsid w:val="00C9580E"/>
    <w:rsid w:val="00C962BC"/>
    <w:rsid w:val="00CA01EC"/>
    <w:rsid w:val="00CA02E8"/>
    <w:rsid w:val="00CA181A"/>
    <w:rsid w:val="00CA2EFE"/>
    <w:rsid w:val="00CA481B"/>
    <w:rsid w:val="00CA57FD"/>
    <w:rsid w:val="00CA6E39"/>
    <w:rsid w:val="00CA7AD4"/>
    <w:rsid w:val="00CA7D7D"/>
    <w:rsid w:val="00CB00E2"/>
    <w:rsid w:val="00CB1A1F"/>
    <w:rsid w:val="00CB235B"/>
    <w:rsid w:val="00CB2AEC"/>
    <w:rsid w:val="00CB4538"/>
    <w:rsid w:val="00CB4624"/>
    <w:rsid w:val="00CB517E"/>
    <w:rsid w:val="00CB5507"/>
    <w:rsid w:val="00CB643D"/>
    <w:rsid w:val="00CB6744"/>
    <w:rsid w:val="00CB68AC"/>
    <w:rsid w:val="00CB6B20"/>
    <w:rsid w:val="00CB6D43"/>
    <w:rsid w:val="00CB6FF0"/>
    <w:rsid w:val="00CB79B9"/>
    <w:rsid w:val="00CC1E4B"/>
    <w:rsid w:val="00CC1E7B"/>
    <w:rsid w:val="00CC28C9"/>
    <w:rsid w:val="00CC2D0E"/>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2BE"/>
    <w:rsid w:val="00CE058E"/>
    <w:rsid w:val="00CE1AAB"/>
    <w:rsid w:val="00CE2CC7"/>
    <w:rsid w:val="00CE3191"/>
    <w:rsid w:val="00CE407E"/>
    <w:rsid w:val="00CE4346"/>
    <w:rsid w:val="00CE4C72"/>
    <w:rsid w:val="00CE73C9"/>
    <w:rsid w:val="00CE7937"/>
    <w:rsid w:val="00CE7B4F"/>
    <w:rsid w:val="00CF1695"/>
    <w:rsid w:val="00CF1A2E"/>
    <w:rsid w:val="00CF1D15"/>
    <w:rsid w:val="00CF4B8A"/>
    <w:rsid w:val="00D001B6"/>
    <w:rsid w:val="00D00ED1"/>
    <w:rsid w:val="00D012D5"/>
    <w:rsid w:val="00D01664"/>
    <w:rsid w:val="00D01E30"/>
    <w:rsid w:val="00D027D6"/>
    <w:rsid w:val="00D051EC"/>
    <w:rsid w:val="00D068C2"/>
    <w:rsid w:val="00D078C9"/>
    <w:rsid w:val="00D1057B"/>
    <w:rsid w:val="00D10676"/>
    <w:rsid w:val="00D1228C"/>
    <w:rsid w:val="00D14840"/>
    <w:rsid w:val="00D152DD"/>
    <w:rsid w:val="00D1547B"/>
    <w:rsid w:val="00D202EF"/>
    <w:rsid w:val="00D203AA"/>
    <w:rsid w:val="00D20A27"/>
    <w:rsid w:val="00D211A9"/>
    <w:rsid w:val="00D21363"/>
    <w:rsid w:val="00D213A1"/>
    <w:rsid w:val="00D22EF3"/>
    <w:rsid w:val="00D23731"/>
    <w:rsid w:val="00D2396A"/>
    <w:rsid w:val="00D23FBF"/>
    <w:rsid w:val="00D25988"/>
    <w:rsid w:val="00D263BB"/>
    <w:rsid w:val="00D2709B"/>
    <w:rsid w:val="00D270B8"/>
    <w:rsid w:val="00D27CE8"/>
    <w:rsid w:val="00D27FE7"/>
    <w:rsid w:val="00D30CD4"/>
    <w:rsid w:val="00D31680"/>
    <w:rsid w:val="00D326BF"/>
    <w:rsid w:val="00D332A2"/>
    <w:rsid w:val="00D3511E"/>
    <w:rsid w:val="00D36D48"/>
    <w:rsid w:val="00D40AD0"/>
    <w:rsid w:val="00D40E46"/>
    <w:rsid w:val="00D42662"/>
    <w:rsid w:val="00D42ECC"/>
    <w:rsid w:val="00D43556"/>
    <w:rsid w:val="00D44507"/>
    <w:rsid w:val="00D44A73"/>
    <w:rsid w:val="00D46022"/>
    <w:rsid w:val="00D4606B"/>
    <w:rsid w:val="00D556FE"/>
    <w:rsid w:val="00D57156"/>
    <w:rsid w:val="00D60B33"/>
    <w:rsid w:val="00D60D56"/>
    <w:rsid w:val="00D60E8B"/>
    <w:rsid w:val="00D61067"/>
    <w:rsid w:val="00D62C69"/>
    <w:rsid w:val="00D63419"/>
    <w:rsid w:val="00D63575"/>
    <w:rsid w:val="00D66113"/>
    <w:rsid w:val="00D676B5"/>
    <w:rsid w:val="00D7022C"/>
    <w:rsid w:val="00D70567"/>
    <w:rsid w:val="00D707EB"/>
    <w:rsid w:val="00D70E1D"/>
    <w:rsid w:val="00D70E44"/>
    <w:rsid w:val="00D71610"/>
    <w:rsid w:val="00D71EFB"/>
    <w:rsid w:val="00D73097"/>
    <w:rsid w:val="00D73682"/>
    <w:rsid w:val="00D74654"/>
    <w:rsid w:val="00D75B8D"/>
    <w:rsid w:val="00D763CD"/>
    <w:rsid w:val="00D77E2C"/>
    <w:rsid w:val="00D80222"/>
    <w:rsid w:val="00D80879"/>
    <w:rsid w:val="00D81AA0"/>
    <w:rsid w:val="00D824E6"/>
    <w:rsid w:val="00D82CA0"/>
    <w:rsid w:val="00D832E9"/>
    <w:rsid w:val="00D86346"/>
    <w:rsid w:val="00D8672E"/>
    <w:rsid w:val="00D877B7"/>
    <w:rsid w:val="00D87A0B"/>
    <w:rsid w:val="00D90C46"/>
    <w:rsid w:val="00D90EEE"/>
    <w:rsid w:val="00D92B0A"/>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E67"/>
    <w:rsid w:val="00DB38CE"/>
    <w:rsid w:val="00DB4A17"/>
    <w:rsid w:val="00DB4E9A"/>
    <w:rsid w:val="00DB77FC"/>
    <w:rsid w:val="00DC0432"/>
    <w:rsid w:val="00DC27B6"/>
    <w:rsid w:val="00DC3560"/>
    <w:rsid w:val="00DC4379"/>
    <w:rsid w:val="00DC43CF"/>
    <w:rsid w:val="00DC4B01"/>
    <w:rsid w:val="00DC4FDE"/>
    <w:rsid w:val="00DC5576"/>
    <w:rsid w:val="00DC593F"/>
    <w:rsid w:val="00DC6970"/>
    <w:rsid w:val="00DC70DD"/>
    <w:rsid w:val="00DC7C0D"/>
    <w:rsid w:val="00DD013B"/>
    <w:rsid w:val="00DD0EC5"/>
    <w:rsid w:val="00DD1753"/>
    <w:rsid w:val="00DD1DD2"/>
    <w:rsid w:val="00DD3E21"/>
    <w:rsid w:val="00DD3EB8"/>
    <w:rsid w:val="00DD61EA"/>
    <w:rsid w:val="00DD65E8"/>
    <w:rsid w:val="00DD765C"/>
    <w:rsid w:val="00DD7A8B"/>
    <w:rsid w:val="00DE156B"/>
    <w:rsid w:val="00DE1C68"/>
    <w:rsid w:val="00DE2B21"/>
    <w:rsid w:val="00DE36FC"/>
    <w:rsid w:val="00DE5238"/>
    <w:rsid w:val="00DE527A"/>
    <w:rsid w:val="00DE55E4"/>
    <w:rsid w:val="00DE5DDF"/>
    <w:rsid w:val="00DE66A3"/>
    <w:rsid w:val="00DE6A62"/>
    <w:rsid w:val="00DE776F"/>
    <w:rsid w:val="00DF3162"/>
    <w:rsid w:val="00DF3792"/>
    <w:rsid w:val="00DF54D6"/>
    <w:rsid w:val="00DF68BE"/>
    <w:rsid w:val="00DF7283"/>
    <w:rsid w:val="00DF75BF"/>
    <w:rsid w:val="00DF7C10"/>
    <w:rsid w:val="00DF7FE6"/>
    <w:rsid w:val="00E0123B"/>
    <w:rsid w:val="00E01CF9"/>
    <w:rsid w:val="00E030CD"/>
    <w:rsid w:val="00E03CCE"/>
    <w:rsid w:val="00E04FEF"/>
    <w:rsid w:val="00E05661"/>
    <w:rsid w:val="00E10BBF"/>
    <w:rsid w:val="00E10D16"/>
    <w:rsid w:val="00E11C3D"/>
    <w:rsid w:val="00E1231C"/>
    <w:rsid w:val="00E1351C"/>
    <w:rsid w:val="00E1595C"/>
    <w:rsid w:val="00E16093"/>
    <w:rsid w:val="00E16B19"/>
    <w:rsid w:val="00E17D7C"/>
    <w:rsid w:val="00E202B0"/>
    <w:rsid w:val="00E223D0"/>
    <w:rsid w:val="00E236A5"/>
    <w:rsid w:val="00E23A84"/>
    <w:rsid w:val="00E24CAF"/>
    <w:rsid w:val="00E3159E"/>
    <w:rsid w:val="00E3229D"/>
    <w:rsid w:val="00E33B57"/>
    <w:rsid w:val="00E352FC"/>
    <w:rsid w:val="00E356B1"/>
    <w:rsid w:val="00E3690B"/>
    <w:rsid w:val="00E37254"/>
    <w:rsid w:val="00E40BDC"/>
    <w:rsid w:val="00E41194"/>
    <w:rsid w:val="00E4270A"/>
    <w:rsid w:val="00E42776"/>
    <w:rsid w:val="00E44A26"/>
    <w:rsid w:val="00E4603B"/>
    <w:rsid w:val="00E4680A"/>
    <w:rsid w:val="00E47A29"/>
    <w:rsid w:val="00E5019E"/>
    <w:rsid w:val="00E50DD9"/>
    <w:rsid w:val="00E5147A"/>
    <w:rsid w:val="00E51E93"/>
    <w:rsid w:val="00E520A6"/>
    <w:rsid w:val="00E52E97"/>
    <w:rsid w:val="00E53661"/>
    <w:rsid w:val="00E5409A"/>
    <w:rsid w:val="00E55302"/>
    <w:rsid w:val="00E55A13"/>
    <w:rsid w:val="00E55FD1"/>
    <w:rsid w:val="00E56FC3"/>
    <w:rsid w:val="00E57126"/>
    <w:rsid w:val="00E57B09"/>
    <w:rsid w:val="00E6246C"/>
    <w:rsid w:val="00E6365C"/>
    <w:rsid w:val="00E63E88"/>
    <w:rsid w:val="00E63FA4"/>
    <w:rsid w:val="00E64B88"/>
    <w:rsid w:val="00E650F8"/>
    <w:rsid w:val="00E65890"/>
    <w:rsid w:val="00E667DC"/>
    <w:rsid w:val="00E678BF"/>
    <w:rsid w:val="00E67B51"/>
    <w:rsid w:val="00E70EA9"/>
    <w:rsid w:val="00E71097"/>
    <w:rsid w:val="00E7127B"/>
    <w:rsid w:val="00E72E5C"/>
    <w:rsid w:val="00E74F72"/>
    <w:rsid w:val="00E81B50"/>
    <w:rsid w:val="00E82A55"/>
    <w:rsid w:val="00E83327"/>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0C9"/>
    <w:rsid w:val="00EA4C27"/>
    <w:rsid w:val="00EA51ED"/>
    <w:rsid w:val="00EB0D74"/>
    <w:rsid w:val="00EB2446"/>
    <w:rsid w:val="00EB3527"/>
    <w:rsid w:val="00EB4C81"/>
    <w:rsid w:val="00EB4E50"/>
    <w:rsid w:val="00EB5113"/>
    <w:rsid w:val="00EB6172"/>
    <w:rsid w:val="00EB6BCE"/>
    <w:rsid w:val="00EB729A"/>
    <w:rsid w:val="00EB7533"/>
    <w:rsid w:val="00EC0413"/>
    <w:rsid w:val="00EC1DA8"/>
    <w:rsid w:val="00EC2472"/>
    <w:rsid w:val="00EC3F11"/>
    <w:rsid w:val="00EC3F6A"/>
    <w:rsid w:val="00EC578E"/>
    <w:rsid w:val="00EC63B3"/>
    <w:rsid w:val="00EC693F"/>
    <w:rsid w:val="00EC6D9E"/>
    <w:rsid w:val="00EC6E29"/>
    <w:rsid w:val="00EC7B3D"/>
    <w:rsid w:val="00ED1208"/>
    <w:rsid w:val="00ED19FC"/>
    <w:rsid w:val="00ED1BB7"/>
    <w:rsid w:val="00ED24B4"/>
    <w:rsid w:val="00ED3712"/>
    <w:rsid w:val="00ED4222"/>
    <w:rsid w:val="00ED4787"/>
    <w:rsid w:val="00ED560B"/>
    <w:rsid w:val="00ED66F9"/>
    <w:rsid w:val="00EE0A2C"/>
    <w:rsid w:val="00EE224A"/>
    <w:rsid w:val="00EE3023"/>
    <w:rsid w:val="00EE3724"/>
    <w:rsid w:val="00EE499C"/>
    <w:rsid w:val="00EE515A"/>
    <w:rsid w:val="00EE5C06"/>
    <w:rsid w:val="00EE5C2E"/>
    <w:rsid w:val="00EE60C8"/>
    <w:rsid w:val="00EE6E83"/>
    <w:rsid w:val="00EF0711"/>
    <w:rsid w:val="00EF12AA"/>
    <w:rsid w:val="00EF1AE0"/>
    <w:rsid w:val="00EF3F62"/>
    <w:rsid w:val="00EF6792"/>
    <w:rsid w:val="00EF6F7D"/>
    <w:rsid w:val="00EF7881"/>
    <w:rsid w:val="00F0279A"/>
    <w:rsid w:val="00F03D4D"/>
    <w:rsid w:val="00F04414"/>
    <w:rsid w:val="00F0550F"/>
    <w:rsid w:val="00F05FEF"/>
    <w:rsid w:val="00F062C9"/>
    <w:rsid w:val="00F06E7D"/>
    <w:rsid w:val="00F07FE0"/>
    <w:rsid w:val="00F13D7F"/>
    <w:rsid w:val="00F14311"/>
    <w:rsid w:val="00F154A1"/>
    <w:rsid w:val="00F1586A"/>
    <w:rsid w:val="00F22B1B"/>
    <w:rsid w:val="00F23C57"/>
    <w:rsid w:val="00F273C2"/>
    <w:rsid w:val="00F314A4"/>
    <w:rsid w:val="00F33D5C"/>
    <w:rsid w:val="00F345A7"/>
    <w:rsid w:val="00F35395"/>
    <w:rsid w:val="00F372E7"/>
    <w:rsid w:val="00F37CAA"/>
    <w:rsid w:val="00F37F6C"/>
    <w:rsid w:val="00F41345"/>
    <w:rsid w:val="00F41819"/>
    <w:rsid w:val="00F42347"/>
    <w:rsid w:val="00F4254D"/>
    <w:rsid w:val="00F42971"/>
    <w:rsid w:val="00F42CA6"/>
    <w:rsid w:val="00F42D2D"/>
    <w:rsid w:val="00F42E91"/>
    <w:rsid w:val="00F4309D"/>
    <w:rsid w:val="00F43AB3"/>
    <w:rsid w:val="00F43BB5"/>
    <w:rsid w:val="00F44BC3"/>
    <w:rsid w:val="00F47923"/>
    <w:rsid w:val="00F517EE"/>
    <w:rsid w:val="00F52104"/>
    <w:rsid w:val="00F5218E"/>
    <w:rsid w:val="00F5313A"/>
    <w:rsid w:val="00F536CC"/>
    <w:rsid w:val="00F54001"/>
    <w:rsid w:val="00F547D5"/>
    <w:rsid w:val="00F54A5F"/>
    <w:rsid w:val="00F55113"/>
    <w:rsid w:val="00F55BE9"/>
    <w:rsid w:val="00F56443"/>
    <w:rsid w:val="00F57F64"/>
    <w:rsid w:val="00F61060"/>
    <w:rsid w:val="00F61A85"/>
    <w:rsid w:val="00F627AE"/>
    <w:rsid w:val="00F634ED"/>
    <w:rsid w:val="00F660B8"/>
    <w:rsid w:val="00F660D7"/>
    <w:rsid w:val="00F666DA"/>
    <w:rsid w:val="00F7153D"/>
    <w:rsid w:val="00F71A41"/>
    <w:rsid w:val="00F7644C"/>
    <w:rsid w:val="00F76F1E"/>
    <w:rsid w:val="00F77F67"/>
    <w:rsid w:val="00F8135F"/>
    <w:rsid w:val="00F816D8"/>
    <w:rsid w:val="00F827A7"/>
    <w:rsid w:val="00F82C58"/>
    <w:rsid w:val="00F8382D"/>
    <w:rsid w:val="00F8414E"/>
    <w:rsid w:val="00F84D58"/>
    <w:rsid w:val="00F856B3"/>
    <w:rsid w:val="00F85F6B"/>
    <w:rsid w:val="00F90F12"/>
    <w:rsid w:val="00F93A71"/>
    <w:rsid w:val="00F93FC1"/>
    <w:rsid w:val="00F9421C"/>
    <w:rsid w:val="00F9660B"/>
    <w:rsid w:val="00F9795F"/>
    <w:rsid w:val="00FA10F9"/>
    <w:rsid w:val="00FA1253"/>
    <w:rsid w:val="00FA1690"/>
    <w:rsid w:val="00FA1D6D"/>
    <w:rsid w:val="00FA3003"/>
    <w:rsid w:val="00FA35DC"/>
    <w:rsid w:val="00FA5FAA"/>
    <w:rsid w:val="00FA6647"/>
    <w:rsid w:val="00FA7655"/>
    <w:rsid w:val="00FB0473"/>
    <w:rsid w:val="00FB2840"/>
    <w:rsid w:val="00FB376F"/>
    <w:rsid w:val="00FB4E64"/>
    <w:rsid w:val="00FB5893"/>
    <w:rsid w:val="00FB688C"/>
    <w:rsid w:val="00FB7AD2"/>
    <w:rsid w:val="00FC1547"/>
    <w:rsid w:val="00FC154C"/>
    <w:rsid w:val="00FC1B5F"/>
    <w:rsid w:val="00FC38B7"/>
    <w:rsid w:val="00FC4180"/>
    <w:rsid w:val="00FC4652"/>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3571"/>
    <w:rsid w:val="00FE5624"/>
    <w:rsid w:val="00FE57DF"/>
    <w:rsid w:val="00FE58B8"/>
    <w:rsid w:val="00FE5C81"/>
    <w:rsid w:val="00FF140A"/>
    <w:rsid w:val="00FF1729"/>
    <w:rsid w:val="00FF1AA4"/>
    <w:rsid w:val="00FF2525"/>
    <w:rsid w:val="00FF2A99"/>
    <w:rsid w:val="00FF3139"/>
    <w:rsid w:val="00FF3E28"/>
    <w:rsid w:val="00FF4989"/>
    <w:rsid w:val="00FF57CD"/>
    <w:rsid w:val="00FF59D2"/>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9A25A9"/>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9A25A9"/>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9A25A9"/>
    <w:pPr>
      <w:keepNext/>
      <w:keepLines/>
      <w:spacing w:before="260" w:after="260" w:line="416" w:lineRule="auto"/>
      <w:outlineLvl w:val="2"/>
    </w:pPr>
    <w:rPr>
      <w:b/>
      <w:bCs/>
      <w:sz w:val="32"/>
      <w:szCs w:val="32"/>
    </w:rPr>
  </w:style>
  <w:style w:type="paragraph" w:styleId="40">
    <w:name w:val="heading 4"/>
    <w:basedOn w:val="a"/>
    <w:next w:val="a"/>
    <w:qFormat/>
    <w:rsid w:val="009A25A9"/>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9A25A9"/>
    <w:pPr>
      <w:keepNext/>
      <w:keepLines/>
      <w:spacing w:before="280" w:after="290" w:line="376" w:lineRule="auto"/>
      <w:outlineLvl w:val="4"/>
    </w:pPr>
    <w:rPr>
      <w:b/>
      <w:bCs/>
      <w:sz w:val="28"/>
      <w:szCs w:val="28"/>
    </w:rPr>
  </w:style>
  <w:style w:type="paragraph" w:styleId="6">
    <w:name w:val="heading 6"/>
    <w:basedOn w:val="a"/>
    <w:next w:val="a"/>
    <w:qFormat/>
    <w:rsid w:val="009A25A9"/>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9A25A9"/>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9A25A9"/>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9A25A9"/>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9A25A9"/>
  </w:style>
  <w:style w:type="paragraph" w:styleId="a3">
    <w:name w:val="header"/>
    <w:basedOn w:val="a"/>
    <w:rsid w:val="009A25A9"/>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9A25A9"/>
    <w:pPr>
      <w:tabs>
        <w:tab w:val="center" w:pos="4153"/>
        <w:tab w:val="right" w:pos="8306"/>
      </w:tabs>
      <w:snapToGrid w:val="0"/>
      <w:jc w:val="left"/>
    </w:pPr>
    <w:rPr>
      <w:sz w:val="18"/>
      <w:szCs w:val="18"/>
    </w:rPr>
  </w:style>
  <w:style w:type="character" w:styleId="a5">
    <w:name w:val="annotation reference"/>
    <w:basedOn w:val="a0"/>
    <w:semiHidden/>
    <w:rsid w:val="00070D95"/>
    <w:rPr>
      <w:sz w:val="21"/>
      <w:szCs w:val="21"/>
    </w:rPr>
  </w:style>
  <w:style w:type="paragraph" w:styleId="a6">
    <w:name w:val="Body Text"/>
    <w:aliases w:val="正文文字 Char Char Char Char Char Char Char"/>
    <w:basedOn w:val="a"/>
    <w:rsid w:val="009A25A9"/>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uiPriority w:val="99"/>
    <w:rsid w:val="009A25A9"/>
    <w:pPr>
      <w:widowControl/>
      <w:spacing w:before="100" w:beforeAutospacing="1" w:after="100" w:afterAutospacing="1"/>
      <w:jc w:val="left"/>
    </w:pPr>
    <w:rPr>
      <w:rFonts w:ascii="宋体" w:hAnsi="宋体"/>
      <w:kern w:val="0"/>
      <w:sz w:val="24"/>
    </w:rPr>
  </w:style>
  <w:style w:type="paragraph" w:styleId="a8">
    <w:name w:val="Document Map"/>
    <w:basedOn w:val="a"/>
    <w:semiHidden/>
    <w:rsid w:val="009A25A9"/>
    <w:pPr>
      <w:shd w:val="clear" w:color="auto" w:fill="000080"/>
    </w:pPr>
  </w:style>
  <w:style w:type="character" w:customStyle="1" w:styleId="CharCharCharCharCharCharCharChar">
    <w:name w:val="正文文字 Char Char Char Char Char Char Char Char"/>
    <w:aliases w:val="正文文本2,正文文本1"/>
    <w:basedOn w:val="a0"/>
    <w:rsid w:val="009A25A9"/>
    <w:rPr>
      <w:rFonts w:ascii="仿宋_GB2312" w:eastAsia="仿宋_GB2312"/>
      <w:sz w:val="28"/>
      <w:lang w:val="en-US" w:eastAsia="zh-CN" w:bidi="ar-SA"/>
    </w:rPr>
  </w:style>
  <w:style w:type="character" w:customStyle="1" w:styleId="afont1">
    <w:name w:val="afont1"/>
    <w:basedOn w:val="a0"/>
    <w:rsid w:val="009A25A9"/>
    <w:rPr>
      <w:rFonts w:ascii="Arial Narrow" w:hAnsi="Arial Narrow" w:hint="default"/>
      <w:sz w:val="21"/>
      <w:szCs w:val="21"/>
    </w:rPr>
  </w:style>
  <w:style w:type="paragraph" w:customStyle="1" w:styleId="CharChar">
    <w:name w:val="Char Char"/>
    <w:basedOn w:val="a"/>
    <w:rsid w:val="009A25A9"/>
  </w:style>
  <w:style w:type="paragraph" w:customStyle="1" w:styleId="Default">
    <w:name w:val="Default"/>
    <w:rsid w:val="009A25A9"/>
    <w:pPr>
      <w:widowControl w:val="0"/>
      <w:autoSpaceDE w:val="0"/>
      <w:autoSpaceDN w:val="0"/>
      <w:adjustRightInd w:val="0"/>
    </w:pPr>
    <w:rPr>
      <w:rFonts w:ascii="宋体" w:cs="宋体"/>
      <w:color w:val="000000"/>
      <w:sz w:val="24"/>
      <w:szCs w:val="24"/>
    </w:rPr>
  </w:style>
  <w:style w:type="paragraph" w:styleId="a9">
    <w:name w:val="Date"/>
    <w:basedOn w:val="a"/>
    <w:next w:val="a"/>
    <w:rsid w:val="009A25A9"/>
    <w:rPr>
      <w:sz w:val="24"/>
      <w:szCs w:val="20"/>
    </w:rPr>
  </w:style>
  <w:style w:type="paragraph" w:customStyle="1" w:styleId="CharCharCharChar">
    <w:name w:val="Char Char Char Char"/>
    <w:basedOn w:val="a"/>
    <w:autoRedefine/>
    <w:rsid w:val="009A25A9"/>
    <w:pPr>
      <w:tabs>
        <w:tab w:val="num" w:pos="840"/>
      </w:tabs>
      <w:adjustRightInd w:val="0"/>
      <w:spacing w:line="360" w:lineRule="atLeast"/>
      <w:ind w:left="840" w:hanging="360"/>
      <w:textAlignment w:val="baseline"/>
    </w:pPr>
    <w:rPr>
      <w:sz w:val="24"/>
    </w:rPr>
  </w:style>
  <w:style w:type="character" w:styleId="aa">
    <w:name w:val="page number"/>
    <w:basedOn w:val="a0"/>
    <w:rsid w:val="009A25A9"/>
  </w:style>
  <w:style w:type="paragraph" w:customStyle="1" w:styleId="xl33">
    <w:name w:val="xl33"/>
    <w:basedOn w:val="a"/>
    <w:rsid w:val="009A25A9"/>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9A25A9"/>
    <w:pPr>
      <w:keepNext/>
      <w:keepLines/>
      <w:tabs>
        <w:tab w:val="num" w:pos="840"/>
      </w:tabs>
      <w:spacing w:beforeLines="100" w:afterLines="100"/>
      <w:ind w:left="840" w:hanging="420"/>
      <w:outlineLvl w:val="1"/>
    </w:pPr>
    <w:rPr>
      <w:rFonts w:ascii="Arial" w:hAnsi="Arial"/>
      <w:b/>
      <w:bCs/>
      <w:sz w:val="28"/>
      <w:szCs w:val="20"/>
    </w:rPr>
  </w:style>
  <w:style w:type="paragraph" w:customStyle="1" w:styleId="115">
    <w:name w:val="样式 标题 1 + 段前: 1.5 行"/>
    <w:basedOn w:val="a"/>
    <w:rsid w:val="009A25A9"/>
    <w:pPr>
      <w:tabs>
        <w:tab w:val="num" w:pos="360"/>
      </w:tabs>
      <w:ind w:left="360" w:hanging="360"/>
    </w:pPr>
    <w:rPr>
      <w:sz w:val="24"/>
      <w:szCs w:val="20"/>
    </w:rPr>
  </w:style>
  <w:style w:type="paragraph" w:customStyle="1" w:styleId="ab">
    <w:name w:val="简单回函地址"/>
    <w:basedOn w:val="a"/>
    <w:rsid w:val="009A25A9"/>
  </w:style>
  <w:style w:type="paragraph" w:customStyle="1" w:styleId="FormLabel">
    <w:name w:val="Form Label"/>
    <w:basedOn w:val="a"/>
    <w:rsid w:val="009A25A9"/>
    <w:pPr>
      <w:widowControl/>
      <w:spacing w:line="280" w:lineRule="exact"/>
      <w:jc w:val="left"/>
    </w:pPr>
    <w:rPr>
      <w:kern w:val="0"/>
      <w:sz w:val="18"/>
      <w:szCs w:val="20"/>
      <w:lang w:val="en-GB" w:eastAsia="en-US"/>
    </w:rPr>
  </w:style>
  <w:style w:type="character" w:styleId="ac">
    <w:name w:val="Strong"/>
    <w:basedOn w:val="a0"/>
    <w:qFormat/>
    <w:rsid w:val="009A25A9"/>
    <w:rPr>
      <w:b/>
      <w:bCs/>
    </w:rPr>
  </w:style>
  <w:style w:type="paragraph" w:customStyle="1" w:styleId="Char1">
    <w:name w:val="Char"/>
    <w:basedOn w:val="a"/>
    <w:rsid w:val="009A25A9"/>
  </w:style>
  <w:style w:type="character" w:customStyle="1" w:styleId="2CharCharChar">
    <w:name w:val="标题 2 Char Char Char"/>
    <w:basedOn w:val="a0"/>
    <w:rsid w:val="009A25A9"/>
    <w:rPr>
      <w:rFonts w:ascii="Arial" w:eastAsia="宋体" w:hAnsi="Arial"/>
      <w:b/>
      <w:kern w:val="2"/>
      <w:sz w:val="28"/>
      <w:szCs w:val="28"/>
      <w:lang w:val="en-US" w:eastAsia="zh-CN" w:bidi="ar-SA"/>
    </w:rPr>
  </w:style>
  <w:style w:type="paragraph" w:styleId="ad">
    <w:name w:val="Balloon Text"/>
    <w:basedOn w:val="a"/>
    <w:semiHidden/>
    <w:rsid w:val="009A25A9"/>
    <w:rPr>
      <w:sz w:val="18"/>
      <w:szCs w:val="18"/>
    </w:rPr>
  </w:style>
  <w:style w:type="paragraph" w:styleId="ae">
    <w:name w:val="footnote text"/>
    <w:basedOn w:val="a"/>
    <w:semiHidden/>
    <w:rsid w:val="009A25A9"/>
    <w:pPr>
      <w:snapToGrid w:val="0"/>
      <w:jc w:val="left"/>
    </w:pPr>
    <w:rPr>
      <w:sz w:val="18"/>
      <w:szCs w:val="18"/>
    </w:rPr>
  </w:style>
  <w:style w:type="character" w:styleId="af">
    <w:name w:val="footnote reference"/>
    <w:basedOn w:val="a0"/>
    <w:semiHidden/>
    <w:rsid w:val="009A25A9"/>
    <w:rPr>
      <w:vertAlign w:val="superscript"/>
    </w:rPr>
  </w:style>
  <w:style w:type="character" w:styleId="af0">
    <w:name w:val="Hyperlink"/>
    <w:basedOn w:val="a0"/>
    <w:rsid w:val="009A25A9"/>
    <w:rPr>
      <w:color w:val="0000FF"/>
      <w:u w:val="single"/>
    </w:rPr>
  </w:style>
  <w:style w:type="paragraph" w:customStyle="1" w:styleId="xl31">
    <w:name w:val="xl31"/>
    <w:basedOn w:val="a"/>
    <w:rsid w:val="009A25A9"/>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9A25A9"/>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9A25A9"/>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2"/>
    <w:semiHidden/>
    <w:rsid w:val="00070D95"/>
    <w:pPr>
      <w:jc w:val="left"/>
    </w:pPr>
  </w:style>
  <w:style w:type="paragraph" w:styleId="af2">
    <w:name w:val="annotation subject"/>
    <w:basedOn w:val="af1"/>
    <w:next w:val="af1"/>
    <w:semiHidden/>
    <w:rsid w:val="00070D95"/>
    <w:rPr>
      <w:b/>
      <w:bCs/>
    </w:rPr>
  </w:style>
  <w:style w:type="character" w:customStyle="1" w:styleId="Char2">
    <w:name w:val="批注文字 Char"/>
    <w:basedOn w:val="a0"/>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basedOn w:val="a0"/>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7">
    <w:name w:val="List Paragraph"/>
    <w:basedOn w:val="a"/>
    <w:uiPriority w:val="34"/>
    <w:qFormat/>
    <w:rsid w:val="00070C60"/>
    <w:pPr>
      <w:ind w:firstLineChars="200" w:firstLine="420"/>
    </w:pPr>
  </w:style>
  <w:style w:type="character" w:customStyle="1" w:styleId="Char0">
    <w:name w:val="页脚 Char"/>
    <w:basedOn w:val="a0"/>
    <w:link w:val="a4"/>
    <w:uiPriority w:val="99"/>
    <w:rsid w:val="00D82CA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427017">
      <w:bodyDiv w:val="1"/>
      <w:marLeft w:val="0"/>
      <w:marRight w:val="0"/>
      <w:marTop w:val="0"/>
      <w:marBottom w:val="0"/>
      <w:divBdr>
        <w:top w:val="none" w:sz="0" w:space="0" w:color="auto"/>
        <w:left w:val="none" w:sz="0" w:space="0" w:color="auto"/>
        <w:bottom w:val="none" w:sz="0" w:space="0" w:color="auto"/>
        <w:right w:val="none" w:sz="0" w:space="0" w:color="auto"/>
      </w:divBdr>
    </w:div>
    <w:div w:id="225460814">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454065349">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599145612">
      <w:bodyDiv w:val="1"/>
      <w:marLeft w:val="0"/>
      <w:marRight w:val="0"/>
      <w:marTop w:val="0"/>
      <w:marBottom w:val="0"/>
      <w:divBdr>
        <w:top w:val="none" w:sz="0" w:space="0" w:color="auto"/>
        <w:left w:val="none" w:sz="0" w:space="0" w:color="auto"/>
        <w:bottom w:val="none" w:sz="0" w:space="0" w:color="auto"/>
        <w:right w:val="none" w:sz="0" w:space="0" w:color="auto"/>
      </w:divBdr>
      <w:divsChild>
        <w:div w:id="613710637">
          <w:marLeft w:val="0"/>
          <w:marRight w:val="0"/>
          <w:marTop w:val="0"/>
          <w:marBottom w:val="0"/>
          <w:divBdr>
            <w:top w:val="none" w:sz="0" w:space="0" w:color="auto"/>
            <w:left w:val="none" w:sz="0" w:space="0" w:color="auto"/>
            <w:bottom w:val="none" w:sz="0" w:space="0" w:color="auto"/>
            <w:right w:val="none" w:sz="0" w:space="0" w:color="auto"/>
          </w:divBdr>
          <w:divsChild>
            <w:div w:id="1693069136">
              <w:marLeft w:val="0"/>
              <w:marRight w:val="0"/>
              <w:marTop w:val="0"/>
              <w:marBottom w:val="0"/>
              <w:divBdr>
                <w:top w:val="none" w:sz="0" w:space="0" w:color="auto"/>
                <w:left w:val="none" w:sz="0" w:space="0" w:color="auto"/>
                <w:bottom w:val="none" w:sz="0" w:space="0" w:color="auto"/>
                <w:right w:val="none" w:sz="0" w:space="0" w:color="auto"/>
              </w:divBdr>
              <w:divsChild>
                <w:div w:id="1238518985">
                  <w:marLeft w:val="0"/>
                  <w:marRight w:val="0"/>
                  <w:marTop w:val="0"/>
                  <w:marBottom w:val="0"/>
                  <w:divBdr>
                    <w:top w:val="none" w:sz="0" w:space="0" w:color="auto"/>
                    <w:left w:val="none" w:sz="0" w:space="0" w:color="auto"/>
                    <w:bottom w:val="none" w:sz="0" w:space="0" w:color="auto"/>
                    <w:right w:val="none" w:sz="0" w:space="0" w:color="auto"/>
                  </w:divBdr>
                  <w:divsChild>
                    <w:div w:id="527527655">
                      <w:marLeft w:val="0"/>
                      <w:marRight w:val="0"/>
                      <w:marTop w:val="0"/>
                      <w:marBottom w:val="0"/>
                      <w:divBdr>
                        <w:top w:val="none" w:sz="0" w:space="0" w:color="auto"/>
                        <w:left w:val="none" w:sz="0" w:space="0" w:color="auto"/>
                        <w:bottom w:val="none" w:sz="0" w:space="0" w:color="auto"/>
                        <w:right w:val="none" w:sz="0" w:space="0" w:color="auto"/>
                      </w:divBdr>
                      <w:divsChild>
                        <w:div w:id="97065813">
                          <w:marLeft w:val="0"/>
                          <w:marRight w:val="0"/>
                          <w:marTop w:val="0"/>
                          <w:marBottom w:val="0"/>
                          <w:divBdr>
                            <w:top w:val="none" w:sz="0" w:space="0" w:color="auto"/>
                            <w:left w:val="none" w:sz="0" w:space="0" w:color="auto"/>
                            <w:bottom w:val="none" w:sz="0" w:space="0" w:color="auto"/>
                            <w:right w:val="none" w:sz="0" w:space="0" w:color="auto"/>
                          </w:divBdr>
                          <w:divsChild>
                            <w:div w:id="11708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430761">
      <w:bodyDiv w:val="1"/>
      <w:marLeft w:val="0"/>
      <w:marRight w:val="0"/>
      <w:marTop w:val="0"/>
      <w:marBottom w:val="0"/>
      <w:divBdr>
        <w:top w:val="none" w:sz="0" w:space="0" w:color="auto"/>
        <w:left w:val="none" w:sz="0" w:space="0" w:color="auto"/>
        <w:bottom w:val="none" w:sz="0" w:space="0" w:color="auto"/>
        <w:right w:val="none" w:sz="0" w:space="0" w:color="auto"/>
      </w:divBdr>
    </w:div>
    <w:div w:id="846674449">
      <w:bodyDiv w:val="1"/>
      <w:marLeft w:val="0"/>
      <w:marRight w:val="0"/>
      <w:marTop w:val="0"/>
      <w:marBottom w:val="0"/>
      <w:divBdr>
        <w:top w:val="none" w:sz="0" w:space="0" w:color="auto"/>
        <w:left w:val="none" w:sz="0" w:space="0" w:color="auto"/>
        <w:bottom w:val="none" w:sz="0" w:space="0" w:color="auto"/>
        <w:right w:val="none" w:sz="0" w:space="0" w:color="auto"/>
      </w:divBdr>
    </w:div>
    <w:div w:id="1011951007">
      <w:bodyDiv w:val="1"/>
      <w:marLeft w:val="0"/>
      <w:marRight w:val="0"/>
      <w:marTop w:val="0"/>
      <w:marBottom w:val="0"/>
      <w:divBdr>
        <w:top w:val="none" w:sz="0" w:space="0" w:color="auto"/>
        <w:left w:val="none" w:sz="0" w:space="0" w:color="auto"/>
        <w:bottom w:val="none" w:sz="0" w:space="0" w:color="auto"/>
        <w:right w:val="none" w:sz="0" w:space="0" w:color="auto"/>
      </w:divBdr>
      <w:divsChild>
        <w:div w:id="95491825">
          <w:marLeft w:val="0"/>
          <w:marRight w:val="0"/>
          <w:marTop w:val="0"/>
          <w:marBottom w:val="0"/>
          <w:divBdr>
            <w:top w:val="none" w:sz="0" w:space="0" w:color="auto"/>
            <w:left w:val="none" w:sz="0" w:space="0" w:color="auto"/>
            <w:bottom w:val="none" w:sz="0" w:space="0" w:color="auto"/>
            <w:right w:val="none" w:sz="0" w:space="0" w:color="auto"/>
          </w:divBdr>
          <w:divsChild>
            <w:div w:id="1436825093">
              <w:marLeft w:val="0"/>
              <w:marRight w:val="0"/>
              <w:marTop w:val="0"/>
              <w:marBottom w:val="0"/>
              <w:divBdr>
                <w:top w:val="none" w:sz="0" w:space="0" w:color="auto"/>
                <w:left w:val="none" w:sz="0" w:space="0" w:color="auto"/>
                <w:bottom w:val="none" w:sz="0" w:space="0" w:color="auto"/>
                <w:right w:val="none" w:sz="0" w:space="0" w:color="auto"/>
              </w:divBdr>
              <w:divsChild>
                <w:div w:id="1073624914">
                  <w:marLeft w:val="0"/>
                  <w:marRight w:val="0"/>
                  <w:marTop w:val="0"/>
                  <w:marBottom w:val="0"/>
                  <w:divBdr>
                    <w:top w:val="none" w:sz="0" w:space="0" w:color="auto"/>
                    <w:left w:val="none" w:sz="0" w:space="0" w:color="auto"/>
                    <w:bottom w:val="none" w:sz="0" w:space="0" w:color="auto"/>
                    <w:right w:val="none" w:sz="0" w:space="0" w:color="auto"/>
                  </w:divBdr>
                  <w:divsChild>
                    <w:div w:id="6860997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8221">
      <w:bodyDiv w:val="1"/>
      <w:marLeft w:val="0"/>
      <w:marRight w:val="0"/>
      <w:marTop w:val="0"/>
      <w:marBottom w:val="0"/>
      <w:divBdr>
        <w:top w:val="none" w:sz="0" w:space="0" w:color="auto"/>
        <w:left w:val="none" w:sz="0" w:space="0" w:color="auto"/>
        <w:bottom w:val="none" w:sz="0" w:space="0" w:color="auto"/>
        <w:right w:val="none" w:sz="0" w:space="0" w:color="auto"/>
      </w:divBdr>
    </w:div>
    <w:div w:id="1119882860">
      <w:bodyDiv w:val="1"/>
      <w:marLeft w:val="0"/>
      <w:marRight w:val="0"/>
      <w:marTop w:val="0"/>
      <w:marBottom w:val="0"/>
      <w:divBdr>
        <w:top w:val="none" w:sz="0" w:space="0" w:color="auto"/>
        <w:left w:val="none" w:sz="0" w:space="0" w:color="auto"/>
        <w:bottom w:val="none" w:sz="0" w:space="0" w:color="auto"/>
        <w:right w:val="none" w:sz="0" w:space="0" w:color="auto"/>
      </w:divBdr>
    </w:div>
    <w:div w:id="1337221545">
      <w:bodyDiv w:val="1"/>
      <w:marLeft w:val="0"/>
      <w:marRight w:val="0"/>
      <w:marTop w:val="0"/>
      <w:marBottom w:val="0"/>
      <w:divBdr>
        <w:top w:val="none" w:sz="0" w:space="0" w:color="auto"/>
        <w:left w:val="none" w:sz="0" w:space="0" w:color="auto"/>
        <w:bottom w:val="none" w:sz="0" w:space="0" w:color="auto"/>
        <w:right w:val="none" w:sz="0" w:space="0" w:color="auto"/>
      </w:divBdr>
    </w:div>
    <w:div w:id="1348563078">
      <w:bodyDiv w:val="1"/>
      <w:marLeft w:val="0"/>
      <w:marRight w:val="0"/>
      <w:marTop w:val="0"/>
      <w:marBottom w:val="0"/>
      <w:divBdr>
        <w:top w:val="none" w:sz="0" w:space="0" w:color="auto"/>
        <w:left w:val="none" w:sz="0" w:space="0" w:color="auto"/>
        <w:bottom w:val="none" w:sz="0" w:space="0" w:color="auto"/>
        <w:right w:val="none" w:sz="0" w:space="0" w:color="auto"/>
      </w:divBdr>
      <w:divsChild>
        <w:div w:id="377978581">
          <w:marLeft w:val="0"/>
          <w:marRight w:val="0"/>
          <w:marTop w:val="0"/>
          <w:marBottom w:val="0"/>
          <w:divBdr>
            <w:top w:val="none" w:sz="0" w:space="0" w:color="auto"/>
            <w:left w:val="none" w:sz="0" w:space="0" w:color="auto"/>
            <w:bottom w:val="none" w:sz="0" w:space="0" w:color="auto"/>
            <w:right w:val="none" w:sz="0" w:space="0" w:color="auto"/>
          </w:divBdr>
          <w:divsChild>
            <w:div w:id="50614054">
              <w:marLeft w:val="0"/>
              <w:marRight w:val="0"/>
              <w:marTop w:val="0"/>
              <w:marBottom w:val="0"/>
              <w:divBdr>
                <w:top w:val="none" w:sz="0" w:space="0" w:color="auto"/>
                <w:left w:val="none" w:sz="0" w:space="0" w:color="auto"/>
                <w:bottom w:val="none" w:sz="0" w:space="0" w:color="auto"/>
                <w:right w:val="none" w:sz="0" w:space="0" w:color="auto"/>
              </w:divBdr>
              <w:divsChild>
                <w:div w:id="1644382700">
                  <w:marLeft w:val="0"/>
                  <w:marRight w:val="0"/>
                  <w:marTop w:val="0"/>
                  <w:marBottom w:val="0"/>
                  <w:divBdr>
                    <w:top w:val="none" w:sz="0" w:space="0" w:color="auto"/>
                    <w:left w:val="none" w:sz="0" w:space="0" w:color="auto"/>
                    <w:bottom w:val="none" w:sz="0" w:space="0" w:color="auto"/>
                    <w:right w:val="none" w:sz="0" w:space="0" w:color="auto"/>
                  </w:divBdr>
                  <w:divsChild>
                    <w:div w:id="480267715">
                      <w:marLeft w:val="0"/>
                      <w:marRight w:val="0"/>
                      <w:marTop w:val="0"/>
                      <w:marBottom w:val="0"/>
                      <w:divBdr>
                        <w:top w:val="none" w:sz="0" w:space="0" w:color="auto"/>
                        <w:left w:val="none" w:sz="0" w:space="0" w:color="auto"/>
                        <w:bottom w:val="none" w:sz="0" w:space="0" w:color="auto"/>
                        <w:right w:val="none" w:sz="0" w:space="0" w:color="auto"/>
                      </w:divBdr>
                      <w:divsChild>
                        <w:div w:id="469981835">
                          <w:marLeft w:val="0"/>
                          <w:marRight w:val="0"/>
                          <w:marTop w:val="0"/>
                          <w:marBottom w:val="0"/>
                          <w:divBdr>
                            <w:top w:val="none" w:sz="0" w:space="0" w:color="auto"/>
                            <w:left w:val="none" w:sz="0" w:space="0" w:color="auto"/>
                            <w:bottom w:val="none" w:sz="0" w:space="0" w:color="auto"/>
                            <w:right w:val="none" w:sz="0" w:space="0" w:color="auto"/>
                          </w:divBdr>
                          <w:divsChild>
                            <w:div w:id="9015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4666">
      <w:bodyDiv w:val="1"/>
      <w:marLeft w:val="0"/>
      <w:marRight w:val="0"/>
      <w:marTop w:val="0"/>
      <w:marBottom w:val="0"/>
      <w:divBdr>
        <w:top w:val="none" w:sz="0" w:space="0" w:color="auto"/>
        <w:left w:val="none" w:sz="0" w:space="0" w:color="auto"/>
        <w:bottom w:val="none" w:sz="0" w:space="0" w:color="auto"/>
        <w:right w:val="none" w:sz="0" w:space="0" w:color="auto"/>
      </w:divBdr>
    </w:div>
    <w:div w:id="1516849381">
      <w:bodyDiv w:val="1"/>
      <w:marLeft w:val="0"/>
      <w:marRight w:val="0"/>
      <w:marTop w:val="0"/>
      <w:marBottom w:val="0"/>
      <w:divBdr>
        <w:top w:val="none" w:sz="0" w:space="0" w:color="auto"/>
        <w:left w:val="none" w:sz="0" w:space="0" w:color="auto"/>
        <w:bottom w:val="none" w:sz="0" w:space="0" w:color="auto"/>
        <w:right w:val="none" w:sz="0" w:space="0" w:color="auto"/>
      </w:divBdr>
    </w:div>
    <w:div w:id="1542086852">
      <w:bodyDiv w:val="1"/>
      <w:marLeft w:val="0"/>
      <w:marRight w:val="0"/>
      <w:marTop w:val="0"/>
      <w:marBottom w:val="0"/>
      <w:divBdr>
        <w:top w:val="none" w:sz="0" w:space="0" w:color="auto"/>
        <w:left w:val="none" w:sz="0" w:space="0" w:color="auto"/>
        <w:bottom w:val="none" w:sz="0" w:space="0" w:color="auto"/>
        <w:right w:val="none" w:sz="0" w:space="0" w:color="auto"/>
      </w:divBdr>
      <w:divsChild>
        <w:div w:id="1825318246">
          <w:marLeft w:val="0"/>
          <w:marRight w:val="0"/>
          <w:marTop w:val="0"/>
          <w:marBottom w:val="0"/>
          <w:divBdr>
            <w:top w:val="none" w:sz="0" w:space="0" w:color="auto"/>
            <w:left w:val="none" w:sz="0" w:space="0" w:color="auto"/>
            <w:bottom w:val="none" w:sz="0" w:space="0" w:color="auto"/>
            <w:right w:val="none" w:sz="0" w:space="0" w:color="auto"/>
          </w:divBdr>
          <w:divsChild>
            <w:div w:id="862742411">
              <w:marLeft w:val="0"/>
              <w:marRight w:val="0"/>
              <w:marTop w:val="0"/>
              <w:marBottom w:val="0"/>
              <w:divBdr>
                <w:top w:val="none" w:sz="0" w:space="0" w:color="auto"/>
                <w:left w:val="none" w:sz="0" w:space="0" w:color="auto"/>
                <w:bottom w:val="none" w:sz="0" w:space="0" w:color="auto"/>
                <w:right w:val="none" w:sz="0" w:space="0" w:color="auto"/>
              </w:divBdr>
              <w:divsChild>
                <w:div w:id="1259437586">
                  <w:marLeft w:val="0"/>
                  <w:marRight w:val="0"/>
                  <w:marTop w:val="0"/>
                  <w:marBottom w:val="0"/>
                  <w:divBdr>
                    <w:top w:val="none" w:sz="0" w:space="0" w:color="auto"/>
                    <w:left w:val="none" w:sz="0" w:space="0" w:color="auto"/>
                    <w:bottom w:val="none" w:sz="0" w:space="0" w:color="auto"/>
                    <w:right w:val="none" w:sz="0" w:space="0" w:color="auto"/>
                  </w:divBdr>
                  <w:divsChild>
                    <w:div w:id="15742430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0938">
      <w:bodyDiv w:val="1"/>
      <w:marLeft w:val="0"/>
      <w:marRight w:val="0"/>
      <w:marTop w:val="0"/>
      <w:marBottom w:val="0"/>
      <w:divBdr>
        <w:top w:val="none" w:sz="0" w:space="0" w:color="auto"/>
        <w:left w:val="none" w:sz="0" w:space="0" w:color="auto"/>
        <w:bottom w:val="none" w:sz="0" w:space="0" w:color="auto"/>
        <w:right w:val="none" w:sz="0" w:space="0" w:color="auto"/>
      </w:divBdr>
    </w:div>
    <w:div w:id="1796869696">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2112894457">
      <w:bodyDiv w:val="1"/>
      <w:marLeft w:val="0"/>
      <w:marRight w:val="0"/>
      <w:marTop w:val="0"/>
      <w:marBottom w:val="0"/>
      <w:divBdr>
        <w:top w:val="none" w:sz="0" w:space="0" w:color="auto"/>
        <w:left w:val="none" w:sz="0" w:space="0" w:color="auto"/>
        <w:bottom w:val="none" w:sz="0" w:space="0" w:color="auto"/>
        <w:right w:val="none" w:sz="0" w:space="0" w:color="auto"/>
      </w:divBdr>
      <w:divsChild>
        <w:div w:id="1145119189">
          <w:marLeft w:val="0"/>
          <w:marRight w:val="0"/>
          <w:marTop w:val="0"/>
          <w:marBottom w:val="0"/>
          <w:divBdr>
            <w:top w:val="none" w:sz="0" w:space="0" w:color="auto"/>
            <w:left w:val="none" w:sz="0" w:space="0" w:color="auto"/>
            <w:bottom w:val="none" w:sz="0" w:space="0" w:color="auto"/>
            <w:right w:val="none" w:sz="0" w:space="0" w:color="auto"/>
          </w:divBdr>
          <w:divsChild>
            <w:div w:id="1271202628">
              <w:marLeft w:val="0"/>
              <w:marRight w:val="0"/>
              <w:marTop w:val="0"/>
              <w:marBottom w:val="0"/>
              <w:divBdr>
                <w:top w:val="none" w:sz="0" w:space="0" w:color="auto"/>
                <w:left w:val="none" w:sz="0" w:space="0" w:color="auto"/>
                <w:bottom w:val="none" w:sz="0" w:space="0" w:color="auto"/>
                <w:right w:val="none" w:sz="0" w:space="0" w:color="auto"/>
              </w:divBdr>
              <w:divsChild>
                <w:div w:id="84230367">
                  <w:marLeft w:val="0"/>
                  <w:marRight w:val="0"/>
                  <w:marTop w:val="0"/>
                  <w:marBottom w:val="0"/>
                  <w:divBdr>
                    <w:top w:val="none" w:sz="0" w:space="0" w:color="auto"/>
                    <w:left w:val="none" w:sz="0" w:space="0" w:color="auto"/>
                    <w:bottom w:val="none" w:sz="0" w:space="0" w:color="auto"/>
                    <w:right w:val="none" w:sz="0" w:space="0" w:color="auto"/>
                  </w:divBdr>
                  <w:divsChild>
                    <w:div w:id="688025991">
                      <w:marLeft w:val="0"/>
                      <w:marRight w:val="0"/>
                      <w:marTop w:val="0"/>
                      <w:marBottom w:val="0"/>
                      <w:divBdr>
                        <w:top w:val="none" w:sz="0" w:space="0" w:color="auto"/>
                        <w:left w:val="none" w:sz="0" w:space="0" w:color="auto"/>
                        <w:bottom w:val="none" w:sz="0" w:space="0" w:color="auto"/>
                        <w:right w:val="none" w:sz="0" w:space="0" w:color="auto"/>
                      </w:divBdr>
                      <w:divsChild>
                        <w:div w:id="1713066988">
                          <w:marLeft w:val="0"/>
                          <w:marRight w:val="0"/>
                          <w:marTop w:val="0"/>
                          <w:marBottom w:val="0"/>
                          <w:divBdr>
                            <w:top w:val="none" w:sz="0" w:space="0" w:color="auto"/>
                            <w:left w:val="none" w:sz="0" w:space="0" w:color="auto"/>
                            <w:bottom w:val="none" w:sz="0" w:space="0" w:color="auto"/>
                            <w:right w:val="none" w:sz="0" w:space="0" w:color="auto"/>
                          </w:divBdr>
                          <w:divsChild>
                            <w:div w:id="70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05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E2A6E9D-E237-4BC3-BAB5-D3E5AE7E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741</Words>
  <Characters>4226</Characters>
  <Application>Microsoft Office Word</Application>
  <DocSecurity>4</DocSecurity>
  <Lines>35</Lines>
  <Paragraphs>9</Paragraphs>
  <ScaleCrop>false</ScaleCrop>
  <Company>WwW.YlmF.CoM</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lastModifiedBy>ZHONGM</cp:lastModifiedBy>
  <cp:revision>2</cp:revision>
  <cp:lastPrinted>2015-03-26T07:58:00Z</cp:lastPrinted>
  <dcterms:created xsi:type="dcterms:W3CDTF">2018-03-01T16:33:00Z</dcterms:created>
  <dcterms:modified xsi:type="dcterms:W3CDTF">2018-03-01T16:33:00Z</dcterms:modified>
</cp:coreProperties>
</file>