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CEB" w:rsidRDefault="00E74CEB" w:rsidP="00E74CEB">
      <w:pPr>
        <w:spacing w:line="360" w:lineRule="auto"/>
        <w:jc w:val="center"/>
        <w:rPr>
          <w:rFonts w:ascii="宋体" w:hAnsi="宋体"/>
          <w:b/>
          <w:sz w:val="36"/>
          <w:szCs w:val="36"/>
        </w:rPr>
      </w:pPr>
    </w:p>
    <w:p w:rsidR="00E74CEB" w:rsidRDefault="00E74CEB" w:rsidP="00E74CEB">
      <w:pPr>
        <w:spacing w:line="360" w:lineRule="auto"/>
        <w:jc w:val="center"/>
        <w:rPr>
          <w:rFonts w:ascii="宋体" w:hAnsi="宋体"/>
          <w:b/>
          <w:sz w:val="36"/>
          <w:szCs w:val="36"/>
        </w:rPr>
      </w:pPr>
    </w:p>
    <w:p w:rsidR="00E74CEB" w:rsidRDefault="00E74CEB" w:rsidP="00E74CEB">
      <w:pPr>
        <w:spacing w:line="360" w:lineRule="auto"/>
        <w:jc w:val="center"/>
        <w:rPr>
          <w:rFonts w:ascii="宋体" w:hAnsi="宋体"/>
          <w:b/>
          <w:sz w:val="36"/>
          <w:szCs w:val="36"/>
        </w:rPr>
      </w:pPr>
    </w:p>
    <w:p w:rsidR="00E74CEB" w:rsidRDefault="00E74CEB" w:rsidP="00E74CEB">
      <w:pPr>
        <w:spacing w:line="360" w:lineRule="auto"/>
        <w:jc w:val="center"/>
        <w:rPr>
          <w:rFonts w:ascii="宋体" w:hAnsi="宋体"/>
          <w:b/>
          <w:sz w:val="36"/>
          <w:szCs w:val="36"/>
        </w:rPr>
      </w:pPr>
    </w:p>
    <w:p w:rsidR="000D4844" w:rsidRDefault="000D4844" w:rsidP="00E74CEB">
      <w:pPr>
        <w:spacing w:line="360" w:lineRule="auto"/>
        <w:jc w:val="center"/>
        <w:rPr>
          <w:rFonts w:ascii="宋体" w:hAnsi="宋体"/>
          <w:b/>
          <w:sz w:val="36"/>
          <w:szCs w:val="36"/>
        </w:rPr>
      </w:pPr>
      <w:r w:rsidRPr="000D4844">
        <w:rPr>
          <w:rFonts w:ascii="宋体" w:hAnsi="宋体" w:hint="eastAsia"/>
          <w:b/>
          <w:sz w:val="36"/>
          <w:szCs w:val="36"/>
        </w:rPr>
        <w:t>招商稳祥定期开放灵活配置混合型证券投资基金</w:t>
      </w:r>
    </w:p>
    <w:p w:rsidR="00E74CEB" w:rsidRPr="00E74CEB" w:rsidRDefault="00E74CEB" w:rsidP="00E74CEB">
      <w:pPr>
        <w:spacing w:line="360" w:lineRule="auto"/>
        <w:jc w:val="center"/>
        <w:rPr>
          <w:rFonts w:ascii="宋体" w:hAnsi="宋体"/>
          <w:b/>
          <w:sz w:val="36"/>
          <w:szCs w:val="36"/>
        </w:rPr>
      </w:pPr>
      <w:r w:rsidRPr="004676BD">
        <w:rPr>
          <w:rFonts w:ascii="宋体" w:hAnsi="宋体" w:hint="eastAsia"/>
          <w:b/>
          <w:sz w:val="36"/>
          <w:szCs w:val="36"/>
        </w:rPr>
        <w:t>清算报告</w:t>
      </w: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spacing w:line="360" w:lineRule="auto"/>
        <w:ind w:leftChars="942" w:left="1978"/>
        <w:rPr>
          <w:rFonts w:ascii="宋体" w:hAnsi="宋体"/>
          <w:sz w:val="24"/>
        </w:rPr>
      </w:pPr>
      <w:r w:rsidRPr="004676BD">
        <w:rPr>
          <w:rFonts w:ascii="宋体" w:hAnsi="宋体" w:hint="eastAsia"/>
          <w:sz w:val="24"/>
        </w:rPr>
        <w:t>基金管理人：招商基金管理有限公司</w:t>
      </w:r>
    </w:p>
    <w:p w:rsidR="00E74CEB" w:rsidRPr="004676BD" w:rsidRDefault="00E74CEB" w:rsidP="00E74CEB">
      <w:pPr>
        <w:spacing w:line="360" w:lineRule="auto"/>
        <w:ind w:leftChars="942" w:left="1978"/>
        <w:rPr>
          <w:rFonts w:ascii="宋体" w:hAnsi="宋体"/>
          <w:sz w:val="24"/>
        </w:rPr>
      </w:pPr>
      <w:r w:rsidRPr="004676BD">
        <w:rPr>
          <w:rFonts w:ascii="宋体" w:hAnsi="宋体" w:hint="eastAsia"/>
          <w:sz w:val="24"/>
        </w:rPr>
        <w:t>基金托管人：</w:t>
      </w:r>
      <w:r w:rsidR="000D4844">
        <w:rPr>
          <w:rFonts w:ascii="宋体" w:hAnsi="宋体" w:hint="eastAsia"/>
          <w:sz w:val="24"/>
        </w:rPr>
        <w:t>宁波</w:t>
      </w:r>
      <w:r w:rsidR="004B23EB">
        <w:rPr>
          <w:rFonts w:ascii="宋体" w:hAnsi="宋体" w:hint="eastAsia"/>
          <w:sz w:val="24"/>
        </w:rPr>
        <w:t>银行</w:t>
      </w:r>
      <w:r w:rsidRPr="004676BD">
        <w:rPr>
          <w:rFonts w:ascii="宋体" w:hAnsi="宋体" w:hint="eastAsia"/>
          <w:sz w:val="24"/>
        </w:rPr>
        <w:t>股份有限公司</w:t>
      </w:r>
    </w:p>
    <w:p w:rsidR="00E74CEB" w:rsidRPr="004676BD" w:rsidRDefault="00E74CEB" w:rsidP="00E74CEB">
      <w:pPr>
        <w:spacing w:line="360" w:lineRule="auto"/>
        <w:ind w:leftChars="942" w:left="1978"/>
        <w:rPr>
          <w:rFonts w:ascii="宋体" w:hAnsi="宋体"/>
          <w:sz w:val="24"/>
        </w:rPr>
      </w:pPr>
      <w:r w:rsidRPr="004676BD">
        <w:rPr>
          <w:rFonts w:ascii="宋体" w:hAnsi="宋体" w:hint="eastAsia"/>
          <w:sz w:val="24"/>
        </w:rPr>
        <w:t>清算报告出具日：201</w:t>
      </w:r>
      <w:r w:rsidR="00971DF9">
        <w:rPr>
          <w:rFonts w:ascii="宋体" w:hAnsi="宋体" w:hint="eastAsia"/>
          <w:sz w:val="24"/>
        </w:rPr>
        <w:t>8</w:t>
      </w:r>
      <w:r w:rsidRPr="004676BD">
        <w:rPr>
          <w:rFonts w:ascii="宋体" w:hAnsi="宋体" w:hint="eastAsia"/>
          <w:sz w:val="24"/>
        </w:rPr>
        <w:t>年</w:t>
      </w:r>
      <w:r w:rsidR="000D4844">
        <w:rPr>
          <w:rFonts w:ascii="宋体" w:hAnsi="宋体"/>
          <w:sz w:val="24"/>
        </w:rPr>
        <w:t>11</w:t>
      </w:r>
      <w:r w:rsidRPr="0025116B">
        <w:rPr>
          <w:rFonts w:ascii="宋体" w:hAnsi="宋体" w:hint="eastAsia"/>
          <w:sz w:val="24"/>
        </w:rPr>
        <w:t>月</w:t>
      </w:r>
      <w:r w:rsidR="000D4844">
        <w:rPr>
          <w:rFonts w:ascii="宋体" w:hAnsi="宋体"/>
          <w:sz w:val="24"/>
        </w:rPr>
        <w:t>23</w:t>
      </w:r>
      <w:r w:rsidRPr="0025116B">
        <w:rPr>
          <w:rFonts w:ascii="宋体" w:hAnsi="宋体" w:hint="eastAsia"/>
          <w:sz w:val="24"/>
        </w:rPr>
        <w:t>日</w:t>
      </w:r>
    </w:p>
    <w:p w:rsidR="00E74CEB" w:rsidRPr="004676BD" w:rsidRDefault="00E74CEB" w:rsidP="00E74CEB">
      <w:pPr>
        <w:spacing w:line="360" w:lineRule="auto"/>
        <w:ind w:leftChars="942" w:left="1978"/>
        <w:rPr>
          <w:rFonts w:ascii="宋体" w:hAnsi="宋体"/>
          <w:sz w:val="24"/>
        </w:rPr>
      </w:pPr>
      <w:r w:rsidRPr="004676BD">
        <w:rPr>
          <w:rFonts w:ascii="宋体" w:hAnsi="宋体" w:hint="eastAsia"/>
          <w:sz w:val="24"/>
        </w:rPr>
        <w:t>清算报告公告日：201</w:t>
      </w:r>
      <w:r w:rsidR="00971DF9">
        <w:rPr>
          <w:rFonts w:ascii="宋体" w:hAnsi="宋体" w:hint="eastAsia"/>
          <w:sz w:val="24"/>
        </w:rPr>
        <w:t>8</w:t>
      </w:r>
      <w:r w:rsidRPr="004676BD">
        <w:rPr>
          <w:rFonts w:ascii="宋体" w:hAnsi="宋体" w:hint="eastAsia"/>
          <w:sz w:val="24"/>
        </w:rPr>
        <w:t>年</w:t>
      </w:r>
      <w:r w:rsidR="00C86461">
        <w:rPr>
          <w:rFonts w:ascii="宋体" w:hAnsi="宋体"/>
          <w:sz w:val="24"/>
        </w:rPr>
        <w:t>12</w:t>
      </w:r>
      <w:r w:rsidRPr="003B182E">
        <w:rPr>
          <w:rFonts w:ascii="宋体" w:hAnsi="宋体" w:hint="eastAsia"/>
          <w:sz w:val="24"/>
        </w:rPr>
        <w:t>月</w:t>
      </w:r>
      <w:r w:rsidR="00C86461">
        <w:rPr>
          <w:rFonts w:ascii="宋体" w:hAnsi="宋体"/>
          <w:sz w:val="24"/>
        </w:rPr>
        <w:t>28</w:t>
      </w:r>
      <w:r w:rsidRPr="003B182E">
        <w:rPr>
          <w:rFonts w:ascii="宋体" w:hAnsi="宋体" w:hint="eastAsia"/>
          <w:sz w:val="24"/>
        </w:rPr>
        <w:t>日</w:t>
      </w:r>
      <w:bookmarkStart w:id="0" w:name="_GoBack"/>
      <w:bookmarkEnd w:id="0"/>
    </w:p>
    <w:p w:rsidR="00E74CEB" w:rsidRPr="004676BD" w:rsidRDefault="00E74CEB" w:rsidP="00E74CEB">
      <w:pPr>
        <w:spacing w:line="360" w:lineRule="auto"/>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numPr>
          <w:ilvl w:val="0"/>
          <w:numId w:val="1"/>
        </w:numPr>
        <w:jc w:val="center"/>
        <w:rPr>
          <w:rFonts w:ascii="宋体" w:hAnsi="宋体"/>
          <w:sz w:val="24"/>
        </w:rPr>
        <w:sectPr w:rsidR="00E74CEB" w:rsidRPr="004676BD" w:rsidSect="00B9306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425"/>
          <w:titlePg/>
          <w:docGrid w:type="lines" w:linePitch="312"/>
        </w:sectPr>
      </w:pPr>
    </w:p>
    <w:p w:rsidR="00E74CEB" w:rsidRDefault="00E74CEB" w:rsidP="009A5FEB">
      <w:pPr>
        <w:pStyle w:val="aa"/>
        <w:numPr>
          <w:ilvl w:val="0"/>
          <w:numId w:val="8"/>
        </w:numPr>
        <w:spacing w:line="360" w:lineRule="auto"/>
        <w:ind w:firstLineChars="0"/>
        <w:jc w:val="center"/>
        <w:rPr>
          <w:rFonts w:ascii="宋体" w:hAnsi="宋体"/>
          <w:b/>
          <w:sz w:val="24"/>
        </w:rPr>
      </w:pPr>
      <w:r w:rsidRPr="009A5FEB">
        <w:rPr>
          <w:rFonts w:ascii="宋体" w:hAnsi="宋体" w:hint="eastAsia"/>
          <w:b/>
          <w:sz w:val="24"/>
        </w:rPr>
        <w:lastRenderedPageBreak/>
        <w:t>重要提示</w:t>
      </w:r>
    </w:p>
    <w:p w:rsidR="00FD5EA5" w:rsidRPr="00FD5EA5" w:rsidRDefault="00FD5EA5" w:rsidP="00FD5EA5">
      <w:pPr>
        <w:spacing w:line="360" w:lineRule="auto"/>
        <w:ind w:firstLine="420"/>
        <w:rPr>
          <w:rFonts w:ascii="宋体" w:hAnsi="宋体"/>
        </w:rPr>
      </w:pPr>
      <w:r w:rsidRPr="00FD5EA5">
        <w:rPr>
          <w:rFonts w:ascii="宋体" w:hAnsi="宋体" w:hint="eastAsia"/>
        </w:rPr>
        <w:t>招商稳祥定期开放灵活配置混合型证券投资基金（以下简称“本基金”）经中国证券监督管理委员会2016年8月30日《关于准予招商稳祥定期开放灵活配置混合型证券投资基金注册的批复》（证监许可【2016】1990号）注册公开募集，自2016年10月11日起基金合同生效，基金管理人为招商基金管理有限公司，基金托管人为宁波银行股份有限公司。</w:t>
      </w:r>
    </w:p>
    <w:p w:rsidR="00FD5EA5" w:rsidRPr="00FD5EA5" w:rsidRDefault="00FD5EA5" w:rsidP="00FD5EA5">
      <w:pPr>
        <w:spacing w:line="360" w:lineRule="auto"/>
        <w:ind w:firstLine="420"/>
        <w:rPr>
          <w:rFonts w:ascii="宋体" w:hAnsi="宋体"/>
        </w:rPr>
      </w:pPr>
      <w:r w:rsidRPr="00FD5EA5">
        <w:rPr>
          <w:rFonts w:ascii="宋体" w:hAnsi="宋体" w:hint="eastAsia"/>
        </w:rPr>
        <w:t>根据《招商稳祥定期开放灵活配置混合型证券投资基金基金合同》“第二十部分 基金合同的变更、终止与基金财产的清算”中“二、《基金合同》的终止事由”的约定，“基金合同生效后，在开放期的最后一日日终，如发生以下情形之一的，则无须召开基金份额持有人大会，基金合同终止并根据基金合同的约定进行财产清算：（1）基金资产净值加上当日有效申购申请金额及基金转换中转入申请金额扣除有效赎回申请金额及基金转换中转出申请金额后的余额低于 5000 万元；（2）基金份额持有人人数少于 200 人。”</w:t>
      </w:r>
    </w:p>
    <w:p w:rsidR="00FD5EA5" w:rsidRPr="00FD5EA5" w:rsidRDefault="00FD5EA5" w:rsidP="00FD5EA5">
      <w:pPr>
        <w:spacing w:line="360" w:lineRule="auto"/>
        <w:ind w:firstLine="420"/>
        <w:rPr>
          <w:rFonts w:ascii="宋体" w:hAnsi="宋体"/>
        </w:rPr>
      </w:pPr>
      <w:r w:rsidRPr="00FD5EA5">
        <w:rPr>
          <w:rFonts w:ascii="宋体" w:hAnsi="宋体" w:hint="eastAsia"/>
        </w:rPr>
        <w:t>2018年11月12日（含）至2018年11月16日（含）为本基金第二次开放期，开放期间投资者可办理申购、赎回及转换业务。截至本次开放期的最后一日（即2018年11月16日）日终，本基金基金资产净值加上当日有效申购申请金额及基金转换中转入申请金额扣除有效赎回申请金额及基金转换中转出申请金额后的余额低于5000万元，已触发基金合同中约定的合同终止情形。本基金管理人据此应当终止基金合同，并对本基金进行变现及清算程序，且无需召开基金份额持有人大会。本基金自2018年11月19日起进入清算期。</w:t>
      </w:r>
    </w:p>
    <w:p w:rsidR="00235F72" w:rsidRPr="00235F72" w:rsidRDefault="00FD5EA5" w:rsidP="00FD5EA5">
      <w:pPr>
        <w:spacing w:line="360" w:lineRule="auto"/>
        <w:ind w:firstLine="420"/>
        <w:rPr>
          <w:rFonts w:ascii="宋体" w:hAnsi="宋体"/>
        </w:rPr>
      </w:pPr>
      <w:r w:rsidRPr="00FD5EA5">
        <w:rPr>
          <w:rFonts w:ascii="宋体" w:hAnsi="宋体" w:hint="eastAsia"/>
        </w:rPr>
        <w:t>基金管理人、基金托管人、德勤华永会计师事务所（特殊普通合伙）和上海源泰律师事务所于2018年11月19日成立基金财产清算小组履行基金财产清算程序，并由德勤华永会计师事务所（特殊普通合伙）对本基金进行清算审计，上海源泰律师事务所对清算事宜出具法律意见。</w:t>
      </w:r>
    </w:p>
    <w:p w:rsidR="009A5FEB" w:rsidRPr="00235F72" w:rsidRDefault="009A5FEB" w:rsidP="009A5FEB"/>
    <w:p w:rsidR="009A5FEB" w:rsidRPr="009A5FEB" w:rsidRDefault="00BD0A8D" w:rsidP="009A5FEB">
      <w:pPr>
        <w:pStyle w:val="aa"/>
        <w:numPr>
          <w:ilvl w:val="0"/>
          <w:numId w:val="8"/>
        </w:numPr>
        <w:spacing w:line="360" w:lineRule="auto"/>
        <w:ind w:firstLineChars="0"/>
        <w:jc w:val="center"/>
        <w:rPr>
          <w:rFonts w:ascii="宋体" w:hAnsi="宋体"/>
          <w:b/>
          <w:sz w:val="24"/>
        </w:rPr>
      </w:pPr>
      <w:r>
        <w:rPr>
          <w:rFonts w:ascii="宋体" w:hAnsi="宋体" w:hint="eastAsia"/>
          <w:b/>
          <w:sz w:val="24"/>
        </w:rPr>
        <w:t>基金概况</w:t>
      </w:r>
    </w:p>
    <w:tbl>
      <w:tblPr>
        <w:tblStyle w:val="-noheader"/>
        <w:tblW w:w="0" w:type="auto"/>
        <w:tblLayout w:type="fixed"/>
        <w:tblLook w:val="04A0"/>
      </w:tblPr>
      <w:tblGrid>
        <w:gridCol w:w="2840"/>
        <w:gridCol w:w="2841"/>
        <w:gridCol w:w="2841"/>
      </w:tblGrid>
      <w:tr w:rsidR="00B80340" w:rsidRPr="00B80340" w:rsidTr="00B80340">
        <w:trPr>
          <w:trHeight w:val="187"/>
        </w:trPr>
        <w:tc>
          <w:tcPr>
            <w:tcW w:w="2840" w:type="dxa"/>
          </w:tcPr>
          <w:p w:rsidR="00B80340" w:rsidRPr="00B80340" w:rsidRDefault="00B80340" w:rsidP="00B80340">
            <w:pPr>
              <w:pStyle w:val="a7"/>
              <w:spacing w:line="276" w:lineRule="auto"/>
              <w:rPr>
                <w:rFonts w:ascii="宋体" w:hAnsi="宋体"/>
              </w:rPr>
            </w:pPr>
            <w:r w:rsidRPr="00B80340">
              <w:rPr>
                <w:rFonts w:ascii="宋体" w:hAnsi="宋体" w:hint="eastAsia"/>
              </w:rPr>
              <w:t>基金名称</w:t>
            </w:r>
          </w:p>
        </w:tc>
        <w:tc>
          <w:tcPr>
            <w:tcW w:w="5682" w:type="dxa"/>
            <w:gridSpan w:val="2"/>
          </w:tcPr>
          <w:p w:rsidR="00B80340" w:rsidRPr="00B80340" w:rsidRDefault="000D4844" w:rsidP="00B80340">
            <w:pPr>
              <w:pStyle w:val="a7"/>
              <w:spacing w:line="276" w:lineRule="auto"/>
              <w:rPr>
                <w:rFonts w:ascii="宋体" w:hAnsi="宋体"/>
              </w:rPr>
            </w:pPr>
            <w:r>
              <w:rPr>
                <w:rFonts w:ascii="宋体" w:hAnsi="宋体" w:hint="eastAsia"/>
              </w:rPr>
              <w:t>招商稳祥定期开放灵活配置混合型证券投资基金</w:t>
            </w:r>
          </w:p>
        </w:tc>
      </w:tr>
      <w:tr w:rsidR="00B80340" w:rsidRPr="00B80340" w:rsidTr="00E54A48">
        <w:tc>
          <w:tcPr>
            <w:tcW w:w="2840" w:type="dxa"/>
          </w:tcPr>
          <w:p w:rsidR="00B80340" w:rsidRPr="00B80340" w:rsidRDefault="00B80340" w:rsidP="00B80340">
            <w:pPr>
              <w:pStyle w:val="a7"/>
              <w:spacing w:line="276" w:lineRule="auto"/>
              <w:rPr>
                <w:rFonts w:ascii="宋体" w:hAnsi="宋体"/>
              </w:rPr>
            </w:pPr>
            <w:r w:rsidRPr="00B80340">
              <w:rPr>
                <w:rFonts w:ascii="宋体" w:hAnsi="宋体" w:hint="eastAsia"/>
              </w:rPr>
              <w:t>基金简称</w:t>
            </w:r>
          </w:p>
        </w:tc>
        <w:tc>
          <w:tcPr>
            <w:tcW w:w="5682" w:type="dxa"/>
            <w:gridSpan w:val="2"/>
          </w:tcPr>
          <w:p w:rsidR="00B80340" w:rsidRPr="00B80340" w:rsidRDefault="000D4844" w:rsidP="0054599D">
            <w:pPr>
              <w:pStyle w:val="a7"/>
              <w:spacing w:line="276" w:lineRule="auto"/>
              <w:rPr>
                <w:rFonts w:ascii="宋体" w:hAnsi="宋体"/>
              </w:rPr>
            </w:pPr>
            <w:r>
              <w:rPr>
                <w:rFonts w:ascii="宋体" w:hAnsi="宋体" w:hint="eastAsia"/>
              </w:rPr>
              <w:t>招商稳祥定开灵活混合</w:t>
            </w:r>
          </w:p>
        </w:tc>
      </w:tr>
      <w:tr w:rsidR="00E54A48" w:rsidRPr="00B80340" w:rsidTr="00E54A48">
        <w:tc>
          <w:tcPr>
            <w:tcW w:w="2840" w:type="dxa"/>
            <w:vAlign w:val="center"/>
          </w:tcPr>
          <w:p w:rsidR="00E54A48" w:rsidRPr="00B80340" w:rsidRDefault="00E54A48" w:rsidP="00B80340">
            <w:pPr>
              <w:pStyle w:val="a7"/>
              <w:spacing w:line="276" w:lineRule="auto"/>
              <w:rPr>
                <w:rFonts w:ascii="宋体" w:hAnsi="宋体"/>
              </w:rPr>
            </w:pPr>
            <w:r w:rsidRPr="00B80340">
              <w:rPr>
                <w:rFonts w:ascii="宋体" w:hAnsi="宋体" w:hint="eastAsia"/>
              </w:rPr>
              <w:t>基金主代码</w:t>
            </w:r>
          </w:p>
        </w:tc>
        <w:tc>
          <w:tcPr>
            <w:tcW w:w="5682" w:type="dxa"/>
            <w:gridSpan w:val="2"/>
          </w:tcPr>
          <w:p w:rsidR="00E54A48" w:rsidRPr="00781F8E" w:rsidRDefault="009F781B" w:rsidP="00E54A48">
            <w:pPr>
              <w:rPr>
                <w:rFonts w:ascii="宋体" w:hAnsi="宋体"/>
                <w:sz w:val="21"/>
                <w:szCs w:val="20"/>
              </w:rPr>
            </w:pPr>
            <w:r>
              <w:rPr>
                <w:rFonts w:ascii="宋体" w:hAnsi="宋体"/>
                <w:sz w:val="21"/>
                <w:szCs w:val="20"/>
              </w:rPr>
              <w:t>003355</w:t>
            </w:r>
          </w:p>
        </w:tc>
      </w:tr>
      <w:tr w:rsidR="00E54A48" w:rsidRPr="00B80340" w:rsidTr="00E54A48">
        <w:tc>
          <w:tcPr>
            <w:tcW w:w="2840" w:type="dxa"/>
            <w:vAlign w:val="center"/>
          </w:tcPr>
          <w:p w:rsidR="00E54A48" w:rsidRPr="00B80340" w:rsidRDefault="00E54A48" w:rsidP="00B80340">
            <w:pPr>
              <w:pStyle w:val="a7"/>
              <w:spacing w:line="276" w:lineRule="auto"/>
              <w:rPr>
                <w:rFonts w:ascii="宋体" w:hAnsi="宋体"/>
              </w:rPr>
            </w:pPr>
            <w:r w:rsidRPr="00B80340">
              <w:rPr>
                <w:rFonts w:ascii="宋体" w:hAnsi="宋体" w:hint="eastAsia"/>
              </w:rPr>
              <w:t>交易代码</w:t>
            </w:r>
          </w:p>
        </w:tc>
        <w:tc>
          <w:tcPr>
            <w:tcW w:w="5682" w:type="dxa"/>
            <w:gridSpan w:val="2"/>
          </w:tcPr>
          <w:p w:rsidR="00E54A48" w:rsidRPr="00781F8E" w:rsidRDefault="009F781B" w:rsidP="00E54A48">
            <w:pPr>
              <w:rPr>
                <w:rFonts w:ascii="宋体" w:hAnsi="宋体"/>
                <w:sz w:val="21"/>
                <w:szCs w:val="20"/>
              </w:rPr>
            </w:pPr>
            <w:r>
              <w:rPr>
                <w:rFonts w:ascii="宋体" w:hAnsi="宋体"/>
                <w:sz w:val="21"/>
                <w:szCs w:val="20"/>
              </w:rPr>
              <w:t>003355</w:t>
            </w:r>
          </w:p>
        </w:tc>
      </w:tr>
      <w:tr w:rsidR="00E54A48" w:rsidRPr="00B80340" w:rsidTr="00E54A48">
        <w:tc>
          <w:tcPr>
            <w:tcW w:w="2840" w:type="dxa"/>
            <w:vAlign w:val="center"/>
          </w:tcPr>
          <w:p w:rsidR="00E54A48" w:rsidRPr="00B80340" w:rsidRDefault="00E54A48" w:rsidP="00B80340">
            <w:pPr>
              <w:pStyle w:val="a7"/>
              <w:spacing w:line="276" w:lineRule="auto"/>
              <w:rPr>
                <w:rFonts w:ascii="宋体" w:hAnsi="宋体"/>
              </w:rPr>
            </w:pPr>
            <w:r w:rsidRPr="00B80340">
              <w:rPr>
                <w:rFonts w:ascii="宋体" w:hAnsi="宋体" w:hint="eastAsia"/>
              </w:rPr>
              <w:t>基金运作方式</w:t>
            </w:r>
          </w:p>
        </w:tc>
        <w:tc>
          <w:tcPr>
            <w:tcW w:w="5682" w:type="dxa"/>
            <w:gridSpan w:val="2"/>
          </w:tcPr>
          <w:p w:rsidR="00E54A48" w:rsidRPr="00781F8E" w:rsidRDefault="006C447C" w:rsidP="00E54A48">
            <w:pPr>
              <w:rPr>
                <w:rFonts w:ascii="宋体" w:hAnsi="宋体"/>
                <w:sz w:val="21"/>
                <w:szCs w:val="20"/>
              </w:rPr>
            </w:pPr>
            <w:r w:rsidRPr="006C447C">
              <w:rPr>
                <w:rFonts w:ascii="宋体" w:hAnsi="宋体" w:hint="eastAsia"/>
                <w:sz w:val="21"/>
                <w:szCs w:val="20"/>
              </w:rPr>
              <w:t>契约型，以定期开放方式运作，即采用封闭运作和开放运作交替循环的方式</w:t>
            </w:r>
          </w:p>
        </w:tc>
      </w:tr>
      <w:tr w:rsidR="00E54A48" w:rsidRPr="00B80340" w:rsidTr="00E54A48">
        <w:tc>
          <w:tcPr>
            <w:tcW w:w="2840" w:type="dxa"/>
            <w:vAlign w:val="center"/>
          </w:tcPr>
          <w:p w:rsidR="00E54A48" w:rsidRPr="00B80340" w:rsidRDefault="00E54A48" w:rsidP="00B80340">
            <w:pPr>
              <w:pStyle w:val="a7"/>
              <w:spacing w:line="276" w:lineRule="auto"/>
              <w:rPr>
                <w:rFonts w:ascii="宋体" w:hAnsi="宋体"/>
              </w:rPr>
            </w:pPr>
            <w:r w:rsidRPr="00B80340">
              <w:rPr>
                <w:rFonts w:ascii="宋体" w:hAnsi="宋体" w:hint="eastAsia"/>
              </w:rPr>
              <w:t>基金合同生效日</w:t>
            </w:r>
          </w:p>
        </w:tc>
        <w:tc>
          <w:tcPr>
            <w:tcW w:w="5682" w:type="dxa"/>
            <w:gridSpan w:val="2"/>
          </w:tcPr>
          <w:p w:rsidR="00E54A48" w:rsidRPr="00781F8E" w:rsidRDefault="006C447C" w:rsidP="00E54A48">
            <w:pPr>
              <w:rPr>
                <w:rFonts w:ascii="宋体" w:hAnsi="宋体"/>
                <w:sz w:val="21"/>
                <w:szCs w:val="20"/>
              </w:rPr>
            </w:pPr>
            <w:r w:rsidRPr="006C447C">
              <w:rPr>
                <w:rFonts w:ascii="宋体" w:hAnsi="宋体" w:hint="eastAsia"/>
                <w:sz w:val="21"/>
                <w:szCs w:val="20"/>
              </w:rPr>
              <w:t>2016年10月11日</w:t>
            </w:r>
          </w:p>
        </w:tc>
      </w:tr>
      <w:tr w:rsidR="00B80340" w:rsidRPr="00B80340" w:rsidTr="00E54A48">
        <w:tc>
          <w:tcPr>
            <w:tcW w:w="2840" w:type="dxa"/>
            <w:vAlign w:val="center"/>
          </w:tcPr>
          <w:p w:rsidR="00B80340" w:rsidRPr="00B80340" w:rsidRDefault="00A60ADA" w:rsidP="006C447C">
            <w:pPr>
              <w:pStyle w:val="a7"/>
              <w:spacing w:line="276" w:lineRule="auto"/>
              <w:rPr>
                <w:rFonts w:ascii="宋体" w:hAnsi="宋体"/>
              </w:rPr>
            </w:pPr>
            <w:r>
              <w:rPr>
                <w:rFonts w:ascii="宋体" w:hAnsi="宋体" w:hint="eastAsia"/>
              </w:rPr>
              <w:t>最后运作日</w:t>
            </w:r>
            <w:r w:rsidR="000B4994">
              <w:rPr>
                <w:rFonts w:ascii="宋体" w:hAnsi="宋体" w:hint="eastAsia"/>
              </w:rPr>
              <w:t>（2018-</w:t>
            </w:r>
            <w:r w:rsidR="006C447C">
              <w:rPr>
                <w:rFonts w:ascii="宋体" w:hAnsi="宋体"/>
              </w:rPr>
              <w:t>11</w:t>
            </w:r>
            <w:r w:rsidR="000B4994">
              <w:rPr>
                <w:rFonts w:ascii="宋体" w:hAnsi="宋体" w:hint="eastAsia"/>
              </w:rPr>
              <w:t>-</w:t>
            </w:r>
            <w:r w:rsidR="006C447C">
              <w:rPr>
                <w:rFonts w:ascii="宋体" w:hAnsi="宋体"/>
              </w:rPr>
              <w:t>16</w:t>
            </w:r>
            <w:r w:rsidR="000B4994">
              <w:rPr>
                <w:rFonts w:ascii="宋体" w:hAnsi="宋体" w:hint="eastAsia"/>
              </w:rPr>
              <w:t>）</w:t>
            </w:r>
            <w:r w:rsidR="00B80340" w:rsidRPr="00B80340">
              <w:rPr>
                <w:rFonts w:ascii="宋体" w:hAnsi="宋体" w:hint="eastAsia"/>
              </w:rPr>
              <w:t>基金份额总额</w:t>
            </w:r>
          </w:p>
        </w:tc>
        <w:tc>
          <w:tcPr>
            <w:tcW w:w="5682" w:type="dxa"/>
            <w:gridSpan w:val="2"/>
            <w:vAlign w:val="center"/>
          </w:tcPr>
          <w:p w:rsidR="00B80340" w:rsidRPr="00B80340" w:rsidRDefault="006C447C" w:rsidP="00A60ADA">
            <w:pPr>
              <w:pStyle w:val="a7"/>
              <w:spacing w:line="276" w:lineRule="auto"/>
              <w:rPr>
                <w:rFonts w:ascii="宋体" w:hAnsi="宋体"/>
              </w:rPr>
            </w:pPr>
            <w:r w:rsidRPr="006C447C">
              <w:rPr>
                <w:rFonts w:ascii="宋体" w:hAnsi="宋体"/>
              </w:rPr>
              <w:t>39,320,515.31</w:t>
            </w:r>
            <w:r w:rsidR="00A60ADA">
              <w:rPr>
                <w:rFonts w:ascii="宋体" w:hAnsi="宋体" w:hint="eastAsia"/>
              </w:rPr>
              <w:t>份</w:t>
            </w:r>
          </w:p>
        </w:tc>
      </w:tr>
      <w:tr w:rsidR="00B80340" w:rsidRPr="00B80340" w:rsidTr="00E54A48">
        <w:tc>
          <w:tcPr>
            <w:tcW w:w="2840" w:type="dxa"/>
            <w:vAlign w:val="center"/>
          </w:tcPr>
          <w:p w:rsidR="00B80340" w:rsidRPr="00B80340" w:rsidRDefault="00B80340" w:rsidP="00B80340">
            <w:pPr>
              <w:pStyle w:val="a7"/>
              <w:spacing w:line="276" w:lineRule="auto"/>
              <w:rPr>
                <w:rFonts w:ascii="宋体" w:hAnsi="宋体"/>
              </w:rPr>
            </w:pPr>
            <w:r w:rsidRPr="00B80340">
              <w:rPr>
                <w:rFonts w:ascii="宋体" w:hAnsi="宋体" w:hint="eastAsia"/>
              </w:rPr>
              <w:lastRenderedPageBreak/>
              <w:t>投资目标</w:t>
            </w:r>
          </w:p>
        </w:tc>
        <w:tc>
          <w:tcPr>
            <w:tcW w:w="5682" w:type="dxa"/>
            <w:gridSpan w:val="2"/>
            <w:vAlign w:val="center"/>
          </w:tcPr>
          <w:p w:rsidR="00B80340" w:rsidRPr="00781F8E" w:rsidRDefault="006C447C" w:rsidP="00E54A48">
            <w:pPr>
              <w:jc w:val="left"/>
              <w:rPr>
                <w:rFonts w:ascii="宋体" w:hAnsi="宋体"/>
                <w:sz w:val="21"/>
                <w:szCs w:val="20"/>
              </w:rPr>
            </w:pPr>
            <w:r w:rsidRPr="006C447C">
              <w:rPr>
                <w:rFonts w:ascii="宋体" w:hAnsi="宋体" w:hint="eastAsia"/>
                <w:sz w:val="21"/>
                <w:szCs w:val="20"/>
              </w:rPr>
              <w:t>在严格控制风险的基础上，通过定期开放的形式保持适度流动性，力求取得超越基金业绩比较基准的收益。</w:t>
            </w:r>
          </w:p>
        </w:tc>
      </w:tr>
      <w:tr w:rsidR="00B80340" w:rsidRPr="00B80340" w:rsidTr="00E54A48">
        <w:tc>
          <w:tcPr>
            <w:tcW w:w="2840" w:type="dxa"/>
            <w:vAlign w:val="center"/>
          </w:tcPr>
          <w:p w:rsidR="00B80340" w:rsidRPr="00B80340" w:rsidRDefault="00B80340" w:rsidP="00B80340">
            <w:pPr>
              <w:pStyle w:val="a7"/>
              <w:spacing w:line="276" w:lineRule="auto"/>
              <w:rPr>
                <w:rFonts w:ascii="宋体" w:hAnsi="宋体"/>
              </w:rPr>
            </w:pPr>
            <w:r w:rsidRPr="00B80340">
              <w:rPr>
                <w:rFonts w:ascii="宋体" w:hAnsi="宋体" w:hint="eastAsia"/>
              </w:rPr>
              <w:t>投资策略</w:t>
            </w:r>
          </w:p>
        </w:tc>
        <w:tc>
          <w:tcPr>
            <w:tcW w:w="5682" w:type="dxa"/>
            <w:gridSpan w:val="2"/>
            <w:vAlign w:val="center"/>
          </w:tcPr>
          <w:p w:rsidR="006C447C" w:rsidRPr="006C447C" w:rsidRDefault="006C447C" w:rsidP="006C447C">
            <w:pPr>
              <w:jc w:val="left"/>
              <w:rPr>
                <w:rFonts w:ascii="宋体" w:hAnsi="宋体"/>
                <w:sz w:val="21"/>
                <w:szCs w:val="20"/>
              </w:rPr>
            </w:pPr>
            <w:r w:rsidRPr="006C447C">
              <w:rPr>
                <w:rFonts w:ascii="宋体" w:hAnsi="宋体" w:hint="eastAsia"/>
                <w:sz w:val="21"/>
                <w:szCs w:val="20"/>
              </w:rPr>
              <w:t>本基金通过对我国宏观经济指标、国家产业政策、货币政策和财政政策及我国资本市场的运行状况等深入研究，判断我国宏观经济发展趋势、中短期利率走势、债券市场预期风险水平和相对收益率。结合本基金封闭期和开放期的设置，采用不同的投资策略。</w:t>
            </w:r>
          </w:p>
          <w:p w:rsidR="006C447C" w:rsidRPr="006C447C" w:rsidRDefault="006C447C" w:rsidP="006C447C">
            <w:pPr>
              <w:jc w:val="left"/>
              <w:rPr>
                <w:rFonts w:ascii="宋体" w:hAnsi="宋体"/>
                <w:sz w:val="21"/>
                <w:szCs w:val="20"/>
              </w:rPr>
            </w:pPr>
            <w:r w:rsidRPr="006C447C">
              <w:rPr>
                <w:rFonts w:ascii="宋体" w:hAnsi="宋体" w:hint="eastAsia"/>
                <w:sz w:val="21"/>
                <w:szCs w:val="20"/>
              </w:rPr>
              <w:t>（一）封闭期投资策略</w:t>
            </w:r>
          </w:p>
          <w:p w:rsidR="006C447C" w:rsidRPr="006C447C" w:rsidRDefault="006C447C" w:rsidP="006C447C">
            <w:pPr>
              <w:jc w:val="left"/>
              <w:rPr>
                <w:rFonts w:ascii="宋体" w:hAnsi="宋体"/>
                <w:sz w:val="21"/>
                <w:szCs w:val="20"/>
              </w:rPr>
            </w:pPr>
            <w:r w:rsidRPr="006C447C">
              <w:rPr>
                <w:rFonts w:ascii="宋体" w:hAnsi="宋体" w:hint="eastAsia"/>
                <w:sz w:val="21"/>
                <w:szCs w:val="20"/>
              </w:rPr>
              <w:t>1. 大类资产配置策略；</w:t>
            </w:r>
          </w:p>
          <w:p w:rsidR="006C447C" w:rsidRPr="006C447C" w:rsidRDefault="006C447C" w:rsidP="006C447C">
            <w:pPr>
              <w:jc w:val="left"/>
              <w:rPr>
                <w:rFonts w:ascii="宋体" w:hAnsi="宋体"/>
                <w:sz w:val="21"/>
                <w:szCs w:val="20"/>
              </w:rPr>
            </w:pPr>
            <w:r w:rsidRPr="006C447C">
              <w:rPr>
                <w:rFonts w:ascii="宋体" w:hAnsi="宋体" w:hint="eastAsia"/>
                <w:sz w:val="21"/>
                <w:szCs w:val="20"/>
              </w:rPr>
              <w:t>2. 股票投资策略；</w:t>
            </w:r>
          </w:p>
          <w:p w:rsidR="006C447C" w:rsidRPr="006C447C" w:rsidRDefault="006C447C" w:rsidP="006C447C">
            <w:pPr>
              <w:jc w:val="left"/>
              <w:rPr>
                <w:rFonts w:ascii="宋体" w:hAnsi="宋体"/>
                <w:sz w:val="21"/>
                <w:szCs w:val="20"/>
              </w:rPr>
            </w:pPr>
            <w:r w:rsidRPr="006C447C">
              <w:rPr>
                <w:rFonts w:ascii="宋体" w:hAnsi="宋体" w:hint="eastAsia"/>
                <w:sz w:val="21"/>
                <w:szCs w:val="20"/>
              </w:rPr>
              <w:t>3. 债券投资策略；</w:t>
            </w:r>
          </w:p>
          <w:p w:rsidR="006C447C" w:rsidRPr="006C447C" w:rsidRDefault="006C447C" w:rsidP="006C447C">
            <w:pPr>
              <w:jc w:val="left"/>
              <w:rPr>
                <w:rFonts w:ascii="宋体" w:hAnsi="宋体"/>
                <w:sz w:val="21"/>
                <w:szCs w:val="20"/>
              </w:rPr>
            </w:pPr>
            <w:r w:rsidRPr="006C447C">
              <w:rPr>
                <w:rFonts w:ascii="宋体" w:hAnsi="宋体" w:hint="eastAsia"/>
                <w:sz w:val="21"/>
                <w:szCs w:val="20"/>
              </w:rPr>
              <w:t>4. 权证投资策略；</w:t>
            </w:r>
          </w:p>
          <w:p w:rsidR="006C447C" w:rsidRPr="006C447C" w:rsidRDefault="006C447C" w:rsidP="006C447C">
            <w:pPr>
              <w:jc w:val="left"/>
              <w:rPr>
                <w:rFonts w:ascii="宋体" w:hAnsi="宋体"/>
                <w:sz w:val="21"/>
                <w:szCs w:val="20"/>
              </w:rPr>
            </w:pPr>
            <w:r w:rsidRPr="006C447C">
              <w:rPr>
                <w:rFonts w:ascii="宋体" w:hAnsi="宋体" w:hint="eastAsia"/>
                <w:sz w:val="21"/>
                <w:szCs w:val="20"/>
              </w:rPr>
              <w:t>5. 股指期货投资策略；</w:t>
            </w:r>
          </w:p>
          <w:p w:rsidR="006C447C" w:rsidRPr="006C447C" w:rsidRDefault="006C447C" w:rsidP="006C447C">
            <w:pPr>
              <w:jc w:val="left"/>
              <w:rPr>
                <w:rFonts w:ascii="宋体" w:hAnsi="宋体"/>
                <w:sz w:val="21"/>
                <w:szCs w:val="20"/>
              </w:rPr>
            </w:pPr>
            <w:r w:rsidRPr="006C447C">
              <w:rPr>
                <w:rFonts w:ascii="宋体" w:hAnsi="宋体" w:hint="eastAsia"/>
                <w:sz w:val="21"/>
                <w:szCs w:val="20"/>
              </w:rPr>
              <w:t>6. 国债期货投资策略；</w:t>
            </w:r>
          </w:p>
          <w:p w:rsidR="006C447C" w:rsidRPr="006C447C" w:rsidRDefault="006C447C" w:rsidP="006C447C">
            <w:pPr>
              <w:jc w:val="left"/>
              <w:rPr>
                <w:rFonts w:ascii="宋体" w:hAnsi="宋体"/>
                <w:sz w:val="21"/>
                <w:szCs w:val="20"/>
              </w:rPr>
            </w:pPr>
            <w:r w:rsidRPr="006C447C">
              <w:rPr>
                <w:rFonts w:ascii="宋体" w:hAnsi="宋体" w:hint="eastAsia"/>
                <w:sz w:val="21"/>
                <w:szCs w:val="20"/>
              </w:rPr>
              <w:t>7. 资产支持证券投资策略；</w:t>
            </w:r>
          </w:p>
          <w:p w:rsidR="006C447C" w:rsidRPr="006C447C" w:rsidRDefault="006C447C" w:rsidP="006C447C">
            <w:pPr>
              <w:jc w:val="left"/>
              <w:rPr>
                <w:rFonts w:ascii="宋体" w:hAnsi="宋体"/>
                <w:sz w:val="21"/>
                <w:szCs w:val="20"/>
              </w:rPr>
            </w:pPr>
            <w:r w:rsidRPr="006C447C">
              <w:rPr>
                <w:rFonts w:ascii="宋体" w:hAnsi="宋体" w:hint="eastAsia"/>
                <w:sz w:val="21"/>
                <w:szCs w:val="20"/>
              </w:rPr>
              <w:t>8．中小企业私募债券投资策略。</w:t>
            </w:r>
          </w:p>
          <w:p w:rsidR="006C447C" w:rsidRPr="006C447C" w:rsidRDefault="006C447C" w:rsidP="006C447C">
            <w:pPr>
              <w:jc w:val="left"/>
              <w:rPr>
                <w:rFonts w:ascii="宋体" w:hAnsi="宋体"/>
                <w:sz w:val="21"/>
                <w:szCs w:val="20"/>
              </w:rPr>
            </w:pPr>
            <w:r w:rsidRPr="006C447C">
              <w:rPr>
                <w:rFonts w:ascii="宋体" w:hAnsi="宋体" w:hint="eastAsia"/>
                <w:sz w:val="21"/>
                <w:szCs w:val="20"/>
              </w:rPr>
              <w:t>（二）开放期投资策略</w:t>
            </w:r>
          </w:p>
          <w:p w:rsidR="00B80340" w:rsidRPr="00B80340" w:rsidRDefault="006C447C" w:rsidP="006C447C">
            <w:pPr>
              <w:jc w:val="left"/>
              <w:rPr>
                <w:rFonts w:ascii="宋体" w:hAnsi="宋体"/>
              </w:rPr>
            </w:pPr>
            <w:r w:rsidRPr="006C447C">
              <w:rPr>
                <w:rFonts w:ascii="宋体" w:hAnsi="宋体" w:hint="eastAsia"/>
                <w:sz w:val="21"/>
                <w:szCs w:val="20"/>
              </w:rPr>
              <w:t>开放期内，本基金为保持较高的流动性，在遵守本基金有关投资限制与投资比例的前提下，主要配置高流动性的投资品种，防范流动性风险，满足开放期流动性的需求。</w:t>
            </w:r>
          </w:p>
        </w:tc>
      </w:tr>
      <w:tr w:rsidR="00B80340" w:rsidRPr="00B80340" w:rsidTr="00E54A48">
        <w:tc>
          <w:tcPr>
            <w:tcW w:w="2840" w:type="dxa"/>
            <w:vAlign w:val="center"/>
          </w:tcPr>
          <w:p w:rsidR="00B80340" w:rsidRPr="00B80340" w:rsidRDefault="00B80340" w:rsidP="00B80340">
            <w:pPr>
              <w:pStyle w:val="a7"/>
              <w:spacing w:line="276" w:lineRule="auto"/>
              <w:rPr>
                <w:rFonts w:ascii="宋体" w:hAnsi="宋体"/>
              </w:rPr>
            </w:pPr>
            <w:r w:rsidRPr="00B80340">
              <w:rPr>
                <w:rFonts w:ascii="宋体" w:hAnsi="宋体" w:hint="eastAsia"/>
              </w:rPr>
              <w:t>业绩比较基准</w:t>
            </w:r>
          </w:p>
        </w:tc>
        <w:tc>
          <w:tcPr>
            <w:tcW w:w="5682" w:type="dxa"/>
            <w:gridSpan w:val="2"/>
            <w:vAlign w:val="center"/>
          </w:tcPr>
          <w:p w:rsidR="00B80340" w:rsidRPr="00B80340" w:rsidRDefault="006C447C" w:rsidP="00D52B63">
            <w:pPr>
              <w:pStyle w:val="a7"/>
              <w:spacing w:line="276" w:lineRule="auto"/>
              <w:rPr>
                <w:rFonts w:ascii="宋体" w:hAnsi="宋体"/>
              </w:rPr>
            </w:pPr>
            <w:r w:rsidRPr="006C447C">
              <w:rPr>
                <w:rFonts w:ascii="宋体" w:hAnsi="宋体" w:hint="eastAsia"/>
              </w:rPr>
              <w:t>中证全债指数收益率×70%+沪深300指数收益率×30%</w:t>
            </w:r>
          </w:p>
        </w:tc>
      </w:tr>
      <w:tr w:rsidR="00B80340" w:rsidRPr="00B80340" w:rsidTr="00E54A48">
        <w:tc>
          <w:tcPr>
            <w:tcW w:w="2840" w:type="dxa"/>
            <w:vAlign w:val="center"/>
          </w:tcPr>
          <w:p w:rsidR="00B80340" w:rsidRPr="00B80340" w:rsidRDefault="00B80340" w:rsidP="00B80340">
            <w:pPr>
              <w:pStyle w:val="a7"/>
              <w:spacing w:line="276" w:lineRule="auto"/>
              <w:rPr>
                <w:rFonts w:ascii="宋体" w:hAnsi="宋体"/>
              </w:rPr>
            </w:pPr>
            <w:r w:rsidRPr="00B80340">
              <w:rPr>
                <w:rFonts w:ascii="宋体" w:hAnsi="宋体" w:hint="eastAsia"/>
              </w:rPr>
              <w:t>风险收益特征</w:t>
            </w:r>
          </w:p>
        </w:tc>
        <w:tc>
          <w:tcPr>
            <w:tcW w:w="5682" w:type="dxa"/>
            <w:gridSpan w:val="2"/>
            <w:vAlign w:val="center"/>
          </w:tcPr>
          <w:p w:rsidR="00B80340" w:rsidRPr="00781F8E" w:rsidRDefault="006C447C" w:rsidP="00E54A48">
            <w:pPr>
              <w:jc w:val="left"/>
              <w:rPr>
                <w:rFonts w:ascii="宋体" w:hAnsi="宋体"/>
                <w:sz w:val="21"/>
                <w:szCs w:val="20"/>
              </w:rPr>
            </w:pPr>
            <w:r w:rsidRPr="006C447C">
              <w:rPr>
                <w:rFonts w:ascii="宋体" w:hAnsi="宋体" w:hint="eastAsia"/>
                <w:sz w:val="21"/>
                <w:szCs w:val="20"/>
              </w:rPr>
              <w:t>本基金属于混合型基金，其预期的风险和收益高于货币市场型基金、债券型基金，低于股票型基金，属于证券投资基金中中高风险、中高预期收益的品种。</w:t>
            </w:r>
          </w:p>
        </w:tc>
      </w:tr>
      <w:tr w:rsidR="00B80340" w:rsidRPr="00B80340" w:rsidTr="00E54A48">
        <w:tc>
          <w:tcPr>
            <w:tcW w:w="2840" w:type="dxa"/>
            <w:vAlign w:val="center"/>
          </w:tcPr>
          <w:p w:rsidR="00B80340" w:rsidRPr="00B80340" w:rsidRDefault="00B80340" w:rsidP="00B80340">
            <w:pPr>
              <w:pStyle w:val="a7"/>
              <w:spacing w:line="276" w:lineRule="auto"/>
              <w:rPr>
                <w:rFonts w:ascii="宋体" w:hAnsi="宋体"/>
              </w:rPr>
            </w:pPr>
            <w:r w:rsidRPr="00B80340">
              <w:rPr>
                <w:rFonts w:ascii="宋体" w:hAnsi="宋体" w:hint="eastAsia"/>
              </w:rPr>
              <w:t>基金管理人</w:t>
            </w:r>
          </w:p>
        </w:tc>
        <w:tc>
          <w:tcPr>
            <w:tcW w:w="5682" w:type="dxa"/>
            <w:gridSpan w:val="2"/>
            <w:vAlign w:val="center"/>
          </w:tcPr>
          <w:p w:rsidR="00B80340" w:rsidRPr="00B80340" w:rsidRDefault="00B80340" w:rsidP="00B80340">
            <w:pPr>
              <w:pStyle w:val="a7"/>
              <w:spacing w:line="276" w:lineRule="auto"/>
              <w:rPr>
                <w:rFonts w:ascii="宋体" w:hAnsi="宋体"/>
              </w:rPr>
            </w:pPr>
            <w:r w:rsidRPr="00B80340">
              <w:rPr>
                <w:rFonts w:ascii="宋体" w:hAnsi="宋体" w:hint="eastAsia"/>
              </w:rPr>
              <w:t>招商基金管理有限公司</w:t>
            </w:r>
          </w:p>
        </w:tc>
      </w:tr>
      <w:tr w:rsidR="00B80340" w:rsidRPr="00B80340" w:rsidTr="00E54A48">
        <w:tc>
          <w:tcPr>
            <w:tcW w:w="2840" w:type="dxa"/>
            <w:vAlign w:val="center"/>
          </w:tcPr>
          <w:p w:rsidR="00B80340" w:rsidRPr="00B80340" w:rsidRDefault="00B80340" w:rsidP="00B80340">
            <w:pPr>
              <w:pStyle w:val="a7"/>
              <w:spacing w:line="276" w:lineRule="auto"/>
              <w:rPr>
                <w:rFonts w:ascii="宋体" w:hAnsi="宋体"/>
              </w:rPr>
            </w:pPr>
            <w:r w:rsidRPr="00B80340">
              <w:rPr>
                <w:rFonts w:ascii="宋体" w:hAnsi="宋体" w:hint="eastAsia"/>
              </w:rPr>
              <w:t>基金托管人</w:t>
            </w:r>
          </w:p>
        </w:tc>
        <w:tc>
          <w:tcPr>
            <w:tcW w:w="5682" w:type="dxa"/>
            <w:gridSpan w:val="2"/>
            <w:vAlign w:val="center"/>
          </w:tcPr>
          <w:p w:rsidR="00B80340" w:rsidRPr="00B80340" w:rsidRDefault="006C447C" w:rsidP="00B80340">
            <w:pPr>
              <w:pStyle w:val="a7"/>
              <w:spacing w:line="276" w:lineRule="auto"/>
              <w:rPr>
                <w:rFonts w:ascii="宋体" w:hAnsi="宋体"/>
              </w:rPr>
            </w:pPr>
            <w:r>
              <w:rPr>
                <w:rFonts w:ascii="宋体" w:hAnsi="宋体" w:hint="eastAsia"/>
              </w:rPr>
              <w:t>宁波</w:t>
            </w:r>
            <w:r w:rsidR="00B80340" w:rsidRPr="00B80340">
              <w:rPr>
                <w:rFonts w:ascii="宋体" w:hAnsi="宋体" w:hint="eastAsia"/>
              </w:rPr>
              <w:t>银行股份有限公司</w:t>
            </w:r>
          </w:p>
        </w:tc>
      </w:tr>
      <w:tr w:rsidR="00B80340" w:rsidRPr="00B80340" w:rsidTr="00E54A48">
        <w:tc>
          <w:tcPr>
            <w:tcW w:w="2840" w:type="dxa"/>
            <w:vAlign w:val="center"/>
          </w:tcPr>
          <w:p w:rsidR="00B80340" w:rsidRPr="00B80340" w:rsidRDefault="00B80340" w:rsidP="00B80340">
            <w:pPr>
              <w:pStyle w:val="a7"/>
              <w:spacing w:line="276" w:lineRule="auto"/>
              <w:rPr>
                <w:rFonts w:ascii="宋体" w:hAnsi="宋体"/>
              </w:rPr>
            </w:pPr>
            <w:r w:rsidRPr="00B80340">
              <w:rPr>
                <w:rFonts w:ascii="宋体" w:hAnsi="宋体" w:hint="eastAsia"/>
              </w:rPr>
              <w:t>下属分级基金的基金简称</w:t>
            </w:r>
          </w:p>
        </w:tc>
        <w:tc>
          <w:tcPr>
            <w:tcW w:w="2841" w:type="dxa"/>
            <w:vAlign w:val="center"/>
          </w:tcPr>
          <w:p w:rsidR="00B80340" w:rsidRPr="00B80340" w:rsidRDefault="000D4844" w:rsidP="00937389">
            <w:pPr>
              <w:pStyle w:val="a7"/>
              <w:spacing w:line="276" w:lineRule="auto"/>
              <w:rPr>
                <w:rFonts w:ascii="宋体" w:hAnsi="宋体"/>
              </w:rPr>
            </w:pPr>
            <w:r>
              <w:rPr>
                <w:rFonts w:ascii="宋体" w:hAnsi="宋体" w:hint="eastAsia"/>
              </w:rPr>
              <w:t>招商稳祥定开灵活混合</w:t>
            </w:r>
            <w:r w:rsidR="00B80340" w:rsidRPr="00B80340">
              <w:rPr>
                <w:rFonts w:ascii="宋体" w:hAnsi="宋体"/>
              </w:rPr>
              <w:t>A</w:t>
            </w:r>
          </w:p>
        </w:tc>
        <w:tc>
          <w:tcPr>
            <w:tcW w:w="2841" w:type="dxa"/>
            <w:vAlign w:val="center"/>
          </w:tcPr>
          <w:p w:rsidR="00B80340" w:rsidRPr="00B80340" w:rsidRDefault="000D4844" w:rsidP="00B80340">
            <w:pPr>
              <w:pStyle w:val="a7"/>
              <w:spacing w:line="276" w:lineRule="auto"/>
              <w:rPr>
                <w:rFonts w:ascii="宋体" w:hAnsi="宋体"/>
              </w:rPr>
            </w:pPr>
            <w:r>
              <w:rPr>
                <w:rFonts w:ascii="宋体" w:hAnsi="宋体" w:hint="eastAsia"/>
              </w:rPr>
              <w:t>招商稳祥定开灵活混合</w:t>
            </w:r>
            <w:r w:rsidR="00B80340" w:rsidRPr="00B80340">
              <w:rPr>
                <w:rFonts w:ascii="宋体" w:hAnsi="宋体"/>
              </w:rPr>
              <w:t>C</w:t>
            </w:r>
          </w:p>
        </w:tc>
      </w:tr>
      <w:tr w:rsidR="00B80340" w:rsidRPr="00B80340" w:rsidTr="00E54A48">
        <w:tc>
          <w:tcPr>
            <w:tcW w:w="2840" w:type="dxa"/>
            <w:vAlign w:val="center"/>
          </w:tcPr>
          <w:p w:rsidR="00B80340" w:rsidRPr="00B80340" w:rsidRDefault="00B80340" w:rsidP="00B80340">
            <w:pPr>
              <w:pStyle w:val="a7"/>
              <w:spacing w:line="276" w:lineRule="auto"/>
              <w:rPr>
                <w:rFonts w:ascii="宋体" w:hAnsi="宋体"/>
              </w:rPr>
            </w:pPr>
            <w:r w:rsidRPr="00B80340">
              <w:rPr>
                <w:rFonts w:ascii="宋体" w:hAnsi="宋体" w:hint="eastAsia"/>
              </w:rPr>
              <w:t>下属分级基金的交易代码</w:t>
            </w:r>
          </w:p>
        </w:tc>
        <w:tc>
          <w:tcPr>
            <w:tcW w:w="2841" w:type="dxa"/>
            <w:vAlign w:val="center"/>
          </w:tcPr>
          <w:p w:rsidR="00B80340" w:rsidRPr="00B80340" w:rsidRDefault="006C447C" w:rsidP="00781F8E">
            <w:pPr>
              <w:pStyle w:val="a7"/>
              <w:spacing w:line="276" w:lineRule="auto"/>
              <w:rPr>
                <w:rFonts w:ascii="宋体" w:hAnsi="宋体"/>
              </w:rPr>
            </w:pPr>
            <w:r>
              <w:rPr>
                <w:rFonts w:ascii="宋体" w:hAnsi="宋体"/>
              </w:rPr>
              <w:t>003355</w:t>
            </w:r>
          </w:p>
        </w:tc>
        <w:tc>
          <w:tcPr>
            <w:tcW w:w="2841" w:type="dxa"/>
            <w:vAlign w:val="center"/>
          </w:tcPr>
          <w:p w:rsidR="00B80340" w:rsidRPr="00B80340" w:rsidRDefault="006C447C" w:rsidP="00781F8E">
            <w:pPr>
              <w:pStyle w:val="a7"/>
              <w:spacing w:line="276" w:lineRule="auto"/>
              <w:rPr>
                <w:rFonts w:ascii="宋体" w:hAnsi="宋体"/>
              </w:rPr>
            </w:pPr>
            <w:r>
              <w:rPr>
                <w:rFonts w:ascii="宋体" w:hAnsi="宋体"/>
              </w:rPr>
              <w:t>003356</w:t>
            </w:r>
          </w:p>
        </w:tc>
      </w:tr>
      <w:tr w:rsidR="00B80340" w:rsidRPr="00B80340" w:rsidTr="00E54A48">
        <w:tc>
          <w:tcPr>
            <w:tcW w:w="2840" w:type="dxa"/>
            <w:vAlign w:val="center"/>
          </w:tcPr>
          <w:p w:rsidR="00B80340" w:rsidRPr="00B80340" w:rsidRDefault="00A60ADA" w:rsidP="00B80340">
            <w:pPr>
              <w:pStyle w:val="a7"/>
              <w:spacing w:line="276" w:lineRule="auto"/>
              <w:rPr>
                <w:rFonts w:ascii="宋体" w:hAnsi="宋体"/>
              </w:rPr>
            </w:pPr>
            <w:r>
              <w:rPr>
                <w:rFonts w:ascii="宋体" w:hAnsi="宋体" w:hint="eastAsia"/>
              </w:rPr>
              <w:t>最后运作日</w:t>
            </w:r>
            <w:r w:rsidR="006C447C">
              <w:rPr>
                <w:rFonts w:ascii="宋体" w:hAnsi="宋体" w:hint="eastAsia"/>
              </w:rPr>
              <w:t>（2018-</w:t>
            </w:r>
            <w:r w:rsidR="006C447C">
              <w:rPr>
                <w:rFonts w:ascii="宋体" w:hAnsi="宋体"/>
              </w:rPr>
              <w:t>11</w:t>
            </w:r>
            <w:r w:rsidR="006C447C">
              <w:rPr>
                <w:rFonts w:ascii="宋体" w:hAnsi="宋体" w:hint="eastAsia"/>
              </w:rPr>
              <w:t>-</w:t>
            </w:r>
            <w:r w:rsidR="006C447C">
              <w:rPr>
                <w:rFonts w:ascii="宋体" w:hAnsi="宋体"/>
              </w:rPr>
              <w:t>16</w:t>
            </w:r>
            <w:r w:rsidR="006C447C">
              <w:rPr>
                <w:rFonts w:ascii="宋体" w:hAnsi="宋体" w:hint="eastAsia"/>
              </w:rPr>
              <w:t>）</w:t>
            </w:r>
            <w:r w:rsidR="00B80340" w:rsidRPr="00B80340">
              <w:rPr>
                <w:rFonts w:ascii="宋体" w:hAnsi="宋体" w:hint="eastAsia"/>
              </w:rPr>
              <w:t>下属分级基金的份额总额</w:t>
            </w:r>
          </w:p>
        </w:tc>
        <w:tc>
          <w:tcPr>
            <w:tcW w:w="2841" w:type="dxa"/>
            <w:vAlign w:val="center"/>
          </w:tcPr>
          <w:p w:rsidR="00B80340" w:rsidRPr="00B80340" w:rsidRDefault="006C447C" w:rsidP="00A60ADA">
            <w:pPr>
              <w:pStyle w:val="a7"/>
              <w:spacing w:line="276" w:lineRule="auto"/>
              <w:rPr>
                <w:rFonts w:ascii="宋体" w:hAnsi="宋体"/>
              </w:rPr>
            </w:pPr>
            <w:r w:rsidRPr="006C447C">
              <w:rPr>
                <w:rFonts w:ascii="宋体" w:hAnsi="宋体"/>
              </w:rPr>
              <w:t>27,667,819.25</w:t>
            </w:r>
            <w:r w:rsidR="00A60ADA">
              <w:rPr>
                <w:rFonts w:ascii="宋体" w:hAnsi="宋体" w:hint="eastAsia"/>
              </w:rPr>
              <w:t>份</w:t>
            </w:r>
          </w:p>
        </w:tc>
        <w:tc>
          <w:tcPr>
            <w:tcW w:w="2841" w:type="dxa"/>
            <w:vAlign w:val="center"/>
          </w:tcPr>
          <w:p w:rsidR="00B80340" w:rsidRPr="00B80340" w:rsidRDefault="006C447C" w:rsidP="00A60ADA">
            <w:pPr>
              <w:pStyle w:val="a7"/>
              <w:spacing w:line="276" w:lineRule="auto"/>
              <w:rPr>
                <w:rFonts w:ascii="宋体" w:hAnsi="宋体"/>
              </w:rPr>
            </w:pPr>
            <w:r w:rsidRPr="006C447C">
              <w:rPr>
                <w:rFonts w:ascii="宋体" w:hAnsi="宋体"/>
              </w:rPr>
              <w:t>11,652,696.06</w:t>
            </w:r>
            <w:r w:rsidR="00A60ADA">
              <w:rPr>
                <w:rFonts w:ascii="宋体" w:hAnsi="宋体" w:hint="eastAsia"/>
              </w:rPr>
              <w:t>份</w:t>
            </w:r>
          </w:p>
        </w:tc>
      </w:tr>
    </w:tbl>
    <w:p w:rsidR="00E74CEB" w:rsidRPr="00B80340" w:rsidRDefault="00E74CEB" w:rsidP="009A5FEB">
      <w:pPr>
        <w:pStyle w:val="aa"/>
        <w:spacing w:line="360" w:lineRule="auto"/>
        <w:ind w:left="480" w:firstLineChars="0" w:firstLine="0"/>
        <w:rPr>
          <w:rFonts w:ascii="宋体" w:hAnsi="宋体"/>
          <w:b/>
          <w:sz w:val="24"/>
          <w:highlight w:val="yellow"/>
        </w:rPr>
      </w:pPr>
    </w:p>
    <w:p w:rsidR="00E74CEB" w:rsidRPr="00B80340" w:rsidRDefault="00E74CEB" w:rsidP="00E74CEB">
      <w:pPr>
        <w:jc w:val="center"/>
        <w:rPr>
          <w:rFonts w:ascii="宋体" w:hAnsi="宋体"/>
          <w:b/>
          <w:sz w:val="24"/>
        </w:rPr>
      </w:pPr>
    </w:p>
    <w:p w:rsidR="00E74CEB" w:rsidRPr="00164B16" w:rsidRDefault="00E74CEB" w:rsidP="00164B16">
      <w:pPr>
        <w:pStyle w:val="aa"/>
        <w:numPr>
          <w:ilvl w:val="0"/>
          <w:numId w:val="8"/>
        </w:numPr>
        <w:spacing w:line="360" w:lineRule="auto"/>
        <w:ind w:firstLineChars="0"/>
        <w:jc w:val="center"/>
        <w:rPr>
          <w:rFonts w:ascii="宋体" w:hAnsi="宋体"/>
          <w:b/>
          <w:sz w:val="24"/>
        </w:rPr>
      </w:pPr>
      <w:r w:rsidRPr="00164B16">
        <w:rPr>
          <w:rFonts w:ascii="宋体" w:hAnsi="宋体" w:hint="eastAsia"/>
          <w:b/>
          <w:sz w:val="24"/>
        </w:rPr>
        <w:t>基金运作情况</w:t>
      </w:r>
    </w:p>
    <w:p w:rsidR="00FD5EA5" w:rsidRPr="00FD5EA5" w:rsidRDefault="00FD5EA5" w:rsidP="00FD5EA5">
      <w:pPr>
        <w:spacing w:line="360" w:lineRule="auto"/>
        <w:ind w:firstLine="420"/>
        <w:rPr>
          <w:rFonts w:ascii="宋体" w:hAnsi="宋体"/>
        </w:rPr>
      </w:pPr>
      <w:r w:rsidRPr="00FD5EA5">
        <w:rPr>
          <w:rFonts w:ascii="宋体" w:hAnsi="宋体" w:hint="eastAsia"/>
        </w:rPr>
        <w:t>本基金经中国证监会2016年8月30日证监许可【2016】1990号文注册募集，由基金管理人依照法律法规、基金合同等规定自2016年9月13日起至2016年9月28日止向社会公开募集。本基金基金合同于2016年10月11日正式生效，基金合同生效日的基金份额（含利息结转的份额）总数为758,834,602.01份。自2016年10月11日至2018年10月18日期间，本基金按基金合同约定正常运作。</w:t>
      </w:r>
    </w:p>
    <w:p w:rsidR="00FD5EA5" w:rsidRPr="00FD5EA5" w:rsidRDefault="00FD5EA5" w:rsidP="00FD5EA5">
      <w:pPr>
        <w:spacing w:line="360" w:lineRule="auto"/>
        <w:ind w:firstLine="420"/>
        <w:rPr>
          <w:rFonts w:ascii="宋体" w:hAnsi="宋体"/>
        </w:rPr>
      </w:pPr>
      <w:r w:rsidRPr="00FD5EA5">
        <w:rPr>
          <w:rFonts w:ascii="宋体" w:hAnsi="宋体" w:hint="eastAsia"/>
        </w:rPr>
        <w:t>根据《招商稳祥定期开放灵活配置混合型证券投资基金基金合同》“第二十部分 基金合同的变更、终止与基金财产的清算”中“二、《基金合同》的终止事由”的约定，“基金合同生效后，在开放期的最后一日日终，如发生以下情形之一的，则无须召开基金份额持有人大会，基金合同终止并根据基金合同的约定进行财产清算：（1）基金资产净值加上当日有效申购申请金额及基金转换中转入申请金额扣除有效赎回申请金额及基金转换中转出申请金额后的余额低于 5000 万元；（2）基金份额持有人人数少于 200 人”</w:t>
      </w:r>
      <w:r w:rsidR="007E65E3" w:rsidRPr="00FD5EA5">
        <w:rPr>
          <w:rFonts w:ascii="宋体" w:hAnsi="宋体" w:hint="eastAsia"/>
        </w:rPr>
        <w:t>。</w:t>
      </w:r>
    </w:p>
    <w:p w:rsidR="00FD5EA5" w:rsidRPr="00FD5EA5" w:rsidRDefault="00FD5EA5" w:rsidP="00FD5EA5">
      <w:pPr>
        <w:spacing w:line="360" w:lineRule="auto"/>
        <w:ind w:firstLine="420"/>
        <w:rPr>
          <w:rFonts w:ascii="宋体" w:hAnsi="宋体"/>
        </w:rPr>
      </w:pPr>
      <w:r w:rsidRPr="00FD5EA5">
        <w:rPr>
          <w:rFonts w:ascii="宋体" w:hAnsi="宋体" w:hint="eastAsia"/>
        </w:rPr>
        <w:t>根据基金管理人于2018年11月7日发布的《关于招商稳祥定期开放灵活配置混合型证券投资基金第二个开放期开放申购赎回及转换业务的公告》，2018年11月12日（含）至2018年11月16日（含）为本基金第二次开放期，开放期间投资者可办理申购、赎回及转换业务。截至本次开放期的最后一日（即2018年11月16日）日终，本基金基金资产净值加上当日有效申购申请金额及基金转换中转入申请金额扣除有效赎回申请金额及基金转换中转出申请金额后的余额低于5000万元，已触发基金合同中约定的合同终止情形。本基金管理人据此应当终止基金合同，并对本基金进行变现及清算程序，且无需召开基金份额持有人大会。</w:t>
      </w:r>
    </w:p>
    <w:p w:rsidR="00E74CEB" w:rsidRPr="004676BD" w:rsidRDefault="00FD5EA5" w:rsidP="00FD5EA5">
      <w:pPr>
        <w:spacing w:line="360" w:lineRule="auto"/>
        <w:ind w:firstLine="420"/>
        <w:rPr>
          <w:rFonts w:ascii="宋体" w:hAnsi="宋体"/>
        </w:rPr>
      </w:pPr>
      <w:r w:rsidRPr="00FD5EA5">
        <w:rPr>
          <w:rFonts w:ascii="宋体" w:hAnsi="宋体" w:hint="eastAsia"/>
        </w:rPr>
        <w:t>基金管理人于2018年11月20日发布了《招商基金管理有限公司关于招商稳祥定期开放灵活配置混合型证券投资基金基金合同终止及基金财产清算的公告》，本基金自2018年11月19日起进入清算期。</w:t>
      </w:r>
    </w:p>
    <w:p w:rsidR="00E74CEB" w:rsidRPr="00164B16" w:rsidRDefault="00E74CEB" w:rsidP="00164B16">
      <w:pPr>
        <w:pStyle w:val="aa"/>
        <w:numPr>
          <w:ilvl w:val="0"/>
          <w:numId w:val="8"/>
        </w:numPr>
        <w:spacing w:line="360" w:lineRule="auto"/>
        <w:ind w:firstLineChars="0"/>
        <w:jc w:val="center"/>
        <w:rPr>
          <w:rFonts w:ascii="宋体" w:hAnsi="宋体"/>
          <w:b/>
          <w:sz w:val="24"/>
        </w:rPr>
      </w:pPr>
      <w:r w:rsidRPr="00164B16">
        <w:rPr>
          <w:rFonts w:ascii="宋体" w:hAnsi="宋体" w:hint="eastAsia"/>
          <w:b/>
          <w:sz w:val="24"/>
        </w:rPr>
        <w:t>财务会计报告</w:t>
      </w:r>
    </w:p>
    <w:p w:rsidR="00164B16" w:rsidRPr="00164B16" w:rsidRDefault="00164B16" w:rsidP="00164B16"/>
    <w:p w:rsidR="00E74CEB" w:rsidRPr="004676BD" w:rsidRDefault="00E74CEB" w:rsidP="00E74CEB">
      <w:pPr>
        <w:spacing w:line="360" w:lineRule="auto"/>
        <w:rPr>
          <w:rFonts w:ascii="宋体" w:hAnsi="宋体"/>
        </w:rPr>
      </w:pPr>
      <w:r w:rsidRPr="004676BD">
        <w:rPr>
          <w:rFonts w:ascii="宋体" w:hAnsi="宋体" w:hint="eastAsia"/>
        </w:rPr>
        <w:t>基金最后运作日资产负债表（已经审计）</w:t>
      </w:r>
    </w:p>
    <w:p w:rsidR="00E74CEB" w:rsidRPr="004676BD" w:rsidRDefault="00E74CEB" w:rsidP="00E74CEB">
      <w:pPr>
        <w:spacing w:line="360" w:lineRule="auto"/>
        <w:rPr>
          <w:rStyle w:val="a5"/>
          <w:rFonts w:ascii="宋体" w:hAnsi="宋体"/>
        </w:rPr>
      </w:pPr>
      <w:bookmarkStart w:id="1" w:name="m07_01_tab"/>
      <w:r w:rsidRPr="004676BD">
        <w:rPr>
          <w:rStyle w:val="a5"/>
          <w:rFonts w:ascii="宋体" w:hAnsi="宋体" w:hint="eastAsia"/>
        </w:rPr>
        <w:t>会计主体：</w:t>
      </w:r>
      <w:r w:rsidR="000D4844">
        <w:rPr>
          <w:rFonts w:ascii="宋体" w:hAnsi="宋体" w:hint="eastAsia"/>
        </w:rPr>
        <w:t>招商稳祥定期开放灵活配置混合型证券投资基金</w:t>
      </w:r>
    </w:p>
    <w:p w:rsidR="00E74CEB" w:rsidRPr="004676BD" w:rsidRDefault="00E74CEB" w:rsidP="00E74CEB">
      <w:pPr>
        <w:spacing w:line="360" w:lineRule="auto"/>
        <w:rPr>
          <w:rStyle w:val="a5"/>
          <w:rFonts w:ascii="宋体" w:hAnsi="宋体"/>
        </w:rPr>
      </w:pPr>
      <w:r w:rsidRPr="004676BD">
        <w:rPr>
          <w:rStyle w:val="a5"/>
          <w:rFonts w:ascii="宋体" w:hAnsi="宋体" w:hint="eastAsia"/>
        </w:rPr>
        <w:t>报告截止日：</w:t>
      </w:r>
      <w:r w:rsidRPr="004676BD">
        <w:rPr>
          <w:rFonts w:ascii="宋体" w:hAnsi="宋体"/>
        </w:rPr>
        <w:t>201</w:t>
      </w:r>
      <w:r w:rsidR="00300B43">
        <w:rPr>
          <w:rFonts w:ascii="宋体" w:hAnsi="宋体" w:hint="eastAsia"/>
        </w:rPr>
        <w:t>8</w:t>
      </w:r>
      <w:r w:rsidRPr="004676BD">
        <w:rPr>
          <w:rFonts w:ascii="宋体" w:hAnsi="宋体"/>
        </w:rPr>
        <w:t>年</w:t>
      </w:r>
      <w:r w:rsidR="006C447C">
        <w:rPr>
          <w:rFonts w:ascii="宋体" w:hAnsi="宋体"/>
        </w:rPr>
        <w:t>11</w:t>
      </w:r>
      <w:r w:rsidRPr="004676BD">
        <w:rPr>
          <w:rFonts w:ascii="宋体" w:hAnsi="宋体"/>
        </w:rPr>
        <w:t>月</w:t>
      </w:r>
      <w:r w:rsidR="006C447C">
        <w:rPr>
          <w:rFonts w:ascii="宋体" w:hAnsi="宋体"/>
        </w:rPr>
        <w:t>16</w:t>
      </w:r>
      <w:r w:rsidRPr="004676BD">
        <w:rPr>
          <w:rFonts w:ascii="宋体" w:hAnsi="宋体"/>
        </w:rPr>
        <w:t>日</w:t>
      </w:r>
    </w:p>
    <w:p w:rsidR="00E74CEB" w:rsidRPr="004676BD" w:rsidRDefault="00E74CEB" w:rsidP="00E74CEB">
      <w:pPr>
        <w:spacing w:line="360" w:lineRule="auto"/>
        <w:ind w:rightChars="19" w:right="40"/>
        <w:jc w:val="right"/>
        <w:rPr>
          <w:rFonts w:ascii="宋体" w:hAnsi="宋体"/>
          <w:b/>
        </w:rPr>
      </w:pPr>
      <w:r w:rsidRPr="004676BD">
        <w:rPr>
          <w:rFonts w:ascii="宋体" w:hAnsi="宋体" w:hint="eastAsia"/>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gridCol w:w="4500"/>
      </w:tblGrid>
      <w:tr w:rsidR="00E74CEB" w:rsidRPr="004676BD" w:rsidTr="00B93063">
        <w:tc>
          <w:tcPr>
            <w:tcW w:w="3780" w:type="dxa"/>
            <w:tcBorders>
              <w:top w:val="single" w:sz="4" w:space="0" w:color="auto"/>
            </w:tcBorders>
            <w:shd w:val="clear" w:color="auto" w:fill="D9D9D9"/>
            <w:vAlign w:val="center"/>
          </w:tcPr>
          <w:p w:rsidR="00E74CEB" w:rsidRPr="004676BD" w:rsidRDefault="00E74CEB" w:rsidP="00B93063">
            <w:pPr>
              <w:pStyle w:val="a6"/>
              <w:spacing w:line="276" w:lineRule="auto"/>
              <w:jc w:val="center"/>
              <w:rPr>
                <w:b/>
                <w:sz w:val="21"/>
              </w:rPr>
            </w:pPr>
          </w:p>
        </w:tc>
        <w:tc>
          <w:tcPr>
            <w:tcW w:w="4500" w:type="dxa"/>
            <w:tcBorders>
              <w:top w:val="single" w:sz="4" w:space="0" w:color="auto"/>
            </w:tcBorders>
            <w:shd w:val="clear" w:color="auto" w:fill="D9D9D9"/>
            <w:vAlign w:val="center"/>
          </w:tcPr>
          <w:p w:rsidR="00E74CEB" w:rsidRPr="004676BD" w:rsidRDefault="00E74CEB" w:rsidP="00B93063">
            <w:pPr>
              <w:pStyle w:val="a6"/>
              <w:spacing w:before="0" w:beforeAutospacing="0" w:after="0" w:afterAutospacing="0" w:line="276" w:lineRule="auto"/>
              <w:jc w:val="right"/>
              <w:rPr>
                <w:b/>
                <w:sz w:val="21"/>
              </w:rPr>
            </w:pPr>
            <w:r w:rsidRPr="004676BD">
              <w:rPr>
                <w:rFonts w:hint="eastAsia"/>
                <w:b/>
                <w:sz w:val="21"/>
              </w:rPr>
              <w:t>最后运作日</w:t>
            </w:r>
          </w:p>
          <w:p w:rsidR="00E74CEB" w:rsidRPr="004676BD" w:rsidRDefault="00830AAA" w:rsidP="006C447C">
            <w:pPr>
              <w:pStyle w:val="a6"/>
              <w:spacing w:before="0" w:beforeAutospacing="0" w:after="0" w:afterAutospacing="0" w:line="276" w:lineRule="auto"/>
              <w:jc w:val="right"/>
              <w:rPr>
                <w:b/>
                <w:sz w:val="21"/>
              </w:rPr>
            </w:pPr>
            <w:r w:rsidRPr="00830AAA">
              <w:rPr>
                <w:rFonts w:hint="eastAsia"/>
                <w:b/>
                <w:sz w:val="21"/>
              </w:rPr>
              <w:t>2018年</w:t>
            </w:r>
            <w:r w:rsidR="006C447C">
              <w:rPr>
                <w:b/>
                <w:sz w:val="21"/>
              </w:rPr>
              <w:t>11</w:t>
            </w:r>
            <w:r w:rsidRPr="00830AAA">
              <w:rPr>
                <w:rFonts w:hint="eastAsia"/>
                <w:b/>
                <w:sz w:val="21"/>
              </w:rPr>
              <w:t>月</w:t>
            </w:r>
            <w:r w:rsidR="006C447C">
              <w:rPr>
                <w:b/>
                <w:sz w:val="21"/>
              </w:rPr>
              <w:t>16</w:t>
            </w:r>
            <w:r w:rsidRPr="00830AAA">
              <w:rPr>
                <w:rFonts w:hint="eastAsia"/>
                <w:b/>
                <w:sz w:val="21"/>
              </w:rPr>
              <w:t>日</w:t>
            </w:r>
          </w:p>
        </w:tc>
      </w:tr>
      <w:tr w:rsidR="00E74CEB" w:rsidRPr="004676BD" w:rsidTr="00B93063">
        <w:tc>
          <w:tcPr>
            <w:tcW w:w="3780" w:type="dxa"/>
            <w:vAlign w:val="center"/>
          </w:tcPr>
          <w:p w:rsidR="00E74CEB" w:rsidRPr="004676BD" w:rsidRDefault="00E74CEB" w:rsidP="00B93063">
            <w:pPr>
              <w:pStyle w:val="a6"/>
              <w:spacing w:line="276" w:lineRule="auto"/>
              <w:rPr>
                <w:b/>
                <w:sz w:val="21"/>
              </w:rPr>
            </w:pPr>
            <w:r w:rsidRPr="004676BD">
              <w:rPr>
                <w:rFonts w:hint="eastAsia"/>
                <w:b/>
                <w:sz w:val="21"/>
              </w:rPr>
              <w:t>资 产：</w:t>
            </w:r>
          </w:p>
        </w:tc>
        <w:tc>
          <w:tcPr>
            <w:tcW w:w="4500" w:type="dxa"/>
          </w:tcPr>
          <w:p w:rsidR="00E74CEB" w:rsidRPr="004676BD" w:rsidRDefault="00E74CEB" w:rsidP="00B93063">
            <w:pPr>
              <w:spacing w:line="276" w:lineRule="auto"/>
              <w:jc w:val="center"/>
              <w:rPr>
                <w:rFonts w:ascii="宋体" w:hAnsi="宋体"/>
              </w:rPr>
            </w:pP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银行存款</w:t>
            </w:r>
          </w:p>
        </w:tc>
        <w:tc>
          <w:tcPr>
            <w:tcW w:w="4500" w:type="dxa"/>
            <w:vAlign w:val="center"/>
          </w:tcPr>
          <w:p w:rsidR="00E74CEB" w:rsidRPr="00235F72" w:rsidRDefault="00DA7496" w:rsidP="00235F72">
            <w:pPr>
              <w:spacing w:line="276" w:lineRule="auto"/>
              <w:jc w:val="right"/>
              <w:rPr>
                <w:rFonts w:ascii="宋体" w:hAnsi="宋体"/>
              </w:rPr>
            </w:pPr>
            <w:r w:rsidRPr="00DA7496">
              <w:rPr>
                <w:rFonts w:ascii="宋体" w:hAnsi="宋体"/>
              </w:rPr>
              <w:t>52</w:t>
            </w:r>
            <w:r w:rsidR="009B3308">
              <w:rPr>
                <w:rFonts w:ascii="宋体" w:hAnsi="宋体"/>
              </w:rPr>
              <w:t>,</w:t>
            </w:r>
            <w:r w:rsidRPr="00DA7496">
              <w:rPr>
                <w:rFonts w:ascii="宋体" w:hAnsi="宋体"/>
              </w:rPr>
              <w:t>805</w:t>
            </w:r>
            <w:r w:rsidR="009B3308">
              <w:rPr>
                <w:rFonts w:ascii="宋体" w:hAnsi="宋体"/>
              </w:rPr>
              <w:t>,</w:t>
            </w:r>
            <w:r w:rsidRPr="00DA7496">
              <w:rPr>
                <w:rFonts w:ascii="宋体" w:hAnsi="宋体"/>
              </w:rPr>
              <w:t>288.18</w:t>
            </w:r>
          </w:p>
        </w:tc>
      </w:tr>
      <w:tr w:rsidR="00DA7496" w:rsidRPr="004676BD" w:rsidTr="00B93063">
        <w:tc>
          <w:tcPr>
            <w:tcW w:w="3780" w:type="dxa"/>
            <w:vAlign w:val="center"/>
          </w:tcPr>
          <w:p w:rsidR="00DA7496" w:rsidRPr="004676BD" w:rsidRDefault="00DA7496" w:rsidP="00B93063">
            <w:pPr>
              <w:pStyle w:val="a7"/>
              <w:spacing w:line="276" w:lineRule="auto"/>
              <w:rPr>
                <w:rFonts w:ascii="宋体" w:hAnsi="宋体"/>
              </w:rPr>
            </w:pPr>
            <w:r w:rsidRPr="0054309B">
              <w:rPr>
                <w:rFonts w:asciiTheme="minorEastAsia" w:eastAsiaTheme="minorEastAsia" w:hAnsiTheme="minorEastAsia" w:hint="eastAsia"/>
              </w:rPr>
              <w:t>结算备付金</w:t>
            </w:r>
          </w:p>
        </w:tc>
        <w:tc>
          <w:tcPr>
            <w:tcW w:w="4500" w:type="dxa"/>
            <w:vAlign w:val="center"/>
          </w:tcPr>
          <w:p w:rsidR="00DA7496" w:rsidRPr="006C447C" w:rsidRDefault="00DA7496" w:rsidP="00235F72">
            <w:pPr>
              <w:spacing w:line="276" w:lineRule="auto"/>
              <w:jc w:val="right"/>
              <w:rPr>
                <w:rFonts w:ascii="宋体" w:hAnsi="宋体"/>
              </w:rPr>
            </w:pPr>
            <w:r w:rsidRPr="00DA7496">
              <w:rPr>
                <w:rFonts w:ascii="宋体" w:hAnsi="宋体"/>
              </w:rPr>
              <w:t>178</w:t>
            </w:r>
            <w:r w:rsidR="009B3308">
              <w:rPr>
                <w:rFonts w:ascii="宋体" w:hAnsi="宋体"/>
              </w:rPr>
              <w:t>,</w:t>
            </w:r>
            <w:r w:rsidRPr="00DA7496">
              <w:rPr>
                <w:rFonts w:ascii="宋体" w:hAnsi="宋体"/>
              </w:rPr>
              <w:t>296.25</w:t>
            </w:r>
          </w:p>
        </w:tc>
      </w:tr>
      <w:tr w:rsidR="00AB53EE" w:rsidRPr="004676BD" w:rsidTr="00B93063">
        <w:tc>
          <w:tcPr>
            <w:tcW w:w="3780" w:type="dxa"/>
            <w:vAlign w:val="center"/>
          </w:tcPr>
          <w:p w:rsidR="00AB53EE" w:rsidRPr="004676BD" w:rsidRDefault="00AB53EE" w:rsidP="00B93063">
            <w:pPr>
              <w:pStyle w:val="a7"/>
              <w:spacing w:line="276" w:lineRule="auto"/>
              <w:rPr>
                <w:rFonts w:ascii="宋体" w:hAnsi="宋体"/>
              </w:rPr>
            </w:pPr>
            <w:r>
              <w:rPr>
                <w:rFonts w:ascii="宋体" w:hAnsi="宋体" w:hint="eastAsia"/>
              </w:rPr>
              <w:t>存出保证金</w:t>
            </w:r>
          </w:p>
        </w:tc>
        <w:tc>
          <w:tcPr>
            <w:tcW w:w="4500" w:type="dxa"/>
            <w:vAlign w:val="center"/>
          </w:tcPr>
          <w:p w:rsidR="00AB53EE" w:rsidRPr="00AB53EE" w:rsidRDefault="00DA7496" w:rsidP="00235F72">
            <w:pPr>
              <w:spacing w:line="276" w:lineRule="auto"/>
              <w:jc w:val="right"/>
              <w:rPr>
                <w:rFonts w:ascii="宋体" w:hAnsi="宋体"/>
              </w:rPr>
            </w:pPr>
            <w:r w:rsidRPr="00DA7496">
              <w:rPr>
                <w:rFonts w:ascii="宋体" w:hAnsi="宋体"/>
              </w:rPr>
              <w:t>100</w:t>
            </w:r>
            <w:r w:rsidR="009B3308">
              <w:rPr>
                <w:rFonts w:ascii="宋体" w:hAnsi="宋体"/>
              </w:rPr>
              <w:t>,</w:t>
            </w:r>
            <w:r w:rsidRPr="00DA7496">
              <w:rPr>
                <w:rFonts w:ascii="宋体" w:hAnsi="宋体"/>
              </w:rPr>
              <w:t>748.52</w:t>
            </w:r>
          </w:p>
        </w:tc>
      </w:tr>
      <w:tr w:rsidR="00830AAA" w:rsidRPr="004676BD" w:rsidTr="00250ADD">
        <w:tc>
          <w:tcPr>
            <w:tcW w:w="3780" w:type="dxa"/>
          </w:tcPr>
          <w:p w:rsidR="00830AAA" w:rsidRPr="000645FC" w:rsidRDefault="00DA7496" w:rsidP="00250ADD">
            <w:r>
              <w:rPr>
                <w:rFonts w:hint="eastAsia"/>
              </w:rPr>
              <w:t>股票</w:t>
            </w:r>
            <w:r w:rsidR="00235F72">
              <w:rPr>
                <w:rFonts w:hint="eastAsia"/>
              </w:rPr>
              <w:t>投资</w:t>
            </w:r>
          </w:p>
        </w:tc>
        <w:tc>
          <w:tcPr>
            <w:tcW w:w="4500" w:type="dxa"/>
          </w:tcPr>
          <w:p w:rsidR="00830AAA" w:rsidRPr="00235F72" w:rsidRDefault="00DA7496" w:rsidP="00235F72">
            <w:pPr>
              <w:spacing w:line="276" w:lineRule="auto"/>
              <w:jc w:val="right"/>
              <w:rPr>
                <w:rFonts w:ascii="宋体" w:hAnsi="宋体"/>
              </w:rPr>
            </w:pPr>
            <w:r w:rsidRPr="00DA7496">
              <w:rPr>
                <w:rFonts w:ascii="宋体" w:hAnsi="宋体"/>
              </w:rPr>
              <w:t>3</w:t>
            </w:r>
            <w:r w:rsidR="009B3308">
              <w:rPr>
                <w:rFonts w:ascii="宋体" w:hAnsi="宋体"/>
              </w:rPr>
              <w:t>,</w:t>
            </w:r>
            <w:r w:rsidRPr="00DA7496">
              <w:rPr>
                <w:rFonts w:ascii="宋体" w:hAnsi="宋体"/>
              </w:rPr>
              <w:t>466</w:t>
            </w:r>
            <w:r w:rsidR="009B3308">
              <w:rPr>
                <w:rFonts w:ascii="宋体" w:hAnsi="宋体"/>
              </w:rPr>
              <w:t>,</w:t>
            </w:r>
            <w:r w:rsidRPr="00DA7496">
              <w:rPr>
                <w:rFonts w:ascii="宋体" w:hAnsi="宋体"/>
              </w:rPr>
              <w:t>861.93</w:t>
            </w:r>
          </w:p>
        </w:tc>
      </w:tr>
      <w:tr w:rsidR="00DA7496" w:rsidRPr="004676BD" w:rsidTr="00250ADD">
        <w:tc>
          <w:tcPr>
            <w:tcW w:w="3780" w:type="dxa"/>
          </w:tcPr>
          <w:p w:rsidR="00DA7496" w:rsidRDefault="00DA7496" w:rsidP="00250ADD">
            <w:r>
              <w:rPr>
                <w:rFonts w:hint="eastAsia"/>
              </w:rPr>
              <w:t>债券</w:t>
            </w:r>
            <w:r>
              <w:t>投资</w:t>
            </w:r>
          </w:p>
        </w:tc>
        <w:tc>
          <w:tcPr>
            <w:tcW w:w="4500" w:type="dxa"/>
          </w:tcPr>
          <w:p w:rsidR="00DA7496" w:rsidRPr="00AB53EE" w:rsidRDefault="00DA7496" w:rsidP="00235F72">
            <w:pPr>
              <w:spacing w:line="276" w:lineRule="auto"/>
              <w:jc w:val="right"/>
              <w:rPr>
                <w:rFonts w:ascii="宋体" w:hAnsi="宋体"/>
              </w:rPr>
            </w:pPr>
            <w:r w:rsidRPr="00DA7496">
              <w:rPr>
                <w:rFonts w:ascii="宋体" w:hAnsi="宋体"/>
              </w:rPr>
              <w:t>16</w:t>
            </w:r>
            <w:r w:rsidR="009B3308">
              <w:rPr>
                <w:rFonts w:ascii="宋体" w:hAnsi="宋体"/>
              </w:rPr>
              <w:t>,</w:t>
            </w:r>
            <w:r w:rsidRPr="00DA7496">
              <w:rPr>
                <w:rFonts w:ascii="宋体" w:hAnsi="宋体"/>
              </w:rPr>
              <w:t>954</w:t>
            </w:r>
            <w:r w:rsidR="009B3308">
              <w:rPr>
                <w:rFonts w:ascii="宋体" w:hAnsi="宋体"/>
              </w:rPr>
              <w:t>,</w:t>
            </w:r>
            <w:r w:rsidRPr="00DA7496">
              <w:rPr>
                <w:rFonts w:ascii="宋体" w:hAnsi="宋体"/>
              </w:rPr>
              <w:t>354.81</w:t>
            </w: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应收利息</w:t>
            </w:r>
          </w:p>
        </w:tc>
        <w:tc>
          <w:tcPr>
            <w:tcW w:w="4500" w:type="dxa"/>
            <w:vAlign w:val="center"/>
          </w:tcPr>
          <w:p w:rsidR="00E74CEB" w:rsidRPr="00235F72" w:rsidRDefault="00DA7496" w:rsidP="00235F72">
            <w:pPr>
              <w:spacing w:line="276" w:lineRule="auto"/>
              <w:jc w:val="right"/>
              <w:rPr>
                <w:rFonts w:ascii="宋体" w:hAnsi="宋体"/>
              </w:rPr>
            </w:pPr>
            <w:r w:rsidRPr="00DA7496">
              <w:rPr>
                <w:rFonts w:ascii="宋体" w:hAnsi="宋体"/>
              </w:rPr>
              <w:t>130</w:t>
            </w:r>
            <w:r w:rsidR="009B3308">
              <w:rPr>
                <w:rFonts w:ascii="宋体" w:hAnsi="宋体"/>
              </w:rPr>
              <w:t>,</w:t>
            </w:r>
            <w:r w:rsidRPr="00DA7496">
              <w:rPr>
                <w:rFonts w:ascii="宋体" w:hAnsi="宋体"/>
              </w:rPr>
              <w:t>936.69</w:t>
            </w:r>
          </w:p>
        </w:tc>
      </w:tr>
      <w:tr w:rsidR="00B93401" w:rsidRPr="004676BD" w:rsidTr="00B93063">
        <w:tc>
          <w:tcPr>
            <w:tcW w:w="3780" w:type="dxa"/>
            <w:vAlign w:val="center"/>
          </w:tcPr>
          <w:p w:rsidR="00B93401" w:rsidRPr="004676BD" w:rsidRDefault="00B93401" w:rsidP="00B93063">
            <w:pPr>
              <w:pStyle w:val="a7"/>
              <w:spacing w:line="276" w:lineRule="auto"/>
              <w:rPr>
                <w:rFonts w:ascii="宋体" w:hAnsi="宋体"/>
              </w:rPr>
            </w:pPr>
            <w:r>
              <w:rPr>
                <w:rFonts w:hint="eastAsia"/>
              </w:rPr>
              <w:t>应收证券清算款</w:t>
            </w:r>
          </w:p>
        </w:tc>
        <w:tc>
          <w:tcPr>
            <w:tcW w:w="4500" w:type="dxa"/>
            <w:vAlign w:val="center"/>
          </w:tcPr>
          <w:p w:rsidR="00B93401" w:rsidRPr="00DA7496" w:rsidRDefault="00B93401" w:rsidP="00235F72">
            <w:pPr>
              <w:spacing w:line="276" w:lineRule="auto"/>
              <w:jc w:val="right"/>
              <w:rPr>
                <w:rFonts w:ascii="宋体" w:hAnsi="宋体"/>
              </w:rPr>
            </w:pPr>
            <w:r w:rsidRPr="00B93401">
              <w:rPr>
                <w:rFonts w:ascii="宋体" w:hAnsi="宋体"/>
              </w:rPr>
              <w:t>3</w:t>
            </w:r>
            <w:r>
              <w:rPr>
                <w:rFonts w:ascii="宋体" w:hAnsi="宋体"/>
              </w:rPr>
              <w:t>,</w:t>
            </w:r>
            <w:r w:rsidRPr="00B93401">
              <w:rPr>
                <w:rFonts w:ascii="宋体" w:hAnsi="宋体"/>
              </w:rPr>
              <w:t>527</w:t>
            </w:r>
            <w:r>
              <w:rPr>
                <w:rFonts w:ascii="宋体" w:hAnsi="宋体"/>
              </w:rPr>
              <w:t>,</w:t>
            </w:r>
            <w:r w:rsidRPr="00B93401">
              <w:rPr>
                <w:rFonts w:ascii="宋体" w:hAnsi="宋体"/>
              </w:rPr>
              <w:t>603.32</w:t>
            </w: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资产总计</w:t>
            </w:r>
          </w:p>
        </w:tc>
        <w:tc>
          <w:tcPr>
            <w:tcW w:w="4500" w:type="dxa"/>
            <w:vAlign w:val="center"/>
          </w:tcPr>
          <w:p w:rsidR="00E74CEB" w:rsidRPr="00235F72" w:rsidRDefault="00DA7496" w:rsidP="00235F72">
            <w:pPr>
              <w:spacing w:line="276" w:lineRule="auto"/>
              <w:jc w:val="right"/>
              <w:rPr>
                <w:rFonts w:ascii="宋体" w:hAnsi="宋体"/>
              </w:rPr>
            </w:pPr>
            <w:r w:rsidRPr="00DA7496">
              <w:rPr>
                <w:rFonts w:ascii="宋体" w:hAnsi="宋体"/>
              </w:rPr>
              <w:t>77</w:t>
            </w:r>
            <w:r w:rsidR="009B3308">
              <w:rPr>
                <w:rFonts w:ascii="宋体" w:hAnsi="宋体"/>
              </w:rPr>
              <w:t>,</w:t>
            </w:r>
            <w:r w:rsidRPr="00DA7496">
              <w:rPr>
                <w:rFonts w:ascii="宋体" w:hAnsi="宋体"/>
              </w:rPr>
              <w:t>164</w:t>
            </w:r>
            <w:r w:rsidR="009B3308">
              <w:rPr>
                <w:rFonts w:ascii="宋体" w:hAnsi="宋体"/>
              </w:rPr>
              <w:t>,</w:t>
            </w:r>
            <w:r w:rsidRPr="00DA7496">
              <w:rPr>
                <w:rFonts w:ascii="宋体" w:hAnsi="宋体"/>
              </w:rPr>
              <w:t>089.70</w:t>
            </w:r>
          </w:p>
        </w:tc>
      </w:tr>
      <w:tr w:rsidR="00E74CEB" w:rsidRPr="004676BD" w:rsidTr="00B93063">
        <w:tc>
          <w:tcPr>
            <w:tcW w:w="3780" w:type="dxa"/>
            <w:vAlign w:val="center"/>
          </w:tcPr>
          <w:p w:rsidR="00E74CEB" w:rsidRPr="004676BD" w:rsidRDefault="00E74CEB" w:rsidP="00B93063">
            <w:pPr>
              <w:pStyle w:val="a6"/>
              <w:spacing w:line="276" w:lineRule="auto"/>
              <w:rPr>
                <w:b/>
                <w:sz w:val="21"/>
              </w:rPr>
            </w:pPr>
            <w:r w:rsidRPr="004676BD">
              <w:rPr>
                <w:rFonts w:hint="eastAsia"/>
                <w:b/>
                <w:sz w:val="21"/>
              </w:rPr>
              <w:t>负 债：</w:t>
            </w:r>
          </w:p>
        </w:tc>
        <w:tc>
          <w:tcPr>
            <w:tcW w:w="4500" w:type="dxa"/>
          </w:tcPr>
          <w:p w:rsidR="00E74CEB" w:rsidRPr="004676BD" w:rsidRDefault="00E74CEB" w:rsidP="00B93063">
            <w:pPr>
              <w:spacing w:line="276" w:lineRule="auto"/>
              <w:jc w:val="center"/>
              <w:rPr>
                <w:rFonts w:ascii="宋体" w:hAnsi="宋体"/>
              </w:rPr>
            </w:pP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应付管理人报酬</w:t>
            </w:r>
          </w:p>
        </w:tc>
        <w:tc>
          <w:tcPr>
            <w:tcW w:w="4500" w:type="dxa"/>
            <w:vAlign w:val="bottom"/>
          </w:tcPr>
          <w:p w:rsidR="00E74CEB" w:rsidRPr="00235F72" w:rsidRDefault="00DA7496" w:rsidP="00235F72">
            <w:pPr>
              <w:spacing w:line="276" w:lineRule="auto"/>
              <w:jc w:val="right"/>
              <w:rPr>
                <w:rFonts w:ascii="宋体" w:hAnsi="宋体"/>
              </w:rPr>
            </w:pPr>
            <w:r w:rsidRPr="00DA7496">
              <w:rPr>
                <w:rFonts w:ascii="宋体" w:hAnsi="宋体"/>
              </w:rPr>
              <w:t>65</w:t>
            </w:r>
            <w:r w:rsidR="009B3308">
              <w:rPr>
                <w:rFonts w:ascii="宋体" w:hAnsi="宋体"/>
              </w:rPr>
              <w:t>,</w:t>
            </w:r>
            <w:r w:rsidRPr="00DA7496">
              <w:rPr>
                <w:rFonts w:ascii="宋体" w:hAnsi="宋体"/>
              </w:rPr>
              <w:t>748.82</w:t>
            </w: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应付托管费</w:t>
            </w:r>
          </w:p>
        </w:tc>
        <w:tc>
          <w:tcPr>
            <w:tcW w:w="4500" w:type="dxa"/>
            <w:vAlign w:val="bottom"/>
          </w:tcPr>
          <w:p w:rsidR="00E74CEB" w:rsidRPr="00235F72" w:rsidRDefault="00DA7496" w:rsidP="00235F72">
            <w:pPr>
              <w:spacing w:line="276" w:lineRule="auto"/>
              <w:jc w:val="right"/>
              <w:rPr>
                <w:rFonts w:ascii="宋体" w:hAnsi="宋体"/>
              </w:rPr>
            </w:pPr>
            <w:r w:rsidRPr="00DA7496">
              <w:rPr>
                <w:rFonts w:ascii="宋体" w:hAnsi="宋体"/>
              </w:rPr>
              <w:t>12</w:t>
            </w:r>
            <w:r w:rsidR="009B3308">
              <w:rPr>
                <w:rFonts w:ascii="宋体" w:hAnsi="宋体"/>
              </w:rPr>
              <w:t>,</w:t>
            </w:r>
            <w:r w:rsidRPr="00DA7496">
              <w:rPr>
                <w:rFonts w:ascii="宋体" w:hAnsi="宋体"/>
              </w:rPr>
              <w:t>327.93</w:t>
            </w:r>
          </w:p>
        </w:tc>
      </w:tr>
      <w:tr w:rsidR="00250ADD" w:rsidRPr="004676BD" w:rsidTr="00250ADD">
        <w:tc>
          <w:tcPr>
            <w:tcW w:w="3780" w:type="dxa"/>
          </w:tcPr>
          <w:p w:rsidR="00250ADD" w:rsidRPr="008B1A30" w:rsidRDefault="00250ADD" w:rsidP="00250ADD">
            <w:r w:rsidRPr="008B1A30">
              <w:rPr>
                <w:rFonts w:hint="eastAsia"/>
              </w:rPr>
              <w:t>应付销售服务费</w:t>
            </w:r>
          </w:p>
        </w:tc>
        <w:tc>
          <w:tcPr>
            <w:tcW w:w="4500" w:type="dxa"/>
          </w:tcPr>
          <w:p w:rsidR="00250ADD" w:rsidRPr="00235F72" w:rsidRDefault="00DA7496" w:rsidP="00235F72">
            <w:pPr>
              <w:spacing w:line="276" w:lineRule="auto"/>
              <w:jc w:val="right"/>
              <w:rPr>
                <w:rFonts w:ascii="宋体" w:hAnsi="宋体"/>
              </w:rPr>
            </w:pPr>
            <w:r w:rsidRPr="00DA7496">
              <w:rPr>
                <w:rFonts w:ascii="宋体" w:hAnsi="宋体"/>
              </w:rPr>
              <w:t>9</w:t>
            </w:r>
            <w:r w:rsidR="009B3308">
              <w:rPr>
                <w:rFonts w:ascii="宋体" w:hAnsi="宋体"/>
              </w:rPr>
              <w:t>,</w:t>
            </w:r>
            <w:r w:rsidRPr="00DA7496">
              <w:rPr>
                <w:rFonts w:ascii="宋体" w:hAnsi="宋体"/>
              </w:rPr>
              <w:t>531.9</w:t>
            </w:r>
            <w:r w:rsidR="009B3308">
              <w:rPr>
                <w:rFonts w:ascii="宋体" w:hAnsi="宋体"/>
              </w:rPr>
              <w:t>0</w:t>
            </w:r>
          </w:p>
        </w:tc>
      </w:tr>
      <w:tr w:rsidR="00E74CEB" w:rsidRPr="004676BD" w:rsidTr="00B93063">
        <w:tc>
          <w:tcPr>
            <w:tcW w:w="3780" w:type="dxa"/>
            <w:vAlign w:val="center"/>
          </w:tcPr>
          <w:p w:rsidR="00E74CEB" w:rsidRPr="004676BD" w:rsidRDefault="00E74CEB" w:rsidP="00233017">
            <w:pPr>
              <w:pStyle w:val="a7"/>
              <w:spacing w:line="276" w:lineRule="auto"/>
              <w:rPr>
                <w:rFonts w:ascii="宋体" w:hAnsi="宋体"/>
              </w:rPr>
            </w:pPr>
            <w:r w:rsidRPr="004676BD">
              <w:rPr>
                <w:rFonts w:ascii="宋体" w:hAnsi="宋体" w:hint="eastAsia"/>
              </w:rPr>
              <w:t>应付</w:t>
            </w:r>
            <w:r w:rsidR="00233017">
              <w:rPr>
                <w:rFonts w:ascii="宋体" w:hAnsi="宋体" w:hint="eastAsia"/>
              </w:rPr>
              <w:t>交易费用</w:t>
            </w:r>
          </w:p>
        </w:tc>
        <w:tc>
          <w:tcPr>
            <w:tcW w:w="4500" w:type="dxa"/>
            <w:vAlign w:val="bottom"/>
          </w:tcPr>
          <w:p w:rsidR="00E74CEB" w:rsidRPr="00235F72" w:rsidRDefault="00DA7496" w:rsidP="00235F72">
            <w:pPr>
              <w:spacing w:line="276" w:lineRule="auto"/>
              <w:jc w:val="right"/>
              <w:rPr>
                <w:rFonts w:ascii="宋体" w:hAnsi="宋体"/>
              </w:rPr>
            </w:pPr>
            <w:r w:rsidRPr="00DA7496">
              <w:rPr>
                <w:rFonts w:ascii="宋体" w:hAnsi="宋体"/>
              </w:rPr>
              <w:t>80</w:t>
            </w:r>
            <w:r w:rsidR="009B3308">
              <w:rPr>
                <w:rFonts w:ascii="宋体" w:hAnsi="宋体"/>
              </w:rPr>
              <w:t>,</w:t>
            </w:r>
            <w:r w:rsidRPr="00DA7496">
              <w:rPr>
                <w:rFonts w:ascii="宋体" w:hAnsi="宋体"/>
              </w:rPr>
              <w:t>233.13</w:t>
            </w:r>
          </w:p>
        </w:tc>
      </w:tr>
      <w:tr w:rsidR="00E74CEB" w:rsidRPr="004676BD" w:rsidTr="00B93063">
        <w:tc>
          <w:tcPr>
            <w:tcW w:w="3780" w:type="dxa"/>
            <w:vAlign w:val="center"/>
          </w:tcPr>
          <w:p w:rsidR="00E74CEB" w:rsidRPr="004676BD" w:rsidRDefault="00250ADD" w:rsidP="00B93063">
            <w:pPr>
              <w:pStyle w:val="a7"/>
              <w:spacing w:line="276" w:lineRule="auto"/>
              <w:rPr>
                <w:rFonts w:ascii="宋体" w:hAnsi="宋体"/>
              </w:rPr>
            </w:pPr>
            <w:r w:rsidRPr="00250ADD">
              <w:rPr>
                <w:rFonts w:ascii="宋体" w:hAnsi="宋体" w:hint="eastAsia"/>
              </w:rPr>
              <w:t>应付赎回款</w:t>
            </w:r>
          </w:p>
        </w:tc>
        <w:tc>
          <w:tcPr>
            <w:tcW w:w="4500" w:type="dxa"/>
            <w:vAlign w:val="center"/>
          </w:tcPr>
          <w:p w:rsidR="00E74CEB" w:rsidRPr="00235F72" w:rsidRDefault="00DA7496" w:rsidP="00235F72">
            <w:pPr>
              <w:spacing w:line="276" w:lineRule="auto"/>
              <w:jc w:val="right"/>
              <w:rPr>
                <w:rFonts w:ascii="宋体" w:hAnsi="宋体"/>
              </w:rPr>
            </w:pPr>
            <w:r w:rsidRPr="00DA7496">
              <w:rPr>
                <w:rFonts w:ascii="宋体" w:hAnsi="宋体"/>
              </w:rPr>
              <w:t>37</w:t>
            </w:r>
            <w:r w:rsidR="009B3308">
              <w:rPr>
                <w:rFonts w:ascii="宋体" w:hAnsi="宋体"/>
              </w:rPr>
              <w:t>,</w:t>
            </w:r>
            <w:r w:rsidRPr="00DA7496">
              <w:rPr>
                <w:rFonts w:ascii="宋体" w:hAnsi="宋体"/>
              </w:rPr>
              <w:t>362</w:t>
            </w:r>
            <w:r w:rsidR="009B3308">
              <w:rPr>
                <w:rFonts w:ascii="宋体" w:hAnsi="宋体"/>
              </w:rPr>
              <w:t>,</w:t>
            </w:r>
            <w:r w:rsidRPr="00DA7496">
              <w:rPr>
                <w:rFonts w:ascii="宋体" w:hAnsi="宋体"/>
              </w:rPr>
              <w:t>326.74</w:t>
            </w:r>
          </w:p>
        </w:tc>
      </w:tr>
      <w:tr w:rsidR="009B3308" w:rsidRPr="004676BD" w:rsidTr="00B93063">
        <w:tc>
          <w:tcPr>
            <w:tcW w:w="3780" w:type="dxa"/>
            <w:vAlign w:val="center"/>
          </w:tcPr>
          <w:p w:rsidR="009B3308" w:rsidRPr="00250ADD" w:rsidRDefault="009B3308" w:rsidP="00B93063">
            <w:pPr>
              <w:pStyle w:val="a7"/>
              <w:spacing w:line="276" w:lineRule="auto"/>
              <w:rPr>
                <w:rFonts w:ascii="宋体" w:hAnsi="宋体"/>
              </w:rPr>
            </w:pPr>
            <w:r>
              <w:rPr>
                <w:rFonts w:ascii="宋体" w:hAnsi="宋体" w:hint="eastAsia"/>
              </w:rPr>
              <w:t>应付</w:t>
            </w:r>
            <w:r>
              <w:rPr>
                <w:rFonts w:ascii="宋体" w:hAnsi="宋体"/>
              </w:rPr>
              <w:t>税费</w:t>
            </w:r>
          </w:p>
        </w:tc>
        <w:tc>
          <w:tcPr>
            <w:tcW w:w="4500" w:type="dxa"/>
            <w:vAlign w:val="center"/>
          </w:tcPr>
          <w:p w:rsidR="009B3308" w:rsidRPr="00DA7496" w:rsidRDefault="009B3308" w:rsidP="00235F72">
            <w:pPr>
              <w:spacing w:line="276" w:lineRule="auto"/>
              <w:jc w:val="right"/>
              <w:rPr>
                <w:rFonts w:ascii="宋体" w:hAnsi="宋体"/>
              </w:rPr>
            </w:pPr>
            <w:r w:rsidRPr="009B3308">
              <w:rPr>
                <w:rFonts w:ascii="宋体" w:hAnsi="宋体"/>
              </w:rPr>
              <w:t>1</w:t>
            </w:r>
            <w:r>
              <w:rPr>
                <w:rFonts w:ascii="宋体" w:hAnsi="宋体"/>
              </w:rPr>
              <w:t>,</w:t>
            </w:r>
            <w:r w:rsidRPr="009B3308">
              <w:rPr>
                <w:rFonts w:ascii="宋体" w:hAnsi="宋体"/>
              </w:rPr>
              <w:t>636.47</w:t>
            </w:r>
          </w:p>
        </w:tc>
      </w:tr>
      <w:tr w:rsidR="00250ADD" w:rsidRPr="004676BD" w:rsidTr="00B93063">
        <w:tc>
          <w:tcPr>
            <w:tcW w:w="3780" w:type="dxa"/>
            <w:vAlign w:val="center"/>
          </w:tcPr>
          <w:p w:rsidR="00250ADD" w:rsidRPr="00250ADD" w:rsidRDefault="005E282D" w:rsidP="00B93063">
            <w:pPr>
              <w:pStyle w:val="a7"/>
              <w:spacing w:line="276" w:lineRule="auto"/>
              <w:rPr>
                <w:rFonts w:ascii="宋体" w:hAnsi="宋体"/>
              </w:rPr>
            </w:pPr>
            <w:r w:rsidRPr="005E282D">
              <w:rPr>
                <w:rFonts w:ascii="宋体" w:hAnsi="宋体" w:hint="eastAsia"/>
              </w:rPr>
              <w:t>其他负债</w:t>
            </w:r>
          </w:p>
        </w:tc>
        <w:tc>
          <w:tcPr>
            <w:tcW w:w="4500" w:type="dxa"/>
            <w:vAlign w:val="center"/>
          </w:tcPr>
          <w:p w:rsidR="00250ADD" w:rsidRPr="00235F72" w:rsidRDefault="00B93401" w:rsidP="00235F72">
            <w:pPr>
              <w:spacing w:line="276" w:lineRule="auto"/>
              <w:jc w:val="right"/>
              <w:rPr>
                <w:rFonts w:ascii="宋体" w:hAnsi="宋体"/>
              </w:rPr>
            </w:pPr>
            <w:r w:rsidRPr="00B93401">
              <w:rPr>
                <w:rFonts w:ascii="宋体" w:hAnsi="宋体"/>
              </w:rPr>
              <w:t>269,011.20</w:t>
            </w: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负债合计</w:t>
            </w:r>
          </w:p>
        </w:tc>
        <w:tc>
          <w:tcPr>
            <w:tcW w:w="4500" w:type="dxa"/>
            <w:vAlign w:val="center"/>
          </w:tcPr>
          <w:p w:rsidR="00E74CEB" w:rsidRPr="00235F72" w:rsidRDefault="009B3308" w:rsidP="00235F72">
            <w:pPr>
              <w:spacing w:line="276" w:lineRule="auto"/>
              <w:jc w:val="right"/>
              <w:rPr>
                <w:rFonts w:ascii="宋体" w:hAnsi="宋体"/>
              </w:rPr>
            </w:pPr>
            <w:r w:rsidRPr="009B3308">
              <w:rPr>
                <w:rFonts w:ascii="宋体" w:hAnsi="宋体"/>
              </w:rPr>
              <w:t>37</w:t>
            </w:r>
            <w:r>
              <w:rPr>
                <w:rFonts w:ascii="宋体" w:hAnsi="宋体"/>
              </w:rPr>
              <w:t>,</w:t>
            </w:r>
            <w:r w:rsidRPr="009B3308">
              <w:rPr>
                <w:rFonts w:ascii="宋体" w:hAnsi="宋体"/>
              </w:rPr>
              <w:t>800</w:t>
            </w:r>
            <w:r>
              <w:rPr>
                <w:rFonts w:ascii="宋体" w:hAnsi="宋体"/>
              </w:rPr>
              <w:t>,</w:t>
            </w:r>
            <w:r w:rsidRPr="009B3308">
              <w:rPr>
                <w:rFonts w:ascii="宋体" w:hAnsi="宋体"/>
              </w:rPr>
              <w:t>816.19</w:t>
            </w:r>
          </w:p>
        </w:tc>
      </w:tr>
      <w:tr w:rsidR="00E74CEB" w:rsidRPr="004676BD" w:rsidTr="00B93063">
        <w:tc>
          <w:tcPr>
            <w:tcW w:w="3780" w:type="dxa"/>
            <w:vAlign w:val="center"/>
          </w:tcPr>
          <w:p w:rsidR="00E74CEB" w:rsidRPr="004676BD" w:rsidRDefault="00E74CEB" w:rsidP="00B93063">
            <w:pPr>
              <w:pStyle w:val="a6"/>
              <w:spacing w:line="276" w:lineRule="auto"/>
              <w:rPr>
                <w:b/>
                <w:sz w:val="21"/>
              </w:rPr>
            </w:pPr>
            <w:r w:rsidRPr="004676BD">
              <w:rPr>
                <w:rFonts w:hint="eastAsia"/>
                <w:b/>
                <w:sz w:val="21"/>
              </w:rPr>
              <w:t>所有者权益：</w:t>
            </w:r>
          </w:p>
        </w:tc>
        <w:tc>
          <w:tcPr>
            <w:tcW w:w="4500" w:type="dxa"/>
          </w:tcPr>
          <w:p w:rsidR="00E74CEB" w:rsidRPr="004676BD" w:rsidRDefault="00E74CEB" w:rsidP="00B93063">
            <w:pPr>
              <w:spacing w:line="276" w:lineRule="auto"/>
              <w:jc w:val="right"/>
              <w:rPr>
                <w:rFonts w:ascii="宋体" w:hAnsi="宋体"/>
              </w:rPr>
            </w:pP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实收基金</w:t>
            </w:r>
          </w:p>
        </w:tc>
        <w:tc>
          <w:tcPr>
            <w:tcW w:w="4500" w:type="dxa"/>
            <w:vAlign w:val="bottom"/>
          </w:tcPr>
          <w:p w:rsidR="00E74CEB" w:rsidRPr="00870364" w:rsidRDefault="009B3308" w:rsidP="00870364">
            <w:pPr>
              <w:spacing w:line="276" w:lineRule="auto"/>
              <w:jc w:val="right"/>
              <w:rPr>
                <w:rFonts w:ascii="宋体" w:hAnsi="宋体"/>
              </w:rPr>
            </w:pPr>
            <w:r w:rsidRPr="009B3308">
              <w:rPr>
                <w:rFonts w:ascii="宋体" w:hAnsi="宋体"/>
              </w:rPr>
              <w:t>39</w:t>
            </w:r>
            <w:r>
              <w:rPr>
                <w:rFonts w:ascii="宋体" w:hAnsi="宋体"/>
              </w:rPr>
              <w:t>,</w:t>
            </w:r>
            <w:r w:rsidRPr="009B3308">
              <w:rPr>
                <w:rFonts w:ascii="宋体" w:hAnsi="宋体"/>
              </w:rPr>
              <w:t>320</w:t>
            </w:r>
            <w:r>
              <w:rPr>
                <w:rFonts w:ascii="宋体" w:hAnsi="宋体"/>
              </w:rPr>
              <w:t>,</w:t>
            </w:r>
            <w:r w:rsidRPr="009B3308">
              <w:rPr>
                <w:rFonts w:ascii="宋体" w:hAnsi="宋体"/>
              </w:rPr>
              <w:t>515.31</w:t>
            </w: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未分配利润</w:t>
            </w:r>
          </w:p>
        </w:tc>
        <w:tc>
          <w:tcPr>
            <w:tcW w:w="4500" w:type="dxa"/>
            <w:vAlign w:val="bottom"/>
          </w:tcPr>
          <w:p w:rsidR="00E74CEB" w:rsidRPr="004676BD" w:rsidRDefault="009B3308" w:rsidP="003C538D">
            <w:pPr>
              <w:spacing w:line="276" w:lineRule="auto"/>
              <w:jc w:val="right"/>
              <w:rPr>
                <w:rFonts w:ascii="宋体" w:hAnsi="宋体"/>
              </w:rPr>
            </w:pPr>
            <w:r w:rsidRPr="009B3308">
              <w:rPr>
                <w:rFonts w:ascii="宋体" w:hAnsi="宋体"/>
              </w:rPr>
              <w:t>42</w:t>
            </w:r>
            <w:r>
              <w:rPr>
                <w:rFonts w:ascii="宋体" w:hAnsi="宋体"/>
              </w:rPr>
              <w:t>,</w:t>
            </w:r>
            <w:r w:rsidRPr="009B3308">
              <w:rPr>
                <w:rFonts w:ascii="宋体" w:hAnsi="宋体"/>
              </w:rPr>
              <w:t>758.2</w:t>
            </w:r>
            <w:r>
              <w:rPr>
                <w:rFonts w:ascii="宋体" w:hAnsi="宋体"/>
              </w:rPr>
              <w:t>0</w:t>
            </w: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所有者权益合计</w:t>
            </w:r>
          </w:p>
        </w:tc>
        <w:tc>
          <w:tcPr>
            <w:tcW w:w="4500" w:type="dxa"/>
            <w:vAlign w:val="bottom"/>
          </w:tcPr>
          <w:p w:rsidR="00E74CEB" w:rsidRPr="00870364" w:rsidRDefault="00B93401" w:rsidP="00870364">
            <w:pPr>
              <w:spacing w:line="276" w:lineRule="auto"/>
              <w:jc w:val="right"/>
              <w:rPr>
                <w:rFonts w:ascii="宋体" w:hAnsi="宋体"/>
              </w:rPr>
            </w:pPr>
            <w:r w:rsidRPr="00B93401">
              <w:rPr>
                <w:rFonts w:ascii="宋体" w:hAnsi="宋体"/>
              </w:rPr>
              <w:t>39,363,273.51</w:t>
            </w: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负债和所有者权益总计</w:t>
            </w:r>
          </w:p>
        </w:tc>
        <w:tc>
          <w:tcPr>
            <w:tcW w:w="4500" w:type="dxa"/>
            <w:vAlign w:val="bottom"/>
          </w:tcPr>
          <w:p w:rsidR="00E74CEB" w:rsidRPr="004676BD" w:rsidRDefault="00B93401" w:rsidP="00233017">
            <w:pPr>
              <w:spacing w:line="276" w:lineRule="auto"/>
              <w:jc w:val="right"/>
              <w:rPr>
                <w:rFonts w:ascii="宋体" w:hAnsi="宋体"/>
              </w:rPr>
            </w:pPr>
            <w:r w:rsidRPr="00B93401">
              <w:rPr>
                <w:rFonts w:ascii="宋体" w:hAnsi="宋体"/>
              </w:rPr>
              <w:t>77,164,089.70</w:t>
            </w:r>
          </w:p>
        </w:tc>
      </w:tr>
    </w:tbl>
    <w:bookmarkEnd w:id="1"/>
    <w:p w:rsidR="00E74CEB" w:rsidRPr="004676BD" w:rsidRDefault="00E74CEB" w:rsidP="00E74CEB">
      <w:pPr>
        <w:spacing w:line="360" w:lineRule="auto"/>
        <w:rPr>
          <w:rFonts w:ascii="宋体" w:hAnsi="宋体"/>
        </w:rPr>
      </w:pPr>
      <w:r w:rsidRPr="004676BD">
        <w:rPr>
          <w:rFonts w:ascii="宋体" w:hAnsi="宋体" w:hint="eastAsia"/>
          <w:szCs w:val="21"/>
        </w:rPr>
        <w:t>注：</w:t>
      </w:r>
      <w:r w:rsidRPr="004676BD">
        <w:rPr>
          <w:rFonts w:ascii="宋体" w:hAnsi="宋体" w:hint="eastAsia"/>
        </w:rPr>
        <w:t>1、基金最后运作日201</w:t>
      </w:r>
      <w:r w:rsidR="005E282D">
        <w:rPr>
          <w:rFonts w:ascii="宋体" w:hAnsi="宋体" w:hint="eastAsia"/>
        </w:rPr>
        <w:t>8</w:t>
      </w:r>
      <w:r w:rsidRPr="004676BD">
        <w:rPr>
          <w:rFonts w:ascii="宋体" w:hAnsi="宋体" w:hint="eastAsia"/>
        </w:rPr>
        <w:t>年</w:t>
      </w:r>
      <w:r w:rsidR="00B93401">
        <w:rPr>
          <w:rFonts w:ascii="宋体" w:hAnsi="宋体"/>
        </w:rPr>
        <w:t>11</w:t>
      </w:r>
      <w:r w:rsidR="00781F8E">
        <w:rPr>
          <w:rFonts w:ascii="宋体" w:hAnsi="宋体" w:hint="eastAsia"/>
        </w:rPr>
        <w:t>月</w:t>
      </w:r>
      <w:r w:rsidR="00B93401">
        <w:rPr>
          <w:rFonts w:ascii="宋体" w:hAnsi="宋体"/>
        </w:rPr>
        <w:t>16</w:t>
      </w:r>
      <w:r w:rsidR="00781F8E">
        <w:rPr>
          <w:rFonts w:ascii="宋体" w:hAnsi="宋体" w:hint="eastAsia"/>
        </w:rPr>
        <w:t>日</w:t>
      </w:r>
      <w:r w:rsidRPr="004676BD">
        <w:rPr>
          <w:rFonts w:ascii="宋体" w:hAnsi="宋体" w:hint="eastAsia"/>
        </w:rPr>
        <w:t>，</w:t>
      </w:r>
      <w:r w:rsidR="000D4844">
        <w:rPr>
          <w:rFonts w:ascii="宋体" w:hAnsi="宋体" w:hint="eastAsia"/>
        </w:rPr>
        <w:t>招商稳祥定开灵活混合</w:t>
      </w:r>
      <w:r w:rsidRPr="004676BD">
        <w:rPr>
          <w:rFonts w:ascii="宋体" w:hAnsi="宋体" w:hint="eastAsia"/>
        </w:rPr>
        <w:t>A单位净值为</w:t>
      </w:r>
      <w:r w:rsidR="00B93401" w:rsidRPr="00B93401">
        <w:rPr>
          <w:rFonts w:ascii="宋体" w:hAnsi="宋体"/>
        </w:rPr>
        <w:t>1.0054</w:t>
      </w:r>
      <w:r w:rsidRPr="004676BD">
        <w:rPr>
          <w:rFonts w:ascii="宋体" w:hAnsi="宋体" w:hint="eastAsia"/>
        </w:rPr>
        <w:t>元，份额为</w:t>
      </w:r>
      <w:r w:rsidR="00B93401" w:rsidRPr="00B93401">
        <w:rPr>
          <w:rFonts w:ascii="宋体" w:hAnsi="宋体"/>
        </w:rPr>
        <w:t>27,667,819.25</w:t>
      </w:r>
      <w:r w:rsidRPr="004676BD">
        <w:rPr>
          <w:rFonts w:ascii="宋体" w:hAnsi="宋体" w:hint="eastAsia"/>
        </w:rPr>
        <w:t>份，资产净值为</w:t>
      </w:r>
      <w:r w:rsidR="00B93401" w:rsidRPr="00B93401">
        <w:rPr>
          <w:rFonts w:ascii="宋体" w:hAnsi="宋体"/>
        </w:rPr>
        <w:t>27</w:t>
      </w:r>
      <w:r w:rsidR="00B93401">
        <w:rPr>
          <w:rFonts w:ascii="宋体" w:hAnsi="宋体"/>
        </w:rPr>
        <w:t>,</w:t>
      </w:r>
      <w:r w:rsidR="00B93401" w:rsidRPr="00B93401">
        <w:rPr>
          <w:rFonts w:ascii="宋体" w:hAnsi="宋体"/>
        </w:rPr>
        <w:t>817</w:t>
      </w:r>
      <w:r w:rsidR="00B93401">
        <w:rPr>
          <w:rFonts w:ascii="宋体" w:hAnsi="宋体"/>
        </w:rPr>
        <w:t>,</w:t>
      </w:r>
      <w:r w:rsidR="00B93401" w:rsidRPr="00B93401">
        <w:rPr>
          <w:rFonts w:ascii="宋体" w:hAnsi="宋体"/>
        </w:rPr>
        <w:t>734.13</w:t>
      </w:r>
      <w:r w:rsidRPr="004676BD">
        <w:rPr>
          <w:rFonts w:ascii="宋体" w:hAnsi="宋体" w:hint="eastAsia"/>
        </w:rPr>
        <w:t>元；</w:t>
      </w:r>
      <w:r w:rsidR="000D4844">
        <w:rPr>
          <w:rFonts w:ascii="宋体" w:hAnsi="宋体" w:hint="eastAsia"/>
        </w:rPr>
        <w:t>招商稳祥定开灵活混合</w:t>
      </w:r>
      <w:r w:rsidRPr="004676BD">
        <w:rPr>
          <w:rFonts w:ascii="宋体" w:hAnsi="宋体" w:hint="eastAsia"/>
        </w:rPr>
        <w:t>C单位净值为</w:t>
      </w:r>
      <w:r w:rsidR="00B93401" w:rsidRPr="00B93401">
        <w:rPr>
          <w:rFonts w:ascii="宋体" w:hAnsi="宋体"/>
        </w:rPr>
        <w:t>0.9908</w:t>
      </w:r>
      <w:r w:rsidRPr="004676BD">
        <w:rPr>
          <w:rFonts w:ascii="宋体" w:hAnsi="宋体" w:hint="eastAsia"/>
        </w:rPr>
        <w:t>元，份额为</w:t>
      </w:r>
      <w:r w:rsidR="00B93401" w:rsidRPr="00B93401">
        <w:rPr>
          <w:rFonts w:ascii="宋体" w:hAnsi="宋体"/>
        </w:rPr>
        <w:t>11,652,696.06</w:t>
      </w:r>
      <w:r w:rsidRPr="004676BD">
        <w:rPr>
          <w:rFonts w:ascii="宋体" w:hAnsi="宋体" w:hint="eastAsia"/>
        </w:rPr>
        <w:t>份，资产净值为</w:t>
      </w:r>
      <w:r w:rsidR="00B93401" w:rsidRPr="00B93401">
        <w:rPr>
          <w:rFonts w:ascii="宋体" w:hAnsi="宋体"/>
        </w:rPr>
        <w:t>11</w:t>
      </w:r>
      <w:r w:rsidR="00B93401">
        <w:rPr>
          <w:rFonts w:ascii="宋体" w:hAnsi="宋体"/>
        </w:rPr>
        <w:t>,</w:t>
      </w:r>
      <w:r w:rsidR="00B93401" w:rsidRPr="00B93401">
        <w:rPr>
          <w:rFonts w:ascii="宋体" w:hAnsi="宋体"/>
        </w:rPr>
        <w:t>545</w:t>
      </w:r>
      <w:r w:rsidR="00B93401">
        <w:rPr>
          <w:rFonts w:ascii="宋体" w:hAnsi="宋体"/>
        </w:rPr>
        <w:t>,</w:t>
      </w:r>
      <w:r w:rsidR="00B93401" w:rsidRPr="00B93401">
        <w:rPr>
          <w:rFonts w:ascii="宋体" w:hAnsi="宋体"/>
        </w:rPr>
        <w:t>539.38</w:t>
      </w:r>
      <w:r w:rsidRPr="004676BD">
        <w:rPr>
          <w:rFonts w:ascii="宋体" w:hAnsi="宋体" w:hint="eastAsia"/>
        </w:rPr>
        <w:t>元。</w:t>
      </w:r>
    </w:p>
    <w:p w:rsidR="00E74CEB" w:rsidRPr="004676BD" w:rsidRDefault="00E74CEB" w:rsidP="00E74CEB">
      <w:pPr>
        <w:spacing w:line="360" w:lineRule="auto"/>
        <w:ind w:firstLineChars="200" w:firstLine="420"/>
        <w:rPr>
          <w:rFonts w:ascii="宋体" w:hAnsi="宋体"/>
          <w:szCs w:val="21"/>
        </w:rPr>
      </w:pPr>
      <w:r w:rsidRPr="004676BD">
        <w:rPr>
          <w:rFonts w:ascii="宋体" w:hAnsi="宋体" w:hint="eastAsia"/>
        </w:rPr>
        <w:t>2、</w:t>
      </w:r>
      <w:r w:rsidRPr="004676BD">
        <w:rPr>
          <w:rFonts w:ascii="宋体" w:hAnsi="宋体" w:hint="eastAsia"/>
          <w:szCs w:val="21"/>
        </w:rPr>
        <w:t>本基金的清算报表是在非持续经营的前提下参考《企业会计准则》及《证券投资基金会计核算业务指引》的有关规定编制的。本基金已将账面价值高于预计可收回金额的资产调整至预计可收回金额，并按预计结算金额计量负债。同时，不对资产、负债进行流动与非流动的划分。</w:t>
      </w:r>
    </w:p>
    <w:p w:rsidR="00E74CEB" w:rsidRPr="004676BD" w:rsidRDefault="00E74CEB" w:rsidP="00E74CEB">
      <w:pPr>
        <w:spacing w:line="360" w:lineRule="auto"/>
        <w:rPr>
          <w:rFonts w:ascii="宋体" w:hAnsi="宋体"/>
          <w:szCs w:val="21"/>
        </w:rPr>
      </w:pPr>
    </w:p>
    <w:p w:rsidR="00E74CEB" w:rsidRPr="00164B16" w:rsidRDefault="00E74CEB" w:rsidP="00164B16">
      <w:pPr>
        <w:pStyle w:val="aa"/>
        <w:numPr>
          <w:ilvl w:val="0"/>
          <w:numId w:val="8"/>
        </w:numPr>
        <w:spacing w:line="360" w:lineRule="auto"/>
        <w:ind w:firstLineChars="0"/>
        <w:jc w:val="center"/>
        <w:rPr>
          <w:rFonts w:ascii="宋体" w:hAnsi="宋体"/>
          <w:b/>
          <w:sz w:val="24"/>
        </w:rPr>
      </w:pPr>
      <w:r w:rsidRPr="00164B16">
        <w:rPr>
          <w:rFonts w:ascii="宋体" w:hAnsi="宋体" w:hint="eastAsia"/>
          <w:b/>
          <w:sz w:val="24"/>
        </w:rPr>
        <w:t>清算情况</w:t>
      </w:r>
    </w:p>
    <w:p w:rsidR="00164B16" w:rsidRPr="00164B16" w:rsidRDefault="00164B16" w:rsidP="00164B16"/>
    <w:p w:rsidR="00C30507" w:rsidRDefault="00E74CEB" w:rsidP="00E74CEB">
      <w:pPr>
        <w:spacing w:line="360" w:lineRule="auto"/>
        <w:ind w:firstLineChars="202" w:firstLine="424"/>
        <w:rPr>
          <w:rFonts w:ascii="宋体" w:hAnsi="宋体"/>
        </w:rPr>
      </w:pPr>
      <w:r w:rsidRPr="004676BD">
        <w:rPr>
          <w:rFonts w:ascii="宋体" w:hAnsi="宋体"/>
        </w:rPr>
        <w:t>自</w:t>
      </w:r>
      <w:r w:rsidR="00781F8E">
        <w:rPr>
          <w:rFonts w:ascii="宋体" w:hAnsi="宋体"/>
        </w:rPr>
        <w:t>2018年</w:t>
      </w:r>
      <w:r w:rsidR="002C60DB">
        <w:rPr>
          <w:rFonts w:ascii="宋体" w:hAnsi="宋体"/>
        </w:rPr>
        <w:t>11</w:t>
      </w:r>
      <w:r w:rsidR="00781F8E">
        <w:rPr>
          <w:rFonts w:ascii="宋体" w:hAnsi="宋体"/>
        </w:rPr>
        <w:t>月</w:t>
      </w:r>
      <w:r w:rsidR="002C60DB">
        <w:rPr>
          <w:rFonts w:ascii="宋体" w:hAnsi="宋体"/>
        </w:rPr>
        <w:t>19</w:t>
      </w:r>
      <w:r w:rsidR="00781F8E">
        <w:rPr>
          <w:rFonts w:ascii="宋体" w:hAnsi="宋体"/>
        </w:rPr>
        <w:t>日</w:t>
      </w:r>
      <w:r w:rsidR="003326CB">
        <w:rPr>
          <w:rFonts w:ascii="宋体" w:hAnsi="宋体" w:hint="eastAsia"/>
        </w:rPr>
        <w:t>起</w:t>
      </w:r>
      <w:r w:rsidR="00781F8E">
        <w:rPr>
          <w:rFonts w:ascii="宋体" w:hAnsi="宋体"/>
        </w:rPr>
        <w:t>至2018年</w:t>
      </w:r>
      <w:r w:rsidR="002C60DB">
        <w:rPr>
          <w:rFonts w:ascii="宋体" w:hAnsi="宋体"/>
        </w:rPr>
        <w:t>11</w:t>
      </w:r>
      <w:r w:rsidR="00781F8E">
        <w:rPr>
          <w:rFonts w:ascii="宋体" w:hAnsi="宋体"/>
        </w:rPr>
        <w:t>月2</w:t>
      </w:r>
      <w:r w:rsidR="002C60DB">
        <w:rPr>
          <w:rFonts w:ascii="宋体" w:hAnsi="宋体"/>
        </w:rPr>
        <w:t>3</w:t>
      </w:r>
      <w:r w:rsidR="00781F8E">
        <w:rPr>
          <w:rFonts w:ascii="宋体" w:hAnsi="宋体"/>
        </w:rPr>
        <w:t>日</w:t>
      </w:r>
      <w:r w:rsidRPr="004676BD">
        <w:rPr>
          <w:rFonts w:ascii="宋体" w:hAnsi="宋体"/>
        </w:rPr>
        <w:t>止</w:t>
      </w:r>
      <w:r w:rsidRPr="004676BD">
        <w:rPr>
          <w:rFonts w:ascii="宋体" w:hAnsi="宋体" w:hint="eastAsia"/>
        </w:rPr>
        <w:t>为</w:t>
      </w:r>
      <w:r w:rsidR="003326CB">
        <w:rPr>
          <w:rFonts w:ascii="宋体" w:hAnsi="宋体" w:hint="eastAsia"/>
        </w:rPr>
        <w:t>本基金的</w:t>
      </w:r>
      <w:r w:rsidRPr="004676BD">
        <w:rPr>
          <w:rFonts w:ascii="宋体" w:hAnsi="宋体"/>
        </w:rPr>
        <w:t>清算期间，基金财产清算小组对本基金的资产、负债进行清算，全部清算工作按清算原则和清算手续进行。</w:t>
      </w:r>
    </w:p>
    <w:p w:rsidR="00335964" w:rsidRPr="00335964" w:rsidRDefault="00335964" w:rsidP="00E74CEB">
      <w:pPr>
        <w:spacing w:line="360" w:lineRule="auto"/>
        <w:ind w:firstLineChars="202" w:firstLine="424"/>
        <w:rPr>
          <w:rFonts w:ascii="宋体" w:hAnsi="宋体"/>
        </w:rPr>
      </w:pPr>
      <w:r w:rsidRPr="00335964">
        <w:rPr>
          <w:rFonts w:ascii="宋体" w:hAnsi="宋体" w:hint="eastAsia"/>
        </w:rPr>
        <w:t>截至2018年11月23日(清算结束日)</w:t>
      </w:r>
      <w:r>
        <w:rPr>
          <w:rFonts w:ascii="宋体" w:hAnsi="宋体" w:hint="eastAsia"/>
        </w:rPr>
        <w:t>，本基金</w:t>
      </w:r>
      <w:r w:rsidRPr="00335964">
        <w:rPr>
          <w:rFonts w:ascii="宋体" w:hAnsi="宋体" w:hint="eastAsia"/>
        </w:rPr>
        <w:t>仍持有未上市债券，本基金将于上述资产全部变现后，将变现后的财产扣除基金财产清算费用、缴纳税款，并按基金份额持有人持有的基金份额比例进行分配。</w:t>
      </w:r>
    </w:p>
    <w:p w:rsidR="00E74CEB" w:rsidRPr="004676BD" w:rsidRDefault="00E74CEB" w:rsidP="00E74CEB">
      <w:pPr>
        <w:spacing w:line="360" w:lineRule="auto"/>
        <w:ind w:firstLineChars="202" w:firstLine="424"/>
        <w:rPr>
          <w:rFonts w:ascii="宋体" w:hAnsi="宋体"/>
        </w:rPr>
      </w:pPr>
      <w:r w:rsidRPr="004676BD">
        <w:rPr>
          <w:rFonts w:ascii="宋体" w:hAnsi="宋体"/>
        </w:rPr>
        <w:t>具体清算情况如下：</w:t>
      </w:r>
    </w:p>
    <w:p w:rsidR="00E74CEB" w:rsidRPr="004676BD" w:rsidRDefault="00E74CEB" w:rsidP="00B60EA3">
      <w:pPr>
        <w:spacing w:line="360" w:lineRule="auto"/>
        <w:rPr>
          <w:rFonts w:ascii="宋体" w:hAnsi="宋体"/>
        </w:rPr>
      </w:pPr>
      <w:r w:rsidRPr="004676BD">
        <w:rPr>
          <w:rFonts w:ascii="宋体" w:hAnsi="宋体"/>
        </w:rPr>
        <w:t>1、清算费用</w:t>
      </w:r>
    </w:p>
    <w:p w:rsidR="00E74CEB" w:rsidRPr="004676BD" w:rsidRDefault="00E74CEB" w:rsidP="00E74CEB">
      <w:pPr>
        <w:spacing w:line="360" w:lineRule="auto"/>
        <w:ind w:firstLineChars="202" w:firstLine="424"/>
        <w:rPr>
          <w:rFonts w:ascii="宋体" w:hAnsi="宋体"/>
        </w:rPr>
      </w:pPr>
      <w:r w:rsidRPr="004676BD">
        <w:rPr>
          <w:rFonts w:ascii="宋体" w:hAnsi="宋体"/>
        </w:rPr>
        <w:t>按照《</w:t>
      </w:r>
      <w:r w:rsidR="000D4844">
        <w:rPr>
          <w:rFonts w:ascii="宋体" w:hAnsi="宋体" w:hint="eastAsia"/>
        </w:rPr>
        <w:t>招商稳祥定期开放灵活配置混合型证券投资基金</w:t>
      </w:r>
      <w:r w:rsidRPr="004676BD">
        <w:rPr>
          <w:rFonts w:ascii="宋体" w:hAnsi="宋体"/>
        </w:rPr>
        <w:t>基金合同》第</w:t>
      </w:r>
      <w:r w:rsidR="009E5A33">
        <w:rPr>
          <w:rFonts w:ascii="宋体" w:hAnsi="宋体" w:hint="eastAsia"/>
        </w:rPr>
        <w:t>二十</w:t>
      </w:r>
      <w:r w:rsidRPr="004676BD">
        <w:rPr>
          <w:rFonts w:ascii="宋体" w:hAnsi="宋体"/>
        </w:rPr>
        <w:t>部分“基金合同的变更、终止与基金财产的清算”的规定，清算费用是指基金财产清算小组在进行基金清算过程中发生的所有合理费用，清算费用由基金财产清算小组优先从基金</w:t>
      </w:r>
      <w:r w:rsidR="002E39A2">
        <w:rPr>
          <w:rFonts w:ascii="宋体" w:hAnsi="宋体" w:hint="eastAsia"/>
        </w:rPr>
        <w:t>剩余</w:t>
      </w:r>
      <w:r w:rsidRPr="004676BD">
        <w:rPr>
          <w:rFonts w:ascii="宋体" w:hAnsi="宋体"/>
        </w:rPr>
        <w:t>财产中支付。</w:t>
      </w:r>
    </w:p>
    <w:p w:rsidR="00E74CEB" w:rsidRPr="004676BD" w:rsidRDefault="00E74CEB" w:rsidP="00E74CEB">
      <w:pPr>
        <w:spacing w:line="360" w:lineRule="auto"/>
        <w:ind w:firstLineChars="202" w:firstLine="424"/>
        <w:rPr>
          <w:rFonts w:ascii="宋体" w:hAnsi="宋体"/>
        </w:rPr>
      </w:pPr>
      <w:r w:rsidRPr="004676BD">
        <w:rPr>
          <w:rFonts w:ascii="宋体" w:hAnsi="宋体"/>
        </w:rPr>
        <w:t>考虑到本基金清算的实际情况，从保护基金份额持有人利益的角度出发，本基金的清算费用将由基金管理人</w:t>
      </w:r>
      <w:r w:rsidRPr="004676BD">
        <w:rPr>
          <w:rFonts w:ascii="宋体" w:hAnsi="宋体" w:hint="eastAsia"/>
        </w:rPr>
        <w:t>承担并支付</w:t>
      </w:r>
      <w:r w:rsidRPr="004676BD">
        <w:rPr>
          <w:rFonts w:ascii="宋体" w:hAnsi="宋体"/>
        </w:rPr>
        <w:t>。</w:t>
      </w:r>
    </w:p>
    <w:p w:rsidR="00E74CEB" w:rsidRPr="004676BD" w:rsidRDefault="00E74CEB" w:rsidP="00B60EA3">
      <w:pPr>
        <w:spacing w:line="360" w:lineRule="auto"/>
        <w:rPr>
          <w:rFonts w:ascii="宋体" w:hAnsi="宋体"/>
        </w:rPr>
      </w:pPr>
      <w:r w:rsidRPr="004676BD">
        <w:rPr>
          <w:rFonts w:ascii="宋体" w:hAnsi="宋体"/>
        </w:rPr>
        <w:t>2、 资产处置情况</w:t>
      </w:r>
    </w:p>
    <w:p w:rsidR="00E74CEB" w:rsidRDefault="00E74CEB" w:rsidP="00B60EA3">
      <w:pPr>
        <w:spacing w:line="360" w:lineRule="auto"/>
        <w:rPr>
          <w:rFonts w:ascii="宋体" w:hAnsi="宋体"/>
        </w:rPr>
      </w:pPr>
      <w:r w:rsidRPr="004676BD">
        <w:rPr>
          <w:rFonts w:ascii="宋体" w:hAnsi="宋体"/>
        </w:rPr>
        <w:t>（1）本基金最后运作日</w:t>
      </w:r>
      <w:r w:rsidRPr="004676BD">
        <w:rPr>
          <w:rFonts w:ascii="宋体" w:hAnsi="宋体" w:hint="eastAsia"/>
        </w:rPr>
        <w:t>银行存款</w:t>
      </w:r>
      <w:r w:rsidR="002E39A2" w:rsidRPr="002E39A2">
        <w:rPr>
          <w:rFonts w:ascii="宋体" w:hAnsi="宋体"/>
        </w:rPr>
        <w:t>52,805,288.18</w:t>
      </w:r>
      <w:r w:rsidRPr="004676BD">
        <w:rPr>
          <w:rFonts w:ascii="宋体" w:hAnsi="宋体" w:hint="eastAsia"/>
        </w:rPr>
        <w:t>元，是存储于基金托管人</w:t>
      </w:r>
      <w:r w:rsidR="002E39A2">
        <w:rPr>
          <w:rFonts w:ascii="宋体" w:hAnsi="宋体" w:hint="eastAsia"/>
        </w:rPr>
        <w:t>宁波</w:t>
      </w:r>
      <w:r w:rsidR="004B23EB">
        <w:rPr>
          <w:rFonts w:ascii="宋体" w:hAnsi="宋体" w:hint="eastAsia"/>
        </w:rPr>
        <w:t>银行</w:t>
      </w:r>
      <w:r w:rsidRPr="004676BD">
        <w:rPr>
          <w:rFonts w:ascii="宋体" w:hAnsi="宋体" w:hint="eastAsia"/>
        </w:rPr>
        <w:t>的活期银行存款。</w:t>
      </w:r>
    </w:p>
    <w:p w:rsidR="002E39A2" w:rsidRDefault="002E39A2" w:rsidP="002E39A2">
      <w:pPr>
        <w:spacing w:line="360" w:lineRule="auto"/>
        <w:rPr>
          <w:rFonts w:asciiTheme="minorEastAsia" w:eastAsiaTheme="minorEastAsia" w:hAnsiTheme="minorEastAsia"/>
        </w:rPr>
      </w:pPr>
      <w:r w:rsidRPr="0054309B">
        <w:rPr>
          <w:rFonts w:asciiTheme="minorEastAsia" w:eastAsiaTheme="minorEastAsia" w:hAnsiTheme="minorEastAsia" w:hint="eastAsia"/>
        </w:rPr>
        <w:t>（2</w:t>
      </w:r>
      <w:r w:rsidRPr="0054309B">
        <w:rPr>
          <w:rFonts w:asciiTheme="minorEastAsia" w:eastAsiaTheme="minorEastAsia" w:hAnsiTheme="minorEastAsia"/>
        </w:rPr>
        <w:t>）</w:t>
      </w:r>
      <w:r w:rsidRPr="0054309B">
        <w:rPr>
          <w:rFonts w:asciiTheme="minorEastAsia" w:eastAsiaTheme="minorEastAsia" w:hAnsiTheme="minorEastAsia" w:hint="eastAsia"/>
        </w:rPr>
        <w:t>本基金最后运作日结算备付金</w:t>
      </w:r>
      <w:r w:rsidRPr="002E39A2">
        <w:rPr>
          <w:rFonts w:asciiTheme="minorEastAsia" w:eastAsiaTheme="minorEastAsia" w:hAnsiTheme="minorEastAsia"/>
        </w:rPr>
        <w:t>178</w:t>
      </w:r>
      <w:r>
        <w:rPr>
          <w:rFonts w:asciiTheme="minorEastAsia" w:eastAsiaTheme="minorEastAsia" w:hAnsiTheme="minorEastAsia"/>
        </w:rPr>
        <w:t>,</w:t>
      </w:r>
      <w:r w:rsidRPr="002E39A2">
        <w:rPr>
          <w:rFonts w:asciiTheme="minorEastAsia" w:eastAsiaTheme="minorEastAsia" w:hAnsiTheme="minorEastAsia"/>
        </w:rPr>
        <w:t>296.25</w:t>
      </w:r>
      <w:r w:rsidRPr="0054309B">
        <w:rPr>
          <w:rFonts w:asciiTheme="minorEastAsia" w:eastAsiaTheme="minorEastAsia" w:hAnsiTheme="minorEastAsia" w:hint="eastAsia"/>
        </w:rPr>
        <w:t>元。其中</w:t>
      </w:r>
      <w:r w:rsidRPr="002E39A2">
        <w:rPr>
          <w:rFonts w:asciiTheme="minorEastAsia" w:eastAsiaTheme="minorEastAsia" w:hAnsiTheme="minorEastAsia"/>
        </w:rPr>
        <w:t>175</w:t>
      </w:r>
      <w:r>
        <w:rPr>
          <w:rFonts w:asciiTheme="minorEastAsia" w:eastAsiaTheme="minorEastAsia" w:hAnsiTheme="minorEastAsia"/>
        </w:rPr>
        <w:t>,</w:t>
      </w:r>
      <w:r w:rsidRPr="002E39A2">
        <w:rPr>
          <w:rFonts w:asciiTheme="minorEastAsia" w:eastAsiaTheme="minorEastAsia" w:hAnsiTheme="minorEastAsia"/>
        </w:rPr>
        <w:t>353.49</w:t>
      </w:r>
      <w:r w:rsidRPr="0054309B">
        <w:rPr>
          <w:rFonts w:asciiTheme="minorEastAsia" w:eastAsiaTheme="minorEastAsia" w:hAnsiTheme="minorEastAsia" w:hint="eastAsia"/>
        </w:rPr>
        <w:t>元是由中国证券登记结算公司收取并保管的结算备付金。结算备付金每月调整一次，根据《结算备付金管理办法》，“中国证券登记结算有限责任公司在每月前3个营业日内，对结算参与人的最低结算备付金限额进行重新核算、调整”。此笔款项预期于</w:t>
      </w:r>
      <w:r w:rsidR="00451F6B">
        <w:rPr>
          <w:rFonts w:asciiTheme="minorEastAsia" w:eastAsiaTheme="minorEastAsia" w:hAnsiTheme="minorEastAsia" w:hint="eastAsia"/>
        </w:rPr>
        <w:t>2019年</w:t>
      </w:r>
      <w:r w:rsidR="00451F6B">
        <w:rPr>
          <w:rFonts w:asciiTheme="minorEastAsia" w:eastAsiaTheme="minorEastAsia" w:hAnsiTheme="minorEastAsia"/>
        </w:rPr>
        <w:t>1</w:t>
      </w:r>
      <w:r w:rsidRPr="0054309B">
        <w:rPr>
          <w:rFonts w:asciiTheme="minorEastAsia" w:eastAsiaTheme="minorEastAsia" w:hAnsiTheme="minorEastAsia" w:hint="eastAsia"/>
        </w:rPr>
        <w:t>月</w:t>
      </w:r>
      <w:r w:rsidR="00451F6B">
        <w:rPr>
          <w:rFonts w:asciiTheme="minorEastAsia" w:eastAsiaTheme="minorEastAsia" w:hAnsiTheme="minorEastAsia"/>
        </w:rPr>
        <w:t>3</w:t>
      </w:r>
      <w:r w:rsidRPr="0054309B">
        <w:rPr>
          <w:rFonts w:asciiTheme="minorEastAsia" w:eastAsiaTheme="minorEastAsia" w:hAnsiTheme="minorEastAsia" w:hint="eastAsia"/>
        </w:rPr>
        <w:t>日返还托管账户</w:t>
      </w:r>
      <w:r>
        <w:rPr>
          <w:rFonts w:asciiTheme="minorEastAsia" w:eastAsiaTheme="minorEastAsia" w:hAnsiTheme="minorEastAsia" w:hint="eastAsia"/>
        </w:rPr>
        <w:t>。</w:t>
      </w:r>
    </w:p>
    <w:p w:rsidR="002E39A2" w:rsidRPr="002E39A2" w:rsidRDefault="002E39A2" w:rsidP="002E39A2">
      <w:pPr>
        <w:spacing w:line="360" w:lineRule="auto"/>
        <w:ind w:firstLineChars="200" w:firstLine="420"/>
        <w:rPr>
          <w:rFonts w:asciiTheme="minorEastAsia" w:eastAsiaTheme="minorEastAsia" w:hAnsiTheme="minorEastAsia"/>
        </w:rPr>
      </w:pPr>
      <w:r w:rsidRPr="0054309B">
        <w:rPr>
          <w:rFonts w:asciiTheme="minorEastAsia" w:eastAsiaTheme="minorEastAsia" w:hAnsiTheme="minorEastAsia" w:hint="eastAsia"/>
        </w:rPr>
        <w:t>剩余</w:t>
      </w:r>
      <w:r w:rsidR="00676BED" w:rsidRPr="00676BED">
        <w:rPr>
          <w:rFonts w:asciiTheme="minorEastAsia" w:eastAsiaTheme="minorEastAsia" w:hAnsiTheme="minorEastAsia"/>
        </w:rPr>
        <w:t>2</w:t>
      </w:r>
      <w:r w:rsidR="00676BED">
        <w:rPr>
          <w:rFonts w:asciiTheme="minorEastAsia" w:eastAsiaTheme="minorEastAsia" w:hAnsiTheme="minorEastAsia"/>
        </w:rPr>
        <w:t>,</w:t>
      </w:r>
      <w:r w:rsidR="00676BED" w:rsidRPr="00676BED">
        <w:rPr>
          <w:rFonts w:asciiTheme="minorEastAsia" w:eastAsiaTheme="minorEastAsia" w:hAnsiTheme="minorEastAsia"/>
        </w:rPr>
        <w:t>942.76</w:t>
      </w:r>
      <w:r w:rsidRPr="0054309B">
        <w:rPr>
          <w:rFonts w:asciiTheme="minorEastAsia" w:eastAsiaTheme="minorEastAsia" w:hAnsiTheme="minorEastAsia" w:hint="eastAsia"/>
        </w:rPr>
        <w:t>元</w:t>
      </w:r>
      <w:r w:rsidRPr="0054309B">
        <w:rPr>
          <w:rFonts w:asciiTheme="minorEastAsia" w:eastAsiaTheme="minorEastAsia" w:hAnsiTheme="minorEastAsia"/>
        </w:rPr>
        <w:t>为</w:t>
      </w:r>
      <w:r w:rsidRPr="0054309B">
        <w:rPr>
          <w:rFonts w:asciiTheme="minorEastAsia" w:eastAsiaTheme="minorEastAsia" w:hAnsiTheme="minorEastAsia" w:hint="eastAsia"/>
        </w:rPr>
        <w:t>安信</w:t>
      </w:r>
      <w:r w:rsidRPr="0054309B">
        <w:rPr>
          <w:rFonts w:asciiTheme="minorEastAsia" w:eastAsiaTheme="minorEastAsia" w:hAnsiTheme="minorEastAsia"/>
        </w:rPr>
        <w:t>期货</w:t>
      </w:r>
      <w:r w:rsidRPr="0054309B">
        <w:rPr>
          <w:rFonts w:asciiTheme="minorEastAsia" w:eastAsiaTheme="minorEastAsia" w:hAnsiTheme="minorEastAsia" w:hint="eastAsia"/>
        </w:rPr>
        <w:t>收取</w:t>
      </w:r>
      <w:r w:rsidRPr="0054309B">
        <w:rPr>
          <w:rFonts w:asciiTheme="minorEastAsia" w:eastAsiaTheme="minorEastAsia" w:hAnsiTheme="minorEastAsia"/>
        </w:rPr>
        <w:t>并保管的</w:t>
      </w:r>
      <w:r w:rsidRPr="0054309B">
        <w:rPr>
          <w:rFonts w:asciiTheme="minorEastAsia" w:eastAsiaTheme="minorEastAsia" w:hAnsiTheme="minorEastAsia" w:hint="eastAsia"/>
        </w:rPr>
        <w:t>期货</w:t>
      </w:r>
      <w:r w:rsidRPr="0054309B">
        <w:rPr>
          <w:rFonts w:asciiTheme="minorEastAsia" w:eastAsiaTheme="minorEastAsia" w:hAnsiTheme="minorEastAsia"/>
        </w:rPr>
        <w:t>保证金，</w:t>
      </w:r>
      <w:r w:rsidRPr="009232FA">
        <w:rPr>
          <w:rFonts w:asciiTheme="minorEastAsia" w:eastAsiaTheme="minorEastAsia" w:hAnsiTheme="minorEastAsia" w:hint="eastAsia"/>
        </w:rPr>
        <w:t>此笔款项</w:t>
      </w:r>
      <w:r>
        <w:rPr>
          <w:rFonts w:asciiTheme="minorEastAsia" w:eastAsiaTheme="minorEastAsia" w:hAnsiTheme="minorEastAsia" w:hint="eastAsia"/>
        </w:rPr>
        <w:t>已</w:t>
      </w:r>
      <w:r w:rsidRPr="009232FA">
        <w:rPr>
          <w:rFonts w:asciiTheme="minorEastAsia" w:eastAsiaTheme="minorEastAsia" w:hAnsiTheme="minorEastAsia" w:hint="eastAsia"/>
        </w:rPr>
        <w:t>于</w:t>
      </w:r>
      <w:r w:rsidR="00676BED">
        <w:rPr>
          <w:rFonts w:asciiTheme="minorEastAsia" w:eastAsiaTheme="minorEastAsia" w:hAnsiTheme="minorEastAsia"/>
        </w:rPr>
        <w:t>11</w:t>
      </w:r>
      <w:r w:rsidRPr="009232FA">
        <w:rPr>
          <w:rFonts w:asciiTheme="minorEastAsia" w:eastAsiaTheme="minorEastAsia" w:hAnsiTheme="minorEastAsia" w:hint="eastAsia"/>
        </w:rPr>
        <w:t>月</w:t>
      </w:r>
      <w:r w:rsidR="00676BED">
        <w:rPr>
          <w:rFonts w:asciiTheme="minorEastAsia" w:eastAsiaTheme="minorEastAsia" w:hAnsiTheme="minorEastAsia"/>
        </w:rPr>
        <w:t>21</w:t>
      </w:r>
      <w:r w:rsidRPr="009232FA">
        <w:rPr>
          <w:rFonts w:asciiTheme="minorEastAsia" w:eastAsiaTheme="minorEastAsia" w:hAnsiTheme="minorEastAsia" w:hint="eastAsia"/>
        </w:rPr>
        <w:t>日返还托管账户。</w:t>
      </w:r>
    </w:p>
    <w:p w:rsidR="009E5A33" w:rsidRDefault="009E5A33" w:rsidP="00B60EA3">
      <w:pPr>
        <w:spacing w:line="360" w:lineRule="auto"/>
        <w:rPr>
          <w:rFonts w:ascii="宋体" w:hAnsi="宋体"/>
        </w:rPr>
      </w:pPr>
      <w:r w:rsidRPr="004676BD">
        <w:rPr>
          <w:rFonts w:ascii="宋体" w:hAnsi="宋体" w:hint="eastAsia"/>
        </w:rPr>
        <w:t>（</w:t>
      </w:r>
      <w:r w:rsidR="00ED3B52">
        <w:rPr>
          <w:rFonts w:ascii="宋体" w:hAnsi="宋体"/>
        </w:rPr>
        <w:t>3</w:t>
      </w:r>
      <w:r w:rsidRPr="004676BD">
        <w:rPr>
          <w:rFonts w:ascii="宋体" w:hAnsi="宋体"/>
        </w:rPr>
        <w:t>）本基金最后运作日</w:t>
      </w:r>
      <w:r w:rsidRPr="004676BD">
        <w:rPr>
          <w:rFonts w:ascii="宋体" w:hAnsi="宋体" w:hint="eastAsia"/>
        </w:rPr>
        <w:t>存出保证金</w:t>
      </w:r>
      <w:r w:rsidR="00676BED" w:rsidRPr="00676BED">
        <w:rPr>
          <w:rFonts w:ascii="宋体" w:hAnsi="宋体"/>
        </w:rPr>
        <w:t>100</w:t>
      </w:r>
      <w:r w:rsidR="00676BED">
        <w:rPr>
          <w:rFonts w:ascii="宋体" w:hAnsi="宋体"/>
        </w:rPr>
        <w:t>,</w:t>
      </w:r>
      <w:r w:rsidR="00676BED" w:rsidRPr="00676BED">
        <w:rPr>
          <w:rFonts w:ascii="宋体" w:hAnsi="宋体"/>
        </w:rPr>
        <w:t>748.52</w:t>
      </w:r>
      <w:r w:rsidRPr="004676BD">
        <w:rPr>
          <w:rFonts w:ascii="宋体" w:hAnsi="宋体" w:hint="eastAsia"/>
        </w:rPr>
        <w:t>元，是由中国证券登记结算公司收取并保管的结算保证金。结算保证金每月调整一次，根据《结算保证金管理业务指南》，“中国证券登记结算有限责任公司于每月初第二个交易日，根据结算参与人对应结算备付金账户前</w:t>
      </w:r>
      <w:r w:rsidRPr="004676BD">
        <w:rPr>
          <w:rFonts w:ascii="宋体" w:hAnsi="宋体"/>
        </w:rPr>
        <w:t>6</w:t>
      </w:r>
      <w:r w:rsidRPr="004676BD">
        <w:rPr>
          <w:rFonts w:ascii="宋体" w:hAnsi="宋体" w:hint="eastAsia"/>
        </w:rPr>
        <w:t>个月</w:t>
      </w:r>
      <w:r>
        <w:rPr>
          <w:rFonts w:ascii="宋体" w:hAnsi="宋体" w:hint="eastAsia"/>
        </w:rPr>
        <w:t>日均结算净额调整其结算互保金额度，但不低于初始结算保证金基数”。此款项预期于</w:t>
      </w:r>
      <w:r w:rsidR="00676BED" w:rsidRPr="0054309B">
        <w:rPr>
          <w:rFonts w:asciiTheme="minorEastAsia" w:eastAsiaTheme="minorEastAsia" w:hAnsiTheme="minorEastAsia" w:hint="eastAsia"/>
        </w:rPr>
        <w:t>1</w:t>
      </w:r>
      <w:r w:rsidR="00676BED">
        <w:rPr>
          <w:rFonts w:asciiTheme="minorEastAsia" w:eastAsiaTheme="minorEastAsia" w:hAnsiTheme="minorEastAsia"/>
        </w:rPr>
        <w:t>2</w:t>
      </w:r>
      <w:r w:rsidR="00676BED" w:rsidRPr="0054309B">
        <w:rPr>
          <w:rFonts w:asciiTheme="minorEastAsia" w:eastAsiaTheme="minorEastAsia" w:hAnsiTheme="minorEastAsia" w:hint="eastAsia"/>
        </w:rPr>
        <w:t>月</w:t>
      </w:r>
      <w:r w:rsidR="00676BED">
        <w:rPr>
          <w:rFonts w:asciiTheme="minorEastAsia" w:eastAsiaTheme="minorEastAsia" w:hAnsiTheme="minorEastAsia"/>
        </w:rPr>
        <w:t>4</w:t>
      </w:r>
      <w:r w:rsidR="00676BED" w:rsidRPr="0054309B">
        <w:rPr>
          <w:rFonts w:asciiTheme="minorEastAsia" w:eastAsiaTheme="minorEastAsia" w:hAnsiTheme="minorEastAsia" w:hint="eastAsia"/>
        </w:rPr>
        <w:t>日返还</w:t>
      </w:r>
      <w:r>
        <w:rPr>
          <w:rFonts w:ascii="宋体" w:hAnsi="宋体" w:hint="eastAsia"/>
        </w:rPr>
        <w:t>托管账户。</w:t>
      </w:r>
    </w:p>
    <w:p w:rsidR="00676BED" w:rsidRDefault="00676BED" w:rsidP="00676BED">
      <w:pPr>
        <w:spacing w:line="360" w:lineRule="auto"/>
        <w:rPr>
          <w:rFonts w:ascii="宋体" w:hAnsi="宋体"/>
        </w:rPr>
      </w:pPr>
      <w:r>
        <w:rPr>
          <w:rFonts w:ascii="宋体" w:hAnsi="宋体" w:hint="eastAsia"/>
        </w:rPr>
        <w:t>（</w:t>
      </w:r>
      <w:r w:rsidR="00ED3B52">
        <w:rPr>
          <w:rFonts w:ascii="宋体" w:hAnsi="宋体"/>
        </w:rPr>
        <w:t>4</w:t>
      </w:r>
      <w:r>
        <w:rPr>
          <w:rFonts w:ascii="宋体" w:hAnsi="宋体" w:hint="eastAsia"/>
        </w:rPr>
        <w:t>）</w:t>
      </w:r>
      <w:r w:rsidRPr="004676BD">
        <w:rPr>
          <w:rFonts w:ascii="宋体" w:hAnsi="宋体"/>
        </w:rPr>
        <w:t>本基金最后运作日</w:t>
      </w:r>
      <w:r>
        <w:rPr>
          <w:rFonts w:ascii="宋体" w:hAnsi="宋体" w:hint="eastAsia"/>
        </w:rPr>
        <w:t>股票投资</w:t>
      </w:r>
      <w:r w:rsidR="00C30507" w:rsidRPr="00DA7496">
        <w:rPr>
          <w:rFonts w:ascii="宋体" w:hAnsi="宋体"/>
        </w:rPr>
        <w:t>3</w:t>
      </w:r>
      <w:r w:rsidR="00C30507">
        <w:rPr>
          <w:rFonts w:ascii="宋体" w:hAnsi="宋体"/>
        </w:rPr>
        <w:t>,</w:t>
      </w:r>
      <w:r w:rsidR="00C30507" w:rsidRPr="00DA7496">
        <w:rPr>
          <w:rFonts w:ascii="宋体" w:hAnsi="宋体"/>
        </w:rPr>
        <w:t>466</w:t>
      </w:r>
      <w:r w:rsidR="00C30507">
        <w:rPr>
          <w:rFonts w:ascii="宋体" w:hAnsi="宋体"/>
        </w:rPr>
        <w:t>,</w:t>
      </w:r>
      <w:r w:rsidR="00C30507" w:rsidRPr="00DA7496">
        <w:rPr>
          <w:rFonts w:ascii="宋体" w:hAnsi="宋体"/>
        </w:rPr>
        <w:t>861.93</w:t>
      </w:r>
      <w:r>
        <w:rPr>
          <w:rFonts w:ascii="宋体" w:hAnsi="宋体" w:hint="eastAsia"/>
        </w:rPr>
        <w:t>元，持仓明细如下。</w:t>
      </w:r>
      <w:r w:rsidR="00BC25DC">
        <w:rPr>
          <w:rFonts w:ascii="宋体" w:hAnsi="宋体" w:hint="eastAsia"/>
        </w:rPr>
        <w:t>截止至2018年11月23日交易所</w:t>
      </w:r>
      <w:r w:rsidR="00BC25DC">
        <w:rPr>
          <w:rFonts w:ascii="宋体" w:hAnsi="宋体"/>
        </w:rPr>
        <w:t>闭市</w:t>
      </w:r>
      <w:r w:rsidR="00BC25DC">
        <w:rPr>
          <w:rFonts w:ascii="宋体" w:hAnsi="宋体" w:hint="eastAsia"/>
        </w:rPr>
        <w:t>，以下股票</w:t>
      </w:r>
      <w:r w:rsidR="00BC25DC">
        <w:rPr>
          <w:rFonts w:ascii="宋体" w:hAnsi="宋体"/>
        </w:rPr>
        <w:t>已</w:t>
      </w:r>
      <w:r>
        <w:rPr>
          <w:rFonts w:ascii="宋体" w:hAnsi="宋体" w:hint="eastAsia"/>
        </w:rPr>
        <w:t>全部卖出</w:t>
      </w:r>
      <w:r w:rsidR="00BC25DC">
        <w:rPr>
          <w:rFonts w:ascii="宋体" w:hAnsi="宋体" w:hint="eastAsia"/>
        </w:rPr>
        <w:t>，卖券清算款预计最晚</w:t>
      </w:r>
      <w:r>
        <w:rPr>
          <w:rFonts w:ascii="宋体" w:hAnsi="宋体" w:hint="eastAsia"/>
        </w:rPr>
        <w:t>于2018年</w:t>
      </w:r>
      <w:r w:rsidR="00BC25DC">
        <w:rPr>
          <w:rFonts w:ascii="宋体" w:hAnsi="宋体" w:hint="eastAsia"/>
        </w:rPr>
        <w:t>11</w:t>
      </w:r>
      <w:r>
        <w:rPr>
          <w:rFonts w:ascii="宋体" w:hAnsi="宋体" w:hint="eastAsia"/>
        </w:rPr>
        <w:t>月</w:t>
      </w:r>
      <w:r w:rsidR="00BC25DC">
        <w:rPr>
          <w:rFonts w:ascii="宋体" w:hAnsi="宋体"/>
        </w:rPr>
        <w:t>26</w:t>
      </w:r>
      <w:r w:rsidR="00BC25DC">
        <w:rPr>
          <w:rFonts w:ascii="宋体" w:hAnsi="宋体" w:hint="eastAsia"/>
        </w:rPr>
        <w:t>日</w:t>
      </w:r>
      <w:r>
        <w:rPr>
          <w:rFonts w:ascii="宋体" w:hAnsi="宋体" w:hint="eastAsia"/>
        </w:rPr>
        <w:t>到账。</w:t>
      </w:r>
    </w:p>
    <w:tbl>
      <w:tblPr>
        <w:tblStyle w:val="ae"/>
        <w:tblW w:w="0" w:type="auto"/>
        <w:tblLook w:val="04A0"/>
      </w:tblPr>
      <w:tblGrid>
        <w:gridCol w:w="959"/>
        <w:gridCol w:w="1417"/>
        <w:gridCol w:w="1843"/>
        <w:gridCol w:w="1418"/>
        <w:gridCol w:w="2885"/>
      </w:tblGrid>
      <w:tr w:rsidR="00676BED" w:rsidTr="009005E0">
        <w:tc>
          <w:tcPr>
            <w:tcW w:w="959" w:type="dxa"/>
          </w:tcPr>
          <w:p w:rsidR="00676BED" w:rsidRDefault="00676BED" w:rsidP="009005E0">
            <w:pPr>
              <w:jc w:val="center"/>
              <w:rPr>
                <w:rFonts w:ascii="宋体" w:hAnsi="宋体"/>
              </w:rPr>
            </w:pPr>
            <w:r>
              <w:rPr>
                <w:rFonts w:ascii="宋体" w:hAnsi="宋体" w:hint="eastAsia"/>
              </w:rPr>
              <w:t>序号</w:t>
            </w:r>
          </w:p>
        </w:tc>
        <w:tc>
          <w:tcPr>
            <w:tcW w:w="1417" w:type="dxa"/>
          </w:tcPr>
          <w:p w:rsidR="00676BED" w:rsidRDefault="00D52B63" w:rsidP="009005E0">
            <w:pPr>
              <w:jc w:val="center"/>
              <w:rPr>
                <w:rFonts w:ascii="宋体" w:hAnsi="宋体"/>
              </w:rPr>
            </w:pPr>
            <w:r>
              <w:rPr>
                <w:rFonts w:ascii="宋体" w:hAnsi="宋体" w:hint="eastAsia"/>
              </w:rPr>
              <w:t>证券</w:t>
            </w:r>
            <w:r w:rsidR="00676BED">
              <w:rPr>
                <w:rFonts w:ascii="宋体" w:hAnsi="宋体" w:hint="eastAsia"/>
              </w:rPr>
              <w:t>代码</w:t>
            </w:r>
          </w:p>
        </w:tc>
        <w:tc>
          <w:tcPr>
            <w:tcW w:w="1843" w:type="dxa"/>
          </w:tcPr>
          <w:p w:rsidR="00676BED" w:rsidRDefault="00D52B63" w:rsidP="009005E0">
            <w:pPr>
              <w:jc w:val="center"/>
              <w:rPr>
                <w:rFonts w:ascii="宋体" w:hAnsi="宋体"/>
              </w:rPr>
            </w:pPr>
            <w:r>
              <w:rPr>
                <w:rFonts w:ascii="宋体" w:hAnsi="宋体" w:hint="eastAsia"/>
              </w:rPr>
              <w:t>证券</w:t>
            </w:r>
            <w:r w:rsidR="00676BED">
              <w:rPr>
                <w:rFonts w:ascii="宋体" w:hAnsi="宋体" w:hint="eastAsia"/>
              </w:rPr>
              <w:t>名称</w:t>
            </w:r>
          </w:p>
        </w:tc>
        <w:tc>
          <w:tcPr>
            <w:tcW w:w="1418" w:type="dxa"/>
          </w:tcPr>
          <w:p w:rsidR="00676BED" w:rsidRDefault="00676BED" w:rsidP="009005E0">
            <w:pPr>
              <w:jc w:val="center"/>
              <w:rPr>
                <w:rFonts w:ascii="宋体" w:hAnsi="宋体"/>
              </w:rPr>
            </w:pPr>
            <w:r>
              <w:rPr>
                <w:rFonts w:ascii="宋体" w:hAnsi="宋体" w:hint="eastAsia"/>
              </w:rPr>
              <w:t>数量（张）</w:t>
            </w:r>
          </w:p>
        </w:tc>
        <w:tc>
          <w:tcPr>
            <w:tcW w:w="2885" w:type="dxa"/>
          </w:tcPr>
          <w:p w:rsidR="00676BED" w:rsidRDefault="00676BED" w:rsidP="009005E0">
            <w:pPr>
              <w:jc w:val="center"/>
              <w:rPr>
                <w:rFonts w:ascii="宋体" w:hAnsi="宋体"/>
              </w:rPr>
            </w:pPr>
            <w:r>
              <w:rPr>
                <w:rFonts w:ascii="宋体" w:hAnsi="宋体" w:hint="eastAsia"/>
              </w:rPr>
              <w:t>公允价值（人民币元）</w:t>
            </w:r>
          </w:p>
        </w:tc>
      </w:tr>
      <w:tr w:rsidR="00BC25DC" w:rsidRPr="00BC25DC" w:rsidTr="009005E0">
        <w:tc>
          <w:tcPr>
            <w:tcW w:w="959" w:type="dxa"/>
          </w:tcPr>
          <w:p w:rsidR="00BC25DC" w:rsidRDefault="00BC25DC" w:rsidP="00BC25DC">
            <w:pPr>
              <w:jc w:val="center"/>
              <w:rPr>
                <w:rFonts w:ascii="宋体" w:hAnsi="宋体"/>
              </w:rPr>
            </w:pPr>
            <w:r>
              <w:rPr>
                <w:rFonts w:ascii="宋体" w:hAnsi="宋体" w:hint="eastAsia"/>
              </w:rPr>
              <w:t>1</w:t>
            </w:r>
          </w:p>
        </w:tc>
        <w:tc>
          <w:tcPr>
            <w:tcW w:w="1417" w:type="dxa"/>
            <w:vAlign w:val="center"/>
          </w:tcPr>
          <w:p w:rsidR="00BC25DC" w:rsidRPr="00BC25DC" w:rsidRDefault="00BC25DC" w:rsidP="00BC25DC">
            <w:pPr>
              <w:jc w:val="center"/>
              <w:rPr>
                <w:rFonts w:ascii="宋体" w:hAnsi="宋体"/>
              </w:rPr>
            </w:pPr>
            <w:r w:rsidRPr="00BC25DC">
              <w:rPr>
                <w:rFonts w:ascii="宋体" w:hAnsi="宋体" w:hint="eastAsia"/>
              </w:rPr>
              <w:t>300408</w:t>
            </w:r>
          </w:p>
        </w:tc>
        <w:tc>
          <w:tcPr>
            <w:tcW w:w="1843" w:type="dxa"/>
            <w:vAlign w:val="center"/>
          </w:tcPr>
          <w:p w:rsidR="00BC25DC" w:rsidRPr="00BC25DC" w:rsidRDefault="00BC25DC" w:rsidP="00BC25DC">
            <w:pPr>
              <w:jc w:val="center"/>
              <w:rPr>
                <w:rFonts w:ascii="宋体" w:hAnsi="宋体"/>
              </w:rPr>
            </w:pPr>
            <w:r w:rsidRPr="00BC25DC">
              <w:rPr>
                <w:rFonts w:ascii="宋体" w:hAnsi="宋体" w:hint="eastAsia"/>
              </w:rPr>
              <w:t>三环集团</w:t>
            </w:r>
          </w:p>
        </w:tc>
        <w:tc>
          <w:tcPr>
            <w:tcW w:w="1418" w:type="dxa"/>
            <w:vAlign w:val="center"/>
          </w:tcPr>
          <w:p w:rsidR="00BC25DC" w:rsidRPr="00BC25DC" w:rsidRDefault="00BC25DC" w:rsidP="00BC25DC">
            <w:pPr>
              <w:jc w:val="right"/>
              <w:rPr>
                <w:rFonts w:ascii="宋体" w:hAnsi="宋体"/>
              </w:rPr>
            </w:pPr>
            <w:r w:rsidRPr="00BC25DC">
              <w:rPr>
                <w:rFonts w:ascii="宋体" w:hAnsi="宋体" w:hint="eastAsia"/>
              </w:rPr>
              <w:t xml:space="preserve">100,000 </w:t>
            </w:r>
          </w:p>
        </w:tc>
        <w:tc>
          <w:tcPr>
            <w:tcW w:w="2885" w:type="dxa"/>
            <w:vAlign w:val="center"/>
          </w:tcPr>
          <w:p w:rsidR="00BC25DC" w:rsidRPr="00BC25DC" w:rsidRDefault="00BC25DC" w:rsidP="00BC25DC">
            <w:pPr>
              <w:jc w:val="right"/>
              <w:rPr>
                <w:rFonts w:ascii="宋体" w:hAnsi="宋体"/>
              </w:rPr>
            </w:pPr>
            <w:r w:rsidRPr="00BC25DC">
              <w:rPr>
                <w:rFonts w:ascii="宋体" w:hAnsi="宋体" w:hint="eastAsia"/>
              </w:rPr>
              <w:t xml:space="preserve">  1,913,000.00 </w:t>
            </w:r>
          </w:p>
        </w:tc>
      </w:tr>
      <w:tr w:rsidR="00BC25DC" w:rsidRPr="00BC25DC" w:rsidTr="009005E0">
        <w:tc>
          <w:tcPr>
            <w:tcW w:w="959" w:type="dxa"/>
          </w:tcPr>
          <w:p w:rsidR="00BC25DC" w:rsidRDefault="00BC25DC" w:rsidP="00BC25DC">
            <w:pPr>
              <w:jc w:val="center"/>
              <w:rPr>
                <w:rFonts w:ascii="宋体" w:hAnsi="宋体"/>
              </w:rPr>
            </w:pPr>
            <w:r>
              <w:rPr>
                <w:rFonts w:ascii="宋体" w:hAnsi="宋体" w:hint="eastAsia"/>
              </w:rPr>
              <w:t>2</w:t>
            </w:r>
          </w:p>
        </w:tc>
        <w:tc>
          <w:tcPr>
            <w:tcW w:w="1417" w:type="dxa"/>
            <w:vAlign w:val="center"/>
          </w:tcPr>
          <w:p w:rsidR="00BC25DC" w:rsidRPr="00BC25DC" w:rsidRDefault="00BC25DC" w:rsidP="00BC25DC">
            <w:pPr>
              <w:jc w:val="center"/>
              <w:rPr>
                <w:rFonts w:ascii="宋体" w:hAnsi="宋体"/>
              </w:rPr>
            </w:pPr>
            <w:r w:rsidRPr="00BC25DC">
              <w:rPr>
                <w:rFonts w:ascii="宋体" w:hAnsi="宋体" w:hint="eastAsia"/>
              </w:rPr>
              <w:t>300760</w:t>
            </w:r>
          </w:p>
        </w:tc>
        <w:tc>
          <w:tcPr>
            <w:tcW w:w="1843" w:type="dxa"/>
            <w:vAlign w:val="center"/>
          </w:tcPr>
          <w:p w:rsidR="00BC25DC" w:rsidRPr="00BC25DC" w:rsidRDefault="00BC25DC" w:rsidP="00BC25DC">
            <w:pPr>
              <w:jc w:val="center"/>
              <w:rPr>
                <w:rFonts w:ascii="宋体" w:hAnsi="宋体"/>
              </w:rPr>
            </w:pPr>
            <w:r w:rsidRPr="00BC25DC">
              <w:rPr>
                <w:rFonts w:ascii="宋体" w:hAnsi="宋体" w:hint="eastAsia"/>
              </w:rPr>
              <w:t>迈瑞医疗</w:t>
            </w:r>
          </w:p>
        </w:tc>
        <w:tc>
          <w:tcPr>
            <w:tcW w:w="1418" w:type="dxa"/>
            <w:vAlign w:val="center"/>
          </w:tcPr>
          <w:p w:rsidR="00BC25DC" w:rsidRPr="00BC25DC" w:rsidRDefault="00BC25DC" w:rsidP="00BC25DC">
            <w:pPr>
              <w:jc w:val="right"/>
              <w:rPr>
                <w:rFonts w:ascii="宋体" w:hAnsi="宋体"/>
              </w:rPr>
            </w:pPr>
            <w:r w:rsidRPr="00BC25DC">
              <w:rPr>
                <w:rFonts w:ascii="宋体" w:hAnsi="宋体" w:hint="eastAsia"/>
              </w:rPr>
              <w:t xml:space="preserve">6,407 </w:t>
            </w:r>
          </w:p>
        </w:tc>
        <w:tc>
          <w:tcPr>
            <w:tcW w:w="2885" w:type="dxa"/>
            <w:vAlign w:val="center"/>
          </w:tcPr>
          <w:p w:rsidR="00BC25DC" w:rsidRPr="00BC25DC" w:rsidRDefault="00BC25DC" w:rsidP="00BC25DC">
            <w:pPr>
              <w:jc w:val="right"/>
              <w:rPr>
                <w:rFonts w:ascii="宋体" w:hAnsi="宋体"/>
              </w:rPr>
            </w:pPr>
            <w:r w:rsidRPr="00BC25DC">
              <w:rPr>
                <w:rFonts w:ascii="宋体" w:hAnsi="宋体" w:hint="eastAsia"/>
              </w:rPr>
              <w:t xml:space="preserve">    708,934.55 </w:t>
            </w:r>
          </w:p>
        </w:tc>
      </w:tr>
      <w:tr w:rsidR="00BC25DC" w:rsidRPr="00BC25DC" w:rsidTr="009005E0">
        <w:tc>
          <w:tcPr>
            <w:tcW w:w="959" w:type="dxa"/>
          </w:tcPr>
          <w:p w:rsidR="00BC25DC" w:rsidRDefault="00BC25DC" w:rsidP="00BC25DC">
            <w:pPr>
              <w:jc w:val="center"/>
              <w:rPr>
                <w:rFonts w:ascii="宋体" w:hAnsi="宋体"/>
              </w:rPr>
            </w:pPr>
            <w:r>
              <w:rPr>
                <w:rFonts w:ascii="宋体" w:hAnsi="宋体"/>
              </w:rPr>
              <w:t>3</w:t>
            </w:r>
          </w:p>
        </w:tc>
        <w:tc>
          <w:tcPr>
            <w:tcW w:w="1417" w:type="dxa"/>
            <w:vAlign w:val="center"/>
          </w:tcPr>
          <w:p w:rsidR="00BC25DC" w:rsidRPr="00BC25DC" w:rsidRDefault="00BC25DC" w:rsidP="00BC25DC">
            <w:pPr>
              <w:jc w:val="center"/>
              <w:rPr>
                <w:rFonts w:ascii="宋体" w:hAnsi="宋体"/>
              </w:rPr>
            </w:pPr>
            <w:r w:rsidRPr="00BC25DC">
              <w:rPr>
                <w:rFonts w:ascii="宋体" w:hAnsi="宋体" w:hint="eastAsia"/>
              </w:rPr>
              <w:t>300166</w:t>
            </w:r>
          </w:p>
        </w:tc>
        <w:tc>
          <w:tcPr>
            <w:tcW w:w="1843" w:type="dxa"/>
            <w:vAlign w:val="center"/>
          </w:tcPr>
          <w:p w:rsidR="00BC25DC" w:rsidRPr="00BC25DC" w:rsidRDefault="00BC25DC" w:rsidP="00BC25DC">
            <w:pPr>
              <w:jc w:val="center"/>
              <w:rPr>
                <w:rFonts w:ascii="宋体" w:hAnsi="宋体"/>
              </w:rPr>
            </w:pPr>
            <w:r w:rsidRPr="00BC25DC">
              <w:rPr>
                <w:rFonts w:ascii="宋体" w:hAnsi="宋体" w:hint="eastAsia"/>
              </w:rPr>
              <w:t>东方国信</w:t>
            </w:r>
          </w:p>
        </w:tc>
        <w:tc>
          <w:tcPr>
            <w:tcW w:w="1418" w:type="dxa"/>
            <w:vAlign w:val="center"/>
          </w:tcPr>
          <w:p w:rsidR="00BC25DC" w:rsidRPr="00BC25DC" w:rsidRDefault="00BC25DC" w:rsidP="00BC25DC">
            <w:pPr>
              <w:jc w:val="right"/>
              <w:rPr>
                <w:rFonts w:ascii="宋体" w:hAnsi="宋体"/>
              </w:rPr>
            </w:pPr>
            <w:r w:rsidRPr="00BC25DC">
              <w:rPr>
                <w:rFonts w:ascii="宋体" w:hAnsi="宋体" w:hint="eastAsia"/>
              </w:rPr>
              <w:t xml:space="preserve">50,000 </w:t>
            </w:r>
          </w:p>
        </w:tc>
        <w:tc>
          <w:tcPr>
            <w:tcW w:w="2885" w:type="dxa"/>
            <w:vAlign w:val="center"/>
          </w:tcPr>
          <w:p w:rsidR="00BC25DC" w:rsidRPr="00BC25DC" w:rsidRDefault="00BC25DC" w:rsidP="00BC25DC">
            <w:pPr>
              <w:jc w:val="right"/>
              <w:rPr>
                <w:rFonts w:ascii="宋体" w:hAnsi="宋体"/>
              </w:rPr>
            </w:pPr>
            <w:r w:rsidRPr="00BC25DC">
              <w:rPr>
                <w:rFonts w:ascii="宋体" w:hAnsi="宋体" w:hint="eastAsia"/>
              </w:rPr>
              <w:t xml:space="preserve">    630,500.00 </w:t>
            </w:r>
          </w:p>
        </w:tc>
      </w:tr>
      <w:tr w:rsidR="00BC25DC" w:rsidRPr="00BC25DC" w:rsidTr="009005E0">
        <w:tc>
          <w:tcPr>
            <w:tcW w:w="959" w:type="dxa"/>
          </w:tcPr>
          <w:p w:rsidR="00BC25DC" w:rsidRDefault="00BC25DC" w:rsidP="00BC25DC">
            <w:pPr>
              <w:jc w:val="center"/>
              <w:rPr>
                <w:rFonts w:ascii="宋体" w:hAnsi="宋体"/>
              </w:rPr>
            </w:pPr>
            <w:r>
              <w:rPr>
                <w:rFonts w:ascii="宋体" w:hAnsi="宋体" w:hint="eastAsia"/>
              </w:rPr>
              <w:t>4</w:t>
            </w:r>
          </w:p>
        </w:tc>
        <w:tc>
          <w:tcPr>
            <w:tcW w:w="1417" w:type="dxa"/>
            <w:vAlign w:val="center"/>
          </w:tcPr>
          <w:p w:rsidR="00BC25DC" w:rsidRPr="00BC25DC" w:rsidRDefault="00BC25DC" w:rsidP="00BC25DC">
            <w:pPr>
              <w:jc w:val="center"/>
              <w:rPr>
                <w:rFonts w:ascii="宋体" w:hAnsi="宋体"/>
              </w:rPr>
            </w:pPr>
            <w:r w:rsidRPr="00BC25DC">
              <w:rPr>
                <w:rFonts w:ascii="宋体" w:hAnsi="宋体" w:hint="eastAsia"/>
              </w:rPr>
              <w:t>601319</w:t>
            </w:r>
          </w:p>
        </w:tc>
        <w:tc>
          <w:tcPr>
            <w:tcW w:w="1843" w:type="dxa"/>
            <w:vAlign w:val="center"/>
          </w:tcPr>
          <w:p w:rsidR="00BC25DC" w:rsidRPr="00BC25DC" w:rsidRDefault="00BC25DC" w:rsidP="00BC25DC">
            <w:pPr>
              <w:jc w:val="center"/>
              <w:rPr>
                <w:rFonts w:ascii="宋体" w:hAnsi="宋体"/>
              </w:rPr>
            </w:pPr>
            <w:r w:rsidRPr="00BC25DC">
              <w:rPr>
                <w:rFonts w:ascii="宋体" w:hAnsi="宋体" w:hint="eastAsia"/>
              </w:rPr>
              <w:t>中国人保</w:t>
            </w:r>
          </w:p>
        </w:tc>
        <w:tc>
          <w:tcPr>
            <w:tcW w:w="1418" w:type="dxa"/>
            <w:vAlign w:val="center"/>
          </w:tcPr>
          <w:p w:rsidR="00BC25DC" w:rsidRPr="00BC25DC" w:rsidRDefault="00BC25DC" w:rsidP="00BC25DC">
            <w:pPr>
              <w:jc w:val="right"/>
              <w:rPr>
                <w:rFonts w:ascii="宋体" w:hAnsi="宋体"/>
              </w:rPr>
            </w:pPr>
            <w:r w:rsidRPr="00BC25DC">
              <w:rPr>
                <w:rFonts w:ascii="宋体" w:hAnsi="宋体" w:hint="eastAsia"/>
              </w:rPr>
              <w:t xml:space="preserve">37,013 </w:t>
            </w:r>
          </w:p>
        </w:tc>
        <w:tc>
          <w:tcPr>
            <w:tcW w:w="2885" w:type="dxa"/>
            <w:vAlign w:val="center"/>
          </w:tcPr>
          <w:p w:rsidR="00BC25DC" w:rsidRPr="00BC25DC" w:rsidRDefault="00BC25DC" w:rsidP="00BC25DC">
            <w:pPr>
              <w:jc w:val="right"/>
              <w:rPr>
                <w:rFonts w:ascii="宋体" w:hAnsi="宋体"/>
              </w:rPr>
            </w:pPr>
            <w:r w:rsidRPr="00BC25DC">
              <w:rPr>
                <w:rFonts w:ascii="宋体" w:hAnsi="宋体" w:hint="eastAsia"/>
              </w:rPr>
              <w:t xml:space="preserve">    178,032.53 </w:t>
            </w:r>
          </w:p>
        </w:tc>
      </w:tr>
      <w:tr w:rsidR="00BC25DC" w:rsidRPr="00BC25DC" w:rsidTr="009005E0">
        <w:tc>
          <w:tcPr>
            <w:tcW w:w="959" w:type="dxa"/>
          </w:tcPr>
          <w:p w:rsidR="00BC25DC" w:rsidRDefault="00BC25DC" w:rsidP="00BC25DC">
            <w:pPr>
              <w:jc w:val="center"/>
              <w:rPr>
                <w:rFonts w:ascii="宋体" w:hAnsi="宋体"/>
              </w:rPr>
            </w:pPr>
            <w:r>
              <w:rPr>
                <w:rFonts w:ascii="宋体" w:hAnsi="宋体" w:hint="eastAsia"/>
              </w:rPr>
              <w:t>5</w:t>
            </w:r>
          </w:p>
        </w:tc>
        <w:tc>
          <w:tcPr>
            <w:tcW w:w="1417" w:type="dxa"/>
            <w:vAlign w:val="center"/>
          </w:tcPr>
          <w:p w:rsidR="00BC25DC" w:rsidRPr="00BC25DC" w:rsidRDefault="00BC25DC" w:rsidP="00BC25DC">
            <w:pPr>
              <w:jc w:val="center"/>
              <w:rPr>
                <w:rFonts w:ascii="宋体" w:hAnsi="宋体"/>
              </w:rPr>
            </w:pPr>
            <w:r w:rsidRPr="00BC25DC">
              <w:rPr>
                <w:rFonts w:ascii="宋体" w:hAnsi="宋体" w:hint="eastAsia"/>
              </w:rPr>
              <w:t>300674</w:t>
            </w:r>
          </w:p>
        </w:tc>
        <w:tc>
          <w:tcPr>
            <w:tcW w:w="1843" w:type="dxa"/>
            <w:vAlign w:val="center"/>
          </w:tcPr>
          <w:p w:rsidR="00BC25DC" w:rsidRPr="00BC25DC" w:rsidRDefault="00BC25DC" w:rsidP="00BC25DC">
            <w:pPr>
              <w:jc w:val="center"/>
              <w:rPr>
                <w:rFonts w:ascii="宋体" w:hAnsi="宋体"/>
              </w:rPr>
            </w:pPr>
            <w:r w:rsidRPr="00BC25DC">
              <w:rPr>
                <w:rFonts w:ascii="宋体" w:hAnsi="宋体" w:hint="eastAsia"/>
              </w:rPr>
              <w:t>宇信科技</w:t>
            </w:r>
          </w:p>
        </w:tc>
        <w:tc>
          <w:tcPr>
            <w:tcW w:w="1418" w:type="dxa"/>
            <w:vAlign w:val="center"/>
          </w:tcPr>
          <w:p w:rsidR="00BC25DC" w:rsidRPr="00BC25DC" w:rsidRDefault="00BC25DC" w:rsidP="00BC25DC">
            <w:pPr>
              <w:jc w:val="right"/>
              <w:rPr>
                <w:rFonts w:ascii="宋体" w:hAnsi="宋体"/>
              </w:rPr>
            </w:pPr>
            <w:r w:rsidRPr="00BC25DC">
              <w:rPr>
                <w:rFonts w:ascii="宋体" w:hAnsi="宋体" w:hint="eastAsia"/>
              </w:rPr>
              <w:t xml:space="preserve">1,541 </w:t>
            </w:r>
          </w:p>
        </w:tc>
        <w:tc>
          <w:tcPr>
            <w:tcW w:w="2885" w:type="dxa"/>
            <w:vAlign w:val="center"/>
          </w:tcPr>
          <w:p w:rsidR="00BC25DC" w:rsidRPr="00BC25DC" w:rsidRDefault="00BC25DC" w:rsidP="00BC25DC">
            <w:pPr>
              <w:jc w:val="right"/>
              <w:rPr>
                <w:rFonts w:ascii="宋体" w:hAnsi="宋体"/>
              </w:rPr>
            </w:pPr>
            <w:r w:rsidRPr="00BC25DC">
              <w:rPr>
                <w:rFonts w:ascii="宋体" w:hAnsi="宋体" w:hint="eastAsia"/>
              </w:rPr>
              <w:t xml:space="preserve">     36,136.45 </w:t>
            </w:r>
          </w:p>
        </w:tc>
      </w:tr>
      <w:tr w:rsidR="00BC25DC" w:rsidRPr="00BC25DC" w:rsidTr="009005E0">
        <w:tc>
          <w:tcPr>
            <w:tcW w:w="959" w:type="dxa"/>
          </w:tcPr>
          <w:p w:rsidR="00BC25DC" w:rsidRDefault="00BC25DC" w:rsidP="00BC25DC">
            <w:pPr>
              <w:jc w:val="center"/>
              <w:rPr>
                <w:rFonts w:ascii="宋体" w:hAnsi="宋体"/>
              </w:rPr>
            </w:pPr>
            <w:r>
              <w:rPr>
                <w:rFonts w:ascii="宋体" w:hAnsi="宋体"/>
              </w:rPr>
              <w:t>6</w:t>
            </w:r>
          </w:p>
        </w:tc>
        <w:tc>
          <w:tcPr>
            <w:tcW w:w="1417" w:type="dxa"/>
            <w:vAlign w:val="center"/>
          </w:tcPr>
          <w:p w:rsidR="00BC25DC" w:rsidRPr="00BC25DC" w:rsidRDefault="00BC25DC" w:rsidP="00BC25DC">
            <w:pPr>
              <w:jc w:val="center"/>
              <w:rPr>
                <w:rFonts w:ascii="宋体" w:hAnsi="宋体"/>
              </w:rPr>
            </w:pPr>
            <w:r w:rsidRPr="00BC25DC">
              <w:rPr>
                <w:rFonts w:ascii="宋体" w:hAnsi="宋体" w:hint="eastAsia"/>
              </w:rPr>
              <w:t>603900</w:t>
            </w:r>
          </w:p>
        </w:tc>
        <w:tc>
          <w:tcPr>
            <w:tcW w:w="1843" w:type="dxa"/>
            <w:vAlign w:val="center"/>
          </w:tcPr>
          <w:p w:rsidR="00BC25DC" w:rsidRPr="00BC25DC" w:rsidRDefault="00BC25DC" w:rsidP="00BC25DC">
            <w:pPr>
              <w:jc w:val="center"/>
              <w:rPr>
                <w:rFonts w:ascii="宋体" w:hAnsi="宋体"/>
              </w:rPr>
            </w:pPr>
            <w:r w:rsidRPr="00BC25DC">
              <w:rPr>
                <w:rFonts w:ascii="宋体" w:hAnsi="宋体" w:hint="eastAsia"/>
              </w:rPr>
              <w:t>莱绅通灵</w:t>
            </w:r>
          </w:p>
        </w:tc>
        <w:tc>
          <w:tcPr>
            <w:tcW w:w="1418" w:type="dxa"/>
            <w:vAlign w:val="center"/>
          </w:tcPr>
          <w:p w:rsidR="00BC25DC" w:rsidRPr="00BC25DC" w:rsidRDefault="00BC25DC" w:rsidP="00BC25DC">
            <w:pPr>
              <w:jc w:val="right"/>
              <w:rPr>
                <w:rFonts w:ascii="宋体" w:hAnsi="宋体"/>
              </w:rPr>
            </w:pPr>
            <w:r w:rsidRPr="00BC25DC">
              <w:rPr>
                <w:rFonts w:ascii="宋体" w:hAnsi="宋体" w:hint="eastAsia"/>
              </w:rPr>
              <w:t xml:space="preserve">20 </w:t>
            </w:r>
          </w:p>
        </w:tc>
        <w:tc>
          <w:tcPr>
            <w:tcW w:w="2885" w:type="dxa"/>
            <w:vAlign w:val="center"/>
          </w:tcPr>
          <w:p w:rsidR="00BC25DC" w:rsidRPr="00BC25DC" w:rsidRDefault="00BC25DC" w:rsidP="00BC25DC">
            <w:pPr>
              <w:jc w:val="right"/>
              <w:rPr>
                <w:rFonts w:ascii="宋体" w:hAnsi="宋体"/>
              </w:rPr>
            </w:pPr>
            <w:r w:rsidRPr="00BC25DC">
              <w:rPr>
                <w:rFonts w:ascii="宋体" w:hAnsi="宋体" w:hint="eastAsia"/>
              </w:rPr>
              <w:t xml:space="preserve">        258.40 </w:t>
            </w:r>
          </w:p>
        </w:tc>
      </w:tr>
    </w:tbl>
    <w:p w:rsidR="00EE6A7B" w:rsidRDefault="00EE6A7B" w:rsidP="009D04ED">
      <w:pPr>
        <w:spacing w:line="360" w:lineRule="auto"/>
        <w:rPr>
          <w:rFonts w:ascii="宋体" w:hAnsi="宋体"/>
        </w:rPr>
      </w:pPr>
      <w:r w:rsidRPr="00335964">
        <w:rPr>
          <w:rFonts w:ascii="宋体" w:hAnsi="宋体" w:hint="eastAsia"/>
        </w:rPr>
        <w:t>（</w:t>
      </w:r>
      <w:r w:rsidR="00ED3B52" w:rsidRPr="00335964">
        <w:rPr>
          <w:rFonts w:ascii="宋体" w:hAnsi="宋体"/>
        </w:rPr>
        <w:t>5</w:t>
      </w:r>
      <w:r w:rsidRPr="00335964">
        <w:rPr>
          <w:rFonts w:ascii="宋体" w:hAnsi="宋体" w:hint="eastAsia"/>
        </w:rPr>
        <w:t>）</w:t>
      </w:r>
      <w:r w:rsidRPr="00335964">
        <w:rPr>
          <w:rFonts w:ascii="宋体" w:hAnsi="宋体"/>
        </w:rPr>
        <w:t>本基金最后运作日</w:t>
      </w:r>
      <w:r w:rsidRPr="00335964">
        <w:rPr>
          <w:rFonts w:ascii="宋体" w:hAnsi="宋体" w:hint="eastAsia"/>
        </w:rPr>
        <w:t>债券投资</w:t>
      </w:r>
      <w:r w:rsidR="00487451" w:rsidRPr="00335964">
        <w:rPr>
          <w:rFonts w:ascii="宋体" w:hAnsi="宋体"/>
        </w:rPr>
        <w:t>16</w:t>
      </w:r>
      <w:r w:rsidR="00C30507" w:rsidRPr="00335964">
        <w:rPr>
          <w:rFonts w:ascii="宋体" w:hAnsi="宋体"/>
        </w:rPr>
        <w:t>,</w:t>
      </w:r>
      <w:r w:rsidR="00487451" w:rsidRPr="00335964">
        <w:rPr>
          <w:rFonts w:ascii="宋体" w:hAnsi="宋体"/>
        </w:rPr>
        <w:t>954</w:t>
      </w:r>
      <w:r w:rsidR="00C30507" w:rsidRPr="00335964">
        <w:rPr>
          <w:rFonts w:ascii="宋体" w:hAnsi="宋体"/>
        </w:rPr>
        <w:t>,</w:t>
      </w:r>
      <w:r w:rsidR="00487451" w:rsidRPr="00335964">
        <w:rPr>
          <w:rFonts w:ascii="宋体" w:hAnsi="宋体"/>
        </w:rPr>
        <w:t>354.81</w:t>
      </w:r>
      <w:r w:rsidR="00CA120C" w:rsidRPr="00335964">
        <w:rPr>
          <w:rFonts w:ascii="宋体" w:hAnsi="宋体" w:hint="eastAsia"/>
        </w:rPr>
        <w:t>元，持仓明细如下</w:t>
      </w:r>
      <w:r w:rsidR="00751BFE" w:rsidRPr="00335964">
        <w:rPr>
          <w:rFonts w:ascii="宋体" w:hAnsi="宋体" w:hint="eastAsia"/>
        </w:rPr>
        <w:t>。</w:t>
      </w:r>
      <w:r w:rsidR="00C30507" w:rsidRPr="00335964">
        <w:rPr>
          <w:rFonts w:ascii="宋体" w:hAnsi="宋体" w:hint="eastAsia"/>
        </w:rPr>
        <w:t>以下</w:t>
      </w:r>
      <w:r w:rsidR="00CA120C" w:rsidRPr="00335964">
        <w:rPr>
          <w:rFonts w:ascii="宋体" w:hAnsi="宋体" w:hint="eastAsia"/>
        </w:rPr>
        <w:t>债券</w:t>
      </w:r>
      <w:r w:rsidR="001E7B76" w:rsidRPr="00335964">
        <w:rPr>
          <w:rFonts w:ascii="宋体" w:hAnsi="宋体" w:hint="eastAsia"/>
        </w:rPr>
        <w:t>除</w:t>
      </w:r>
      <w:r w:rsidR="001E7B76" w:rsidRPr="00335964">
        <w:rPr>
          <w:rFonts w:ascii="宋体" w:hAnsi="宋体"/>
        </w:rPr>
        <w:t>光电转债外</w:t>
      </w:r>
      <w:r w:rsidR="001E7B76" w:rsidRPr="00335964">
        <w:rPr>
          <w:rFonts w:ascii="宋体" w:hAnsi="宋体" w:hint="eastAsia"/>
        </w:rPr>
        <w:t>，</w:t>
      </w:r>
      <w:r w:rsidR="001E7B76" w:rsidRPr="00335964">
        <w:rPr>
          <w:rFonts w:ascii="宋体" w:hAnsi="宋体"/>
        </w:rPr>
        <w:t>已在清算期</w:t>
      </w:r>
      <w:r w:rsidR="00926DBE" w:rsidRPr="00335964">
        <w:rPr>
          <w:rFonts w:ascii="宋体" w:hAnsi="宋体" w:hint="eastAsia"/>
        </w:rPr>
        <w:t>全部卖出</w:t>
      </w:r>
      <w:r w:rsidR="001E7B76" w:rsidRPr="00335964">
        <w:rPr>
          <w:rFonts w:ascii="宋体" w:hAnsi="宋体" w:hint="eastAsia"/>
        </w:rPr>
        <w:t>，卖券清算款也已</w:t>
      </w:r>
      <w:r w:rsidR="008552EA" w:rsidRPr="00335964">
        <w:rPr>
          <w:rFonts w:ascii="宋体" w:hAnsi="宋体" w:hint="eastAsia"/>
        </w:rPr>
        <w:t>到账</w:t>
      </w:r>
      <w:r w:rsidR="00B44D2B" w:rsidRPr="00335964">
        <w:rPr>
          <w:rFonts w:ascii="宋体" w:hAnsi="宋体" w:hint="eastAsia"/>
        </w:rPr>
        <w:t>。</w:t>
      </w:r>
    </w:p>
    <w:tbl>
      <w:tblPr>
        <w:tblStyle w:val="ae"/>
        <w:tblW w:w="0" w:type="auto"/>
        <w:tblLook w:val="04A0"/>
      </w:tblPr>
      <w:tblGrid>
        <w:gridCol w:w="959"/>
        <w:gridCol w:w="1417"/>
        <w:gridCol w:w="1843"/>
        <w:gridCol w:w="1418"/>
        <w:gridCol w:w="2885"/>
      </w:tblGrid>
      <w:tr w:rsidR="00CA120C" w:rsidTr="00992881">
        <w:tc>
          <w:tcPr>
            <w:tcW w:w="959" w:type="dxa"/>
          </w:tcPr>
          <w:p w:rsidR="00CA120C" w:rsidRDefault="00CA120C" w:rsidP="00992881">
            <w:pPr>
              <w:jc w:val="center"/>
              <w:rPr>
                <w:rFonts w:ascii="宋体" w:hAnsi="宋体"/>
              </w:rPr>
            </w:pPr>
            <w:r>
              <w:rPr>
                <w:rFonts w:ascii="宋体" w:hAnsi="宋体" w:hint="eastAsia"/>
              </w:rPr>
              <w:t>序号</w:t>
            </w:r>
          </w:p>
        </w:tc>
        <w:tc>
          <w:tcPr>
            <w:tcW w:w="1417" w:type="dxa"/>
          </w:tcPr>
          <w:p w:rsidR="00CA120C" w:rsidRDefault="00D52B63" w:rsidP="00992881">
            <w:pPr>
              <w:jc w:val="center"/>
              <w:rPr>
                <w:rFonts w:ascii="宋体" w:hAnsi="宋体"/>
              </w:rPr>
            </w:pPr>
            <w:r>
              <w:rPr>
                <w:rFonts w:ascii="宋体" w:hAnsi="宋体" w:hint="eastAsia"/>
              </w:rPr>
              <w:t>证券</w:t>
            </w:r>
            <w:r w:rsidR="00CA120C">
              <w:rPr>
                <w:rFonts w:ascii="宋体" w:hAnsi="宋体" w:hint="eastAsia"/>
              </w:rPr>
              <w:t>代码</w:t>
            </w:r>
          </w:p>
        </w:tc>
        <w:tc>
          <w:tcPr>
            <w:tcW w:w="1843" w:type="dxa"/>
          </w:tcPr>
          <w:p w:rsidR="00CA120C" w:rsidRDefault="00D52B63" w:rsidP="00992881">
            <w:pPr>
              <w:jc w:val="center"/>
              <w:rPr>
                <w:rFonts w:ascii="宋体" w:hAnsi="宋体"/>
              </w:rPr>
            </w:pPr>
            <w:r>
              <w:rPr>
                <w:rFonts w:ascii="宋体" w:hAnsi="宋体" w:hint="eastAsia"/>
              </w:rPr>
              <w:t>证券</w:t>
            </w:r>
            <w:r w:rsidR="00CA120C">
              <w:rPr>
                <w:rFonts w:ascii="宋体" w:hAnsi="宋体" w:hint="eastAsia"/>
              </w:rPr>
              <w:t>名称</w:t>
            </w:r>
          </w:p>
        </w:tc>
        <w:tc>
          <w:tcPr>
            <w:tcW w:w="1418" w:type="dxa"/>
          </w:tcPr>
          <w:p w:rsidR="00CA120C" w:rsidRDefault="00CA120C" w:rsidP="00992881">
            <w:pPr>
              <w:jc w:val="center"/>
              <w:rPr>
                <w:rFonts w:ascii="宋体" w:hAnsi="宋体"/>
              </w:rPr>
            </w:pPr>
            <w:r>
              <w:rPr>
                <w:rFonts w:ascii="宋体" w:hAnsi="宋体" w:hint="eastAsia"/>
              </w:rPr>
              <w:t>数量（张）</w:t>
            </w:r>
          </w:p>
        </w:tc>
        <w:tc>
          <w:tcPr>
            <w:tcW w:w="2885" w:type="dxa"/>
          </w:tcPr>
          <w:p w:rsidR="00CA120C" w:rsidRDefault="00CA120C" w:rsidP="00992881">
            <w:pPr>
              <w:jc w:val="center"/>
              <w:rPr>
                <w:rFonts w:ascii="宋体" w:hAnsi="宋体"/>
              </w:rPr>
            </w:pPr>
            <w:r>
              <w:rPr>
                <w:rFonts w:ascii="宋体" w:hAnsi="宋体" w:hint="eastAsia"/>
              </w:rPr>
              <w:t>公允价值（</w:t>
            </w:r>
            <w:r w:rsidR="00992881">
              <w:rPr>
                <w:rFonts w:ascii="宋体" w:hAnsi="宋体" w:hint="eastAsia"/>
              </w:rPr>
              <w:t>人民币</w:t>
            </w:r>
            <w:r>
              <w:rPr>
                <w:rFonts w:ascii="宋体" w:hAnsi="宋体" w:hint="eastAsia"/>
              </w:rPr>
              <w:t>元）</w:t>
            </w:r>
          </w:p>
        </w:tc>
      </w:tr>
      <w:tr w:rsidR="00C30507" w:rsidRPr="00C30507" w:rsidTr="009005E0">
        <w:tc>
          <w:tcPr>
            <w:tcW w:w="959" w:type="dxa"/>
            <w:vAlign w:val="center"/>
          </w:tcPr>
          <w:p w:rsidR="00C30507" w:rsidRPr="00C30507" w:rsidRDefault="00C30507" w:rsidP="00C30507">
            <w:pPr>
              <w:jc w:val="center"/>
              <w:rPr>
                <w:rFonts w:ascii="宋体" w:hAnsi="宋体"/>
              </w:rPr>
            </w:pPr>
            <w:r w:rsidRPr="00C30507">
              <w:rPr>
                <w:rFonts w:ascii="宋体" w:hAnsi="宋体" w:hint="eastAsia"/>
              </w:rPr>
              <w:t>1</w:t>
            </w:r>
          </w:p>
        </w:tc>
        <w:tc>
          <w:tcPr>
            <w:tcW w:w="1417" w:type="dxa"/>
            <w:vAlign w:val="center"/>
          </w:tcPr>
          <w:p w:rsidR="00C30507" w:rsidRPr="00C30507" w:rsidRDefault="00C30507" w:rsidP="00C30507">
            <w:pPr>
              <w:jc w:val="center"/>
              <w:rPr>
                <w:rFonts w:ascii="宋体" w:hAnsi="宋体"/>
              </w:rPr>
            </w:pPr>
            <w:r w:rsidRPr="00C30507">
              <w:rPr>
                <w:rFonts w:ascii="宋体" w:hAnsi="宋体" w:hint="eastAsia"/>
              </w:rPr>
              <w:t>010303</w:t>
            </w:r>
          </w:p>
        </w:tc>
        <w:tc>
          <w:tcPr>
            <w:tcW w:w="1843" w:type="dxa"/>
            <w:vAlign w:val="center"/>
          </w:tcPr>
          <w:p w:rsidR="00C30507" w:rsidRPr="00C30507" w:rsidRDefault="00C30507" w:rsidP="00C30507">
            <w:pPr>
              <w:jc w:val="center"/>
              <w:rPr>
                <w:rFonts w:ascii="宋体" w:hAnsi="宋体"/>
              </w:rPr>
            </w:pPr>
            <w:r w:rsidRPr="00C30507">
              <w:rPr>
                <w:rFonts w:ascii="宋体" w:hAnsi="宋体" w:hint="eastAsia"/>
              </w:rPr>
              <w:t>03国债⑶</w:t>
            </w:r>
          </w:p>
        </w:tc>
        <w:tc>
          <w:tcPr>
            <w:tcW w:w="1418" w:type="dxa"/>
            <w:vAlign w:val="center"/>
          </w:tcPr>
          <w:p w:rsidR="00C30507" w:rsidRPr="00C30507" w:rsidRDefault="00C30507" w:rsidP="00C30507">
            <w:pPr>
              <w:jc w:val="right"/>
              <w:rPr>
                <w:rFonts w:ascii="宋体" w:hAnsi="宋体"/>
              </w:rPr>
            </w:pPr>
            <w:r w:rsidRPr="00C30507">
              <w:rPr>
                <w:rFonts w:ascii="宋体" w:hAnsi="宋体" w:hint="eastAsia"/>
              </w:rPr>
              <w:t>100,000</w:t>
            </w:r>
          </w:p>
        </w:tc>
        <w:tc>
          <w:tcPr>
            <w:tcW w:w="2885" w:type="dxa"/>
            <w:vAlign w:val="center"/>
          </w:tcPr>
          <w:p w:rsidR="00C30507" w:rsidRPr="00C30507" w:rsidRDefault="00C30507" w:rsidP="00C30507">
            <w:pPr>
              <w:jc w:val="right"/>
              <w:rPr>
                <w:rFonts w:ascii="宋体" w:hAnsi="宋体"/>
              </w:rPr>
            </w:pPr>
            <w:r w:rsidRPr="00C30507">
              <w:rPr>
                <w:rFonts w:ascii="宋体" w:hAnsi="宋体" w:hint="eastAsia"/>
              </w:rPr>
              <w:t xml:space="preserve">  10,049,000.00 </w:t>
            </w:r>
          </w:p>
        </w:tc>
      </w:tr>
      <w:tr w:rsidR="00C30507" w:rsidRPr="00C30507" w:rsidTr="009005E0">
        <w:tc>
          <w:tcPr>
            <w:tcW w:w="959" w:type="dxa"/>
            <w:vAlign w:val="center"/>
          </w:tcPr>
          <w:p w:rsidR="00C30507" w:rsidRPr="00C30507" w:rsidRDefault="00C30507" w:rsidP="00C30507">
            <w:pPr>
              <w:jc w:val="center"/>
              <w:rPr>
                <w:rFonts w:ascii="宋体" w:hAnsi="宋体"/>
              </w:rPr>
            </w:pPr>
            <w:r w:rsidRPr="00C30507">
              <w:rPr>
                <w:rFonts w:ascii="宋体" w:hAnsi="宋体" w:hint="eastAsia"/>
              </w:rPr>
              <w:t>2</w:t>
            </w:r>
          </w:p>
        </w:tc>
        <w:tc>
          <w:tcPr>
            <w:tcW w:w="1417" w:type="dxa"/>
            <w:vAlign w:val="center"/>
          </w:tcPr>
          <w:p w:rsidR="00C30507" w:rsidRPr="00C30507" w:rsidRDefault="00C30507" w:rsidP="00C30507">
            <w:pPr>
              <w:jc w:val="center"/>
              <w:rPr>
                <w:rFonts w:ascii="宋体" w:hAnsi="宋体"/>
              </w:rPr>
            </w:pPr>
            <w:r w:rsidRPr="00C30507">
              <w:rPr>
                <w:rFonts w:ascii="宋体" w:hAnsi="宋体" w:hint="eastAsia"/>
              </w:rPr>
              <w:t>136417</w:t>
            </w:r>
          </w:p>
        </w:tc>
        <w:tc>
          <w:tcPr>
            <w:tcW w:w="1843" w:type="dxa"/>
            <w:vAlign w:val="center"/>
          </w:tcPr>
          <w:p w:rsidR="00C30507" w:rsidRPr="00C30507" w:rsidRDefault="00C30507" w:rsidP="00C30507">
            <w:pPr>
              <w:jc w:val="center"/>
              <w:rPr>
                <w:rFonts w:ascii="宋体" w:hAnsi="宋体"/>
              </w:rPr>
            </w:pPr>
            <w:r w:rsidRPr="00C30507">
              <w:rPr>
                <w:rFonts w:ascii="宋体" w:hAnsi="宋体" w:hint="eastAsia"/>
              </w:rPr>
              <w:t>16万达02</w:t>
            </w:r>
          </w:p>
        </w:tc>
        <w:tc>
          <w:tcPr>
            <w:tcW w:w="1418" w:type="dxa"/>
            <w:vAlign w:val="center"/>
          </w:tcPr>
          <w:p w:rsidR="00C30507" w:rsidRPr="00C30507" w:rsidRDefault="00C30507" w:rsidP="00C30507">
            <w:pPr>
              <w:jc w:val="right"/>
              <w:rPr>
                <w:rFonts w:ascii="宋体" w:hAnsi="宋体"/>
              </w:rPr>
            </w:pPr>
            <w:r w:rsidRPr="00C30507">
              <w:rPr>
                <w:rFonts w:ascii="宋体" w:hAnsi="宋体" w:hint="eastAsia"/>
              </w:rPr>
              <w:t>44,000</w:t>
            </w:r>
          </w:p>
        </w:tc>
        <w:tc>
          <w:tcPr>
            <w:tcW w:w="2885" w:type="dxa"/>
            <w:vAlign w:val="center"/>
          </w:tcPr>
          <w:p w:rsidR="00C30507" w:rsidRPr="00C30507" w:rsidRDefault="00C30507" w:rsidP="00C30507">
            <w:pPr>
              <w:jc w:val="right"/>
              <w:rPr>
                <w:rFonts w:ascii="宋体" w:hAnsi="宋体"/>
              </w:rPr>
            </w:pPr>
            <w:r w:rsidRPr="00C30507">
              <w:rPr>
                <w:rFonts w:ascii="宋体" w:hAnsi="宋体" w:hint="eastAsia"/>
              </w:rPr>
              <w:t xml:space="preserve">   4,388,120.00 </w:t>
            </w:r>
          </w:p>
        </w:tc>
      </w:tr>
      <w:tr w:rsidR="00C30507" w:rsidRPr="00C30507" w:rsidTr="009005E0">
        <w:tc>
          <w:tcPr>
            <w:tcW w:w="959" w:type="dxa"/>
            <w:vAlign w:val="center"/>
          </w:tcPr>
          <w:p w:rsidR="00C30507" w:rsidRPr="00C30507" w:rsidRDefault="00C30507" w:rsidP="00C30507">
            <w:pPr>
              <w:jc w:val="center"/>
              <w:rPr>
                <w:rFonts w:ascii="宋体" w:hAnsi="宋体"/>
              </w:rPr>
            </w:pPr>
            <w:r w:rsidRPr="00C30507">
              <w:rPr>
                <w:rFonts w:ascii="宋体" w:hAnsi="宋体" w:hint="eastAsia"/>
              </w:rPr>
              <w:t>3</w:t>
            </w:r>
          </w:p>
        </w:tc>
        <w:tc>
          <w:tcPr>
            <w:tcW w:w="1417" w:type="dxa"/>
            <w:vAlign w:val="center"/>
          </w:tcPr>
          <w:p w:rsidR="00C30507" w:rsidRPr="00C30507" w:rsidRDefault="00C30507" w:rsidP="00C30507">
            <w:pPr>
              <w:jc w:val="center"/>
              <w:rPr>
                <w:rFonts w:ascii="宋体" w:hAnsi="宋体"/>
              </w:rPr>
            </w:pPr>
            <w:r w:rsidRPr="00C30507">
              <w:rPr>
                <w:rFonts w:ascii="宋体" w:hAnsi="宋体" w:hint="eastAsia"/>
              </w:rPr>
              <w:t>132007</w:t>
            </w:r>
          </w:p>
        </w:tc>
        <w:tc>
          <w:tcPr>
            <w:tcW w:w="1843" w:type="dxa"/>
            <w:vAlign w:val="center"/>
          </w:tcPr>
          <w:p w:rsidR="00C30507" w:rsidRPr="00C30507" w:rsidRDefault="00C30507" w:rsidP="00C30507">
            <w:pPr>
              <w:jc w:val="center"/>
              <w:rPr>
                <w:rFonts w:ascii="宋体" w:hAnsi="宋体"/>
              </w:rPr>
            </w:pPr>
            <w:r w:rsidRPr="00C30507">
              <w:rPr>
                <w:rFonts w:ascii="宋体" w:hAnsi="宋体" w:hint="eastAsia"/>
              </w:rPr>
              <w:t>16凤凰EB</w:t>
            </w:r>
          </w:p>
        </w:tc>
        <w:tc>
          <w:tcPr>
            <w:tcW w:w="1418" w:type="dxa"/>
            <w:vAlign w:val="center"/>
          </w:tcPr>
          <w:p w:rsidR="00C30507" w:rsidRPr="00C30507" w:rsidRDefault="00C30507" w:rsidP="00C30507">
            <w:pPr>
              <w:jc w:val="right"/>
              <w:rPr>
                <w:rFonts w:ascii="宋体" w:hAnsi="宋体"/>
              </w:rPr>
            </w:pPr>
            <w:r w:rsidRPr="00C30507">
              <w:rPr>
                <w:rFonts w:ascii="宋体" w:hAnsi="宋体" w:hint="eastAsia"/>
              </w:rPr>
              <w:t>24,480</w:t>
            </w:r>
          </w:p>
        </w:tc>
        <w:tc>
          <w:tcPr>
            <w:tcW w:w="2885" w:type="dxa"/>
            <w:vAlign w:val="center"/>
          </w:tcPr>
          <w:p w:rsidR="00C30507" w:rsidRPr="00C30507" w:rsidRDefault="00C30507" w:rsidP="00C30507">
            <w:pPr>
              <w:jc w:val="right"/>
              <w:rPr>
                <w:rFonts w:ascii="宋体" w:hAnsi="宋体"/>
              </w:rPr>
            </w:pPr>
            <w:r w:rsidRPr="00C30507">
              <w:rPr>
                <w:rFonts w:ascii="宋体" w:hAnsi="宋体" w:hint="eastAsia"/>
              </w:rPr>
              <w:t xml:space="preserve">   2,366,236.80 </w:t>
            </w:r>
          </w:p>
        </w:tc>
      </w:tr>
      <w:tr w:rsidR="00C30507" w:rsidRPr="00C30507" w:rsidTr="009005E0">
        <w:tc>
          <w:tcPr>
            <w:tcW w:w="959" w:type="dxa"/>
            <w:vAlign w:val="center"/>
          </w:tcPr>
          <w:p w:rsidR="00C30507" w:rsidRPr="00C30507" w:rsidRDefault="00C30507" w:rsidP="00C30507">
            <w:pPr>
              <w:jc w:val="center"/>
              <w:rPr>
                <w:rFonts w:ascii="宋体" w:hAnsi="宋体"/>
              </w:rPr>
            </w:pPr>
            <w:r w:rsidRPr="00C30507">
              <w:rPr>
                <w:rFonts w:ascii="宋体" w:hAnsi="宋体" w:hint="eastAsia"/>
              </w:rPr>
              <w:t>4</w:t>
            </w:r>
          </w:p>
        </w:tc>
        <w:tc>
          <w:tcPr>
            <w:tcW w:w="1417" w:type="dxa"/>
            <w:vAlign w:val="center"/>
          </w:tcPr>
          <w:p w:rsidR="00C30507" w:rsidRPr="00C30507" w:rsidRDefault="00C30507" w:rsidP="00C30507">
            <w:pPr>
              <w:jc w:val="center"/>
              <w:rPr>
                <w:rFonts w:ascii="宋体" w:hAnsi="宋体"/>
              </w:rPr>
            </w:pPr>
            <w:r w:rsidRPr="00C30507">
              <w:rPr>
                <w:rFonts w:ascii="宋体" w:hAnsi="宋体" w:hint="eastAsia"/>
              </w:rPr>
              <w:t>128047</w:t>
            </w:r>
          </w:p>
        </w:tc>
        <w:tc>
          <w:tcPr>
            <w:tcW w:w="1843" w:type="dxa"/>
            <w:vAlign w:val="center"/>
          </w:tcPr>
          <w:p w:rsidR="00C30507" w:rsidRPr="00C30507" w:rsidRDefault="00C30507" w:rsidP="00C30507">
            <w:pPr>
              <w:jc w:val="center"/>
              <w:rPr>
                <w:rFonts w:ascii="宋体" w:hAnsi="宋体"/>
              </w:rPr>
            </w:pPr>
            <w:r w:rsidRPr="00C30507">
              <w:rPr>
                <w:rFonts w:ascii="宋体" w:hAnsi="宋体" w:hint="eastAsia"/>
              </w:rPr>
              <w:t>光电转债</w:t>
            </w:r>
          </w:p>
        </w:tc>
        <w:tc>
          <w:tcPr>
            <w:tcW w:w="1418" w:type="dxa"/>
            <w:vAlign w:val="center"/>
          </w:tcPr>
          <w:p w:rsidR="00C30507" w:rsidRPr="00C30507" w:rsidRDefault="00C30507" w:rsidP="00C30507">
            <w:pPr>
              <w:jc w:val="right"/>
              <w:rPr>
                <w:rFonts w:ascii="宋体" w:hAnsi="宋体"/>
              </w:rPr>
            </w:pPr>
            <w:r w:rsidRPr="00C30507">
              <w:rPr>
                <w:rFonts w:ascii="宋体" w:hAnsi="宋体" w:hint="eastAsia"/>
              </w:rPr>
              <w:t>1,510</w:t>
            </w:r>
          </w:p>
        </w:tc>
        <w:tc>
          <w:tcPr>
            <w:tcW w:w="2885" w:type="dxa"/>
            <w:vAlign w:val="center"/>
          </w:tcPr>
          <w:p w:rsidR="00C30507" w:rsidRPr="00C30507" w:rsidRDefault="00C30507" w:rsidP="00C30507">
            <w:pPr>
              <w:jc w:val="right"/>
              <w:rPr>
                <w:rFonts w:ascii="宋体" w:hAnsi="宋体"/>
              </w:rPr>
            </w:pPr>
            <w:r w:rsidRPr="00C30507">
              <w:rPr>
                <w:rFonts w:ascii="宋体" w:hAnsi="宋体" w:hint="eastAsia"/>
              </w:rPr>
              <w:t xml:space="preserve">     150,998.01 </w:t>
            </w:r>
          </w:p>
        </w:tc>
      </w:tr>
    </w:tbl>
    <w:p w:rsidR="001E7B76" w:rsidRPr="00335964" w:rsidRDefault="00335964" w:rsidP="001E7B76">
      <w:pPr>
        <w:spacing w:line="360" w:lineRule="auto"/>
        <w:ind w:firstLineChars="200" w:firstLine="420"/>
        <w:rPr>
          <w:rFonts w:ascii="宋体" w:hAnsi="宋体"/>
        </w:rPr>
      </w:pPr>
      <w:r w:rsidRPr="00335964">
        <w:rPr>
          <w:rFonts w:ascii="宋体" w:hAnsi="宋体" w:hint="eastAsia"/>
        </w:rPr>
        <w:t>截至2018年11月23日(清算结束日)，本基金所持有的</w:t>
      </w:r>
      <w:r w:rsidRPr="00335964">
        <w:rPr>
          <w:rFonts w:ascii="宋体" w:hAnsi="宋体"/>
        </w:rPr>
        <w:t>光电转债</w:t>
      </w:r>
      <w:r w:rsidRPr="00335964">
        <w:rPr>
          <w:rFonts w:ascii="宋体" w:hAnsi="宋体" w:hint="eastAsia"/>
        </w:rPr>
        <w:t>仍处于未上市状态，本基金将于上述资产全部变现后，将变现后的财产扣除基金财产清算费用、缴纳税款，并按基金份额持有人持有的基金份额比例进行分配。</w:t>
      </w:r>
    </w:p>
    <w:p w:rsidR="00E74CEB" w:rsidRDefault="00751BFE" w:rsidP="00B60EA3">
      <w:pPr>
        <w:spacing w:line="360" w:lineRule="auto"/>
        <w:rPr>
          <w:rFonts w:ascii="宋体" w:hAnsi="宋体"/>
        </w:rPr>
      </w:pPr>
      <w:r>
        <w:rPr>
          <w:rFonts w:ascii="宋体" w:hAnsi="宋体" w:hint="eastAsia"/>
        </w:rPr>
        <w:t>（</w:t>
      </w:r>
      <w:r w:rsidR="00ED3B52">
        <w:rPr>
          <w:rFonts w:ascii="宋体" w:hAnsi="宋体"/>
        </w:rPr>
        <w:t>6</w:t>
      </w:r>
      <w:r>
        <w:rPr>
          <w:rFonts w:ascii="宋体" w:hAnsi="宋体" w:hint="eastAsia"/>
        </w:rPr>
        <w:t>）</w:t>
      </w:r>
      <w:r w:rsidR="00E74CEB" w:rsidRPr="004676BD">
        <w:rPr>
          <w:rFonts w:ascii="宋体" w:hAnsi="宋体"/>
        </w:rPr>
        <w:t>本基金最后运作日应收利息</w:t>
      </w:r>
      <w:r w:rsidR="00ED3B52" w:rsidRPr="00ED3B52">
        <w:rPr>
          <w:rFonts w:ascii="宋体" w:hAnsi="宋体"/>
        </w:rPr>
        <w:t>130</w:t>
      </w:r>
      <w:r w:rsidR="00ED3B52">
        <w:rPr>
          <w:rFonts w:ascii="宋体" w:hAnsi="宋体"/>
        </w:rPr>
        <w:t>,</w:t>
      </w:r>
      <w:r w:rsidR="00ED3B52" w:rsidRPr="00ED3B52">
        <w:rPr>
          <w:rFonts w:ascii="宋体" w:hAnsi="宋体"/>
        </w:rPr>
        <w:t>936.69</w:t>
      </w:r>
      <w:r w:rsidR="00E74CEB" w:rsidRPr="004676BD">
        <w:rPr>
          <w:rFonts w:ascii="宋体" w:hAnsi="宋体"/>
        </w:rPr>
        <w:t>元，</w:t>
      </w:r>
      <w:r w:rsidR="00FF36C8">
        <w:rPr>
          <w:rFonts w:ascii="宋体" w:hAnsi="宋体" w:hint="eastAsia"/>
        </w:rPr>
        <w:t>包含</w:t>
      </w:r>
      <w:r w:rsidR="00EF0101">
        <w:rPr>
          <w:rFonts w:ascii="宋体" w:hAnsi="宋体" w:hint="eastAsia"/>
        </w:rPr>
        <w:t>活期</w:t>
      </w:r>
      <w:r w:rsidR="00DC41AF">
        <w:rPr>
          <w:rFonts w:ascii="宋体" w:hAnsi="宋体" w:hint="eastAsia"/>
        </w:rPr>
        <w:t>银行存款应收利息</w:t>
      </w:r>
      <w:r w:rsidR="00ED3B52" w:rsidRPr="00ED3B52">
        <w:rPr>
          <w:rFonts w:ascii="宋体" w:hAnsi="宋体"/>
        </w:rPr>
        <w:t>25</w:t>
      </w:r>
      <w:r w:rsidR="00ED3B52">
        <w:rPr>
          <w:rFonts w:ascii="宋体" w:hAnsi="宋体"/>
        </w:rPr>
        <w:t>,</w:t>
      </w:r>
      <w:r w:rsidR="00ED3B52" w:rsidRPr="00ED3B52">
        <w:rPr>
          <w:rFonts w:ascii="宋体" w:hAnsi="宋体"/>
        </w:rPr>
        <w:t>028.57</w:t>
      </w:r>
      <w:r w:rsidR="00DC41AF">
        <w:rPr>
          <w:rFonts w:ascii="宋体" w:hAnsi="宋体" w:hint="eastAsia"/>
        </w:rPr>
        <w:t>元</w:t>
      </w:r>
      <w:r w:rsidR="000A5416">
        <w:rPr>
          <w:rFonts w:ascii="宋体" w:hAnsi="宋体" w:hint="eastAsia"/>
        </w:rPr>
        <w:t>、</w:t>
      </w:r>
      <w:r w:rsidR="001E7B76" w:rsidRPr="00B27FF4">
        <w:rPr>
          <w:rFonts w:ascii="宋体" w:hAnsi="宋体" w:hint="eastAsia"/>
        </w:rPr>
        <w:t>最低备付金利息</w:t>
      </w:r>
      <w:r w:rsidR="00ED3B52" w:rsidRPr="00ED3B52">
        <w:rPr>
          <w:rFonts w:ascii="宋体" w:hAnsi="宋体"/>
        </w:rPr>
        <w:t>1</w:t>
      </w:r>
      <w:r w:rsidR="00ED3B52">
        <w:rPr>
          <w:rFonts w:ascii="宋体" w:hAnsi="宋体" w:hint="eastAsia"/>
        </w:rPr>
        <w:t>,</w:t>
      </w:r>
      <w:r w:rsidR="00ED3B52" w:rsidRPr="00ED3B52">
        <w:rPr>
          <w:rFonts w:ascii="宋体" w:hAnsi="宋体"/>
        </w:rPr>
        <w:t>569.42</w:t>
      </w:r>
      <w:r w:rsidR="001E7B76" w:rsidRPr="00B27FF4">
        <w:rPr>
          <w:rFonts w:ascii="宋体" w:hAnsi="宋体" w:hint="eastAsia"/>
        </w:rPr>
        <w:t>元</w:t>
      </w:r>
      <w:r w:rsidR="001E7B76">
        <w:rPr>
          <w:rFonts w:ascii="宋体" w:hAnsi="宋体" w:hint="eastAsia"/>
        </w:rPr>
        <w:t>、期货保证金</w:t>
      </w:r>
      <w:r w:rsidR="001E7B76" w:rsidRPr="00EA1F2C">
        <w:rPr>
          <w:rFonts w:ascii="宋体" w:hAnsi="宋体" w:hint="eastAsia"/>
        </w:rPr>
        <w:t>利息</w:t>
      </w:r>
      <w:r w:rsidR="00ED3B52" w:rsidRPr="00ED3B52">
        <w:rPr>
          <w:rFonts w:ascii="宋体" w:hAnsi="宋体"/>
        </w:rPr>
        <w:t>3.54</w:t>
      </w:r>
      <w:r w:rsidR="001E7B76">
        <w:rPr>
          <w:rFonts w:ascii="宋体" w:hAnsi="宋体" w:hint="eastAsia"/>
        </w:rPr>
        <w:t>元、</w:t>
      </w:r>
      <w:r w:rsidR="008552EA">
        <w:rPr>
          <w:rFonts w:ascii="宋体" w:hAnsi="宋体" w:hint="eastAsia"/>
        </w:rPr>
        <w:t>结算保证金应收利息</w:t>
      </w:r>
      <w:r w:rsidR="00ED3B52" w:rsidRPr="00ED3B52">
        <w:rPr>
          <w:rFonts w:ascii="宋体" w:hAnsi="宋体"/>
        </w:rPr>
        <w:t>256.74</w:t>
      </w:r>
      <w:r w:rsidR="008552EA">
        <w:rPr>
          <w:rFonts w:ascii="宋体" w:hAnsi="宋体" w:hint="eastAsia"/>
        </w:rPr>
        <w:t>元，</w:t>
      </w:r>
      <w:r>
        <w:rPr>
          <w:rFonts w:ascii="宋体" w:hAnsi="宋体" w:hint="eastAsia"/>
        </w:rPr>
        <w:t>债券</w:t>
      </w:r>
      <w:r w:rsidR="008552EA">
        <w:rPr>
          <w:rFonts w:ascii="宋体" w:hAnsi="宋体" w:hint="eastAsia"/>
        </w:rPr>
        <w:t>应收</w:t>
      </w:r>
      <w:r>
        <w:rPr>
          <w:rFonts w:ascii="宋体" w:hAnsi="宋体" w:hint="eastAsia"/>
        </w:rPr>
        <w:t>利息</w:t>
      </w:r>
      <w:r w:rsidR="00ED3B52" w:rsidRPr="00ED3B52">
        <w:rPr>
          <w:rFonts w:ascii="宋体" w:hAnsi="宋体"/>
        </w:rPr>
        <w:t>104</w:t>
      </w:r>
      <w:r w:rsidR="00ED3B52">
        <w:rPr>
          <w:rFonts w:ascii="宋体" w:hAnsi="宋体"/>
        </w:rPr>
        <w:t>,</w:t>
      </w:r>
      <w:r w:rsidR="00ED3B52" w:rsidRPr="00ED3B52">
        <w:rPr>
          <w:rFonts w:ascii="宋体" w:hAnsi="宋体"/>
        </w:rPr>
        <w:t>078.42</w:t>
      </w:r>
      <w:r>
        <w:rPr>
          <w:rFonts w:ascii="宋体" w:hAnsi="宋体" w:hint="eastAsia"/>
        </w:rPr>
        <w:t>元</w:t>
      </w:r>
      <w:r w:rsidR="00920078">
        <w:rPr>
          <w:rFonts w:ascii="宋体" w:hAnsi="宋体" w:hint="eastAsia"/>
        </w:rPr>
        <w:t>。</w:t>
      </w:r>
      <w:r w:rsidR="00B44D2B">
        <w:rPr>
          <w:rFonts w:ascii="宋体" w:hAnsi="宋体" w:hint="eastAsia"/>
        </w:rPr>
        <w:t>其中</w:t>
      </w:r>
      <w:r w:rsidR="00EF0101">
        <w:rPr>
          <w:rFonts w:ascii="宋体" w:hAnsi="宋体" w:hint="eastAsia"/>
        </w:rPr>
        <w:t>应收活期银行存款利息由托管银行于每季度3月、6月、9月、12月21</w:t>
      </w:r>
      <w:r w:rsidR="008552EA">
        <w:rPr>
          <w:rFonts w:ascii="宋体" w:hAnsi="宋体" w:hint="eastAsia"/>
        </w:rPr>
        <w:t>日（节假日顺延）结算入账或在账户注销时一次性结清；</w:t>
      </w:r>
      <w:r w:rsidR="00ED3B52">
        <w:rPr>
          <w:rFonts w:ascii="宋体" w:hAnsi="宋体" w:hint="eastAsia"/>
        </w:rPr>
        <w:t>最低备付金利息及</w:t>
      </w:r>
      <w:r w:rsidR="00ED3B52" w:rsidRPr="00B27FF4">
        <w:rPr>
          <w:rFonts w:ascii="宋体" w:hAnsi="宋体" w:hint="eastAsia"/>
        </w:rPr>
        <w:t>结算保证金利息</w:t>
      </w:r>
      <w:r w:rsidR="008552EA">
        <w:rPr>
          <w:rFonts w:ascii="宋体" w:hAnsi="宋体" w:hint="eastAsia"/>
        </w:rPr>
        <w:t>由中国证券登记结算有限责任公司于每季度3月、6月、9月、12月21日（节假日顺延）结算入账</w:t>
      </w:r>
      <w:r w:rsidR="00B44D2B">
        <w:rPr>
          <w:rFonts w:ascii="宋体" w:hAnsi="宋体" w:hint="eastAsia"/>
        </w:rPr>
        <w:t>；</w:t>
      </w:r>
      <w:r w:rsidR="00ED3B52" w:rsidRPr="00EA1F2C">
        <w:rPr>
          <w:rFonts w:ascii="宋体" w:hAnsi="宋体" w:hint="eastAsia"/>
        </w:rPr>
        <w:t>股指期货</w:t>
      </w:r>
      <w:r w:rsidR="00ED3B52">
        <w:rPr>
          <w:rFonts w:ascii="宋体" w:hAnsi="宋体" w:hint="eastAsia"/>
        </w:rPr>
        <w:t>保证金</w:t>
      </w:r>
      <w:r w:rsidR="00ED3B52" w:rsidRPr="00EA1F2C">
        <w:rPr>
          <w:rFonts w:ascii="宋体" w:hAnsi="宋体" w:hint="eastAsia"/>
        </w:rPr>
        <w:t>利息</w:t>
      </w:r>
      <w:r w:rsidR="00ED3B52">
        <w:rPr>
          <w:rFonts w:ascii="宋体" w:hAnsi="宋体" w:hint="eastAsia"/>
        </w:rPr>
        <w:t>将于期货账户</w:t>
      </w:r>
      <w:r w:rsidR="00ED3B52" w:rsidRPr="00B27FF4">
        <w:rPr>
          <w:rFonts w:ascii="宋体" w:hAnsi="宋体" w:hint="eastAsia"/>
        </w:rPr>
        <w:t>注销时一次性结清</w:t>
      </w:r>
      <w:r w:rsidR="00ED3B52">
        <w:rPr>
          <w:rFonts w:ascii="宋体" w:hAnsi="宋体" w:hint="eastAsia"/>
        </w:rPr>
        <w:t>；</w:t>
      </w:r>
      <w:r w:rsidR="00397012">
        <w:rPr>
          <w:rFonts w:ascii="宋体" w:hAnsi="宋体" w:hint="eastAsia"/>
        </w:rPr>
        <w:t>应收</w:t>
      </w:r>
      <w:r w:rsidR="00B44D2B">
        <w:rPr>
          <w:rFonts w:ascii="宋体" w:hAnsi="宋体" w:hint="eastAsia"/>
        </w:rPr>
        <w:t>债券利息</w:t>
      </w:r>
      <w:r w:rsidR="008552EA">
        <w:rPr>
          <w:rFonts w:ascii="宋体" w:hAnsi="宋体" w:hint="eastAsia"/>
        </w:rPr>
        <w:t>已</w:t>
      </w:r>
      <w:r w:rsidR="00B44D2B">
        <w:rPr>
          <w:rFonts w:ascii="宋体" w:hAnsi="宋体" w:hint="eastAsia"/>
        </w:rPr>
        <w:t>于债券</w:t>
      </w:r>
      <w:r w:rsidR="008552EA">
        <w:rPr>
          <w:rFonts w:ascii="宋体" w:hAnsi="宋体" w:hint="eastAsia"/>
        </w:rPr>
        <w:t>卖出交易中</w:t>
      </w:r>
      <w:r w:rsidR="00397012">
        <w:rPr>
          <w:rFonts w:ascii="宋体" w:hAnsi="宋体" w:hint="eastAsia"/>
        </w:rPr>
        <w:t>包含在变现对价当中</w:t>
      </w:r>
      <w:r w:rsidR="00ED3B52">
        <w:rPr>
          <w:rFonts w:ascii="宋体" w:hAnsi="宋体" w:hint="eastAsia"/>
        </w:rPr>
        <w:t>。</w:t>
      </w:r>
    </w:p>
    <w:p w:rsidR="00A70E0E" w:rsidRPr="00C22838" w:rsidRDefault="00A70E0E" w:rsidP="00A70E0E">
      <w:pPr>
        <w:spacing w:line="360" w:lineRule="auto"/>
        <w:rPr>
          <w:rFonts w:asciiTheme="minorEastAsia" w:eastAsiaTheme="minorEastAsia" w:hAnsiTheme="minorEastAsia"/>
        </w:rPr>
      </w:pPr>
      <w:r w:rsidRPr="0054309B">
        <w:rPr>
          <w:rFonts w:asciiTheme="minorEastAsia" w:eastAsiaTheme="minorEastAsia" w:hAnsiTheme="minorEastAsia" w:hint="eastAsia"/>
        </w:rPr>
        <w:t>（</w:t>
      </w:r>
      <w:r>
        <w:rPr>
          <w:rFonts w:asciiTheme="minorEastAsia" w:eastAsiaTheme="minorEastAsia" w:hAnsiTheme="minorEastAsia"/>
        </w:rPr>
        <w:t>7</w:t>
      </w:r>
      <w:r w:rsidRPr="0054309B">
        <w:rPr>
          <w:rFonts w:asciiTheme="minorEastAsia" w:eastAsiaTheme="minorEastAsia" w:hAnsiTheme="minorEastAsia" w:hint="eastAsia"/>
        </w:rPr>
        <w:t>）</w:t>
      </w:r>
      <w:r w:rsidRPr="00C22838">
        <w:rPr>
          <w:rFonts w:asciiTheme="minorEastAsia" w:eastAsiaTheme="minorEastAsia" w:hAnsiTheme="minorEastAsia" w:hint="eastAsia"/>
        </w:rPr>
        <w:t>本基金最后运作日应收证券清算款</w:t>
      </w:r>
      <w:r w:rsidRPr="00B93401">
        <w:rPr>
          <w:rFonts w:ascii="宋体" w:hAnsi="宋体"/>
        </w:rPr>
        <w:t>3</w:t>
      </w:r>
      <w:r>
        <w:rPr>
          <w:rFonts w:ascii="宋体" w:hAnsi="宋体"/>
        </w:rPr>
        <w:t>,</w:t>
      </w:r>
      <w:r w:rsidRPr="00B93401">
        <w:rPr>
          <w:rFonts w:ascii="宋体" w:hAnsi="宋体"/>
        </w:rPr>
        <w:t>527</w:t>
      </w:r>
      <w:r>
        <w:rPr>
          <w:rFonts w:ascii="宋体" w:hAnsi="宋体"/>
        </w:rPr>
        <w:t>,</w:t>
      </w:r>
      <w:r w:rsidRPr="00B93401">
        <w:rPr>
          <w:rFonts w:ascii="宋体" w:hAnsi="宋体"/>
        </w:rPr>
        <w:t>603.32</w:t>
      </w:r>
      <w:r w:rsidRPr="00C22838">
        <w:rPr>
          <w:rFonts w:asciiTheme="minorEastAsia" w:eastAsiaTheme="minorEastAsia" w:hAnsiTheme="minorEastAsia" w:hint="eastAsia"/>
        </w:rPr>
        <w:t>元，该款项已于2018年</w:t>
      </w:r>
      <w:r>
        <w:rPr>
          <w:rFonts w:asciiTheme="minorEastAsia" w:eastAsiaTheme="minorEastAsia" w:hAnsiTheme="minorEastAsia"/>
        </w:rPr>
        <w:t>11</w:t>
      </w:r>
      <w:r w:rsidRPr="00C22838">
        <w:rPr>
          <w:rFonts w:asciiTheme="minorEastAsia" w:eastAsiaTheme="minorEastAsia" w:hAnsiTheme="minorEastAsia" w:hint="eastAsia"/>
        </w:rPr>
        <w:t>月</w:t>
      </w:r>
      <w:r>
        <w:rPr>
          <w:rFonts w:asciiTheme="minorEastAsia" w:eastAsiaTheme="minorEastAsia" w:hAnsiTheme="minorEastAsia"/>
        </w:rPr>
        <w:t>19</w:t>
      </w:r>
      <w:r>
        <w:rPr>
          <w:rFonts w:asciiTheme="minorEastAsia" w:eastAsiaTheme="minorEastAsia" w:hAnsiTheme="minorEastAsia" w:hint="eastAsia"/>
        </w:rPr>
        <w:t>日结算入账。</w:t>
      </w:r>
    </w:p>
    <w:p w:rsidR="00E74CEB" w:rsidRPr="004676BD" w:rsidRDefault="00E74CEB" w:rsidP="00B60EA3">
      <w:pPr>
        <w:spacing w:line="360" w:lineRule="auto"/>
        <w:rPr>
          <w:rFonts w:ascii="宋体" w:hAnsi="宋体"/>
        </w:rPr>
      </w:pPr>
      <w:r w:rsidRPr="004676BD">
        <w:rPr>
          <w:rFonts w:ascii="宋体" w:hAnsi="宋体"/>
        </w:rPr>
        <w:t>3、负债清偿情况</w:t>
      </w:r>
    </w:p>
    <w:p w:rsidR="00E74CEB" w:rsidRPr="004676BD" w:rsidRDefault="00ED3B52" w:rsidP="00B60EA3">
      <w:pPr>
        <w:spacing w:line="360" w:lineRule="auto"/>
        <w:rPr>
          <w:rFonts w:ascii="宋体" w:hAnsi="宋体"/>
        </w:rPr>
      </w:pPr>
      <w:r w:rsidRPr="004676BD">
        <w:rPr>
          <w:rFonts w:ascii="宋体" w:hAnsi="宋体"/>
        </w:rPr>
        <w:t>（</w:t>
      </w:r>
      <w:r>
        <w:rPr>
          <w:rFonts w:ascii="宋体" w:hAnsi="宋体"/>
        </w:rPr>
        <w:t>1</w:t>
      </w:r>
      <w:r w:rsidRPr="004676BD">
        <w:rPr>
          <w:rFonts w:ascii="宋体" w:hAnsi="宋体"/>
        </w:rPr>
        <w:t>）</w:t>
      </w:r>
      <w:r w:rsidR="00E74CEB" w:rsidRPr="004676BD">
        <w:rPr>
          <w:rFonts w:ascii="宋体" w:hAnsi="宋体" w:hint="eastAsia"/>
        </w:rPr>
        <w:t>本基金最后运作日应付管理人报酬为</w:t>
      </w:r>
      <w:r w:rsidRPr="00ED3B52">
        <w:rPr>
          <w:rFonts w:ascii="宋体" w:hAnsi="宋体"/>
        </w:rPr>
        <w:t>65</w:t>
      </w:r>
      <w:r>
        <w:rPr>
          <w:rFonts w:ascii="宋体" w:hAnsi="宋体"/>
        </w:rPr>
        <w:t>,</w:t>
      </w:r>
      <w:r w:rsidRPr="00ED3B52">
        <w:rPr>
          <w:rFonts w:ascii="宋体" w:hAnsi="宋体"/>
        </w:rPr>
        <w:t>748.82</w:t>
      </w:r>
      <w:r w:rsidR="00E74CEB" w:rsidRPr="004676BD">
        <w:rPr>
          <w:rFonts w:ascii="宋体" w:hAnsi="宋体" w:hint="eastAsia"/>
        </w:rPr>
        <w:t>元，该款项已于201</w:t>
      </w:r>
      <w:r w:rsidR="00FF3C39">
        <w:rPr>
          <w:rFonts w:ascii="宋体" w:hAnsi="宋体" w:hint="eastAsia"/>
        </w:rPr>
        <w:t>8</w:t>
      </w:r>
      <w:r w:rsidR="00E74CEB" w:rsidRPr="004676BD">
        <w:rPr>
          <w:rFonts w:ascii="宋体" w:hAnsi="宋体" w:hint="eastAsia"/>
        </w:rPr>
        <w:t>年</w:t>
      </w:r>
      <w:r>
        <w:rPr>
          <w:rFonts w:ascii="宋体" w:hAnsi="宋体"/>
        </w:rPr>
        <w:t>11</w:t>
      </w:r>
      <w:r w:rsidR="00E74CEB" w:rsidRPr="004676BD">
        <w:rPr>
          <w:rFonts w:ascii="宋体" w:hAnsi="宋体" w:hint="eastAsia"/>
        </w:rPr>
        <w:t>月</w:t>
      </w:r>
      <w:r>
        <w:rPr>
          <w:rFonts w:ascii="宋体" w:hAnsi="宋体"/>
        </w:rPr>
        <w:t>20</w:t>
      </w:r>
      <w:r w:rsidR="00E74CEB" w:rsidRPr="004676BD">
        <w:rPr>
          <w:rFonts w:ascii="宋体" w:hAnsi="宋体" w:hint="eastAsia"/>
        </w:rPr>
        <w:t>日支付。</w:t>
      </w:r>
    </w:p>
    <w:p w:rsidR="00E74CEB" w:rsidRDefault="00E74CEB" w:rsidP="00B60EA3">
      <w:pPr>
        <w:spacing w:line="360" w:lineRule="auto"/>
        <w:rPr>
          <w:rFonts w:ascii="宋体" w:hAnsi="宋体"/>
        </w:rPr>
      </w:pPr>
      <w:r w:rsidRPr="004676BD">
        <w:rPr>
          <w:rFonts w:ascii="宋体" w:hAnsi="宋体"/>
        </w:rPr>
        <w:t>（</w:t>
      </w:r>
      <w:r w:rsidRPr="004676BD">
        <w:rPr>
          <w:rFonts w:ascii="宋体" w:hAnsi="宋体" w:hint="eastAsia"/>
        </w:rPr>
        <w:t>2</w:t>
      </w:r>
      <w:r w:rsidRPr="004676BD">
        <w:rPr>
          <w:rFonts w:ascii="宋体" w:hAnsi="宋体"/>
        </w:rPr>
        <w:t>）</w:t>
      </w:r>
      <w:r w:rsidRPr="004676BD">
        <w:rPr>
          <w:rFonts w:ascii="宋体" w:hAnsi="宋体" w:hint="eastAsia"/>
        </w:rPr>
        <w:t>本基金最后运作日应付托管费为</w:t>
      </w:r>
      <w:r w:rsidR="00ED3B52" w:rsidRPr="00ED3B52">
        <w:rPr>
          <w:rFonts w:ascii="宋体" w:hAnsi="宋体"/>
        </w:rPr>
        <w:t>12</w:t>
      </w:r>
      <w:r w:rsidR="00ED3B52">
        <w:rPr>
          <w:rFonts w:ascii="宋体" w:hAnsi="宋体"/>
        </w:rPr>
        <w:t>,</w:t>
      </w:r>
      <w:r w:rsidR="00ED3B52" w:rsidRPr="00ED3B52">
        <w:rPr>
          <w:rFonts w:ascii="宋体" w:hAnsi="宋体"/>
        </w:rPr>
        <w:t>327.93</w:t>
      </w:r>
      <w:r w:rsidRPr="004676BD">
        <w:rPr>
          <w:rFonts w:ascii="宋体" w:hAnsi="宋体" w:hint="eastAsia"/>
        </w:rPr>
        <w:t>元，该款项已于</w:t>
      </w:r>
      <w:r w:rsidR="00ED3B52" w:rsidRPr="004676BD">
        <w:rPr>
          <w:rFonts w:ascii="宋体" w:hAnsi="宋体" w:hint="eastAsia"/>
        </w:rPr>
        <w:t>201</w:t>
      </w:r>
      <w:r w:rsidR="00ED3B52">
        <w:rPr>
          <w:rFonts w:ascii="宋体" w:hAnsi="宋体" w:hint="eastAsia"/>
        </w:rPr>
        <w:t>8</w:t>
      </w:r>
      <w:r w:rsidR="00ED3B52" w:rsidRPr="004676BD">
        <w:rPr>
          <w:rFonts w:ascii="宋体" w:hAnsi="宋体" w:hint="eastAsia"/>
        </w:rPr>
        <w:t>年</w:t>
      </w:r>
      <w:r w:rsidR="00ED3B52">
        <w:rPr>
          <w:rFonts w:ascii="宋体" w:hAnsi="宋体"/>
        </w:rPr>
        <w:t>11</w:t>
      </w:r>
      <w:r w:rsidR="00ED3B52" w:rsidRPr="004676BD">
        <w:rPr>
          <w:rFonts w:ascii="宋体" w:hAnsi="宋体" w:hint="eastAsia"/>
        </w:rPr>
        <w:t>月</w:t>
      </w:r>
      <w:r w:rsidR="00ED3B52">
        <w:rPr>
          <w:rFonts w:ascii="宋体" w:hAnsi="宋体"/>
        </w:rPr>
        <w:t>20</w:t>
      </w:r>
      <w:r w:rsidR="00ED3B52" w:rsidRPr="004676BD">
        <w:rPr>
          <w:rFonts w:ascii="宋体" w:hAnsi="宋体" w:hint="eastAsia"/>
        </w:rPr>
        <w:t>日</w:t>
      </w:r>
      <w:r w:rsidRPr="004676BD">
        <w:rPr>
          <w:rFonts w:ascii="宋体" w:hAnsi="宋体" w:hint="eastAsia"/>
        </w:rPr>
        <w:t>支付。</w:t>
      </w:r>
    </w:p>
    <w:p w:rsidR="00063E46" w:rsidRDefault="00063E46" w:rsidP="00B60EA3">
      <w:pPr>
        <w:spacing w:line="360" w:lineRule="auto"/>
        <w:rPr>
          <w:rFonts w:ascii="宋体" w:hAnsi="宋体"/>
        </w:rPr>
      </w:pPr>
      <w:r w:rsidRPr="004676BD">
        <w:rPr>
          <w:rFonts w:ascii="宋体" w:hAnsi="宋体"/>
        </w:rPr>
        <w:t>（</w:t>
      </w:r>
      <w:r>
        <w:rPr>
          <w:rFonts w:ascii="宋体" w:hAnsi="宋体" w:hint="eastAsia"/>
        </w:rPr>
        <w:t>3</w:t>
      </w:r>
      <w:r w:rsidRPr="004676BD">
        <w:rPr>
          <w:rFonts w:ascii="宋体" w:hAnsi="宋体"/>
        </w:rPr>
        <w:t>）</w:t>
      </w:r>
      <w:r w:rsidRPr="004676BD">
        <w:rPr>
          <w:rFonts w:ascii="宋体" w:hAnsi="宋体" w:hint="eastAsia"/>
        </w:rPr>
        <w:t>本基金最后运作日应付</w:t>
      </w:r>
      <w:r w:rsidRPr="008B1A30">
        <w:rPr>
          <w:rFonts w:hint="eastAsia"/>
        </w:rPr>
        <w:t>销售服务费</w:t>
      </w:r>
      <w:r w:rsidRPr="004676BD">
        <w:rPr>
          <w:rFonts w:ascii="宋体" w:hAnsi="宋体" w:hint="eastAsia"/>
        </w:rPr>
        <w:t>为</w:t>
      </w:r>
      <w:r w:rsidR="00ED3B52" w:rsidRPr="00ED3B52">
        <w:rPr>
          <w:rFonts w:ascii="宋体" w:hAnsi="宋体"/>
        </w:rPr>
        <w:t>9</w:t>
      </w:r>
      <w:r w:rsidR="00ED3B52">
        <w:rPr>
          <w:rFonts w:ascii="宋体" w:hAnsi="宋体"/>
        </w:rPr>
        <w:t>,</w:t>
      </w:r>
      <w:r w:rsidR="00ED3B52" w:rsidRPr="00ED3B52">
        <w:rPr>
          <w:rFonts w:ascii="宋体" w:hAnsi="宋体"/>
        </w:rPr>
        <w:t>531.9</w:t>
      </w:r>
      <w:r w:rsidR="005D14D2">
        <w:rPr>
          <w:rFonts w:ascii="宋体" w:hAnsi="宋体"/>
        </w:rPr>
        <w:t>0</w:t>
      </w:r>
      <w:r>
        <w:rPr>
          <w:rFonts w:ascii="宋体" w:hAnsi="宋体" w:hint="eastAsia"/>
        </w:rPr>
        <w:t>元</w:t>
      </w:r>
      <w:r w:rsidRPr="004676BD">
        <w:rPr>
          <w:rFonts w:ascii="宋体" w:hAnsi="宋体" w:hint="eastAsia"/>
        </w:rPr>
        <w:t>，该款项已于</w:t>
      </w:r>
      <w:r w:rsidR="00ED3B52" w:rsidRPr="004676BD">
        <w:rPr>
          <w:rFonts w:ascii="宋体" w:hAnsi="宋体" w:hint="eastAsia"/>
        </w:rPr>
        <w:t>201</w:t>
      </w:r>
      <w:r w:rsidR="00ED3B52">
        <w:rPr>
          <w:rFonts w:ascii="宋体" w:hAnsi="宋体" w:hint="eastAsia"/>
        </w:rPr>
        <w:t>8</w:t>
      </w:r>
      <w:r w:rsidR="00ED3B52" w:rsidRPr="004676BD">
        <w:rPr>
          <w:rFonts w:ascii="宋体" w:hAnsi="宋体" w:hint="eastAsia"/>
        </w:rPr>
        <w:t>年</w:t>
      </w:r>
      <w:r w:rsidR="00ED3B52">
        <w:rPr>
          <w:rFonts w:ascii="宋体" w:hAnsi="宋体"/>
        </w:rPr>
        <w:t>11</w:t>
      </w:r>
      <w:r w:rsidR="00ED3B52" w:rsidRPr="004676BD">
        <w:rPr>
          <w:rFonts w:ascii="宋体" w:hAnsi="宋体" w:hint="eastAsia"/>
        </w:rPr>
        <w:t>月</w:t>
      </w:r>
      <w:r w:rsidR="00ED3B52">
        <w:rPr>
          <w:rFonts w:ascii="宋体" w:hAnsi="宋体"/>
        </w:rPr>
        <w:t>20</w:t>
      </w:r>
      <w:r w:rsidR="00ED3B52" w:rsidRPr="004676BD">
        <w:rPr>
          <w:rFonts w:ascii="宋体" w:hAnsi="宋体" w:hint="eastAsia"/>
        </w:rPr>
        <w:t>日</w:t>
      </w:r>
      <w:r w:rsidRPr="004676BD">
        <w:rPr>
          <w:rFonts w:ascii="宋体" w:hAnsi="宋体" w:hint="eastAsia"/>
        </w:rPr>
        <w:t>支付。</w:t>
      </w:r>
    </w:p>
    <w:p w:rsidR="00E74CEB" w:rsidRDefault="00E74CEB" w:rsidP="00B60EA3">
      <w:pPr>
        <w:spacing w:line="360" w:lineRule="auto"/>
        <w:rPr>
          <w:rFonts w:ascii="宋体" w:hAnsi="宋体"/>
        </w:rPr>
      </w:pPr>
      <w:r w:rsidRPr="004676BD">
        <w:rPr>
          <w:rFonts w:ascii="宋体" w:hAnsi="宋体" w:hint="eastAsia"/>
        </w:rPr>
        <w:t>（</w:t>
      </w:r>
      <w:r w:rsidR="00063E46">
        <w:rPr>
          <w:rFonts w:ascii="宋体" w:hAnsi="宋体" w:hint="eastAsia"/>
        </w:rPr>
        <w:t>4</w:t>
      </w:r>
      <w:r w:rsidRPr="004676BD">
        <w:rPr>
          <w:rFonts w:ascii="宋体" w:hAnsi="宋体"/>
        </w:rPr>
        <w:t>）</w:t>
      </w:r>
      <w:r w:rsidRPr="004676BD">
        <w:rPr>
          <w:rFonts w:ascii="宋体" w:hAnsi="宋体" w:hint="eastAsia"/>
        </w:rPr>
        <w:t>本基金最后运作日应付</w:t>
      </w:r>
      <w:r w:rsidR="00230658">
        <w:rPr>
          <w:rFonts w:ascii="宋体" w:hAnsi="宋体" w:hint="eastAsia"/>
        </w:rPr>
        <w:t>交易费用</w:t>
      </w:r>
      <w:r w:rsidRPr="004676BD">
        <w:rPr>
          <w:rFonts w:ascii="宋体" w:hAnsi="宋体" w:hint="eastAsia"/>
        </w:rPr>
        <w:t>为</w:t>
      </w:r>
      <w:r w:rsidR="00ED3B52" w:rsidRPr="00ED3B52">
        <w:rPr>
          <w:rFonts w:ascii="宋体" w:hAnsi="宋体"/>
        </w:rPr>
        <w:t>80</w:t>
      </w:r>
      <w:r w:rsidR="008B091A">
        <w:rPr>
          <w:rFonts w:ascii="宋体" w:hAnsi="宋体" w:hint="eastAsia"/>
        </w:rPr>
        <w:t>,</w:t>
      </w:r>
      <w:r w:rsidR="00ED3B52" w:rsidRPr="00ED3B52">
        <w:rPr>
          <w:rFonts w:ascii="宋体" w:hAnsi="宋体"/>
        </w:rPr>
        <w:t>233.13</w:t>
      </w:r>
      <w:r w:rsidRPr="004676BD">
        <w:rPr>
          <w:rFonts w:ascii="宋体" w:hAnsi="宋体" w:hint="eastAsia"/>
        </w:rPr>
        <w:t>元，</w:t>
      </w:r>
      <w:r w:rsidR="008B091A" w:rsidRPr="005D63AC">
        <w:rPr>
          <w:rFonts w:ascii="宋体" w:hAnsi="宋体" w:hint="eastAsia"/>
        </w:rPr>
        <w:t>其中应付佣金</w:t>
      </w:r>
      <w:r w:rsidR="008B091A" w:rsidRPr="008B091A">
        <w:rPr>
          <w:rFonts w:ascii="宋体" w:hAnsi="宋体"/>
        </w:rPr>
        <w:t>79</w:t>
      </w:r>
      <w:r w:rsidR="008B091A">
        <w:rPr>
          <w:rFonts w:ascii="宋体" w:hAnsi="宋体"/>
        </w:rPr>
        <w:t>,</w:t>
      </w:r>
      <w:r w:rsidR="008B091A" w:rsidRPr="008B091A">
        <w:rPr>
          <w:rFonts w:ascii="宋体" w:hAnsi="宋体"/>
        </w:rPr>
        <w:t>179.45</w:t>
      </w:r>
      <w:r w:rsidR="008B091A" w:rsidRPr="005D63AC">
        <w:rPr>
          <w:rFonts w:ascii="宋体" w:hAnsi="宋体" w:hint="eastAsia"/>
        </w:rPr>
        <w:t>元，该款项已于</w:t>
      </w:r>
      <w:r w:rsidR="008B091A" w:rsidRPr="005D63AC">
        <w:rPr>
          <w:rFonts w:ascii="宋体" w:hAnsi="宋体"/>
        </w:rPr>
        <w:t>2018</w:t>
      </w:r>
      <w:r w:rsidR="008B091A" w:rsidRPr="005D63AC">
        <w:rPr>
          <w:rFonts w:ascii="宋体" w:hAnsi="宋体" w:hint="eastAsia"/>
        </w:rPr>
        <w:t>年</w:t>
      </w:r>
      <w:r w:rsidR="008B091A">
        <w:rPr>
          <w:rFonts w:ascii="宋体" w:hAnsi="宋体"/>
        </w:rPr>
        <w:t>11</w:t>
      </w:r>
      <w:r w:rsidR="008B091A" w:rsidRPr="005D63AC">
        <w:rPr>
          <w:rFonts w:ascii="宋体" w:hAnsi="宋体" w:hint="eastAsia"/>
        </w:rPr>
        <w:t>月</w:t>
      </w:r>
      <w:r w:rsidR="008B091A">
        <w:rPr>
          <w:rFonts w:ascii="宋体" w:hAnsi="宋体"/>
        </w:rPr>
        <w:t>20</w:t>
      </w:r>
      <w:r w:rsidR="008B091A" w:rsidRPr="005D63AC">
        <w:rPr>
          <w:rFonts w:ascii="宋体" w:hAnsi="宋体" w:hint="eastAsia"/>
        </w:rPr>
        <w:t>日支付</w:t>
      </w:r>
      <w:r w:rsidR="008B091A">
        <w:rPr>
          <w:rFonts w:ascii="宋体" w:hAnsi="宋体" w:hint="eastAsia"/>
        </w:rPr>
        <w:t>,但因</w:t>
      </w:r>
      <w:r w:rsidR="008B091A">
        <w:rPr>
          <w:rFonts w:ascii="宋体" w:hAnsi="宋体"/>
        </w:rPr>
        <w:t>清算期仍有</w:t>
      </w:r>
      <w:r w:rsidR="00A70E0E">
        <w:rPr>
          <w:rFonts w:ascii="宋体" w:hAnsi="宋体" w:hint="eastAsia"/>
        </w:rPr>
        <w:t>交易所</w:t>
      </w:r>
      <w:r w:rsidR="008B091A">
        <w:rPr>
          <w:rFonts w:ascii="宋体" w:hAnsi="宋体" w:hint="eastAsia"/>
        </w:rPr>
        <w:t>卖出交易</w:t>
      </w:r>
      <w:r w:rsidR="008B091A">
        <w:rPr>
          <w:rFonts w:ascii="宋体" w:hAnsi="宋体"/>
        </w:rPr>
        <w:t>导致</w:t>
      </w:r>
      <w:r w:rsidR="008B091A">
        <w:rPr>
          <w:rFonts w:ascii="宋体" w:hAnsi="宋体" w:hint="eastAsia"/>
        </w:rPr>
        <w:t>此费用</w:t>
      </w:r>
      <w:r w:rsidR="008B091A">
        <w:rPr>
          <w:rFonts w:ascii="宋体" w:hAnsi="宋体"/>
        </w:rPr>
        <w:t>在清盘</w:t>
      </w:r>
      <w:r w:rsidR="00A70E0E">
        <w:rPr>
          <w:rFonts w:ascii="宋体" w:hAnsi="宋体" w:hint="eastAsia"/>
        </w:rPr>
        <w:t>期间</w:t>
      </w:r>
      <w:r w:rsidR="008B091A">
        <w:rPr>
          <w:rFonts w:ascii="宋体" w:hAnsi="宋体" w:hint="eastAsia"/>
        </w:rPr>
        <w:t>又有</w:t>
      </w:r>
      <w:r w:rsidR="008B091A">
        <w:rPr>
          <w:rFonts w:ascii="宋体" w:hAnsi="宋体"/>
        </w:rPr>
        <w:t>发生</w:t>
      </w:r>
      <w:r w:rsidR="005D14D2">
        <w:rPr>
          <w:rFonts w:ascii="宋体" w:hAnsi="宋体" w:hint="eastAsia"/>
        </w:rPr>
        <w:t>，</w:t>
      </w:r>
      <w:r w:rsidR="005D14D2">
        <w:rPr>
          <w:rFonts w:ascii="宋体" w:hAnsi="宋体"/>
        </w:rPr>
        <w:t>该</w:t>
      </w:r>
      <w:r w:rsidR="005D14D2">
        <w:rPr>
          <w:rFonts w:ascii="宋体" w:hAnsi="宋体" w:hint="eastAsia"/>
        </w:rPr>
        <w:t>款项</w:t>
      </w:r>
      <w:r w:rsidR="005D14D2">
        <w:rPr>
          <w:rFonts w:ascii="宋体" w:hAnsi="宋体"/>
        </w:rPr>
        <w:t>待未上市资产变现后支付</w:t>
      </w:r>
      <w:r w:rsidR="008B091A" w:rsidRPr="005D63AC">
        <w:rPr>
          <w:rFonts w:ascii="宋体" w:hAnsi="宋体" w:hint="eastAsia"/>
        </w:rPr>
        <w:t>；其中应付银行间市场交易费用</w:t>
      </w:r>
      <w:r w:rsidR="008B091A" w:rsidRPr="008B091A">
        <w:rPr>
          <w:rFonts w:ascii="宋体" w:hAnsi="宋体"/>
        </w:rPr>
        <w:t>1</w:t>
      </w:r>
      <w:r w:rsidR="008B091A">
        <w:rPr>
          <w:rFonts w:ascii="宋体" w:hAnsi="宋体"/>
        </w:rPr>
        <w:t>,</w:t>
      </w:r>
      <w:r w:rsidR="008B091A" w:rsidRPr="008B091A">
        <w:rPr>
          <w:rFonts w:ascii="宋体" w:hAnsi="宋体"/>
        </w:rPr>
        <w:t>053.68</w:t>
      </w:r>
      <w:r w:rsidR="008B091A">
        <w:rPr>
          <w:rFonts w:ascii="宋体" w:hAnsi="宋体" w:hint="eastAsia"/>
        </w:rPr>
        <w:t>元，该款项将于收到结算公司付费单后进行支付</w:t>
      </w:r>
      <w:r w:rsidRPr="004676BD">
        <w:rPr>
          <w:rFonts w:ascii="宋体" w:hAnsi="宋体" w:hint="eastAsia"/>
        </w:rPr>
        <w:t>。</w:t>
      </w:r>
    </w:p>
    <w:p w:rsidR="00E2470C" w:rsidRDefault="00E2470C" w:rsidP="00B60EA3">
      <w:pPr>
        <w:spacing w:line="360" w:lineRule="auto"/>
        <w:rPr>
          <w:rFonts w:ascii="宋体" w:hAnsi="宋体"/>
        </w:rPr>
      </w:pPr>
      <w:r>
        <w:rPr>
          <w:rFonts w:ascii="宋体" w:hAnsi="宋体" w:hint="eastAsia"/>
        </w:rPr>
        <w:t>（5）</w:t>
      </w:r>
      <w:r w:rsidRPr="004676BD">
        <w:rPr>
          <w:rFonts w:ascii="宋体" w:hAnsi="宋体" w:hint="eastAsia"/>
        </w:rPr>
        <w:t>本基金最后运作日应付</w:t>
      </w:r>
      <w:r>
        <w:rPr>
          <w:rFonts w:ascii="宋体" w:hAnsi="宋体" w:hint="eastAsia"/>
        </w:rPr>
        <w:t>赎回款</w:t>
      </w:r>
      <w:r w:rsidRPr="004676BD">
        <w:rPr>
          <w:rFonts w:ascii="宋体" w:hAnsi="宋体" w:hint="eastAsia"/>
        </w:rPr>
        <w:t>为</w:t>
      </w:r>
      <w:r w:rsidR="008B091A" w:rsidRPr="008B091A">
        <w:rPr>
          <w:rFonts w:ascii="宋体" w:hAnsi="宋体"/>
        </w:rPr>
        <w:t>37</w:t>
      </w:r>
      <w:r w:rsidR="008B091A">
        <w:rPr>
          <w:rFonts w:ascii="宋体" w:hAnsi="宋体"/>
        </w:rPr>
        <w:t>,</w:t>
      </w:r>
      <w:r w:rsidR="008B091A" w:rsidRPr="008B091A">
        <w:rPr>
          <w:rFonts w:ascii="宋体" w:hAnsi="宋体"/>
        </w:rPr>
        <w:t>362</w:t>
      </w:r>
      <w:r w:rsidR="008B091A">
        <w:rPr>
          <w:rFonts w:ascii="宋体" w:hAnsi="宋体"/>
        </w:rPr>
        <w:t>,</w:t>
      </w:r>
      <w:r w:rsidR="008B091A" w:rsidRPr="008B091A">
        <w:rPr>
          <w:rFonts w:ascii="宋体" w:hAnsi="宋体"/>
        </w:rPr>
        <w:t>326.74</w:t>
      </w:r>
      <w:r w:rsidRPr="004676BD">
        <w:rPr>
          <w:rFonts w:ascii="宋体" w:hAnsi="宋体" w:hint="eastAsia"/>
        </w:rPr>
        <w:t>元</w:t>
      </w:r>
      <w:r>
        <w:rPr>
          <w:rFonts w:ascii="宋体" w:hAnsi="宋体" w:hint="eastAsia"/>
        </w:rPr>
        <w:t>，是最后运作日确认的2018年</w:t>
      </w:r>
      <w:r w:rsidR="008B091A">
        <w:rPr>
          <w:rFonts w:ascii="宋体" w:hAnsi="宋体"/>
        </w:rPr>
        <w:t>11</w:t>
      </w:r>
      <w:r>
        <w:rPr>
          <w:rFonts w:ascii="宋体" w:hAnsi="宋体" w:hint="eastAsia"/>
        </w:rPr>
        <w:t>月</w:t>
      </w:r>
      <w:r w:rsidR="008B091A">
        <w:rPr>
          <w:rFonts w:ascii="宋体" w:hAnsi="宋体"/>
        </w:rPr>
        <w:t>14</w:t>
      </w:r>
      <w:r>
        <w:rPr>
          <w:rFonts w:ascii="宋体" w:hAnsi="宋体" w:hint="eastAsia"/>
        </w:rPr>
        <w:t>日</w:t>
      </w:r>
      <w:r w:rsidR="008B091A">
        <w:rPr>
          <w:rFonts w:ascii="宋体" w:hAnsi="宋体" w:hint="eastAsia"/>
        </w:rPr>
        <w:t>、</w:t>
      </w:r>
      <w:r w:rsidR="008B091A">
        <w:rPr>
          <w:rFonts w:ascii="宋体" w:hAnsi="宋体"/>
        </w:rPr>
        <w:t>11</w:t>
      </w:r>
      <w:r w:rsidR="008B091A">
        <w:rPr>
          <w:rFonts w:ascii="宋体" w:hAnsi="宋体" w:hint="eastAsia"/>
        </w:rPr>
        <w:t>月</w:t>
      </w:r>
      <w:r w:rsidR="008B091A">
        <w:rPr>
          <w:rFonts w:ascii="宋体" w:hAnsi="宋体"/>
        </w:rPr>
        <w:t>15</w:t>
      </w:r>
      <w:r w:rsidR="008B091A">
        <w:rPr>
          <w:rFonts w:ascii="宋体" w:hAnsi="宋体" w:hint="eastAsia"/>
        </w:rPr>
        <w:t>日</w:t>
      </w:r>
      <w:r>
        <w:rPr>
          <w:rFonts w:ascii="宋体" w:hAnsi="宋体" w:hint="eastAsia"/>
        </w:rPr>
        <w:t>的投资者赎回申请，该款项已于2018年</w:t>
      </w:r>
      <w:r w:rsidR="008B091A">
        <w:rPr>
          <w:rFonts w:ascii="宋体" w:hAnsi="宋体"/>
        </w:rPr>
        <w:t>11</w:t>
      </w:r>
      <w:r w:rsidR="008B091A">
        <w:rPr>
          <w:rFonts w:ascii="宋体" w:hAnsi="宋体" w:hint="eastAsia"/>
        </w:rPr>
        <w:t>月</w:t>
      </w:r>
      <w:r w:rsidR="008B091A">
        <w:rPr>
          <w:rFonts w:ascii="宋体" w:hAnsi="宋体"/>
        </w:rPr>
        <w:t>1</w:t>
      </w:r>
      <w:r w:rsidR="00A70E0E">
        <w:rPr>
          <w:rFonts w:ascii="宋体" w:hAnsi="宋体"/>
        </w:rPr>
        <w:t>9</w:t>
      </w:r>
      <w:r w:rsidR="008B091A">
        <w:rPr>
          <w:rFonts w:ascii="宋体" w:hAnsi="宋体" w:hint="eastAsia"/>
        </w:rPr>
        <w:t>日</w:t>
      </w:r>
      <w:r w:rsidR="00A70E0E">
        <w:rPr>
          <w:rFonts w:ascii="宋体" w:hAnsi="宋体" w:hint="eastAsia"/>
        </w:rPr>
        <w:t>、</w:t>
      </w:r>
      <w:r w:rsidR="00A70E0E">
        <w:rPr>
          <w:rFonts w:ascii="宋体" w:hAnsi="宋体"/>
        </w:rPr>
        <w:t>11</w:t>
      </w:r>
      <w:r w:rsidR="00A70E0E">
        <w:rPr>
          <w:rFonts w:ascii="宋体" w:hAnsi="宋体" w:hint="eastAsia"/>
        </w:rPr>
        <w:t>月</w:t>
      </w:r>
      <w:r w:rsidR="00A70E0E">
        <w:rPr>
          <w:rFonts w:ascii="宋体" w:hAnsi="宋体"/>
        </w:rPr>
        <w:t>20</w:t>
      </w:r>
      <w:r w:rsidR="00A70E0E">
        <w:rPr>
          <w:rFonts w:ascii="宋体" w:hAnsi="宋体" w:hint="eastAsia"/>
        </w:rPr>
        <w:t>日</w:t>
      </w:r>
      <w:r>
        <w:rPr>
          <w:rFonts w:ascii="宋体" w:hAnsi="宋体" w:hint="eastAsia"/>
        </w:rPr>
        <w:t>支付。</w:t>
      </w:r>
    </w:p>
    <w:p w:rsidR="00A70E0E" w:rsidRDefault="00A70E0E" w:rsidP="00B60EA3">
      <w:pPr>
        <w:spacing w:line="360" w:lineRule="auto"/>
        <w:rPr>
          <w:rFonts w:ascii="宋体" w:hAnsi="宋体"/>
        </w:rPr>
      </w:pPr>
      <w:r w:rsidRPr="005D63AC">
        <w:rPr>
          <w:rFonts w:ascii="宋体" w:hAnsi="宋体" w:hint="eastAsia"/>
        </w:rPr>
        <w:t>（</w:t>
      </w:r>
      <w:r w:rsidRPr="005D63AC">
        <w:rPr>
          <w:rFonts w:ascii="宋体" w:hAnsi="宋体"/>
        </w:rPr>
        <w:t>6</w:t>
      </w:r>
      <w:r w:rsidRPr="005D63AC">
        <w:rPr>
          <w:rFonts w:ascii="宋体" w:hAnsi="宋体" w:hint="eastAsia"/>
        </w:rPr>
        <w:t>）本基金最后运作日应交税费为</w:t>
      </w:r>
      <w:r w:rsidRPr="00A70E0E">
        <w:rPr>
          <w:rFonts w:ascii="宋体" w:hAnsi="宋体"/>
        </w:rPr>
        <w:t>1</w:t>
      </w:r>
      <w:r>
        <w:rPr>
          <w:rFonts w:ascii="宋体" w:hAnsi="宋体"/>
        </w:rPr>
        <w:t>,</w:t>
      </w:r>
      <w:r w:rsidRPr="00A70E0E">
        <w:rPr>
          <w:rFonts w:ascii="宋体" w:hAnsi="宋体"/>
        </w:rPr>
        <w:t>636.47</w:t>
      </w:r>
      <w:r w:rsidRPr="005D63AC">
        <w:rPr>
          <w:rFonts w:ascii="宋体" w:hAnsi="宋体" w:hint="eastAsia"/>
        </w:rPr>
        <w:t>元，该款项</w:t>
      </w:r>
      <w:r>
        <w:rPr>
          <w:rFonts w:ascii="宋体" w:hAnsi="宋体" w:hint="eastAsia"/>
        </w:rPr>
        <w:t>待</w:t>
      </w:r>
      <w:r>
        <w:rPr>
          <w:rFonts w:ascii="宋体" w:hAnsi="宋体"/>
        </w:rPr>
        <w:t>持仓债券</w:t>
      </w:r>
      <w:r>
        <w:rPr>
          <w:rFonts w:ascii="宋体" w:hAnsi="宋体" w:hint="eastAsia"/>
        </w:rPr>
        <w:t>处置变现后</w:t>
      </w:r>
      <w:r w:rsidRPr="005D63AC">
        <w:rPr>
          <w:rFonts w:ascii="宋体" w:hAnsi="宋体" w:hint="eastAsia"/>
        </w:rPr>
        <w:t>支付</w:t>
      </w:r>
      <w:r>
        <w:rPr>
          <w:rFonts w:ascii="宋体" w:hAnsi="宋体" w:hint="eastAsia"/>
        </w:rPr>
        <w:t>。</w:t>
      </w:r>
    </w:p>
    <w:p w:rsidR="00230658" w:rsidRPr="00230658" w:rsidRDefault="00A94575" w:rsidP="00F15544">
      <w:pPr>
        <w:spacing w:line="360" w:lineRule="auto"/>
        <w:rPr>
          <w:rFonts w:ascii="宋体" w:hAnsi="宋体"/>
        </w:rPr>
      </w:pPr>
      <w:r w:rsidRPr="004676BD">
        <w:rPr>
          <w:rFonts w:ascii="宋体" w:hAnsi="宋体" w:hint="eastAsia"/>
        </w:rPr>
        <w:t>（</w:t>
      </w:r>
      <w:r w:rsidR="00A70E0E">
        <w:rPr>
          <w:rFonts w:ascii="宋体" w:hAnsi="宋体"/>
        </w:rPr>
        <w:t>7</w:t>
      </w:r>
      <w:r w:rsidRPr="004676BD">
        <w:rPr>
          <w:rFonts w:ascii="宋体" w:hAnsi="宋体"/>
        </w:rPr>
        <w:t>）</w:t>
      </w:r>
      <w:r w:rsidR="00230658" w:rsidRPr="004676BD">
        <w:rPr>
          <w:rFonts w:ascii="宋体" w:hAnsi="宋体" w:hint="eastAsia"/>
        </w:rPr>
        <w:t>本基金最后运作日</w:t>
      </w:r>
      <w:r w:rsidR="00325C47">
        <w:rPr>
          <w:rFonts w:ascii="宋体" w:hAnsi="宋体" w:hint="eastAsia"/>
        </w:rPr>
        <w:t>其他负债</w:t>
      </w:r>
      <w:r w:rsidR="00230658" w:rsidRPr="004676BD">
        <w:rPr>
          <w:rFonts w:ascii="宋体" w:hAnsi="宋体" w:hint="eastAsia"/>
        </w:rPr>
        <w:t>为</w:t>
      </w:r>
      <w:r w:rsidR="00A70E0E" w:rsidRPr="00B93401">
        <w:rPr>
          <w:rFonts w:ascii="宋体" w:hAnsi="宋体"/>
        </w:rPr>
        <w:t>269,011.20</w:t>
      </w:r>
      <w:r w:rsidR="00230658" w:rsidRPr="004676BD">
        <w:rPr>
          <w:rFonts w:ascii="宋体" w:hAnsi="宋体" w:hint="eastAsia"/>
        </w:rPr>
        <w:t>元</w:t>
      </w:r>
      <w:r w:rsidR="00230658" w:rsidRPr="00B93063">
        <w:rPr>
          <w:rFonts w:ascii="宋体" w:hAnsi="宋体" w:hint="eastAsia"/>
        </w:rPr>
        <w:t>，</w:t>
      </w:r>
      <w:r w:rsidR="00A70E0E" w:rsidRPr="00052C5D">
        <w:rPr>
          <w:rFonts w:asciiTheme="minorEastAsia" w:eastAsiaTheme="minorEastAsia" w:hAnsiTheme="minorEastAsia" w:hint="eastAsia"/>
        </w:rPr>
        <w:t>该款项包含预提信息披露费</w:t>
      </w:r>
      <w:r w:rsidR="00A70E0E" w:rsidRPr="00A70E0E">
        <w:rPr>
          <w:rFonts w:asciiTheme="minorEastAsia" w:eastAsiaTheme="minorEastAsia" w:hAnsiTheme="minorEastAsia"/>
        </w:rPr>
        <w:t>263</w:t>
      </w:r>
      <w:r w:rsidR="00A70E0E">
        <w:rPr>
          <w:rFonts w:asciiTheme="minorEastAsia" w:eastAsiaTheme="minorEastAsia" w:hAnsiTheme="minorEastAsia"/>
        </w:rPr>
        <w:t>,</w:t>
      </w:r>
      <w:r w:rsidR="00A70E0E" w:rsidRPr="00A70E0E">
        <w:rPr>
          <w:rFonts w:asciiTheme="minorEastAsia" w:eastAsiaTheme="minorEastAsia" w:hAnsiTheme="minorEastAsia"/>
        </w:rPr>
        <w:t>011.2</w:t>
      </w:r>
      <w:r w:rsidR="00A70E0E">
        <w:rPr>
          <w:rFonts w:asciiTheme="minorEastAsia" w:eastAsiaTheme="minorEastAsia" w:hAnsiTheme="minorEastAsia"/>
        </w:rPr>
        <w:t>0</w:t>
      </w:r>
      <w:r w:rsidR="00A70E0E" w:rsidRPr="00052C5D">
        <w:rPr>
          <w:rFonts w:asciiTheme="minorEastAsia" w:eastAsiaTheme="minorEastAsia" w:hAnsiTheme="minorEastAsia" w:hint="eastAsia"/>
        </w:rPr>
        <w:t>元、预提中债账户维护费</w:t>
      </w:r>
      <w:r w:rsidR="00A70E0E">
        <w:rPr>
          <w:rFonts w:asciiTheme="minorEastAsia" w:eastAsiaTheme="minorEastAsia" w:hAnsiTheme="minorEastAsia"/>
        </w:rPr>
        <w:t>3</w:t>
      </w:r>
      <w:r w:rsidR="00A70E0E">
        <w:rPr>
          <w:rFonts w:asciiTheme="minorEastAsia" w:eastAsiaTheme="minorEastAsia" w:hAnsiTheme="minorEastAsia" w:hint="eastAsia"/>
        </w:rPr>
        <w:t>,0</w:t>
      </w:r>
      <w:r w:rsidR="00A70E0E" w:rsidRPr="00052C5D">
        <w:rPr>
          <w:rFonts w:asciiTheme="minorEastAsia" w:eastAsiaTheme="minorEastAsia" w:hAnsiTheme="minorEastAsia" w:hint="eastAsia"/>
        </w:rPr>
        <w:t>00.00元、预提上清所账户维护费</w:t>
      </w:r>
      <w:r w:rsidR="00A70E0E">
        <w:rPr>
          <w:rFonts w:asciiTheme="minorEastAsia" w:eastAsiaTheme="minorEastAsia" w:hAnsiTheme="minorEastAsia"/>
        </w:rPr>
        <w:t>3</w:t>
      </w:r>
      <w:r w:rsidR="00A70E0E" w:rsidRPr="00052C5D">
        <w:rPr>
          <w:rFonts w:asciiTheme="minorEastAsia" w:eastAsiaTheme="minorEastAsia" w:hAnsiTheme="minorEastAsia" w:hint="eastAsia"/>
        </w:rPr>
        <w:t>,</w:t>
      </w:r>
      <w:r w:rsidR="00A70E0E">
        <w:rPr>
          <w:rFonts w:asciiTheme="minorEastAsia" w:eastAsiaTheme="minorEastAsia" w:hAnsiTheme="minorEastAsia"/>
        </w:rPr>
        <w:t>0</w:t>
      </w:r>
      <w:r w:rsidR="00A70E0E" w:rsidRPr="00052C5D">
        <w:rPr>
          <w:rFonts w:asciiTheme="minorEastAsia" w:eastAsiaTheme="minorEastAsia" w:hAnsiTheme="minorEastAsia" w:hint="eastAsia"/>
        </w:rPr>
        <w:t>00.00元。其中信息披露费已于2018年</w:t>
      </w:r>
      <w:r w:rsidR="00A70E0E">
        <w:rPr>
          <w:rFonts w:asciiTheme="minorEastAsia" w:eastAsiaTheme="minorEastAsia" w:hAnsiTheme="minorEastAsia"/>
        </w:rPr>
        <w:t>11</w:t>
      </w:r>
      <w:r w:rsidR="00A70E0E" w:rsidRPr="00052C5D">
        <w:rPr>
          <w:rFonts w:asciiTheme="minorEastAsia" w:eastAsiaTheme="minorEastAsia" w:hAnsiTheme="minorEastAsia" w:hint="eastAsia"/>
        </w:rPr>
        <w:t>月</w:t>
      </w:r>
      <w:r w:rsidR="00A338E0">
        <w:rPr>
          <w:rFonts w:asciiTheme="minorEastAsia" w:eastAsiaTheme="minorEastAsia" w:hAnsiTheme="minorEastAsia"/>
        </w:rPr>
        <w:t>2</w:t>
      </w:r>
      <w:r w:rsidR="00A70E0E">
        <w:rPr>
          <w:rFonts w:asciiTheme="minorEastAsia" w:eastAsiaTheme="minorEastAsia" w:hAnsiTheme="minorEastAsia"/>
        </w:rPr>
        <w:t>3</w:t>
      </w:r>
      <w:r w:rsidR="00A70E0E" w:rsidRPr="00052C5D">
        <w:rPr>
          <w:rFonts w:asciiTheme="minorEastAsia" w:eastAsiaTheme="minorEastAsia" w:hAnsiTheme="minorEastAsia" w:hint="eastAsia"/>
        </w:rPr>
        <w:t>日支付</w:t>
      </w:r>
      <w:r w:rsidR="00A70E0E">
        <w:rPr>
          <w:rFonts w:asciiTheme="minorEastAsia" w:eastAsiaTheme="minorEastAsia" w:hAnsiTheme="minorEastAsia" w:hint="eastAsia"/>
        </w:rPr>
        <w:t>；</w:t>
      </w:r>
      <w:r w:rsidR="00A70E0E" w:rsidRPr="00052C5D">
        <w:rPr>
          <w:rFonts w:asciiTheme="minorEastAsia" w:eastAsiaTheme="minorEastAsia" w:hAnsiTheme="minorEastAsia" w:hint="eastAsia"/>
        </w:rPr>
        <w:t>预提中债账户维护费将于收到中债付费单后进行支付</w:t>
      </w:r>
      <w:r w:rsidR="00A70E0E">
        <w:rPr>
          <w:rFonts w:asciiTheme="minorEastAsia" w:eastAsiaTheme="minorEastAsia" w:hAnsiTheme="minorEastAsia" w:hint="eastAsia"/>
        </w:rPr>
        <w:t>；</w:t>
      </w:r>
      <w:r w:rsidR="00A70E0E" w:rsidRPr="00052C5D">
        <w:rPr>
          <w:rFonts w:asciiTheme="minorEastAsia" w:eastAsiaTheme="minorEastAsia" w:hAnsiTheme="minorEastAsia" w:hint="eastAsia"/>
        </w:rPr>
        <w:t>预提上清所账户维护费将于收到上清所付费单后进行支付。</w:t>
      </w:r>
    </w:p>
    <w:p w:rsidR="00E74CEB" w:rsidRPr="004676BD" w:rsidRDefault="00E74CEB" w:rsidP="00B60EA3">
      <w:pPr>
        <w:spacing w:line="360" w:lineRule="auto"/>
        <w:rPr>
          <w:rFonts w:ascii="宋体" w:hAnsi="宋体"/>
        </w:rPr>
      </w:pPr>
      <w:r w:rsidRPr="004676BD">
        <w:rPr>
          <w:rFonts w:ascii="宋体" w:hAnsi="宋体"/>
        </w:rPr>
        <w:t>4、清算</w:t>
      </w:r>
      <w:r w:rsidRPr="004676BD">
        <w:rPr>
          <w:rFonts w:ascii="宋体" w:hAnsi="宋体" w:hint="eastAsia"/>
        </w:rPr>
        <w:t>期间</w:t>
      </w:r>
      <w:r w:rsidRPr="004676BD">
        <w:rPr>
          <w:rFonts w:ascii="宋体" w:hAnsi="宋体"/>
        </w:rPr>
        <w:t>的剩余资产分配情况</w:t>
      </w:r>
    </w:p>
    <w:p w:rsidR="00E74CEB" w:rsidRPr="004676BD" w:rsidRDefault="00E74CEB" w:rsidP="00E74CEB">
      <w:pPr>
        <w:spacing w:line="360" w:lineRule="auto"/>
        <w:jc w:val="right"/>
        <w:rPr>
          <w:rFonts w:ascii="宋体" w:hAnsi="宋体"/>
        </w:rPr>
      </w:pPr>
      <w:r w:rsidRPr="004676BD">
        <w:rPr>
          <w:rFonts w:ascii="宋体" w:hAnsi="宋体"/>
        </w:rPr>
        <w:t>单位：人民币元</w:t>
      </w:r>
    </w:p>
    <w:tbl>
      <w:tblPr>
        <w:tblW w:w="0" w:type="auto"/>
        <w:shd w:val="clear" w:color="auto" w:fill="F8F8F8"/>
        <w:tblCellMar>
          <w:left w:w="0" w:type="dxa"/>
          <w:right w:w="0" w:type="dxa"/>
        </w:tblCellMar>
        <w:tblLook w:val="04A0"/>
      </w:tblPr>
      <w:tblGrid>
        <w:gridCol w:w="6531"/>
        <w:gridCol w:w="1795"/>
      </w:tblGrid>
      <w:tr w:rsidR="00526723" w:rsidRPr="009B204B" w:rsidTr="00E54A48">
        <w:tc>
          <w:tcPr>
            <w:tcW w:w="6531" w:type="dxa"/>
            <w:tcBorders>
              <w:top w:val="outset" w:sz="8" w:space="0" w:color="000000"/>
              <w:left w:val="outset" w:sz="8" w:space="0" w:color="000000"/>
              <w:bottom w:val="outset" w:sz="8" w:space="0" w:color="000000"/>
              <w:right w:val="outset" w:sz="8" w:space="0" w:color="000000"/>
            </w:tcBorders>
            <w:shd w:val="clear" w:color="auto" w:fill="F8F8F8"/>
            <w:vAlign w:val="center"/>
          </w:tcPr>
          <w:p w:rsidR="00526723" w:rsidRPr="009B204B" w:rsidRDefault="00526723" w:rsidP="00E54A48">
            <w:pPr>
              <w:spacing w:line="276" w:lineRule="auto"/>
              <w:jc w:val="center"/>
              <w:rPr>
                <w:rFonts w:ascii="宋体" w:hAnsi="宋体"/>
              </w:rPr>
            </w:pPr>
            <w:r w:rsidRPr="009B204B">
              <w:rPr>
                <w:rFonts w:ascii="宋体" w:hAnsi="宋体" w:hint="eastAsia"/>
              </w:rPr>
              <w:t>项目</w:t>
            </w:r>
          </w:p>
        </w:tc>
        <w:tc>
          <w:tcPr>
            <w:tcW w:w="1795" w:type="dxa"/>
            <w:tcBorders>
              <w:top w:val="outset" w:sz="8" w:space="0" w:color="000000"/>
              <w:left w:val="nil"/>
              <w:bottom w:val="outset" w:sz="8" w:space="0" w:color="000000"/>
              <w:right w:val="outset" w:sz="8" w:space="0" w:color="000000"/>
            </w:tcBorders>
            <w:shd w:val="clear" w:color="auto" w:fill="F8F8F8"/>
            <w:vAlign w:val="center"/>
          </w:tcPr>
          <w:p w:rsidR="00526723" w:rsidRPr="009B204B" w:rsidRDefault="00526723" w:rsidP="00E54A48">
            <w:pPr>
              <w:spacing w:line="276" w:lineRule="auto"/>
              <w:jc w:val="center"/>
              <w:rPr>
                <w:rFonts w:ascii="宋体" w:hAnsi="宋体"/>
              </w:rPr>
            </w:pPr>
            <w:r w:rsidRPr="009B204B">
              <w:rPr>
                <w:rFonts w:ascii="宋体" w:hAnsi="宋体" w:hint="eastAsia"/>
              </w:rPr>
              <w:t>金额</w:t>
            </w:r>
          </w:p>
        </w:tc>
      </w:tr>
      <w:tr w:rsidR="00011071" w:rsidRPr="009B204B" w:rsidTr="00E54A48">
        <w:tc>
          <w:tcPr>
            <w:tcW w:w="6531" w:type="dxa"/>
            <w:tcBorders>
              <w:top w:val="nil"/>
              <w:left w:val="outset" w:sz="8" w:space="0" w:color="000000"/>
              <w:bottom w:val="outset" w:sz="8" w:space="0" w:color="000000"/>
              <w:right w:val="outset" w:sz="8" w:space="0" w:color="000000"/>
            </w:tcBorders>
            <w:shd w:val="clear" w:color="auto" w:fill="F8F8F8"/>
            <w:vAlign w:val="center"/>
          </w:tcPr>
          <w:p w:rsidR="00011071" w:rsidRPr="009B204B" w:rsidRDefault="00011071" w:rsidP="00011071">
            <w:pPr>
              <w:spacing w:line="276" w:lineRule="auto"/>
              <w:rPr>
                <w:rFonts w:ascii="宋体" w:hAnsi="宋体"/>
              </w:rPr>
            </w:pPr>
            <w:r w:rsidRPr="009B204B">
              <w:rPr>
                <w:rFonts w:ascii="宋体" w:hAnsi="宋体" w:hint="eastAsia"/>
              </w:rPr>
              <w:t>一、最后运作日（2018年</w:t>
            </w:r>
            <w:r>
              <w:rPr>
                <w:rFonts w:ascii="宋体" w:hAnsi="宋体"/>
              </w:rPr>
              <w:t>11</w:t>
            </w:r>
            <w:r w:rsidRPr="009B204B">
              <w:rPr>
                <w:rFonts w:ascii="宋体" w:hAnsi="宋体" w:hint="eastAsia"/>
              </w:rPr>
              <w:t>月</w:t>
            </w:r>
            <w:r>
              <w:rPr>
                <w:rFonts w:ascii="宋体" w:hAnsi="宋体"/>
              </w:rPr>
              <w:t>16</w:t>
            </w:r>
            <w:r w:rsidRPr="009B204B">
              <w:rPr>
                <w:rFonts w:ascii="宋体" w:hAnsi="宋体" w:hint="eastAsia"/>
              </w:rPr>
              <w:t>日）基金净资产</w:t>
            </w:r>
          </w:p>
        </w:tc>
        <w:tc>
          <w:tcPr>
            <w:tcW w:w="1795" w:type="dxa"/>
            <w:tcBorders>
              <w:top w:val="nil"/>
              <w:left w:val="nil"/>
              <w:bottom w:val="outset" w:sz="8" w:space="0" w:color="000000"/>
              <w:right w:val="outset" w:sz="8" w:space="0" w:color="000000"/>
            </w:tcBorders>
            <w:shd w:val="clear" w:color="auto" w:fill="F8F8F8"/>
            <w:vAlign w:val="center"/>
          </w:tcPr>
          <w:p w:rsidR="00011071" w:rsidRPr="00011071" w:rsidRDefault="00011071" w:rsidP="00011071">
            <w:pPr>
              <w:jc w:val="right"/>
              <w:rPr>
                <w:rFonts w:ascii="宋体" w:hAnsi="宋体"/>
              </w:rPr>
            </w:pPr>
            <w:r w:rsidRPr="00011071">
              <w:rPr>
                <w:rFonts w:ascii="宋体" w:hAnsi="宋体" w:hint="eastAsia"/>
              </w:rPr>
              <w:t>39,363,273.51</w:t>
            </w:r>
          </w:p>
        </w:tc>
      </w:tr>
      <w:tr w:rsidR="00011071" w:rsidRPr="009B204B" w:rsidTr="00E54A48">
        <w:tc>
          <w:tcPr>
            <w:tcW w:w="6531" w:type="dxa"/>
            <w:tcBorders>
              <w:top w:val="nil"/>
              <w:left w:val="outset" w:sz="8" w:space="0" w:color="000000"/>
              <w:bottom w:val="outset" w:sz="8" w:space="0" w:color="000000"/>
              <w:right w:val="outset" w:sz="8" w:space="0" w:color="000000"/>
            </w:tcBorders>
            <w:shd w:val="clear" w:color="auto" w:fill="F8F8F8"/>
            <w:vAlign w:val="center"/>
          </w:tcPr>
          <w:p w:rsidR="00011071" w:rsidRPr="009B204B" w:rsidRDefault="00011071" w:rsidP="00011071">
            <w:pPr>
              <w:spacing w:line="276" w:lineRule="auto"/>
              <w:rPr>
                <w:rFonts w:ascii="宋体" w:hAnsi="宋体"/>
              </w:rPr>
            </w:pPr>
            <w:r w:rsidRPr="009B204B">
              <w:rPr>
                <w:rFonts w:ascii="宋体" w:hAnsi="宋体" w:hint="eastAsia"/>
              </w:rPr>
              <w:t>加：清算期间（2018年</w:t>
            </w:r>
            <w:r>
              <w:rPr>
                <w:rFonts w:ascii="宋体" w:hAnsi="宋体"/>
              </w:rPr>
              <w:t>11</w:t>
            </w:r>
            <w:r w:rsidRPr="009B204B">
              <w:rPr>
                <w:rFonts w:ascii="宋体" w:hAnsi="宋体" w:hint="eastAsia"/>
              </w:rPr>
              <w:t>月</w:t>
            </w:r>
            <w:r>
              <w:rPr>
                <w:rFonts w:ascii="宋体" w:hAnsi="宋体"/>
              </w:rPr>
              <w:t>19</w:t>
            </w:r>
            <w:r w:rsidRPr="009B204B">
              <w:rPr>
                <w:rFonts w:ascii="宋体" w:hAnsi="宋体" w:hint="eastAsia"/>
              </w:rPr>
              <w:t>日至2018年</w:t>
            </w:r>
            <w:r>
              <w:rPr>
                <w:rFonts w:ascii="宋体" w:hAnsi="宋体"/>
              </w:rPr>
              <w:t>11</w:t>
            </w:r>
            <w:r w:rsidRPr="009B204B">
              <w:rPr>
                <w:rFonts w:ascii="宋体" w:hAnsi="宋体" w:hint="eastAsia"/>
              </w:rPr>
              <w:t>月</w:t>
            </w:r>
            <w:r>
              <w:rPr>
                <w:rFonts w:ascii="宋体" w:hAnsi="宋体"/>
              </w:rPr>
              <w:t>23</w:t>
            </w:r>
            <w:r w:rsidRPr="009B204B">
              <w:rPr>
                <w:rFonts w:ascii="宋体" w:hAnsi="宋体" w:hint="eastAsia"/>
              </w:rPr>
              <w:t>日）收入</w:t>
            </w:r>
          </w:p>
        </w:tc>
        <w:tc>
          <w:tcPr>
            <w:tcW w:w="1795" w:type="dxa"/>
            <w:tcBorders>
              <w:top w:val="nil"/>
              <w:left w:val="nil"/>
              <w:bottom w:val="outset" w:sz="8" w:space="0" w:color="000000"/>
              <w:right w:val="outset" w:sz="8" w:space="0" w:color="000000"/>
            </w:tcBorders>
            <w:shd w:val="clear" w:color="auto" w:fill="F8F8F8"/>
            <w:vAlign w:val="center"/>
          </w:tcPr>
          <w:p w:rsidR="00011071" w:rsidRPr="00011071" w:rsidRDefault="00011071" w:rsidP="00011071">
            <w:pPr>
              <w:jc w:val="right"/>
              <w:rPr>
                <w:rFonts w:ascii="宋体" w:hAnsi="宋体"/>
              </w:rPr>
            </w:pPr>
            <w:r w:rsidRPr="00011071">
              <w:rPr>
                <w:rFonts w:ascii="宋体" w:hAnsi="宋体" w:hint="eastAsia"/>
              </w:rPr>
              <w:t xml:space="preserve">61,274.38 </w:t>
            </w:r>
          </w:p>
        </w:tc>
      </w:tr>
      <w:tr w:rsidR="00011071" w:rsidRPr="009B204B" w:rsidTr="00E54A48">
        <w:tc>
          <w:tcPr>
            <w:tcW w:w="6531" w:type="dxa"/>
            <w:tcBorders>
              <w:top w:val="nil"/>
              <w:left w:val="outset" w:sz="8" w:space="0" w:color="000000"/>
              <w:bottom w:val="outset" w:sz="8" w:space="0" w:color="000000"/>
              <w:right w:val="outset" w:sz="8" w:space="0" w:color="000000"/>
            </w:tcBorders>
            <w:shd w:val="clear" w:color="auto" w:fill="F8F8F8"/>
            <w:vAlign w:val="center"/>
          </w:tcPr>
          <w:p w:rsidR="00011071" w:rsidRPr="009B204B" w:rsidRDefault="00011071" w:rsidP="00011071">
            <w:pPr>
              <w:spacing w:line="276" w:lineRule="auto"/>
              <w:ind w:firstLineChars="200" w:firstLine="420"/>
              <w:rPr>
                <w:rFonts w:ascii="宋体" w:hAnsi="宋体"/>
              </w:rPr>
            </w:pPr>
            <w:r>
              <w:rPr>
                <w:rFonts w:ascii="宋体" w:hAnsi="宋体" w:hint="eastAsia"/>
              </w:rPr>
              <w:t>其中：</w:t>
            </w:r>
            <w:r w:rsidRPr="009B204B">
              <w:rPr>
                <w:rFonts w:ascii="宋体" w:hAnsi="宋体" w:hint="eastAsia"/>
              </w:rPr>
              <w:t>利息收入</w:t>
            </w:r>
            <w:r w:rsidRPr="009B204B">
              <w:rPr>
                <w:rFonts w:ascii="宋体" w:hAnsi="宋体"/>
              </w:rPr>
              <w:t>-</w:t>
            </w:r>
            <w:r w:rsidRPr="009B204B">
              <w:rPr>
                <w:rFonts w:ascii="宋体" w:hAnsi="宋体" w:hint="eastAsia"/>
              </w:rPr>
              <w:t>银行存款利息收入（注1）</w:t>
            </w:r>
          </w:p>
        </w:tc>
        <w:tc>
          <w:tcPr>
            <w:tcW w:w="1795" w:type="dxa"/>
            <w:tcBorders>
              <w:top w:val="nil"/>
              <w:left w:val="nil"/>
              <w:bottom w:val="outset" w:sz="8" w:space="0" w:color="000000"/>
              <w:right w:val="outset" w:sz="8" w:space="0" w:color="000000"/>
            </w:tcBorders>
            <w:shd w:val="clear" w:color="auto" w:fill="F8F8F8"/>
            <w:vAlign w:val="center"/>
          </w:tcPr>
          <w:p w:rsidR="00011071" w:rsidRPr="00011071" w:rsidRDefault="00011071" w:rsidP="00011071">
            <w:pPr>
              <w:jc w:val="right"/>
              <w:rPr>
                <w:rFonts w:ascii="宋体" w:hAnsi="宋体"/>
              </w:rPr>
            </w:pPr>
            <w:r w:rsidRPr="00011071">
              <w:rPr>
                <w:rFonts w:ascii="宋体" w:hAnsi="宋体" w:hint="eastAsia"/>
              </w:rPr>
              <w:t>5,204.54</w:t>
            </w:r>
          </w:p>
        </w:tc>
      </w:tr>
      <w:tr w:rsidR="00011071" w:rsidRPr="009B204B" w:rsidTr="00E54A48">
        <w:tc>
          <w:tcPr>
            <w:tcW w:w="6531" w:type="dxa"/>
            <w:tcBorders>
              <w:top w:val="nil"/>
              <w:left w:val="outset" w:sz="8" w:space="0" w:color="000000"/>
              <w:bottom w:val="outset" w:sz="8" w:space="0" w:color="000000"/>
              <w:right w:val="outset" w:sz="8" w:space="0" w:color="000000"/>
            </w:tcBorders>
            <w:shd w:val="clear" w:color="auto" w:fill="F8F8F8"/>
            <w:vAlign w:val="center"/>
          </w:tcPr>
          <w:p w:rsidR="00011071" w:rsidRPr="009B204B" w:rsidRDefault="00011071" w:rsidP="00011071">
            <w:pPr>
              <w:spacing w:line="276" w:lineRule="auto"/>
              <w:ind w:firstLineChars="500" w:firstLine="1050"/>
              <w:rPr>
                <w:rFonts w:ascii="宋体" w:hAnsi="宋体"/>
              </w:rPr>
            </w:pPr>
            <w:r w:rsidRPr="009B204B">
              <w:rPr>
                <w:rFonts w:ascii="宋体" w:hAnsi="宋体" w:hint="eastAsia"/>
              </w:rPr>
              <w:t>利息收入-</w:t>
            </w:r>
            <w:r>
              <w:rPr>
                <w:rFonts w:ascii="宋体" w:hAnsi="宋体" w:hint="eastAsia"/>
              </w:rPr>
              <w:t>债券</w:t>
            </w:r>
            <w:r>
              <w:rPr>
                <w:rFonts w:ascii="宋体" w:hAnsi="宋体"/>
              </w:rPr>
              <w:t>利息收入</w:t>
            </w:r>
            <w:r w:rsidRPr="009B204B">
              <w:rPr>
                <w:rFonts w:ascii="宋体" w:hAnsi="宋体" w:hint="eastAsia"/>
              </w:rPr>
              <w:t>（注</w:t>
            </w:r>
            <w:r>
              <w:rPr>
                <w:rFonts w:ascii="宋体" w:hAnsi="宋体"/>
              </w:rPr>
              <w:t>1</w:t>
            </w:r>
            <w:r w:rsidRPr="009B204B">
              <w:rPr>
                <w:rFonts w:ascii="宋体" w:hAnsi="宋体" w:hint="eastAsia"/>
              </w:rPr>
              <w:t>）</w:t>
            </w:r>
          </w:p>
        </w:tc>
        <w:tc>
          <w:tcPr>
            <w:tcW w:w="1795" w:type="dxa"/>
            <w:tcBorders>
              <w:top w:val="nil"/>
              <w:left w:val="nil"/>
              <w:bottom w:val="outset" w:sz="8" w:space="0" w:color="000000"/>
              <w:right w:val="outset" w:sz="8" w:space="0" w:color="000000"/>
            </w:tcBorders>
            <w:shd w:val="clear" w:color="auto" w:fill="F8F8F8"/>
            <w:vAlign w:val="center"/>
          </w:tcPr>
          <w:p w:rsidR="00011071" w:rsidRPr="00011071" w:rsidRDefault="00011071" w:rsidP="00011071">
            <w:pPr>
              <w:jc w:val="right"/>
              <w:rPr>
                <w:rFonts w:ascii="宋体" w:hAnsi="宋体"/>
              </w:rPr>
            </w:pPr>
            <w:r w:rsidRPr="00011071">
              <w:rPr>
                <w:rFonts w:ascii="宋体" w:hAnsi="宋体" w:hint="eastAsia"/>
              </w:rPr>
              <w:t>4,461.96</w:t>
            </w:r>
          </w:p>
        </w:tc>
      </w:tr>
      <w:tr w:rsidR="00011071" w:rsidRPr="009B204B" w:rsidTr="00E54A48">
        <w:tc>
          <w:tcPr>
            <w:tcW w:w="6531" w:type="dxa"/>
            <w:tcBorders>
              <w:top w:val="nil"/>
              <w:left w:val="outset" w:sz="8" w:space="0" w:color="000000"/>
              <w:bottom w:val="outset" w:sz="8" w:space="0" w:color="000000"/>
              <w:right w:val="outset" w:sz="8" w:space="0" w:color="000000"/>
            </w:tcBorders>
            <w:shd w:val="clear" w:color="auto" w:fill="F8F8F8"/>
            <w:vAlign w:val="center"/>
          </w:tcPr>
          <w:p w:rsidR="00011071" w:rsidRPr="009B204B" w:rsidRDefault="00011071" w:rsidP="00011071">
            <w:pPr>
              <w:spacing w:line="276" w:lineRule="auto"/>
              <w:ind w:firstLineChars="500" w:firstLine="1050"/>
              <w:rPr>
                <w:rFonts w:ascii="宋体" w:hAnsi="宋体"/>
              </w:rPr>
            </w:pPr>
            <w:r w:rsidRPr="009B204B">
              <w:rPr>
                <w:rFonts w:ascii="宋体" w:hAnsi="宋体" w:hint="eastAsia"/>
              </w:rPr>
              <w:t>投资收益-</w:t>
            </w:r>
            <w:r>
              <w:rPr>
                <w:rFonts w:ascii="宋体" w:hAnsi="宋体" w:hint="eastAsia"/>
              </w:rPr>
              <w:t>股票</w:t>
            </w:r>
            <w:r w:rsidRPr="009B204B">
              <w:rPr>
                <w:rFonts w:ascii="宋体" w:hAnsi="宋体" w:hint="eastAsia"/>
              </w:rPr>
              <w:t>投资（注2）</w:t>
            </w:r>
          </w:p>
        </w:tc>
        <w:tc>
          <w:tcPr>
            <w:tcW w:w="1795" w:type="dxa"/>
            <w:tcBorders>
              <w:top w:val="nil"/>
              <w:left w:val="nil"/>
              <w:bottom w:val="outset" w:sz="8" w:space="0" w:color="000000"/>
              <w:right w:val="outset" w:sz="8" w:space="0" w:color="000000"/>
            </w:tcBorders>
            <w:shd w:val="clear" w:color="auto" w:fill="F8F8F8"/>
            <w:vAlign w:val="center"/>
          </w:tcPr>
          <w:p w:rsidR="00011071" w:rsidRPr="00011071" w:rsidRDefault="00011071" w:rsidP="00011071">
            <w:pPr>
              <w:jc w:val="right"/>
              <w:rPr>
                <w:rFonts w:ascii="宋体" w:hAnsi="宋体"/>
              </w:rPr>
            </w:pPr>
            <w:r w:rsidRPr="00011071">
              <w:rPr>
                <w:rFonts w:ascii="宋体" w:hAnsi="宋体" w:hint="eastAsia"/>
              </w:rPr>
              <w:t>262,849.79</w:t>
            </w:r>
          </w:p>
        </w:tc>
      </w:tr>
      <w:tr w:rsidR="00011071" w:rsidRPr="009B204B" w:rsidTr="00E54A48">
        <w:tc>
          <w:tcPr>
            <w:tcW w:w="6531" w:type="dxa"/>
            <w:tcBorders>
              <w:top w:val="nil"/>
              <w:left w:val="outset" w:sz="8" w:space="0" w:color="000000"/>
              <w:bottom w:val="outset" w:sz="8" w:space="0" w:color="000000"/>
              <w:right w:val="outset" w:sz="8" w:space="0" w:color="000000"/>
            </w:tcBorders>
            <w:shd w:val="clear" w:color="auto" w:fill="F8F8F8"/>
            <w:vAlign w:val="center"/>
          </w:tcPr>
          <w:p w:rsidR="00011071" w:rsidRPr="009B204B" w:rsidRDefault="00011071" w:rsidP="00011071">
            <w:pPr>
              <w:spacing w:line="276" w:lineRule="auto"/>
              <w:ind w:firstLineChars="500" w:firstLine="1050"/>
              <w:rPr>
                <w:rFonts w:ascii="宋体" w:hAnsi="宋体"/>
              </w:rPr>
            </w:pPr>
            <w:r w:rsidRPr="009B204B">
              <w:rPr>
                <w:rFonts w:ascii="宋体" w:hAnsi="宋体" w:hint="eastAsia"/>
              </w:rPr>
              <w:t>投资收益-债券投资（注2）</w:t>
            </w:r>
          </w:p>
        </w:tc>
        <w:tc>
          <w:tcPr>
            <w:tcW w:w="1795" w:type="dxa"/>
            <w:tcBorders>
              <w:top w:val="nil"/>
              <w:left w:val="nil"/>
              <w:bottom w:val="outset" w:sz="8" w:space="0" w:color="000000"/>
              <w:right w:val="outset" w:sz="8" w:space="0" w:color="000000"/>
            </w:tcBorders>
            <w:shd w:val="clear" w:color="auto" w:fill="F8F8F8"/>
            <w:vAlign w:val="center"/>
          </w:tcPr>
          <w:p w:rsidR="00011071" w:rsidRPr="00011071" w:rsidRDefault="00011071" w:rsidP="00011071">
            <w:pPr>
              <w:jc w:val="right"/>
              <w:rPr>
                <w:rFonts w:ascii="宋体" w:hAnsi="宋体"/>
              </w:rPr>
            </w:pPr>
            <w:r w:rsidRPr="00011071">
              <w:rPr>
                <w:rFonts w:ascii="宋体" w:hAnsi="宋体" w:hint="eastAsia"/>
              </w:rPr>
              <w:t>543,745.04</w:t>
            </w:r>
          </w:p>
        </w:tc>
      </w:tr>
      <w:tr w:rsidR="00011071" w:rsidRPr="009B204B" w:rsidTr="00E54A48">
        <w:tc>
          <w:tcPr>
            <w:tcW w:w="6531" w:type="dxa"/>
            <w:tcBorders>
              <w:top w:val="nil"/>
              <w:left w:val="outset" w:sz="8" w:space="0" w:color="000000"/>
              <w:bottom w:val="outset" w:sz="8" w:space="0" w:color="000000"/>
              <w:right w:val="outset" w:sz="8" w:space="0" w:color="000000"/>
            </w:tcBorders>
            <w:shd w:val="clear" w:color="auto" w:fill="F8F8F8"/>
            <w:vAlign w:val="center"/>
          </w:tcPr>
          <w:p w:rsidR="00011071" w:rsidRPr="009B204B" w:rsidRDefault="00011071" w:rsidP="00011071">
            <w:pPr>
              <w:spacing w:line="276" w:lineRule="auto"/>
              <w:ind w:firstLineChars="500" w:firstLine="1050"/>
              <w:rPr>
                <w:rFonts w:ascii="宋体" w:hAnsi="宋体"/>
              </w:rPr>
            </w:pPr>
            <w:r w:rsidRPr="009B204B">
              <w:rPr>
                <w:rFonts w:ascii="宋体" w:hAnsi="宋体" w:hint="eastAsia"/>
              </w:rPr>
              <w:t>投资收益-</w:t>
            </w:r>
            <w:r>
              <w:rPr>
                <w:rFonts w:ascii="宋体" w:hAnsi="宋体" w:hint="eastAsia"/>
              </w:rPr>
              <w:t>股息红利税</w:t>
            </w:r>
            <w:r w:rsidRPr="009B204B">
              <w:rPr>
                <w:rFonts w:ascii="宋体" w:hAnsi="宋体" w:hint="eastAsia"/>
              </w:rPr>
              <w:t>（注2）</w:t>
            </w:r>
          </w:p>
        </w:tc>
        <w:tc>
          <w:tcPr>
            <w:tcW w:w="1795" w:type="dxa"/>
            <w:tcBorders>
              <w:top w:val="nil"/>
              <w:left w:val="nil"/>
              <w:bottom w:val="outset" w:sz="8" w:space="0" w:color="000000"/>
              <w:right w:val="outset" w:sz="8" w:space="0" w:color="000000"/>
            </w:tcBorders>
            <w:shd w:val="clear" w:color="auto" w:fill="F8F8F8"/>
            <w:vAlign w:val="center"/>
          </w:tcPr>
          <w:p w:rsidR="00011071" w:rsidRPr="00011071" w:rsidRDefault="00011071" w:rsidP="00011071">
            <w:pPr>
              <w:jc w:val="right"/>
              <w:rPr>
                <w:rFonts w:ascii="宋体" w:hAnsi="宋体"/>
              </w:rPr>
            </w:pPr>
            <w:r w:rsidRPr="00011071">
              <w:rPr>
                <w:rFonts w:ascii="宋体" w:hAnsi="宋体" w:hint="eastAsia"/>
              </w:rPr>
              <w:t>-0.56</w:t>
            </w:r>
          </w:p>
        </w:tc>
      </w:tr>
      <w:tr w:rsidR="00011071" w:rsidRPr="009B204B" w:rsidTr="00E54A48">
        <w:tc>
          <w:tcPr>
            <w:tcW w:w="6531" w:type="dxa"/>
            <w:tcBorders>
              <w:top w:val="nil"/>
              <w:left w:val="outset" w:sz="8" w:space="0" w:color="000000"/>
              <w:bottom w:val="outset" w:sz="8" w:space="0" w:color="000000"/>
              <w:right w:val="outset" w:sz="8" w:space="0" w:color="000000"/>
            </w:tcBorders>
            <w:shd w:val="clear" w:color="auto" w:fill="F8F8F8"/>
            <w:vAlign w:val="center"/>
          </w:tcPr>
          <w:p w:rsidR="00011071" w:rsidRPr="009B204B" w:rsidRDefault="00011071" w:rsidP="00011071">
            <w:pPr>
              <w:spacing w:line="276" w:lineRule="auto"/>
              <w:ind w:firstLineChars="500" w:firstLine="1050"/>
              <w:rPr>
                <w:rFonts w:ascii="宋体" w:hAnsi="宋体"/>
              </w:rPr>
            </w:pPr>
            <w:r w:rsidRPr="009B204B">
              <w:rPr>
                <w:rFonts w:ascii="宋体" w:hAnsi="宋体" w:hint="eastAsia"/>
              </w:rPr>
              <w:t>公允价值变动损益-</w:t>
            </w:r>
            <w:r>
              <w:rPr>
                <w:rFonts w:ascii="宋体" w:hAnsi="宋体" w:hint="eastAsia"/>
              </w:rPr>
              <w:t>股票</w:t>
            </w:r>
            <w:r w:rsidRPr="009B204B">
              <w:rPr>
                <w:rFonts w:ascii="宋体" w:hAnsi="宋体" w:hint="eastAsia"/>
              </w:rPr>
              <w:t>投资（注3）</w:t>
            </w:r>
          </w:p>
        </w:tc>
        <w:tc>
          <w:tcPr>
            <w:tcW w:w="1795" w:type="dxa"/>
            <w:tcBorders>
              <w:top w:val="nil"/>
              <w:left w:val="nil"/>
              <w:bottom w:val="outset" w:sz="8" w:space="0" w:color="000000"/>
              <w:right w:val="outset" w:sz="8" w:space="0" w:color="000000"/>
            </w:tcBorders>
            <w:shd w:val="clear" w:color="auto" w:fill="F8F8F8"/>
            <w:vAlign w:val="center"/>
          </w:tcPr>
          <w:p w:rsidR="00011071" w:rsidRPr="00011071" w:rsidRDefault="00011071" w:rsidP="00011071">
            <w:pPr>
              <w:jc w:val="right"/>
              <w:rPr>
                <w:rFonts w:ascii="宋体" w:hAnsi="宋体"/>
              </w:rPr>
            </w:pPr>
            <w:r w:rsidRPr="00011071">
              <w:rPr>
                <w:rFonts w:ascii="宋体" w:hAnsi="宋体" w:hint="eastAsia"/>
              </w:rPr>
              <w:t>-234,604.83</w:t>
            </w:r>
          </w:p>
        </w:tc>
      </w:tr>
      <w:tr w:rsidR="00011071" w:rsidRPr="009B204B" w:rsidTr="00E54A48">
        <w:tc>
          <w:tcPr>
            <w:tcW w:w="6531" w:type="dxa"/>
            <w:tcBorders>
              <w:top w:val="nil"/>
              <w:left w:val="outset" w:sz="8" w:space="0" w:color="000000"/>
              <w:bottom w:val="outset" w:sz="8" w:space="0" w:color="000000"/>
              <w:right w:val="outset" w:sz="8" w:space="0" w:color="000000"/>
            </w:tcBorders>
            <w:shd w:val="clear" w:color="auto" w:fill="F8F8F8"/>
            <w:vAlign w:val="center"/>
          </w:tcPr>
          <w:p w:rsidR="00011071" w:rsidRPr="009B204B" w:rsidRDefault="00011071" w:rsidP="00011071">
            <w:pPr>
              <w:spacing w:line="276" w:lineRule="auto"/>
              <w:ind w:firstLineChars="500" w:firstLine="1050"/>
              <w:rPr>
                <w:rFonts w:ascii="宋体" w:hAnsi="宋体"/>
              </w:rPr>
            </w:pPr>
            <w:r w:rsidRPr="009B204B">
              <w:rPr>
                <w:rFonts w:ascii="宋体" w:hAnsi="宋体" w:hint="eastAsia"/>
              </w:rPr>
              <w:t>公允价值变动损益-债券投资（注3）</w:t>
            </w:r>
          </w:p>
        </w:tc>
        <w:tc>
          <w:tcPr>
            <w:tcW w:w="1795" w:type="dxa"/>
            <w:tcBorders>
              <w:top w:val="nil"/>
              <w:left w:val="nil"/>
              <w:bottom w:val="outset" w:sz="8" w:space="0" w:color="000000"/>
              <w:right w:val="outset" w:sz="8" w:space="0" w:color="000000"/>
            </w:tcBorders>
            <w:shd w:val="clear" w:color="auto" w:fill="F8F8F8"/>
            <w:vAlign w:val="center"/>
          </w:tcPr>
          <w:p w:rsidR="00011071" w:rsidRPr="00011071" w:rsidRDefault="00011071" w:rsidP="00011071">
            <w:pPr>
              <w:jc w:val="right"/>
              <w:rPr>
                <w:rFonts w:ascii="宋体" w:hAnsi="宋体"/>
              </w:rPr>
            </w:pPr>
            <w:r w:rsidRPr="00011071">
              <w:rPr>
                <w:rFonts w:ascii="宋体" w:hAnsi="宋体" w:hint="eastAsia"/>
              </w:rPr>
              <w:t>-520,381.56</w:t>
            </w:r>
          </w:p>
        </w:tc>
      </w:tr>
      <w:tr w:rsidR="00011071" w:rsidRPr="009B204B" w:rsidTr="00E54A48">
        <w:tc>
          <w:tcPr>
            <w:tcW w:w="6531" w:type="dxa"/>
            <w:tcBorders>
              <w:top w:val="nil"/>
              <w:left w:val="outset" w:sz="8" w:space="0" w:color="000000"/>
              <w:bottom w:val="outset" w:sz="8" w:space="0" w:color="000000"/>
              <w:right w:val="outset" w:sz="8" w:space="0" w:color="000000"/>
            </w:tcBorders>
            <w:shd w:val="clear" w:color="auto" w:fill="F8F8F8"/>
            <w:vAlign w:val="center"/>
          </w:tcPr>
          <w:p w:rsidR="00011071" w:rsidRPr="009B204B" w:rsidRDefault="00011071" w:rsidP="00011071">
            <w:pPr>
              <w:spacing w:line="276" w:lineRule="auto"/>
              <w:rPr>
                <w:rFonts w:ascii="宋体" w:hAnsi="宋体"/>
              </w:rPr>
            </w:pPr>
            <w:r w:rsidRPr="009B204B">
              <w:rPr>
                <w:rFonts w:ascii="宋体" w:hAnsi="宋体" w:hint="eastAsia"/>
              </w:rPr>
              <w:t>减：清算期间（2018年</w:t>
            </w:r>
            <w:r>
              <w:rPr>
                <w:rFonts w:ascii="宋体" w:hAnsi="宋体"/>
              </w:rPr>
              <w:t>11</w:t>
            </w:r>
            <w:r w:rsidRPr="009B204B">
              <w:rPr>
                <w:rFonts w:ascii="宋体" w:hAnsi="宋体" w:hint="eastAsia"/>
              </w:rPr>
              <w:t>月</w:t>
            </w:r>
            <w:r>
              <w:rPr>
                <w:rFonts w:ascii="宋体" w:hAnsi="宋体"/>
              </w:rPr>
              <w:t>19</w:t>
            </w:r>
            <w:r w:rsidRPr="009B204B">
              <w:rPr>
                <w:rFonts w:ascii="宋体" w:hAnsi="宋体" w:hint="eastAsia"/>
              </w:rPr>
              <w:t>日至2018年</w:t>
            </w:r>
            <w:r>
              <w:rPr>
                <w:rFonts w:ascii="宋体" w:hAnsi="宋体"/>
              </w:rPr>
              <w:t>11</w:t>
            </w:r>
            <w:r w:rsidRPr="009B204B">
              <w:rPr>
                <w:rFonts w:ascii="宋体" w:hAnsi="宋体" w:hint="eastAsia"/>
              </w:rPr>
              <w:t>月</w:t>
            </w:r>
            <w:r>
              <w:rPr>
                <w:rFonts w:ascii="宋体" w:hAnsi="宋体"/>
              </w:rPr>
              <w:t>23</w:t>
            </w:r>
            <w:r w:rsidRPr="009B204B">
              <w:rPr>
                <w:rFonts w:ascii="宋体" w:hAnsi="宋体" w:hint="eastAsia"/>
              </w:rPr>
              <w:t>日）费用</w:t>
            </w:r>
          </w:p>
        </w:tc>
        <w:tc>
          <w:tcPr>
            <w:tcW w:w="1795" w:type="dxa"/>
            <w:tcBorders>
              <w:top w:val="nil"/>
              <w:left w:val="nil"/>
              <w:bottom w:val="outset" w:sz="8" w:space="0" w:color="000000"/>
              <w:right w:val="outset" w:sz="8" w:space="0" w:color="000000"/>
            </w:tcBorders>
            <w:shd w:val="clear" w:color="auto" w:fill="F8F8F8"/>
            <w:vAlign w:val="center"/>
          </w:tcPr>
          <w:p w:rsidR="00011071" w:rsidRPr="00011071" w:rsidRDefault="00011071" w:rsidP="00011071">
            <w:pPr>
              <w:jc w:val="right"/>
              <w:rPr>
                <w:rFonts w:ascii="宋体" w:hAnsi="宋体"/>
              </w:rPr>
            </w:pPr>
            <w:r w:rsidRPr="00011071">
              <w:rPr>
                <w:rFonts w:ascii="宋体" w:hAnsi="宋体" w:hint="eastAsia"/>
              </w:rPr>
              <w:t xml:space="preserve">7,082.07 </w:t>
            </w:r>
          </w:p>
        </w:tc>
      </w:tr>
      <w:tr w:rsidR="00011071" w:rsidRPr="009B204B" w:rsidTr="00E54A48">
        <w:tc>
          <w:tcPr>
            <w:tcW w:w="6531" w:type="dxa"/>
            <w:tcBorders>
              <w:top w:val="nil"/>
              <w:left w:val="outset" w:sz="8" w:space="0" w:color="000000"/>
              <w:bottom w:val="outset" w:sz="8" w:space="0" w:color="000000"/>
              <w:right w:val="outset" w:sz="8" w:space="0" w:color="000000"/>
            </w:tcBorders>
            <w:shd w:val="clear" w:color="auto" w:fill="F8F8F8"/>
            <w:vAlign w:val="center"/>
          </w:tcPr>
          <w:p w:rsidR="00011071" w:rsidRPr="009B204B" w:rsidRDefault="00011071" w:rsidP="00011071">
            <w:pPr>
              <w:spacing w:line="276" w:lineRule="auto"/>
              <w:ind w:firstLineChars="200" w:firstLine="420"/>
              <w:rPr>
                <w:rFonts w:ascii="宋体" w:hAnsi="宋体"/>
              </w:rPr>
            </w:pPr>
            <w:r>
              <w:rPr>
                <w:rFonts w:ascii="宋体" w:hAnsi="宋体" w:hint="eastAsia"/>
              </w:rPr>
              <w:t>其中：</w:t>
            </w:r>
            <w:r w:rsidRPr="009B204B">
              <w:rPr>
                <w:rFonts w:ascii="宋体" w:hAnsi="宋体" w:hint="eastAsia"/>
              </w:rPr>
              <w:t>交易费用-</w:t>
            </w:r>
            <w:r>
              <w:rPr>
                <w:rFonts w:ascii="宋体" w:hAnsi="宋体" w:hint="eastAsia"/>
              </w:rPr>
              <w:t>交易所</w:t>
            </w:r>
            <w:r w:rsidRPr="009B204B">
              <w:rPr>
                <w:rFonts w:ascii="宋体" w:hAnsi="宋体" w:hint="eastAsia"/>
              </w:rPr>
              <w:t>交易费用（注</w:t>
            </w:r>
            <w:r>
              <w:rPr>
                <w:rFonts w:ascii="宋体" w:hAnsi="宋体" w:hint="eastAsia"/>
              </w:rPr>
              <w:t>4</w:t>
            </w:r>
            <w:r w:rsidRPr="009B204B">
              <w:rPr>
                <w:rFonts w:ascii="宋体" w:hAnsi="宋体" w:hint="eastAsia"/>
              </w:rPr>
              <w:t>）</w:t>
            </w:r>
          </w:p>
        </w:tc>
        <w:tc>
          <w:tcPr>
            <w:tcW w:w="1795" w:type="dxa"/>
            <w:tcBorders>
              <w:top w:val="nil"/>
              <w:left w:val="nil"/>
              <w:bottom w:val="outset" w:sz="8" w:space="0" w:color="000000"/>
              <w:right w:val="outset" w:sz="8" w:space="0" w:color="000000"/>
            </w:tcBorders>
            <w:shd w:val="clear" w:color="auto" w:fill="F8F8F8"/>
            <w:vAlign w:val="center"/>
          </w:tcPr>
          <w:p w:rsidR="00011071" w:rsidRPr="00011071" w:rsidRDefault="00011071" w:rsidP="00011071">
            <w:pPr>
              <w:jc w:val="right"/>
              <w:rPr>
                <w:rFonts w:ascii="宋体" w:hAnsi="宋体"/>
              </w:rPr>
            </w:pPr>
            <w:r w:rsidRPr="00011071">
              <w:rPr>
                <w:rFonts w:ascii="宋体" w:hAnsi="宋体" w:hint="eastAsia"/>
              </w:rPr>
              <w:t>7,077.07</w:t>
            </w:r>
          </w:p>
        </w:tc>
      </w:tr>
      <w:tr w:rsidR="00011071" w:rsidRPr="009B204B" w:rsidTr="00E54A48">
        <w:tc>
          <w:tcPr>
            <w:tcW w:w="6531" w:type="dxa"/>
            <w:tcBorders>
              <w:top w:val="nil"/>
              <w:left w:val="outset" w:sz="8" w:space="0" w:color="000000"/>
              <w:bottom w:val="outset" w:sz="8" w:space="0" w:color="000000"/>
              <w:right w:val="outset" w:sz="8" w:space="0" w:color="000000"/>
            </w:tcBorders>
            <w:shd w:val="clear" w:color="auto" w:fill="F8F8F8"/>
            <w:vAlign w:val="center"/>
          </w:tcPr>
          <w:p w:rsidR="00011071" w:rsidRDefault="00011071" w:rsidP="00011071">
            <w:pPr>
              <w:spacing w:line="276" w:lineRule="auto"/>
              <w:ind w:firstLineChars="500" w:firstLine="1050"/>
              <w:rPr>
                <w:rFonts w:ascii="宋体" w:hAnsi="宋体"/>
              </w:rPr>
            </w:pPr>
            <w:r>
              <w:rPr>
                <w:rFonts w:ascii="宋体" w:hAnsi="宋体" w:hint="eastAsia"/>
              </w:rPr>
              <w:t>税金</w:t>
            </w:r>
            <w:r>
              <w:rPr>
                <w:rFonts w:ascii="宋体" w:hAnsi="宋体"/>
              </w:rPr>
              <w:t>及附加</w:t>
            </w:r>
            <w:r w:rsidRPr="009B204B">
              <w:rPr>
                <w:rFonts w:ascii="宋体" w:hAnsi="宋体" w:hint="eastAsia"/>
              </w:rPr>
              <w:t>（注</w:t>
            </w:r>
            <w:r>
              <w:rPr>
                <w:rFonts w:ascii="宋体" w:hAnsi="宋体"/>
              </w:rPr>
              <w:t>5</w:t>
            </w:r>
            <w:r w:rsidRPr="009B204B">
              <w:rPr>
                <w:rFonts w:ascii="宋体" w:hAnsi="宋体" w:hint="eastAsia"/>
              </w:rPr>
              <w:t>）</w:t>
            </w:r>
          </w:p>
        </w:tc>
        <w:tc>
          <w:tcPr>
            <w:tcW w:w="1795" w:type="dxa"/>
            <w:tcBorders>
              <w:top w:val="nil"/>
              <w:left w:val="nil"/>
              <w:bottom w:val="outset" w:sz="8" w:space="0" w:color="000000"/>
              <w:right w:val="outset" w:sz="8" w:space="0" w:color="000000"/>
            </w:tcBorders>
            <w:shd w:val="clear" w:color="auto" w:fill="F8F8F8"/>
            <w:vAlign w:val="center"/>
          </w:tcPr>
          <w:p w:rsidR="00011071" w:rsidRPr="00011071" w:rsidRDefault="00011071" w:rsidP="00011071">
            <w:pPr>
              <w:jc w:val="right"/>
              <w:rPr>
                <w:rFonts w:ascii="宋体" w:hAnsi="宋体"/>
              </w:rPr>
            </w:pPr>
            <w:r>
              <w:rPr>
                <w:rFonts w:ascii="宋体" w:hAnsi="宋体"/>
              </w:rPr>
              <w:t>5.00</w:t>
            </w:r>
          </w:p>
        </w:tc>
      </w:tr>
      <w:tr w:rsidR="00011071" w:rsidRPr="009B204B" w:rsidTr="00E54A48">
        <w:tc>
          <w:tcPr>
            <w:tcW w:w="6531" w:type="dxa"/>
            <w:tcBorders>
              <w:top w:val="nil"/>
              <w:left w:val="outset" w:sz="8" w:space="0" w:color="000000"/>
              <w:bottom w:val="outset" w:sz="8" w:space="0" w:color="000000"/>
              <w:right w:val="outset" w:sz="8" w:space="0" w:color="000000"/>
            </w:tcBorders>
            <w:shd w:val="clear" w:color="auto" w:fill="F8F8F8"/>
            <w:vAlign w:val="center"/>
          </w:tcPr>
          <w:p w:rsidR="00011071" w:rsidRPr="009B204B" w:rsidRDefault="00011071" w:rsidP="00011071">
            <w:pPr>
              <w:spacing w:line="276" w:lineRule="auto"/>
              <w:ind w:firstLineChars="500" w:firstLine="1050"/>
              <w:rPr>
                <w:rFonts w:ascii="宋体" w:hAnsi="宋体"/>
              </w:rPr>
            </w:pPr>
            <w:r w:rsidRPr="009B204B">
              <w:rPr>
                <w:rFonts w:ascii="宋体" w:hAnsi="宋体" w:hint="eastAsia"/>
              </w:rPr>
              <w:t>清算费用（注</w:t>
            </w:r>
            <w:r>
              <w:rPr>
                <w:rFonts w:ascii="宋体" w:hAnsi="宋体"/>
              </w:rPr>
              <w:t>6</w:t>
            </w:r>
            <w:r w:rsidRPr="009B204B">
              <w:rPr>
                <w:rFonts w:ascii="宋体" w:hAnsi="宋体" w:hint="eastAsia"/>
              </w:rPr>
              <w:t>）</w:t>
            </w:r>
          </w:p>
        </w:tc>
        <w:tc>
          <w:tcPr>
            <w:tcW w:w="1795" w:type="dxa"/>
            <w:tcBorders>
              <w:top w:val="nil"/>
              <w:left w:val="nil"/>
              <w:bottom w:val="outset" w:sz="8" w:space="0" w:color="000000"/>
              <w:right w:val="outset" w:sz="8" w:space="0" w:color="000000"/>
            </w:tcBorders>
            <w:shd w:val="clear" w:color="auto" w:fill="F8F8F8"/>
            <w:vAlign w:val="center"/>
          </w:tcPr>
          <w:p w:rsidR="00011071" w:rsidRPr="00011071" w:rsidRDefault="00011071" w:rsidP="00011071">
            <w:pPr>
              <w:jc w:val="right"/>
              <w:rPr>
                <w:rFonts w:ascii="宋体" w:hAnsi="宋体"/>
              </w:rPr>
            </w:pPr>
            <w:r w:rsidRPr="00011071">
              <w:rPr>
                <w:rFonts w:ascii="宋体" w:hAnsi="宋体" w:hint="eastAsia"/>
              </w:rPr>
              <w:t>-</w:t>
            </w:r>
          </w:p>
        </w:tc>
      </w:tr>
      <w:tr w:rsidR="00011071" w:rsidRPr="009B204B" w:rsidTr="00E54A48">
        <w:tc>
          <w:tcPr>
            <w:tcW w:w="6531" w:type="dxa"/>
            <w:tcBorders>
              <w:top w:val="nil"/>
              <w:left w:val="outset" w:sz="8" w:space="0" w:color="000000"/>
              <w:bottom w:val="outset" w:sz="8" w:space="0" w:color="000000"/>
              <w:right w:val="outset" w:sz="8" w:space="0" w:color="000000"/>
            </w:tcBorders>
            <w:shd w:val="clear" w:color="auto" w:fill="F8F8F8"/>
            <w:vAlign w:val="center"/>
          </w:tcPr>
          <w:p w:rsidR="00011071" w:rsidRPr="009B204B" w:rsidRDefault="00011071" w:rsidP="00011071">
            <w:pPr>
              <w:spacing w:line="276" w:lineRule="auto"/>
              <w:rPr>
                <w:rFonts w:ascii="宋体" w:hAnsi="宋体"/>
              </w:rPr>
            </w:pPr>
            <w:r w:rsidRPr="009B204B">
              <w:rPr>
                <w:rFonts w:ascii="宋体" w:hAnsi="宋体" w:hint="eastAsia"/>
              </w:rPr>
              <w:t>减：基金净赎回金额(于2018年</w:t>
            </w:r>
            <w:r>
              <w:rPr>
                <w:rFonts w:ascii="宋体" w:hAnsi="宋体"/>
              </w:rPr>
              <w:t>11</w:t>
            </w:r>
            <w:r w:rsidRPr="009B204B">
              <w:rPr>
                <w:rFonts w:ascii="宋体" w:hAnsi="宋体" w:hint="eastAsia"/>
              </w:rPr>
              <w:t>月</w:t>
            </w:r>
            <w:r>
              <w:rPr>
                <w:rFonts w:ascii="宋体" w:hAnsi="宋体"/>
              </w:rPr>
              <w:t>19</w:t>
            </w:r>
            <w:r w:rsidRPr="009B204B">
              <w:rPr>
                <w:rFonts w:ascii="宋体" w:hAnsi="宋体" w:hint="eastAsia"/>
              </w:rPr>
              <w:t>日确认的投资者赎回申请)</w:t>
            </w:r>
          </w:p>
        </w:tc>
        <w:tc>
          <w:tcPr>
            <w:tcW w:w="1795" w:type="dxa"/>
            <w:tcBorders>
              <w:top w:val="nil"/>
              <w:left w:val="nil"/>
              <w:bottom w:val="outset" w:sz="8" w:space="0" w:color="000000"/>
              <w:right w:val="outset" w:sz="8" w:space="0" w:color="000000"/>
            </w:tcBorders>
            <w:shd w:val="clear" w:color="auto" w:fill="F8F8F8"/>
            <w:vAlign w:val="center"/>
          </w:tcPr>
          <w:p w:rsidR="00011071" w:rsidRPr="00011071" w:rsidRDefault="00011071" w:rsidP="00011071">
            <w:pPr>
              <w:jc w:val="right"/>
              <w:rPr>
                <w:rFonts w:ascii="宋体" w:hAnsi="宋体"/>
              </w:rPr>
            </w:pPr>
            <w:r w:rsidRPr="00011071">
              <w:rPr>
                <w:rFonts w:ascii="宋体" w:hAnsi="宋体" w:hint="eastAsia"/>
              </w:rPr>
              <w:t>23,193,117.14</w:t>
            </w:r>
          </w:p>
        </w:tc>
      </w:tr>
      <w:tr w:rsidR="00011071" w:rsidRPr="004676BD" w:rsidTr="00E54A48">
        <w:tc>
          <w:tcPr>
            <w:tcW w:w="6531" w:type="dxa"/>
            <w:tcBorders>
              <w:top w:val="nil"/>
              <w:left w:val="outset" w:sz="8" w:space="0" w:color="000000"/>
              <w:bottom w:val="outset" w:sz="8" w:space="0" w:color="000000"/>
              <w:right w:val="outset" w:sz="8" w:space="0" w:color="000000"/>
            </w:tcBorders>
            <w:shd w:val="clear" w:color="auto" w:fill="F8F8F8"/>
            <w:vAlign w:val="center"/>
          </w:tcPr>
          <w:p w:rsidR="00011071" w:rsidRPr="009B204B" w:rsidRDefault="00011071" w:rsidP="00011071">
            <w:pPr>
              <w:spacing w:line="276" w:lineRule="auto"/>
              <w:rPr>
                <w:rFonts w:ascii="宋体" w:hAnsi="宋体"/>
              </w:rPr>
            </w:pPr>
            <w:r w:rsidRPr="009B204B">
              <w:rPr>
                <w:rFonts w:ascii="宋体" w:hAnsi="宋体" w:hint="eastAsia"/>
              </w:rPr>
              <w:t>二、2018年</w:t>
            </w:r>
            <w:r>
              <w:rPr>
                <w:rFonts w:ascii="宋体" w:hAnsi="宋体"/>
              </w:rPr>
              <w:t>11</w:t>
            </w:r>
            <w:r w:rsidRPr="009B204B">
              <w:rPr>
                <w:rFonts w:ascii="宋体" w:hAnsi="宋体" w:hint="eastAsia"/>
              </w:rPr>
              <w:t>月</w:t>
            </w:r>
            <w:r>
              <w:rPr>
                <w:rFonts w:ascii="宋体" w:hAnsi="宋体"/>
              </w:rPr>
              <w:t>23</w:t>
            </w:r>
            <w:r w:rsidRPr="009B204B">
              <w:rPr>
                <w:rFonts w:ascii="宋体" w:hAnsi="宋体" w:hint="eastAsia"/>
              </w:rPr>
              <w:t>日基金净资产</w:t>
            </w:r>
          </w:p>
        </w:tc>
        <w:tc>
          <w:tcPr>
            <w:tcW w:w="1795" w:type="dxa"/>
            <w:tcBorders>
              <w:top w:val="nil"/>
              <w:left w:val="nil"/>
              <w:bottom w:val="outset" w:sz="8" w:space="0" w:color="000000"/>
              <w:right w:val="outset" w:sz="8" w:space="0" w:color="000000"/>
            </w:tcBorders>
            <w:shd w:val="clear" w:color="auto" w:fill="F8F8F8"/>
            <w:vAlign w:val="center"/>
          </w:tcPr>
          <w:p w:rsidR="00011071" w:rsidRPr="00011071" w:rsidRDefault="00011071" w:rsidP="00011071">
            <w:pPr>
              <w:jc w:val="right"/>
              <w:rPr>
                <w:rFonts w:ascii="宋体" w:hAnsi="宋体"/>
              </w:rPr>
            </w:pPr>
            <w:r w:rsidRPr="00011071">
              <w:rPr>
                <w:rFonts w:ascii="宋体" w:hAnsi="宋体" w:hint="eastAsia"/>
              </w:rPr>
              <w:t>16,224,348.68</w:t>
            </w:r>
          </w:p>
        </w:tc>
      </w:tr>
    </w:tbl>
    <w:p w:rsidR="00095522" w:rsidRPr="00095522" w:rsidRDefault="00E74CEB" w:rsidP="00E74CEB">
      <w:pPr>
        <w:spacing w:line="360" w:lineRule="auto"/>
      </w:pPr>
      <w:r w:rsidRPr="00335964">
        <w:rPr>
          <w:rFonts w:ascii="宋体" w:hAnsi="宋体"/>
        </w:rPr>
        <w:t>注</w:t>
      </w:r>
      <w:r w:rsidRPr="00335964">
        <w:rPr>
          <w:rFonts w:ascii="宋体" w:hAnsi="宋体" w:hint="eastAsia"/>
        </w:rPr>
        <w:t>：1、</w:t>
      </w:r>
      <w:r w:rsidR="00106FB6" w:rsidRPr="00335964">
        <w:rPr>
          <w:rFonts w:ascii="宋体" w:hAnsi="宋体" w:hint="eastAsia"/>
        </w:rPr>
        <w:t>利息收入</w:t>
      </w:r>
      <w:r w:rsidR="000B4994" w:rsidRPr="00335964">
        <w:rPr>
          <w:rFonts w:ascii="宋体" w:hAnsi="宋体" w:hint="eastAsia"/>
        </w:rPr>
        <w:t>是</w:t>
      </w:r>
      <w:r w:rsidR="00807252" w:rsidRPr="00335964">
        <w:rPr>
          <w:rFonts w:ascii="宋体" w:hAnsi="宋体" w:hint="eastAsia"/>
        </w:rPr>
        <w:t>以当前适用的利率</w:t>
      </w:r>
      <w:r w:rsidR="003F03AB" w:rsidRPr="00335964">
        <w:rPr>
          <w:rFonts w:ascii="宋体" w:hAnsi="宋体" w:hint="eastAsia"/>
        </w:rPr>
        <w:t>计提的</w:t>
      </w:r>
      <w:r w:rsidR="00781F8E" w:rsidRPr="00335964">
        <w:rPr>
          <w:rFonts w:ascii="宋体" w:hAnsi="宋体" w:hint="eastAsia"/>
        </w:rPr>
        <w:t>2018年</w:t>
      </w:r>
      <w:r w:rsidR="00A338E0" w:rsidRPr="00335964">
        <w:rPr>
          <w:rFonts w:ascii="宋体" w:hAnsi="宋体"/>
        </w:rPr>
        <w:t>11</w:t>
      </w:r>
      <w:r w:rsidR="00781F8E" w:rsidRPr="00335964">
        <w:rPr>
          <w:rFonts w:ascii="宋体" w:hAnsi="宋体" w:hint="eastAsia"/>
        </w:rPr>
        <w:t>月</w:t>
      </w:r>
      <w:r w:rsidR="00A338E0" w:rsidRPr="00335964">
        <w:rPr>
          <w:rFonts w:ascii="宋体" w:hAnsi="宋体"/>
        </w:rPr>
        <w:t>17</w:t>
      </w:r>
      <w:r w:rsidR="00781F8E" w:rsidRPr="00335964">
        <w:rPr>
          <w:rFonts w:ascii="宋体" w:hAnsi="宋体" w:hint="eastAsia"/>
        </w:rPr>
        <w:t>日至2018年</w:t>
      </w:r>
      <w:r w:rsidR="00A338E0" w:rsidRPr="00335964">
        <w:rPr>
          <w:rFonts w:ascii="宋体" w:hAnsi="宋体"/>
        </w:rPr>
        <w:t>11</w:t>
      </w:r>
      <w:r w:rsidR="00781F8E" w:rsidRPr="00335964">
        <w:rPr>
          <w:rFonts w:ascii="宋体" w:hAnsi="宋体" w:hint="eastAsia"/>
        </w:rPr>
        <w:t>月</w:t>
      </w:r>
      <w:r w:rsidR="00A338E0" w:rsidRPr="00335964">
        <w:rPr>
          <w:rFonts w:ascii="宋体" w:hAnsi="宋体"/>
        </w:rPr>
        <w:t>18</w:t>
      </w:r>
      <w:r w:rsidR="00781F8E" w:rsidRPr="00335964">
        <w:rPr>
          <w:rFonts w:ascii="宋体" w:hAnsi="宋体" w:hint="eastAsia"/>
        </w:rPr>
        <w:t>日</w:t>
      </w:r>
      <w:r w:rsidR="00A338E0" w:rsidRPr="00335964">
        <w:rPr>
          <w:rFonts w:ascii="宋体" w:hAnsi="宋体" w:hint="eastAsia"/>
        </w:rPr>
        <w:t>以及2018年11月19日</w:t>
      </w:r>
      <w:r w:rsidR="00A338E0" w:rsidRPr="00335964">
        <w:rPr>
          <w:rFonts w:ascii="宋体" w:hAnsi="宋体"/>
        </w:rPr>
        <w:t>至</w:t>
      </w:r>
      <w:r w:rsidR="00A338E0" w:rsidRPr="00335964">
        <w:rPr>
          <w:rFonts w:ascii="宋体" w:hAnsi="宋体" w:hint="eastAsia"/>
        </w:rPr>
        <w:t>2018年11月23日止</w:t>
      </w:r>
      <w:r w:rsidR="00A338E0" w:rsidRPr="00335964">
        <w:rPr>
          <w:rFonts w:ascii="宋体" w:hAnsi="宋体"/>
        </w:rPr>
        <w:t>清算</w:t>
      </w:r>
      <w:r w:rsidR="003F03AB" w:rsidRPr="00335964">
        <w:rPr>
          <w:rFonts w:ascii="宋体" w:hAnsi="宋体" w:hint="eastAsia"/>
        </w:rPr>
        <w:t>期间的</w:t>
      </w:r>
      <w:r w:rsidR="00106FB6" w:rsidRPr="00335964">
        <w:rPr>
          <w:rFonts w:asciiTheme="minorEastAsia" w:eastAsiaTheme="minorEastAsia" w:hAnsiTheme="minorEastAsia" w:hint="eastAsia"/>
        </w:rPr>
        <w:t>银行存款利息、结算备付金利息</w:t>
      </w:r>
      <w:r w:rsidR="00095522" w:rsidRPr="00335964">
        <w:rPr>
          <w:rFonts w:asciiTheme="minorEastAsia" w:eastAsiaTheme="minorEastAsia" w:hAnsiTheme="minorEastAsia" w:hint="eastAsia"/>
        </w:rPr>
        <w:t>、</w:t>
      </w:r>
      <w:r w:rsidR="00106FB6" w:rsidRPr="00335964">
        <w:rPr>
          <w:rFonts w:asciiTheme="minorEastAsia" w:eastAsiaTheme="minorEastAsia" w:hAnsiTheme="minorEastAsia" w:hint="eastAsia"/>
        </w:rPr>
        <w:t>存出保证金利息</w:t>
      </w:r>
      <w:r w:rsidR="00095522" w:rsidRPr="00335964">
        <w:rPr>
          <w:rFonts w:asciiTheme="minorEastAsia" w:eastAsiaTheme="minorEastAsia" w:hAnsiTheme="minorEastAsia" w:hint="eastAsia"/>
        </w:rPr>
        <w:t>和</w:t>
      </w:r>
      <w:r w:rsidR="00095522" w:rsidRPr="00335964">
        <w:rPr>
          <w:rFonts w:hint="eastAsia"/>
        </w:rPr>
        <w:t>债券利息</w:t>
      </w:r>
      <w:r w:rsidR="003F03AB" w:rsidRPr="00335964">
        <w:rPr>
          <w:rFonts w:ascii="宋体" w:hAnsi="宋体" w:hint="eastAsia"/>
        </w:rPr>
        <w:t>；</w:t>
      </w:r>
      <w:r w:rsidR="00095522" w:rsidRPr="00335964">
        <w:t>A/C</w:t>
      </w:r>
      <w:r w:rsidR="00095522" w:rsidRPr="00335964">
        <w:rPr>
          <w:rFonts w:hint="eastAsia"/>
        </w:rPr>
        <w:t>类份额之间的收入分配按照各级别净值占比进行分配；</w:t>
      </w:r>
    </w:p>
    <w:p w:rsidR="00335E42" w:rsidRDefault="00327CD0" w:rsidP="00B902BD">
      <w:pPr>
        <w:spacing w:line="360" w:lineRule="auto"/>
        <w:rPr>
          <w:rFonts w:ascii="宋体" w:hAnsi="宋体"/>
        </w:rPr>
      </w:pPr>
      <w:r>
        <w:rPr>
          <w:rFonts w:ascii="宋体" w:hAnsi="宋体" w:hint="eastAsia"/>
        </w:rPr>
        <w:t xml:space="preserve">    2、</w:t>
      </w:r>
      <w:r w:rsidR="00335E42">
        <w:rPr>
          <w:rFonts w:ascii="宋体" w:hAnsi="宋体" w:hint="eastAsia"/>
        </w:rPr>
        <w:t>投资收益</w:t>
      </w:r>
      <w:r w:rsidR="00F54B8B">
        <w:rPr>
          <w:rFonts w:ascii="宋体" w:hAnsi="宋体" w:hint="eastAsia"/>
        </w:rPr>
        <w:t>是</w:t>
      </w:r>
      <w:r w:rsidR="009005E0">
        <w:rPr>
          <w:rFonts w:ascii="宋体" w:hAnsi="宋体" w:hint="eastAsia"/>
        </w:rPr>
        <w:t>清算期间</w:t>
      </w:r>
      <w:r w:rsidR="006C694D">
        <w:rPr>
          <w:rFonts w:ascii="宋体" w:hAnsi="宋体" w:hint="eastAsia"/>
        </w:rPr>
        <w:t>卖出</w:t>
      </w:r>
      <w:r w:rsidR="009005E0">
        <w:rPr>
          <w:rFonts w:ascii="宋体" w:hAnsi="宋体" w:hint="eastAsia"/>
        </w:rPr>
        <w:t>股票</w:t>
      </w:r>
      <w:r w:rsidR="009005E0">
        <w:rPr>
          <w:rFonts w:ascii="宋体" w:hAnsi="宋体"/>
        </w:rPr>
        <w:t>和</w:t>
      </w:r>
      <w:r w:rsidR="006C694D">
        <w:rPr>
          <w:rFonts w:ascii="宋体" w:hAnsi="宋体" w:hint="eastAsia"/>
        </w:rPr>
        <w:t>债券产生</w:t>
      </w:r>
      <w:r w:rsidR="00335E42">
        <w:rPr>
          <w:rFonts w:ascii="宋体" w:hAnsi="宋体" w:hint="eastAsia"/>
        </w:rPr>
        <w:t>的</w:t>
      </w:r>
      <w:r w:rsidR="00DC0841">
        <w:rPr>
          <w:rFonts w:ascii="宋体" w:hAnsi="宋体" w:hint="eastAsia"/>
        </w:rPr>
        <w:t>差价收入</w:t>
      </w:r>
      <w:r w:rsidR="00D12EBF">
        <w:rPr>
          <w:rFonts w:ascii="宋体" w:hAnsi="宋体" w:hint="eastAsia"/>
        </w:rPr>
        <w:t>，以及</w:t>
      </w:r>
      <w:r w:rsidR="009005E0">
        <w:rPr>
          <w:rFonts w:ascii="宋体" w:hAnsi="宋体" w:hint="eastAsia"/>
        </w:rPr>
        <w:t>应缴股息红利税款</w:t>
      </w:r>
      <w:r w:rsidR="00D12EBF">
        <w:rPr>
          <w:rFonts w:ascii="宋体" w:hAnsi="宋体" w:hint="eastAsia"/>
        </w:rPr>
        <w:t>；</w:t>
      </w:r>
      <w:r w:rsidR="00D12EBF" w:rsidRPr="00B27FF4">
        <w:t>A/C</w:t>
      </w:r>
      <w:r w:rsidR="00D12EBF" w:rsidRPr="00B27FF4">
        <w:rPr>
          <w:rFonts w:hint="eastAsia"/>
        </w:rPr>
        <w:t>类份额之间的收入分配按照各级别净值占比进行分配；</w:t>
      </w:r>
    </w:p>
    <w:p w:rsidR="00F54B8B" w:rsidRPr="00F54B8B" w:rsidRDefault="00F54B8B" w:rsidP="00F54B8B">
      <w:pPr>
        <w:spacing w:line="360" w:lineRule="auto"/>
        <w:ind w:firstLineChars="202" w:firstLine="424"/>
        <w:rPr>
          <w:rFonts w:ascii="宋体" w:hAnsi="宋体"/>
        </w:rPr>
      </w:pPr>
      <w:r>
        <w:rPr>
          <w:rFonts w:ascii="宋体" w:hAnsi="宋体" w:hint="eastAsia"/>
        </w:rPr>
        <w:t>3、公允价值变动损益是</w:t>
      </w:r>
      <w:r w:rsidR="009005E0" w:rsidRPr="00B27FF4">
        <w:rPr>
          <w:rFonts w:ascii="宋体" w:hAnsi="宋体" w:hint="eastAsia"/>
        </w:rPr>
        <w:t>所持</w:t>
      </w:r>
      <w:r w:rsidR="009005E0">
        <w:rPr>
          <w:rFonts w:ascii="宋体" w:hAnsi="宋体" w:hint="eastAsia"/>
        </w:rPr>
        <w:t>股票和</w:t>
      </w:r>
      <w:r w:rsidR="009005E0">
        <w:rPr>
          <w:rFonts w:ascii="宋体" w:hAnsi="宋体"/>
        </w:rPr>
        <w:t>债券在</w:t>
      </w:r>
      <w:r w:rsidR="009005E0" w:rsidRPr="00B27FF4">
        <w:rPr>
          <w:rFonts w:ascii="宋体" w:hAnsi="宋体" w:hint="eastAsia"/>
        </w:rPr>
        <w:t>清算期间的公允价值变动损益</w:t>
      </w:r>
      <w:r w:rsidR="009005E0">
        <w:rPr>
          <w:rFonts w:ascii="宋体" w:hAnsi="宋体" w:hint="eastAsia"/>
        </w:rPr>
        <w:t>，以及</w:t>
      </w:r>
      <w:r w:rsidR="009005E0">
        <w:rPr>
          <w:rFonts w:ascii="宋体" w:hAnsi="宋体"/>
        </w:rPr>
        <w:t>卖出</w:t>
      </w:r>
      <w:r w:rsidR="009005E0">
        <w:rPr>
          <w:rFonts w:ascii="宋体" w:hAnsi="宋体" w:hint="eastAsia"/>
        </w:rPr>
        <w:t>股票</w:t>
      </w:r>
      <w:r w:rsidR="009005E0">
        <w:rPr>
          <w:rFonts w:ascii="宋体" w:hAnsi="宋体"/>
        </w:rPr>
        <w:t>和</w:t>
      </w:r>
      <w:r w:rsidR="009005E0">
        <w:rPr>
          <w:rFonts w:ascii="宋体" w:hAnsi="宋体" w:hint="eastAsia"/>
        </w:rPr>
        <w:t>债券时所结转的公允价值变动损益</w:t>
      </w:r>
      <w:r w:rsidR="009005E0" w:rsidRPr="00B27FF4">
        <w:rPr>
          <w:rFonts w:hint="eastAsia"/>
        </w:rPr>
        <w:t>；</w:t>
      </w:r>
      <w:r w:rsidR="009005E0" w:rsidRPr="00B27FF4">
        <w:t>A/C</w:t>
      </w:r>
      <w:r w:rsidR="009005E0" w:rsidRPr="00B27FF4">
        <w:rPr>
          <w:rFonts w:hint="eastAsia"/>
        </w:rPr>
        <w:t>类份额之间的收入分配按照各级别净值占比进行分配</w:t>
      </w:r>
      <w:r w:rsidR="009005E0" w:rsidRPr="00B27FF4">
        <w:rPr>
          <w:rFonts w:ascii="宋体" w:hAnsi="宋体" w:hint="eastAsia"/>
        </w:rPr>
        <w:t>；</w:t>
      </w:r>
    </w:p>
    <w:p w:rsidR="00F72731" w:rsidRDefault="004A2BDC" w:rsidP="00BA7D91">
      <w:pPr>
        <w:spacing w:line="360" w:lineRule="auto"/>
        <w:rPr>
          <w:rFonts w:ascii="宋体" w:hAnsi="宋体"/>
        </w:rPr>
      </w:pPr>
      <w:r>
        <w:rPr>
          <w:rFonts w:ascii="宋体" w:hAnsi="宋体" w:hint="eastAsia"/>
        </w:rPr>
        <w:tab/>
      </w:r>
      <w:r w:rsidR="00BA7D91">
        <w:rPr>
          <w:rFonts w:ascii="宋体" w:hAnsi="宋体" w:hint="eastAsia"/>
        </w:rPr>
        <w:t>4</w:t>
      </w:r>
      <w:r w:rsidR="00AE000D">
        <w:rPr>
          <w:rFonts w:ascii="宋体" w:hAnsi="宋体" w:hint="eastAsia"/>
        </w:rPr>
        <w:t>、</w:t>
      </w:r>
      <w:r w:rsidR="00F72731">
        <w:rPr>
          <w:rFonts w:ascii="宋体" w:hAnsi="宋体" w:hint="eastAsia"/>
        </w:rPr>
        <w:t>交易费用为</w:t>
      </w:r>
      <w:r w:rsidR="00D12EBF">
        <w:rPr>
          <w:rFonts w:ascii="宋体" w:hAnsi="宋体" w:hint="eastAsia"/>
        </w:rPr>
        <w:t>清算期间</w:t>
      </w:r>
      <w:r w:rsidR="006C694D">
        <w:rPr>
          <w:rFonts w:hint="eastAsia"/>
        </w:rPr>
        <w:t>卖出</w:t>
      </w:r>
      <w:r w:rsidR="00D12EBF">
        <w:rPr>
          <w:rFonts w:hint="eastAsia"/>
        </w:rPr>
        <w:t>股票</w:t>
      </w:r>
      <w:r w:rsidR="00D12EBF">
        <w:t>和</w:t>
      </w:r>
      <w:r w:rsidR="006C694D">
        <w:rPr>
          <w:rFonts w:hint="eastAsia"/>
        </w:rPr>
        <w:t>债券产生的</w:t>
      </w:r>
      <w:r w:rsidR="00F72731">
        <w:rPr>
          <w:rFonts w:ascii="宋体" w:hAnsi="宋体" w:hint="eastAsia"/>
        </w:rPr>
        <w:t>交易费用</w:t>
      </w:r>
      <w:r w:rsidR="00AE000D">
        <w:rPr>
          <w:rFonts w:ascii="宋体" w:hAnsi="宋体" w:hint="eastAsia"/>
        </w:rPr>
        <w:t>；</w:t>
      </w:r>
      <w:r w:rsidR="00D12EBF" w:rsidRPr="00B27FF4">
        <w:t>A/C</w:t>
      </w:r>
      <w:r w:rsidR="00D12EBF" w:rsidRPr="00B27FF4">
        <w:rPr>
          <w:rFonts w:hint="eastAsia"/>
        </w:rPr>
        <w:t>类份额之间的</w:t>
      </w:r>
      <w:r w:rsidR="005D14D2">
        <w:rPr>
          <w:rFonts w:hint="eastAsia"/>
        </w:rPr>
        <w:t>费用</w:t>
      </w:r>
      <w:r w:rsidR="00D12EBF" w:rsidRPr="00B27FF4">
        <w:rPr>
          <w:rFonts w:hint="eastAsia"/>
        </w:rPr>
        <w:t>分配按照各级别净值占比进行分配；</w:t>
      </w:r>
    </w:p>
    <w:p w:rsidR="00AE000D" w:rsidRDefault="00BA7D91" w:rsidP="00AE000D">
      <w:pPr>
        <w:spacing w:line="360" w:lineRule="auto"/>
        <w:ind w:firstLineChars="200" w:firstLine="420"/>
        <w:rPr>
          <w:rFonts w:ascii="宋体" w:hAnsi="宋体"/>
        </w:rPr>
      </w:pPr>
      <w:r w:rsidRPr="00335964">
        <w:rPr>
          <w:rFonts w:ascii="宋体" w:hAnsi="宋体" w:hint="eastAsia"/>
        </w:rPr>
        <w:t>5</w:t>
      </w:r>
      <w:r w:rsidR="00AE000D" w:rsidRPr="00335964">
        <w:rPr>
          <w:rFonts w:ascii="宋体" w:hAnsi="宋体" w:hint="eastAsia"/>
        </w:rPr>
        <w:t>、</w:t>
      </w:r>
      <w:r w:rsidR="00D12EBF" w:rsidRPr="00335964">
        <w:rPr>
          <w:rFonts w:ascii="宋体" w:hAnsi="宋体" w:hint="eastAsia"/>
        </w:rPr>
        <w:t>税金及附加系</w:t>
      </w:r>
      <w:r w:rsidR="00D12EBF" w:rsidRPr="00335964">
        <w:rPr>
          <w:rFonts w:hint="eastAsia"/>
        </w:rPr>
        <w:t>以</w:t>
      </w:r>
      <w:r w:rsidR="00011071" w:rsidRPr="00335964">
        <w:rPr>
          <w:rFonts w:ascii="宋体" w:hAnsi="宋体" w:hint="eastAsia"/>
        </w:rPr>
        <w:t>2018年</w:t>
      </w:r>
      <w:r w:rsidR="00011071" w:rsidRPr="00335964">
        <w:rPr>
          <w:rFonts w:ascii="宋体" w:hAnsi="宋体"/>
        </w:rPr>
        <w:t>11</w:t>
      </w:r>
      <w:r w:rsidR="00011071" w:rsidRPr="00335964">
        <w:rPr>
          <w:rFonts w:ascii="宋体" w:hAnsi="宋体" w:hint="eastAsia"/>
        </w:rPr>
        <w:t>月</w:t>
      </w:r>
      <w:r w:rsidR="00011071" w:rsidRPr="00335964">
        <w:rPr>
          <w:rFonts w:ascii="宋体" w:hAnsi="宋体"/>
        </w:rPr>
        <w:t>17</w:t>
      </w:r>
      <w:r w:rsidR="00011071" w:rsidRPr="00335964">
        <w:rPr>
          <w:rFonts w:ascii="宋体" w:hAnsi="宋体" w:hint="eastAsia"/>
        </w:rPr>
        <w:t>日至2018年</w:t>
      </w:r>
      <w:r w:rsidR="00011071" w:rsidRPr="00335964">
        <w:rPr>
          <w:rFonts w:ascii="宋体" w:hAnsi="宋体"/>
        </w:rPr>
        <w:t>11</w:t>
      </w:r>
      <w:r w:rsidR="00011071" w:rsidRPr="00335964">
        <w:rPr>
          <w:rFonts w:ascii="宋体" w:hAnsi="宋体" w:hint="eastAsia"/>
        </w:rPr>
        <w:t>月</w:t>
      </w:r>
      <w:r w:rsidR="00011071" w:rsidRPr="00335964">
        <w:rPr>
          <w:rFonts w:ascii="宋体" w:hAnsi="宋体"/>
        </w:rPr>
        <w:t>18</w:t>
      </w:r>
      <w:r w:rsidR="00011071" w:rsidRPr="00335964">
        <w:rPr>
          <w:rFonts w:ascii="宋体" w:hAnsi="宋体" w:hint="eastAsia"/>
        </w:rPr>
        <w:t>日以及2018年11月19日</w:t>
      </w:r>
      <w:r w:rsidR="00011071" w:rsidRPr="00335964">
        <w:rPr>
          <w:rFonts w:ascii="宋体" w:hAnsi="宋体"/>
        </w:rPr>
        <w:t>至</w:t>
      </w:r>
      <w:r w:rsidR="00011071" w:rsidRPr="00335964">
        <w:rPr>
          <w:rFonts w:ascii="宋体" w:hAnsi="宋体" w:hint="eastAsia"/>
        </w:rPr>
        <w:t>2018年11月23日止</w:t>
      </w:r>
      <w:r w:rsidR="00011071" w:rsidRPr="00335964">
        <w:rPr>
          <w:rFonts w:ascii="宋体" w:hAnsi="宋体"/>
        </w:rPr>
        <w:t>清算</w:t>
      </w:r>
      <w:r w:rsidR="00011071" w:rsidRPr="00335964">
        <w:rPr>
          <w:rFonts w:ascii="宋体" w:hAnsi="宋体" w:hint="eastAsia"/>
        </w:rPr>
        <w:t>期间</w:t>
      </w:r>
      <w:r w:rsidR="00D12EBF" w:rsidRPr="00335964">
        <w:rPr>
          <w:rFonts w:hint="eastAsia"/>
        </w:rPr>
        <w:t>计提的</w:t>
      </w:r>
      <w:r w:rsidR="00011071" w:rsidRPr="00335964">
        <w:t>增值税</w:t>
      </w:r>
      <w:r w:rsidR="00011071" w:rsidRPr="00335964">
        <w:rPr>
          <w:rFonts w:hint="eastAsia"/>
        </w:rPr>
        <w:t>和</w:t>
      </w:r>
      <w:r w:rsidR="00011071" w:rsidRPr="00335964">
        <w:t>附加税</w:t>
      </w:r>
      <w:r w:rsidR="00D12EBF" w:rsidRPr="00335964">
        <w:rPr>
          <w:rFonts w:hint="eastAsia"/>
        </w:rPr>
        <w:t>；</w:t>
      </w:r>
      <w:r w:rsidR="00D12EBF" w:rsidRPr="00335964">
        <w:t>A/C</w:t>
      </w:r>
      <w:r w:rsidR="00D12EBF" w:rsidRPr="00335964">
        <w:rPr>
          <w:rFonts w:hint="eastAsia"/>
        </w:rPr>
        <w:t>类份额之间的费用</w:t>
      </w:r>
      <w:r w:rsidR="00D12EBF" w:rsidRPr="00335964">
        <w:rPr>
          <w:rFonts w:ascii="宋体" w:hAnsi="宋体" w:hint="eastAsia"/>
        </w:rPr>
        <w:t>分摊</w:t>
      </w:r>
      <w:r w:rsidR="00D12EBF" w:rsidRPr="00335964">
        <w:rPr>
          <w:rFonts w:hint="eastAsia"/>
        </w:rPr>
        <w:t>按照各级别净值占比进行</w:t>
      </w:r>
      <w:r w:rsidR="00D12EBF" w:rsidRPr="00335964">
        <w:rPr>
          <w:rFonts w:ascii="宋体" w:hAnsi="宋体" w:hint="eastAsia"/>
        </w:rPr>
        <w:t>分摊</w:t>
      </w:r>
      <w:r w:rsidR="0091159A" w:rsidRPr="00335964">
        <w:rPr>
          <w:rFonts w:ascii="宋体" w:hAnsi="宋体" w:hint="eastAsia"/>
        </w:rPr>
        <w:t>；</w:t>
      </w:r>
    </w:p>
    <w:p w:rsidR="0091159A" w:rsidRPr="0091159A" w:rsidRDefault="00D12EBF" w:rsidP="00AE000D">
      <w:pPr>
        <w:spacing w:line="360" w:lineRule="auto"/>
        <w:ind w:firstLineChars="200" w:firstLine="420"/>
        <w:rPr>
          <w:rFonts w:ascii="宋体" w:hAnsi="宋体"/>
        </w:rPr>
      </w:pPr>
      <w:r>
        <w:rPr>
          <w:rFonts w:ascii="宋体" w:hAnsi="宋体"/>
        </w:rPr>
        <w:t>6</w:t>
      </w:r>
      <w:r w:rsidR="0091159A">
        <w:rPr>
          <w:rFonts w:ascii="宋体" w:hAnsi="宋体" w:hint="eastAsia"/>
        </w:rPr>
        <w:t>、</w:t>
      </w:r>
      <w:r w:rsidR="0091159A" w:rsidRPr="004676BD">
        <w:rPr>
          <w:rFonts w:ascii="宋体" w:hAnsi="宋体"/>
        </w:rPr>
        <w:t>本次清算相关的清算费用由基金管理人承担，不从基金财产中支付</w:t>
      </w:r>
      <w:r w:rsidR="0091159A">
        <w:rPr>
          <w:rFonts w:ascii="宋体" w:hAnsi="宋体" w:hint="eastAsia"/>
        </w:rPr>
        <w:t>。</w:t>
      </w:r>
    </w:p>
    <w:p w:rsidR="00E74CEB" w:rsidRPr="004676BD" w:rsidRDefault="00E74CEB" w:rsidP="00E74CEB">
      <w:pPr>
        <w:spacing w:line="360" w:lineRule="auto"/>
        <w:ind w:firstLineChars="202" w:firstLine="424"/>
        <w:rPr>
          <w:rFonts w:ascii="宋体" w:hAnsi="宋体"/>
        </w:rPr>
      </w:pPr>
      <w:r w:rsidRPr="004676BD">
        <w:rPr>
          <w:rFonts w:ascii="宋体" w:hAnsi="宋体"/>
        </w:rPr>
        <w:t>资产处置及负债清偿后，于201</w:t>
      </w:r>
      <w:r w:rsidR="00DF5793">
        <w:rPr>
          <w:rFonts w:ascii="宋体" w:hAnsi="宋体" w:hint="eastAsia"/>
        </w:rPr>
        <w:t>8</w:t>
      </w:r>
      <w:r w:rsidRPr="004676BD">
        <w:rPr>
          <w:rFonts w:ascii="宋体" w:hAnsi="宋体"/>
        </w:rPr>
        <w:t>年</w:t>
      </w:r>
      <w:r w:rsidR="00011071">
        <w:rPr>
          <w:rFonts w:ascii="宋体" w:hAnsi="宋体" w:hint="eastAsia"/>
        </w:rPr>
        <w:t>1</w:t>
      </w:r>
      <w:r w:rsidR="00011071">
        <w:rPr>
          <w:rFonts w:ascii="宋体" w:hAnsi="宋体"/>
        </w:rPr>
        <w:t>1</w:t>
      </w:r>
      <w:r w:rsidRPr="004676BD">
        <w:rPr>
          <w:rFonts w:ascii="宋体" w:hAnsi="宋体" w:hint="eastAsia"/>
        </w:rPr>
        <w:t>月</w:t>
      </w:r>
      <w:r w:rsidR="00011071">
        <w:rPr>
          <w:rFonts w:ascii="宋体" w:hAnsi="宋体"/>
        </w:rPr>
        <w:t>23</w:t>
      </w:r>
      <w:r w:rsidRPr="004676BD">
        <w:rPr>
          <w:rFonts w:ascii="宋体" w:hAnsi="宋体" w:hint="eastAsia"/>
        </w:rPr>
        <w:t>日</w:t>
      </w:r>
      <w:r w:rsidRPr="004676BD">
        <w:rPr>
          <w:rFonts w:ascii="宋体" w:hAnsi="宋体"/>
        </w:rPr>
        <w:t>本基金剩余财产</w:t>
      </w:r>
      <w:r w:rsidRPr="004676BD">
        <w:rPr>
          <w:rFonts w:ascii="宋体" w:hAnsi="宋体" w:hint="eastAsia"/>
        </w:rPr>
        <w:t>为人民币</w:t>
      </w:r>
      <w:r w:rsidR="00011071" w:rsidRPr="00011071">
        <w:rPr>
          <w:rFonts w:ascii="宋体" w:hAnsi="宋体"/>
        </w:rPr>
        <w:t>16</w:t>
      </w:r>
      <w:r w:rsidR="00011071">
        <w:rPr>
          <w:rFonts w:ascii="宋体" w:hAnsi="宋体"/>
        </w:rPr>
        <w:t>,</w:t>
      </w:r>
      <w:r w:rsidR="00011071" w:rsidRPr="00011071">
        <w:rPr>
          <w:rFonts w:ascii="宋体" w:hAnsi="宋体"/>
        </w:rPr>
        <w:t>224</w:t>
      </w:r>
      <w:r w:rsidR="00011071">
        <w:rPr>
          <w:rFonts w:ascii="宋体" w:hAnsi="宋体"/>
        </w:rPr>
        <w:t>,</w:t>
      </w:r>
      <w:r w:rsidR="00011071" w:rsidRPr="00011071">
        <w:rPr>
          <w:rFonts w:ascii="宋体" w:hAnsi="宋体"/>
        </w:rPr>
        <w:t>348.68</w:t>
      </w:r>
      <w:r w:rsidRPr="004676BD">
        <w:rPr>
          <w:rFonts w:ascii="宋体" w:hAnsi="宋体" w:hint="eastAsia"/>
        </w:rPr>
        <w:t>元，包括</w:t>
      </w:r>
      <w:r w:rsidR="000D4844">
        <w:rPr>
          <w:rFonts w:ascii="宋体" w:hAnsi="宋体" w:hint="eastAsia"/>
        </w:rPr>
        <w:t>招商稳祥定开灵活混合</w:t>
      </w:r>
      <w:r w:rsidRPr="004676BD">
        <w:rPr>
          <w:rFonts w:ascii="宋体" w:hAnsi="宋体" w:hint="eastAsia"/>
        </w:rPr>
        <w:t>A人民币</w:t>
      </w:r>
      <w:r w:rsidR="00011071" w:rsidRPr="00011071">
        <w:rPr>
          <w:rFonts w:ascii="宋体" w:hAnsi="宋体"/>
        </w:rPr>
        <w:t>7</w:t>
      </w:r>
      <w:r w:rsidR="00011071">
        <w:rPr>
          <w:rFonts w:ascii="宋体" w:hAnsi="宋体"/>
        </w:rPr>
        <w:t>,</w:t>
      </w:r>
      <w:r w:rsidR="00011071" w:rsidRPr="00011071">
        <w:rPr>
          <w:rFonts w:ascii="宋体" w:hAnsi="宋体"/>
        </w:rPr>
        <w:t>135</w:t>
      </w:r>
      <w:r w:rsidR="00011071">
        <w:rPr>
          <w:rFonts w:ascii="宋体" w:hAnsi="宋体"/>
        </w:rPr>
        <w:t>,</w:t>
      </w:r>
      <w:r w:rsidR="00011071" w:rsidRPr="00011071">
        <w:rPr>
          <w:rFonts w:ascii="宋体" w:hAnsi="宋体"/>
        </w:rPr>
        <w:t>151.76</w:t>
      </w:r>
      <w:r w:rsidRPr="004676BD">
        <w:rPr>
          <w:rFonts w:ascii="宋体" w:hAnsi="宋体"/>
        </w:rPr>
        <w:t>元</w:t>
      </w:r>
      <w:r w:rsidRPr="004676BD">
        <w:rPr>
          <w:rFonts w:ascii="宋体" w:hAnsi="宋体" w:hint="eastAsia"/>
        </w:rPr>
        <w:t>和</w:t>
      </w:r>
      <w:r w:rsidR="000D4844">
        <w:rPr>
          <w:rFonts w:ascii="宋体" w:hAnsi="宋体" w:hint="eastAsia"/>
        </w:rPr>
        <w:t>招商稳祥定开灵活混合</w:t>
      </w:r>
      <w:r w:rsidRPr="004676BD">
        <w:rPr>
          <w:rFonts w:ascii="宋体" w:hAnsi="宋体" w:hint="eastAsia"/>
        </w:rPr>
        <w:t>C人民</w:t>
      </w:r>
      <w:r w:rsidRPr="00335964">
        <w:rPr>
          <w:rFonts w:ascii="宋体" w:hAnsi="宋体" w:hint="eastAsia"/>
        </w:rPr>
        <w:t>币</w:t>
      </w:r>
      <w:r w:rsidR="00011071" w:rsidRPr="00335964">
        <w:rPr>
          <w:rFonts w:ascii="宋体" w:hAnsi="宋体"/>
        </w:rPr>
        <w:t>9,089,196.92</w:t>
      </w:r>
      <w:r w:rsidRPr="00335964">
        <w:rPr>
          <w:rFonts w:ascii="宋体" w:hAnsi="宋体" w:hint="eastAsia"/>
        </w:rPr>
        <w:t>元</w:t>
      </w:r>
      <w:r w:rsidRPr="00335964">
        <w:rPr>
          <w:rFonts w:ascii="宋体" w:hAnsi="宋体"/>
        </w:rPr>
        <w:t>，根据本基金的基金合同约定，依据基金财产清算的分配方案，将基金财产清算后的全部剩余资产清偿基金债务后，按基金份额持有人持有的基金份额比例进行分配。</w:t>
      </w:r>
    </w:p>
    <w:p w:rsidR="00E74CEB" w:rsidRPr="004676BD" w:rsidRDefault="00E74CEB" w:rsidP="00E74CEB">
      <w:pPr>
        <w:spacing w:line="360" w:lineRule="auto"/>
        <w:ind w:firstLineChars="202" w:firstLine="424"/>
        <w:rPr>
          <w:rFonts w:ascii="宋体" w:hAnsi="宋体"/>
        </w:rPr>
      </w:pPr>
      <w:r w:rsidRPr="004676BD">
        <w:rPr>
          <w:rFonts w:ascii="宋体" w:hAnsi="宋体" w:hint="eastAsia"/>
        </w:rPr>
        <w:t>201</w:t>
      </w:r>
      <w:r w:rsidR="002F0C18">
        <w:rPr>
          <w:rFonts w:ascii="宋体" w:hAnsi="宋体" w:hint="eastAsia"/>
        </w:rPr>
        <w:t>8</w:t>
      </w:r>
      <w:r w:rsidRPr="004676BD">
        <w:rPr>
          <w:rFonts w:ascii="宋体" w:hAnsi="宋体" w:hint="eastAsia"/>
        </w:rPr>
        <w:t>年</w:t>
      </w:r>
      <w:r w:rsidR="00011071">
        <w:rPr>
          <w:rFonts w:ascii="宋体" w:hAnsi="宋体"/>
        </w:rPr>
        <w:t>11</w:t>
      </w:r>
      <w:r w:rsidRPr="004676BD">
        <w:rPr>
          <w:rFonts w:ascii="宋体" w:hAnsi="宋体" w:hint="eastAsia"/>
        </w:rPr>
        <w:t>月</w:t>
      </w:r>
      <w:r w:rsidR="00011071">
        <w:rPr>
          <w:rFonts w:ascii="宋体" w:hAnsi="宋体"/>
        </w:rPr>
        <w:t>24</w:t>
      </w:r>
      <w:r w:rsidRPr="004676BD">
        <w:rPr>
          <w:rFonts w:ascii="宋体" w:hAnsi="宋体" w:hint="eastAsia"/>
        </w:rPr>
        <w:t>日</w:t>
      </w:r>
      <w:r w:rsidRPr="004676BD">
        <w:rPr>
          <w:rFonts w:ascii="宋体" w:hAnsi="宋体"/>
        </w:rPr>
        <w:t>至清算款划出日前一日的银行存款</w:t>
      </w:r>
      <w:r w:rsidR="002F0C18">
        <w:rPr>
          <w:rFonts w:ascii="宋体" w:hAnsi="宋体" w:hint="eastAsia"/>
        </w:rPr>
        <w:t>孳</w:t>
      </w:r>
      <w:r w:rsidRPr="004676BD">
        <w:rPr>
          <w:rFonts w:ascii="宋体" w:hAnsi="宋体"/>
        </w:rPr>
        <w:t>生的利息亦属份额持有人所有。</w:t>
      </w:r>
      <w:r w:rsidRPr="004676BD">
        <w:rPr>
          <w:rFonts w:ascii="宋体" w:hAnsi="宋体" w:hint="eastAsia"/>
        </w:rPr>
        <w:t>为保护基金份额持有人利益，加快清盘速度，</w:t>
      </w:r>
      <w:r w:rsidRPr="004676BD">
        <w:rPr>
          <w:rFonts w:ascii="宋体" w:hAnsi="宋体"/>
        </w:rPr>
        <w:t>基金管理人</w:t>
      </w:r>
      <w:r w:rsidRPr="004676BD">
        <w:rPr>
          <w:rFonts w:ascii="宋体" w:hAnsi="宋体" w:hint="eastAsia"/>
        </w:rPr>
        <w:t>将</w:t>
      </w:r>
      <w:r w:rsidRPr="004676BD">
        <w:rPr>
          <w:rFonts w:ascii="宋体" w:hAnsi="宋体"/>
        </w:rPr>
        <w:t>以自有资金</w:t>
      </w:r>
      <w:r w:rsidRPr="004676BD">
        <w:rPr>
          <w:rFonts w:ascii="宋体" w:hAnsi="宋体" w:hint="eastAsia"/>
        </w:rPr>
        <w:t>先行</w:t>
      </w:r>
      <w:r w:rsidRPr="004676BD">
        <w:rPr>
          <w:rFonts w:ascii="宋体" w:hAnsi="宋体"/>
        </w:rPr>
        <w:t>垫付</w:t>
      </w:r>
      <w:r w:rsidRPr="004676BD">
        <w:rPr>
          <w:rFonts w:ascii="宋体" w:hAnsi="宋体" w:hint="eastAsia"/>
        </w:rPr>
        <w:t>该笔款项（该金额可能与实际结息金额存在略微差异），供清盘分配使用</w:t>
      </w:r>
      <w:r w:rsidRPr="004676BD">
        <w:rPr>
          <w:rFonts w:ascii="宋体" w:hAnsi="宋体"/>
        </w:rPr>
        <w:t>。基金管理人垫付的资金以及垫付资金到</w:t>
      </w:r>
      <w:r w:rsidRPr="004676BD">
        <w:rPr>
          <w:rFonts w:ascii="宋体" w:hAnsi="宋体" w:hint="eastAsia"/>
        </w:rPr>
        <w:t>账</w:t>
      </w:r>
      <w:r w:rsidRPr="004676BD">
        <w:rPr>
          <w:rFonts w:ascii="宋体" w:hAnsi="宋体"/>
        </w:rPr>
        <w:t>日起孳生的利息将于清算期后返还给基金管理人。</w:t>
      </w:r>
    </w:p>
    <w:p w:rsidR="00E74CEB" w:rsidRPr="004676BD" w:rsidRDefault="00E74CEB" w:rsidP="00E74CEB">
      <w:pPr>
        <w:spacing w:line="360" w:lineRule="auto"/>
        <w:rPr>
          <w:rFonts w:ascii="宋体" w:hAnsi="宋体"/>
        </w:rPr>
      </w:pPr>
      <w:r w:rsidRPr="004676BD">
        <w:rPr>
          <w:rFonts w:ascii="宋体" w:hAnsi="宋体" w:hint="eastAsia"/>
        </w:rPr>
        <w:t>5</w:t>
      </w:r>
      <w:r w:rsidRPr="004676BD">
        <w:rPr>
          <w:rFonts w:ascii="宋体" w:hAnsi="宋体"/>
        </w:rPr>
        <w:t>、基金财产清算报告的告知安排</w:t>
      </w:r>
    </w:p>
    <w:p w:rsidR="00E74CEB" w:rsidRDefault="00E74CEB" w:rsidP="00E74CEB">
      <w:pPr>
        <w:spacing w:line="360" w:lineRule="auto"/>
        <w:ind w:firstLineChars="202" w:firstLine="424"/>
        <w:rPr>
          <w:rFonts w:ascii="宋体" w:hAnsi="宋体"/>
        </w:rPr>
      </w:pPr>
      <w:r w:rsidRPr="004676BD">
        <w:rPr>
          <w:rFonts w:ascii="宋体" w:hAnsi="宋体"/>
        </w:rPr>
        <w:t>本清算报告已经基金托管人复核，在经会计师事务所审计、律师事务所出具法律意见书后，报中国证券监督管理委员会备案并向基金份额持有人公告。</w:t>
      </w:r>
    </w:p>
    <w:p w:rsidR="00E74CEB" w:rsidRPr="004676BD" w:rsidRDefault="00E74CEB" w:rsidP="00E74CEB">
      <w:pPr>
        <w:spacing w:line="360" w:lineRule="auto"/>
        <w:ind w:firstLineChars="202" w:firstLine="424"/>
        <w:rPr>
          <w:rFonts w:ascii="宋体" w:hAnsi="宋体"/>
        </w:rPr>
      </w:pPr>
    </w:p>
    <w:p w:rsidR="00E74CEB" w:rsidRPr="00164B16" w:rsidRDefault="00E74CEB" w:rsidP="00164B16">
      <w:pPr>
        <w:pStyle w:val="aa"/>
        <w:numPr>
          <w:ilvl w:val="0"/>
          <w:numId w:val="8"/>
        </w:numPr>
        <w:spacing w:line="360" w:lineRule="auto"/>
        <w:ind w:firstLineChars="0"/>
        <w:jc w:val="center"/>
        <w:rPr>
          <w:rFonts w:ascii="宋体" w:hAnsi="宋体"/>
          <w:b/>
          <w:sz w:val="24"/>
        </w:rPr>
      </w:pPr>
      <w:r w:rsidRPr="00164B16">
        <w:rPr>
          <w:rFonts w:ascii="宋体" w:hAnsi="宋体"/>
          <w:b/>
          <w:sz w:val="24"/>
        </w:rPr>
        <w:t>备查文件</w:t>
      </w:r>
    </w:p>
    <w:p w:rsidR="00164B16" w:rsidRPr="00164B16" w:rsidRDefault="00164B16" w:rsidP="00164B16"/>
    <w:p w:rsidR="00E74CEB" w:rsidRPr="004676BD" w:rsidRDefault="00E74CEB" w:rsidP="00E74CEB">
      <w:pPr>
        <w:spacing w:line="360" w:lineRule="auto"/>
        <w:rPr>
          <w:rFonts w:ascii="宋体" w:hAnsi="宋体"/>
        </w:rPr>
      </w:pPr>
      <w:r w:rsidRPr="004676BD">
        <w:rPr>
          <w:rFonts w:ascii="宋体" w:hAnsi="宋体"/>
        </w:rPr>
        <w:t>1、备查文件目录</w:t>
      </w:r>
    </w:p>
    <w:p w:rsidR="00E74CEB" w:rsidRPr="004676BD" w:rsidRDefault="00E74CEB" w:rsidP="00E74CEB">
      <w:pPr>
        <w:spacing w:line="360" w:lineRule="auto"/>
        <w:rPr>
          <w:rFonts w:ascii="宋体" w:hAnsi="宋体"/>
        </w:rPr>
      </w:pPr>
      <w:r w:rsidRPr="004676BD">
        <w:rPr>
          <w:rFonts w:ascii="宋体" w:hAnsi="宋体"/>
        </w:rPr>
        <w:t>（1）</w:t>
      </w:r>
      <w:r w:rsidRPr="004676BD">
        <w:rPr>
          <w:rFonts w:ascii="宋体" w:hAnsi="宋体" w:hint="eastAsia"/>
        </w:rPr>
        <w:t>《</w:t>
      </w:r>
      <w:r w:rsidR="000D4844">
        <w:rPr>
          <w:rFonts w:ascii="宋体" w:hAnsi="宋体" w:hint="eastAsia"/>
        </w:rPr>
        <w:t>招商稳祥定期开放灵活配置混合型证券投资基金</w:t>
      </w:r>
      <w:r w:rsidRPr="004676BD">
        <w:rPr>
          <w:rFonts w:ascii="宋体" w:hAnsi="宋体" w:hint="eastAsia"/>
        </w:rPr>
        <w:t>清算</w:t>
      </w:r>
      <w:r w:rsidRPr="004676BD">
        <w:rPr>
          <w:rFonts w:ascii="宋体" w:hAnsi="宋体"/>
        </w:rPr>
        <w:t>审计报告</w:t>
      </w:r>
      <w:r w:rsidRPr="004676BD">
        <w:rPr>
          <w:rFonts w:ascii="宋体" w:hAnsi="宋体" w:hint="eastAsia"/>
        </w:rPr>
        <w:t>》</w:t>
      </w:r>
    </w:p>
    <w:p w:rsidR="00E74CEB" w:rsidRPr="004676BD" w:rsidRDefault="00E74CEB" w:rsidP="00E74CEB">
      <w:pPr>
        <w:spacing w:line="360" w:lineRule="auto"/>
        <w:rPr>
          <w:rFonts w:ascii="宋体" w:hAnsi="宋体"/>
        </w:rPr>
      </w:pPr>
      <w:r w:rsidRPr="004676BD">
        <w:rPr>
          <w:rFonts w:ascii="宋体" w:hAnsi="宋体"/>
        </w:rPr>
        <w:t>（2）《</w:t>
      </w:r>
      <w:r w:rsidRPr="004676BD">
        <w:rPr>
          <w:rFonts w:ascii="宋体" w:hAnsi="宋体" w:hint="eastAsia"/>
        </w:rPr>
        <w:t>关于</w:t>
      </w:r>
      <w:r w:rsidR="000D4844">
        <w:rPr>
          <w:rFonts w:ascii="宋体" w:hAnsi="宋体" w:hint="eastAsia"/>
        </w:rPr>
        <w:t>招商稳祥定期开放灵活配置混合型证券投资基金</w:t>
      </w:r>
      <w:r w:rsidRPr="004676BD">
        <w:rPr>
          <w:rFonts w:ascii="宋体" w:hAnsi="宋体"/>
        </w:rPr>
        <w:t>清算</w:t>
      </w:r>
      <w:r w:rsidRPr="004676BD">
        <w:rPr>
          <w:rFonts w:ascii="宋体" w:hAnsi="宋体" w:hint="eastAsia"/>
        </w:rPr>
        <w:t>事宜之</w:t>
      </w:r>
      <w:r w:rsidRPr="004676BD">
        <w:rPr>
          <w:rFonts w:ascii="宋体" w:hAnsi="宋体"/>
        </w:rPr>
        <w:t>法律意见</w:t>
      </w:r>
      <w:r w:rsidRPr="004676BD">
        <w:rPr>
          <w:rFonts w:ascii="宋体" w:hAnsi="宋体" w:hint="eastAsia"/>
        </w:rPr>
        <w:t>》</w:t>
      </w:r>
    </w:p>
    <w:p w:rsidR="00E74CEB" w:rsidRPr="004676BD" w:rsidRDefault="00E74CEB" w:rsidP="00E74CEB">
      <w:pPr>
        <w:spacing w:line="360" w:lineRule="auto"/>
        <w:rPr>
          <w:rFonts w:ascii="宋体" w:hAnsi="宋体"/>
        </w:rPr>
      </w:pPr>
      <w:r w:rsidRPr="004676BD">
        <w:rPr>
          <w:rFonts w:ascii="宋体" w:hAnsi="宋体"/>
        </w:rPr>
        <w:t>2、存放地点</w:t>
      </w:r>
    </w:p>
    <w:p w:rsidR="00E74CEB" w:rsidRPr="004676BD" w:rsidRDefault="00E74CEB" w:rsidP="00B60EA3">
      <w:pPr>
        <w:spacing w:line="360" w:lineRule="auto"/>
        <w:ind w:firstLineChars="200" w:firstLine="420"/>
        <w:rPr>
          <w:rFonts w:ascii="宋体" w:hAnsi="宋体"/>
        </w:rPr>
      </w:pPr>
      <w:r w:rsidRPr="004676BD">
        <w:rPr>
          <w:rFonts w:ascii="宋体" w:hAnsi="宋体"/>
        </w:rPr>
        <w:t>基金管理人的办公场所。</w:t>
      </w:r>
    </w:p>
    <w:p w:rsidR="00E74CEB" w:rsidRPr="004676BD" w:rsidRDefault="00E74CEB" w:rsidP="00E74CEB">
      <w:pPr>
        <w:spacing w:line="360" w:lineRule="auto"/>
        <w:rPr>
          <w:rFonts w:ascii="宋体" w:hAnsi="宋体"/>
        </w:rPr>
      </w:pPr>
      <w:r w:rsidRPr="004676BD">
        <w:rPr>
          <w:rFonts w:ascii="宋体" w:hAnsi="宋体"/>
        </w:rPr>
        <w:t>3、查阅方式</w:t>
      </w:r>
    </w:p>
    <w:p w:rsidR="00E74CEB" w:rsidRDefault="00E74CEB" w:rsidP="00B60EA3">
      <w:pPr>
        <w:spacing w:line="360" w:lineRule="auto"/>
        <w:ind w:firstLineChars="200" w:firstLine="420"/>
        <w:rPr>
          <w:rFonts w:ascii="宋体" w:hAnsi="宋体"/>
        </w:rPr>
      </w:pPr>
      <w:r w:rsidRPr="004676BD">
        <w:rPr>
          <w:rFonts w:ascii="宋体" w:hAnsi="宋体"/>
        </w:rPr>
        <w:t>投资者可在营业时间免费查阅。</w:t>
      </w:r>
    </w:p>
    <w:p w:rsidR="001E3B40" w:rsidRDefault="001E3B40" w:rsidP="00E74CEB">
      <w:pPr>
        <w:spacing w:line="360" w:lineRule="auto"/>
        <w:rPr>
          <w:rFonts w:ascii="宋体" w:hAnsi="宋体"/>
        </w:rPr>
      </w:pPr>
    </w:p>
    <w:p w:rsidR="00E75729" w:rsidRDefault="00E75729" w:rsidP="00E74CEB">
      <w:pPr>
        <w:spacing w:line="360" w:lineRule="auto"/>
        <w:rPr>
          <w:rFonts w:ascii="宋体" w:hAnsi="宋体"/>
        </w:rPr>
      </w:pPr>
    </w:p>
    <w:p w:rsidR="00E75729" w:rsidRDefault="00E75729" w:rsidP="00E74CEB">
      <w:pPr>
        <w:spacing w:line="360" w:lineRule="auto"/>
        <w:rPr>
          <w:rFonts w:ascii="宋体" w:hAnsi="宋体"/>
        </w:rPr>
      </w:pPr>
    </w:p>
    <w:p w:rsidR="00F2038F" w:rsidRPr="002A4576" w:rsidRDefault="000D4844" w:rsidP="002A4576">
      <w:pPr>
        <w:spacing w:line="360" w:lineRule="auto"/>
        <w:jc w:val="right"/>
        <w:rPr>
          <w:rFonts w:ascii="宋体" w:hAnsi="宋体"/>
        </w:rPr>
      </w:pPr>
      <w:r>
        <w:rPr>
          <w:rFonts w:ascii="宋体" w:hAnsi="宋体" w:hint="eastAsia"/>
        </w:rPr>
        <w:t>招商稳祥定期开放灵活配置混合型证券投资基金</w:t>
      </w:r>
      <w:r w:rsidR="00E74CEB" w:rsidRPr="004676BD">
        <w:rPr>
          <w:rFonts w:ascii="宋体" w:hAnsi="宋体"/>
        </w:rPr>
        <w:t>财产清算小组</w:t>
      </w:r>
      <w:r w:rsidR="00E74CEB" w:rsidRPr="004676BD">
        <w:rPr>
          <w:rFonts w:ascii="宋体" w:hAnsi="宋体"/>
        </w:rPr>
        <w:br/>
      </w:r>
      <w:r w:rsidR="00E74CEB" w:rsidRPr="004676BD">
        <w:rPr>
          <w:rFonts w:ascii="宋体" w:hAnsi="宋体" w:hint="eastAsia"/>
        </w:rPr>
        <w:t>201</w:t>
      </w:r>
      <w:r w:rsidR="002F0C18">
        <w:rPr>
          <w:rFonts w:ascii="宋体" w:hAnsi="宋体" w:hint="eastAsia"/>
        </w:rPr>
        <w:t>8</w:t>
      </w:r>
      <w:r w:rsidR="00E74CEB" w:rsidRPr="004676BD">
        <w:rPr>
          <w:rFonts w:ascii="宋体" w:hAnsi="宋体" w:hint="eastAsia"/>
        </w:rPr>
        <w:t>年</w:t>
      </w:r>
      <w:r w:rsidR="00B60CD0">
        <w:rPr>
          <w:rFonts w:ascii="宋体" w:hAnsi="宋体"/>
        </w:rPr>
        <w:t>11</w:t>
      </w:r>
      <w:r w:rsidR="00E74CEB" w:rsidRPr="002F0C18">
        <w:rPr>
          <w:rFonts w:ascii="宋体" w:hAnsi="宋体" w:hint="eastAsia"/>
        </w:rPr>
        <w:t>月</w:t>
      </w:r>
      <w:r w:rsidR="00B60CD0">
        <w:rPr>
          <w:rFonts w:ascii="宋体" w:hAnsi="宋体"/>
        </w:rPr>
        <w:t>23</w:t>
      </w:r>
      <w:r w:rsidR="00E74CEB" w:rsidRPr="002F0C18">
        <w:rPr>
          <w:rFonts w:ascii="宋体" w:hAnsi="宋体" w:hint="eastAsia"/>
        </w:rPr>
        <w:t>日</w:t>
      </w:r>
    </w:p>
    <w:sectPr w:rsidR="00F2038F" w:rsidRPr="002A4576" w:rsidSect="00E822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764" w:rsidRDefault="00586764" w:rsidP="00E74CEB">
      <w:r>
        <w:separator/>
      </w:r>
    </w:p>
  </w:endnote>
  <w:endnote w:type="continuationSeparator" w:id="1">
    <w:p w:rsidR="00586764" w:rsidRDefault="00586764" w:rsidP="00E74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5E0" w:rsidRDefault="00E822B1" w:rsidP="00B93063">
    <w:pPr>
      <w:pStyle w:val="a4"/>
      <w:framePr w:wrap="around" w:vAnchor="text" w:hAnchor="margin" w:xAlign="center" w:y="1"/>
      <w:rPr>
        <w:rStyle w:val="a8"/>
      </w:rPr>
    </w:pPr>
    <w:r>
      <w:rPr>
        <w:rStyle w:val="a8"/>
      </w:rPr>
      <w:fldChar w:fldCharType="begin"/>
    </w:r>
    <w:r w:rsidR="009005E0">
      <w:rPr>
        <w:rStyle w:val="a8"/>
      </w:rPr>
      <w:instrText xml:space="preserve">PAGE  </w:instrText>
    </w:r>
    <w:r>
      <w:rPr>
        <w:rStyle w:val="a8"/>
      </w:rPr>
      <w:fldChar w:fldCharType="end"/>
    </w:r>
  </w:p>
  <w:p w:rsidR="009005E0" w:rsidRDefault="009005E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5E0" w:rsidRDefault="009005E0" w:rsidP="00B93063">
    <w:pPr>
      <w:pStyle w:val="a4"/>
      <w:ind w:right="360"/>
      <w:jc w:val="center"/>
    </w:pPr>
    <w:r>
      <w:rPr>
        <w:rFonts w:hint="eastAsia"/>
      </w:rPr>
      <w:t>第</w:t>
    </w:r>
    <w:r w:rsidR="00E822B1">
      <w:fldChar w:fldCharType="begin"/>
    </w:r>
    <w:r>
      <w:rPr>
        <w:rFonts w:hint="eastAsia"/>
      </w:rPr>
      <w:instrText>PAGE   \* MERGEFORMAT</w:instrText>
    </w:r>
    <w:r w:rsidR="00E822B1">
      <w:fldChar w:fldCharType="separate"/>
    </w:r>
    <w:r w:rsidR="0048753A">
      <w:rPr>
        <w:noProof/>
      </w:rPr>
      <w:t>1</w:t>
    </w:r>
    <w:r w:rsidR="00E822B1">
      <w:fldChar w:fldCharType="end"/>
    </w:r>
    <w:r>
      <w:rPr>
        <w:rFonts w:hint="eastAsia"/>
      </w:rPr>
      <w:t>页共</w:t>
    </w:r>
    <w:r w:rsidR="00D52B63">
      <w:t>8</w:t>
    </w:r>
    <w:r>
      <w:rPr>
        <w:rFonts w:hint="eastAsia"/>
      </w:rPr>
      <w:t>页</w:t>
    </w:r>
  </w:p>
  <w:p w:rsidR="009005E0" w:rsidRDefault="009005E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53A" w:rsidRDefault="004875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764" w:rsidRDefault="00586764" w:rsidP="00E74CEB">
      <w:r>
        <w:separator/>
      </w:r>
    </w:p>
  </w:footnote>
  <w:footnote w:type="continuationSeparator" w:id="1">
    <w:p w:rsidR="00586764" w:rsidRDefault="00586764" w:rsidP="00E74C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53A" w:rsidRDefault="0048753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5E0" w:rsidRDefault="009005E0" w:rsidP="00B93063">
    <w:pPr>
      <w:pStyle w:val="a3"/>
      <w:jc w:val="right"/>
    </w:pPr>
    <w:r w:rsidRPr="000D4844">
      <w:rPr>
        <w:rFonts w:hint="eastAsia"/>
      </w:rPr>
      <w:t>招商稳祥定期开放灵活配置混合型证券投资基金清算报告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5E0" w:rsidRPr="00B94354" w:rsidRDefault="009005E0" w:rsidP="00B93063">
    <w:pPr>
      <w:pStyle w:val="a3"/>
      <w:jc w:val="right"/>
    </w:pPr>
    <w:r w:rsidRPr="000D4844">
      <w:rPr>
        <w:rFonts w:hint="eastAsia"/>
      </w:rPr>
      <w:t>招商稳祥定期开放灵活配置混合型证券投资基金</w:t>
    </w:r>
    <w:r>
      <w:rPr>
        <w:rFonts w:hint="eastAsia"/>
      </w:rPr>
      <w:t>清算报告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E3DC9"/>
    <w:multiLevelType w:val="hybridMultilevel"/>
    <w:tmpl w:val="8BEAFD12"/>
    <w:lvl w:ilvl="0" w:tplc="86E201F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775812"/>
    <w:multiLevelType w:val="hybridMultilevel"/>
    <w:tmpl w:val="4CDAD55C"/>
    <w:lvl w:ilvl="0" w:tplc="04090013">
      <w:start w:val="1"/>
      <w:numFmt w:val="chineseCountingThousand"/>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39B20B0"/>
    <w:multiLevelType w:val="hybridMultilevel"/>
    <w:tmpl w:val="1D3CC932"/>
    <w:lvl w:ilvl="0" w:tplc="D5A6F1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827277"/>
    <w:multiLevelType w:val="hybridMultilevel"/>
    <w:tmpl w:val="3EE6834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BB916FA"/>
    <w:multiLevelType w:val="hybridMultilevel"/>
    <w:tmpl w:val="BA04CF48"/>
    <w:lvl w:ilvl="0" w:tplc="6A06E6AC">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D512605"/>
    <w:multiLevelType w:val="hybridMultilevel"/>
    <w:tmpl w:val="4238B028"/>
    <w:lvl w:ilvl="0" w:tplc="3CA2A4E4">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F871086"/>
    <w:multiLevelType w:val="hybridMultilevel"/>
    <w:tmpl w:val="1CD44E12"/>
    <w:lvl w:ilvl="0" w:tplc="16004A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8D6298D"/>
    <w:multiLevelType w:val="hybridMultilevel"/>
    <w:tmpl w:val="BA04CF48"/>
    <w:lvl w:ilvl="0" w:tplc="6A06E6AC">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0"/>
  </w:num>
  <w:num w:numId="3">
    <w:abstractNumId w:val="5"/>
  </w:num>
  <w:num w:numId="4">
    <w:abstractNumId w:val="6"/>
  </w:num>
  <w:num w:numId="5">
    <w:abstractNumId w:val="1"/>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7EC9"/>
    <w:rsid w:val="00011071"/>
    <w:rsid w:val="00017357"/>
    <w:rsid w:val="00063E46"/>
    <w:rsid w:val="00076849"/>
    <w:rsid w:val="00095522"/>
    <w:rsid w:val="000A5416"/>
    <w:rsid w:val="000B4994"/>
    <w:rsid w:val="000C386D"/>
    <w:rsid w:val="000D4844"/>
    <w:rsid w:val="000F03E8"/>
    <w:rsid w:val="00106FB6"/>
    <w:rsid w:val="00111F9E"/>
    <w:rsid w:val="00116B06"/>
    <w:rsid w:val="00126C2D"/>
    <w:rsid w:val="001361ED"/>
    <w:rsid w:val="00150386"/>
    <w:rsid w:val="0016328D"/>
    <w:rsid w:val="00164B16"/>
    <w:rsid w:val="00175219"/>
    <w:rsid w:val="00194A60"/>
    <w:rsid w:val="001A0260"/>
    <w:rsid w:val="001B33A4"/>
    <w:rsid w:val="001B5627"/>
    <w:rsid w:val="001C309F"/>
    <w:rsid w:val="001C746D"/>
    <w:rsid w:val="001D5A0A"/>
    <w:rsid w:val="001E3B40"/>
    <w:rsid w:val="001E7B76"/>
    <w:rsid w:val="001F033B"/>
    <w:rsid w:val="0020595B"/>
    <w:rsid w:val="00220ADC"/>
    <w:rsid w:val="00224E17"/>
    <w:rsid w:val="00226378"/>
    <w:rsid w:val="00230658"/>
    <w:rsid w:val="002306E7"/>
    <w:rsid w:val="002323FD"/>
    <w:rsid w:val="00233017"/>
    <w:rsid w:val="00235F72"/>
    <w:rsid w:val="0023653D"/>
    <w:rsid w:val="002415BF"/>
    <w:rsid w:val="002443CF"/>
    <w:rsid w:val="00250ADD"/>
    <w:rsid w:val="0025116B"/>
    <w:rsid w:val="002553AB"/>
    <w:rsid w:val="002903DC"/>
    <w:rsid w:val="002A4576"/>
    <w:rsid w:val="002B1AB2"/>
    <w:rsid w:val="002B21DA"/>
    <w:rsid w:val="002C584B"/>
    <w:rsid w:val="002C60DB"/>
    <w:rsid w:val="002E2355"/>
    <w:rsid w:val="002E39A2"/>
    <w:rsid w:val="002E6F9E"/>
    <w:rsid w:val="002F0C18"/>
    <w:rsid w:val="002F5077"/>
    <w:rsid w:val="003000E8"/>
    <w:rsid w:val="00300B43"/>
    <w:rsid w:val="00312095"/>
    <w:rsid w:val="00325C47"/>
    <w:rsid w:val="00327CD0"/>
    <w:rsid w:val="003326CB"/>
    <w:rsid w:val="00335964"/>
    <w:rsid w:val="00335E42"/>
    <w:rsid w:val="00372216"/>
    <w:rsid w:val="00391345"/>
    <w:rsid w:val="003918CF"/>
    <w:rsid w:val="003952B2"/>
    <w:rsid w:val="00395736"/>
    <w:rsid w:val="00397012"/>
    <w:rsid w:val="003B182E"/>
    <w:rsid w:val="003C538D"/>
    <w:rsid w:val="003F03AB"/>
    <w:rsid w:val="0040520B"/>
    <w:rsid w:val="00415BE6"/>
    <w:rsid w:val="004312B5"/>
    <w:rsid w:val="004372AE"/>
    <w:rsid w:val="00451F6B"/>
    <w:rsid w:val="0045682A"/>
    <w:rsid w:val="004646D0"/>
    <w:rsid w:val="00487451"/>
    <w:rsid w:val="0048753A"/>
    <w:rsid w:val="0049785C"/>
    <w:rsid w:val="004A2BDC"/>
    <w:rsid w:val="004B23EB"/>
    <w:rsid w:val="004B46E9"/>
    <w:rsid w:val="004C3347"/>
    <w:rsid w:val="004D2A3A"/>
    <w:rsid w:val="004D7F20"/>
    <w:rsid w:val="004F6117"/>
    <w:rsid w:val="004F7161"/>
    <w:rsid w:val="00515F37"/>
    <w:rsid w:val="00526723"/>
    <w:rsid w:val="0054599D"/>
    <w:rsid w:val="005525B5"/>
    <w:rsid w:val="00560373"/>
    <w:rsid w:val="00562103"/>
    <w:rsid w:val="00567F5E"/>
    <w:rsid w:val="00580314"/>
    <w:rsid w:val="00586764"/>
    <w:rsid w:val="005B0279"/>
    <w:rsid w:val="005B4403"/>
    <w:rsid w:val="005D14D2"/>
    <w:rsid w:val="005D1DE5"/>
    <w:rsid w:val="005D5590"/>
    <w:rsid w:val="005E282D"/>
    <w:rsid w:val="00603913"/>
    <w:rsid w:val="00617A29"/>
    <w:rsid w:val="00635126"/>
    <w:rsid w:val="006468FD"/>
    <w:rsid w:val="006476BA"/>
    <w:rsid w:val="00653D42"/>
    <w:rsid w:val="006600FD"/>
    <w:rsid w:val="006715B4"/>
    <w:rsid w:val="00674969"/>
    <w:rsid w:val="006761AF"/>
    <w:rsid w:val="00676BED"/>
    <w:rsid w:val="00677656"/>
    <w:rsid w:val="00685381"/>
    <w:rsid w:val="006864B7"/>
    <w:rsid w:val="00686B0E"/>
    <w:rsid w:val="006B2358"/>
    <w:rsid w:val="006C447C"/>
    <w:rsid w:val="006C5429"/>
    <w:rsid w:val="006C694D"/>
    <w:rsid w:val="00712464"/>
    <w:rsid w:val="007253A1"/>
    <w:rsid w:val="00747044"/>
    <w:rsid w:val="00751BFE"/>
    <w:rsid w:val="00773A71"/>
    <w:rsid w:val="00777F7B"/>
    <w:rsid w:val="007812D9"/>
    <w:rsid w:val="00781F8E"/>
    <w:rsid w:val="007A490B"/>
    <w:rsid w:val="007A6ACF"/>
    <w:rsid w:val="007A72AC"/>
    <w:rsid w:val="007B35CF"/>
    <w:rsid w:val="007C2FC8"/>
    <w:rsid w:val="007D695F"/>
    <w:rsid w:val="007D7164"/>
    <w:rsid w:val="007E65E3"/>
    <w:rsid w:val="007F702E"/>
    <w:rsid w:val="00807252"/>
    <w:rsid w:val="00830AAA"/>
    <w:rsid w:val="008339DD"/>
    <w:rsid w:val="008400B8"/>
    <w:rsid w:val="00842F67"/>
    <w:rsid w:val="0085498F"/>
    <w:rsid w:val="008552EA"/>
    <w:rsid w:val="00870364"/>
    <w:rsid w:val="00877050"/>
    <w:rsid w:val="00881282"/>
    <w:rsid w:val="00895A58"/>
    <w:rsid w:val="008A4F9A"/>
    <w:rsid w:val="008B091A"/>
    <w:rsid w:val="008D2AE5"/>
    <w:rsid w:val="008D38DF"/>
    <w:rsid w:val="008D4FAF"/>
    <w:rsid w:val="009005E0"/>
    <w:rsid w:val="0091159A"/>
    <w:rsid w:val="00912B41"/>
    <w:rsid w:val="00920078"/>
    <w:rsid w:val="00923E21"/>
    <w:rsid w:val="00926DBE"/>
    <w:rsid w:val="00937389"/>
    <w:rsid w:val="00942BB8"/>
    <w:rsid w:val="00963DF4"/>
    <w:rsid w:val="00965961"/>
    <w:rsid w:val="00971DF9"/>
    <w:rsid w:val="0098320B"/>
    <w:rsid w:val="00992881"/>
    <w:rsid w:val="009950C7"/>
    <w:rsid w:val="00996824"/>
    <w:rsid w:val="009A51E6"/>
    <w:rsid w:val="009A5FEB"/>
    <w:rsid w:val="009B0246"/>
    <w:rsid w:val="009B204B"/>
    <w:rsid w:val="009B3308"/>
    <w:rsid w:val="009B5632"/>
    <w:rsid w:val="009C2379"/>
    <w:rsid w:val="009D04ED"/>
    <w:rsid w:val="009D69F7"/>
    <w:rsid w:val="009E5A33"/>
    <w:rsid w:val="009F3665"/>
    <w:rsid w:val="009F781B"/>
    <w:rsid w:val="00A00A04"/>
    <w:rsid w:val="00A22FE1"/>
    <w:rsid w:val="00A31F30"/>
    <w:rsid w:val="00A338E0"/>
    <w:rsid w:val="00A36B71"/>
    <w:rsid w:val="00A414A6"/>
    <w:rsid w:val="00A41A6E"/>
    <w:rsid w:val="00A52FAD"/>
    <w:rsid w:val="00A60ADA"/>
    <w:rsid w:val="00A70E0E"/>
    <w:rsid w:val="00A723B0"/>
    <w:rsid w:val="00A814F0"/>
    <w:rsid w:val="00A94575"/>
    <w:rsid w:val="00AA180D"/>
    <w:rsid w:val="00AB037A"/>
    <w:rsid w:val="00AB53EE"/>
    <w:rsid w:val="00AC0539"/>
    <w:rsid w:val="00AC4EA2"/>
    <w:rsid w:val="00AD20E7"/>
    <w:rsid w:val="00AE000D"/>
    <w:rsid w:val="00AF1BFE"/>
    <w:rsid w:val="00B117EF"/>
    <w:rsid w:val="00B4079B"/>
    <w:rsid w:val="00B44D2B"/>
    <w:rsid w:val="00B46D99"/>
    <w:rsid w:val="00B54B05"/>
    <w:rsid w:val="00B60CD0"/>
    <w:rsid w:val="00B60EA3"/>
    <w:rsid w:val="00B63031"/>
    <w:rsid w:val="00B80340"/>
    <w:rsid w:val="00B902BD"/>
    <w:rsid w:val="00B93063"/>
    <w:rsid w:val="00B93401"/>
    <w:rsid w:val="00BA797C"/>
    <w:rsid w:val="00BA7D91"/>
    <w:rsid w:val="00BB7808"/>
    <w:rsid w:val="00BC25DC"/>
    <w:rsid w:val="00BD0486"/>
    <w:rsid w:val="00BD0A8D"/>
    <w:rsid w:val="00BE0473"/>
    <w:rsid w:val="00C30507"/>
    <w:rsid w:val="00C50D80"/>
    <w:rsid w:val="00C55433"/>
    <w:rsid w:val="00C60582"/>
    <w:rsid w:val="00C71CFF"/>
    <w:rsid w:val="00C86461"/>
    <w:rsid w:val="00C93305"/>
    <w:rsid w:val="00C9444D"/>
    <w:rsid w:val="00CA120C"/>
    <w:rsid w:val="00CB7744"/>
    <w:rsid w:val="00CD0234"/>
    <w:rsid w:val="00CF1C30"/>
    <w:rsid w:val="00CF27EB"/>
    <w:rsid w:val="00CF39B9"/>
    <w:rsid w:val="00CF515C"/>
    <w:rsid w:val="00CF6BA6"/>
    <w:rsid w:val="00CF764E"/>
    <w:rsid w:val="00D061D9"/>
    <w:rsid w:val="00D07A2C"/>
    <w:rsid w:val="00D12EBF"/>
    <w:rsid w:val="00D140AE"/>
    <w:rsid w:val="00D34C2F"/>
    <w:rsid w:val="00D40873"/>
    <w:rsid w:val="00D52B63"/>
    <w:rsid w:val="00D53246"/>
    <w:rsid w:val="00D65FFD"/>
    <w:rsid w:val="00D66020"/>
    <w:rsid w:val="00D67991"/>
    <w:rsid w:val="00D67EC9"/>
    <w:rsid w:val="00D97C6C"/>
    <w:rsid w:val="00DA2E0B"/>
    <w:rsid w:val="00DA7496"/>
    <w:rsid w:val="00DB2058"/>
    <w:rsid w:val="00DB3C29"/>
    <w:rsid w:val="00DC0841"/>
    <w:rsid w:val="00DC41AF"/>
    <w:rsid w:val="00DD6FC1"/>
    <w:rsid w:val="00DF2999"/>
    <w:rsid w:val="00DF5793"/>
    <w:rsid w:val="00E0486F"/>
    <w:rsid w:val="00E10B82"/>
    <w:rsid w:val="00E13E4E"/>
    <w:rsid w:val="00E21121"/>
    <w:rsid w:val="00E2470C"/>
    <w:rsid w:val="00E44FB9"/>
    <w:rsid w:val="00E51FD4"/>
    <w:rsid w:val="00E54A48"/>
    <w:rsid w:val="00E73BB9"/>
    <w:rsid w:val="00E74CEB"/>
    <w:rsid w:val="00E75729"/>
    <w:rsid w:val="00E822B1"/>
    <w:rsid w:val="00EB2AFF"/>
    <w:rsid w:val="00EC66C4"/>
    <w:rsid w:val="00ED3B52"/>
    <w:rsid w:val="00EE6A7B"/>
    <w:rsid w:val="00EF0101"/>
    <w:rsid w:val="00F03071"/>
    <w:rsid w:val="00F14303"/>
    <w:rsid w:val="00F15544"/>
    <w:rsid w:val="00F2038F"/>
    <w:rsid w:val="00F25586"/>
    <w:rsid w:val="00F51264"/>
    <w:rsid w:val="00F52524"/>
    <w:rsid w:val="00F54B8B"/>
    <w:rsid w:val="00F70881"/>
    <w:rsid w:val="00F72731"/>
    <w:rsid w:val="00F815F7"/>
    <w:rsid w:val="00F86B4B"/>
    <w:rsid w:val="00FA0A63"/>
    <w:rsid w:val="00FB08C6"/>
    <w:rsid w:val="00FD52CF"/>
    <w:rsid w:val="00FD5EA5"/>
    <w:rsid w:val="00FF1690"/>
    <w:rsid w:val="00FF36C8"/>
    <w:rsid w:val="00FF3C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B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74C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74CEB"/>
    <w:rPr>
      <w:sz w:val="18"/>
      <w:szCs w:val="18"/>
    </w:rPr>
  </w:style>
  <w:style w:type="paragraph" w:styleId="a4">
    <w:name w:val="footer"/>
    <w:basedOn w:val="a"/>
    <w:link w:val="Char0"/>
    <w:unhideWhenUsed/>
    <w:rsid w:val="00E74CEB"/>
    <w:pPr>
      <w:tabs>
        <w:tab w:val="center" w:pos="4153"/>
        <w:tab w:val="right" w:pos="8306"/>
      </w:tabs>
      <w:snapToGrid w:val="0"/>
      <w:jc w:val="left"/>
    </w:pPr>
    <w:rPr>
      <w:sz w:val="18"/>
      <w:szCs w:val="18"/>
    </w:rPr>
  </w:style>
  <w:style w:type="character" w:customStyle="1" w:styleId="Char0">
    <w:name w:val="页脚 Char"/>
    <w:basedOn w:val="a0"/>
    <w:link w:val="a4"/>
    <w:rsid w:val="00E74CEB"/>
    <w:rPr>
      <w:sz w:val="18"/>
      <w:szCs w:val="18"/>
    </w:rPr>
  </w:style>
  <w:style w:type="character" w:customStyle="1" w:styleId="a5">
    <w:name w:val="样式 宋体"/>
    <w:rsid w:val="00E74CEB"/>
    <w:rPr>
      <w:rFonts w:ascii="Times New Roman" w:eastAsia="宋体" w:hAnsi="Times New Roman"/>
    </w:rPr>
  </w:style>
  <w:style w:type="paragraph" w:styleId="a6">
    <w:name w:val="Normal (Web)"/>
    <w:basedOn w:val="a"/>
    <w:uiPriority w:val="99"/>
    <w:rsid w:val="00E74CEB"/>
    <w:pPr>
      <w:widowControl/>
      <w:spacing w:before="100" w:beforeAutospacing="1" w:after="100" w:afterAutospacing="1"/>
      <w:jc w:val="left"/>
    </w:pPr>
    <w:rPr>
      <w:rFonts w:ascii="宋体" w:hAnsi="宋体"/>
      <w:kern w:val="0"/>
      <w:sz w:val="24"/>
      <w:szCs w:val="20"/>
    </w:rPr>
  </w:style>
  <w:style w:type="paragraph" w:customStyle="1" w:styleId="a7">
    <w:name w:val="样式 普通(网站) + 五号"/>
    <w:basedOn w:val="a6"/>
    <w:rsid w:val="00E74CEB"/>
    <w:rPr>
      <w:rFonts w:ascii="Times New Roman" w:hAnsi="Times New Roman"/>
      <w:sz w:val="21"/>
    </w:rPr>
  </w:style>
  <w:style w:type="character" w:styleId="a8">
    <w:name w:val="page number"/>
    <w:basedOn w:val="a0"/>
    <w:rsid w:val="00E74CEB"/>
  </w:style>
  <w:style w:type="paragraph" w:styleId="a9">
    <w:name w:val="Balloon Text"/>
    <w:basedOn w:val="a"/>
    <w:link w:val="Char1"/>
    <w:uiPriority w:val="99"/>
    <w:semiHidden/>
    <w:unhideWhenUsed/>
    <w:rsid w:val="008400B8"/>
    <w:rPr>
      <w:sz w:val="18"/>
      <w:szCs w:val="18"/>
    </w:rPr>
  </w:style>
  <w:style w:type="character" w:customStyle="1" w:styleId="Char1">
    <w:name w:val="批注框文本 Char"/>
    <w:basedOn w:val="a0"/>
    <w:link w:val="a9"/>
    <w:uiPriority w:val="99"/>
    <w:semiHidden/>
    <w:rsid w:val="008400B8"/>
    <w:rPr>
      <w:rFonts w:ascii="Times New Roman" w:eastAsia="宋体" w:hAnsi="Times New Roman" w:cs="Times New Roman"/>
      <w:sz w:val="18"/>
      <w:szCs w:val="18"/>
    </w:rPr>
  </w:style>
  <w:style w:type="paragraph" w:styleId="aa">
    <w:name w:val="List Paragraph"/>
    <w:basedOn w:val="a"/>
    <w:uiPriority w:val="34"/>
    <w:qFormat/>
    <w:rsid w:val="00CF39B9"/>
    <w:pPr>
      <w:ind w:firstLineChars="200" w:firstLine="420"/>
    </w:pPr>
  </w:style>
  <w:style w:type="character" w:styleId="ab">
    <w:name w:val="Subtle Emphasis"/>
    <w:basedOn w:val="a0"/>
    <w:uiPriority w:val="19"/>
    <w:qFormat/>
    <w:rsid w:val="009A5FEB"/>
    <w:rPr>
      <w:i/>
      <w:iCs/>
      <w:color w:val="808080" w:themeColor="text1" w:themeTint="7F"/>
    </w:rPr>
  </w:style>
  <w:style w:type="table" w:customStyle="1" w:styleId="-noheader">
    <w:name w:val="模板-表格_noheader"/>
    <w:basedOn w:val="a1"/>
    <w:rsid w:val="00B80340"/>
    <w:rPr>
      <w:rFonts w:ascii="Times New Roman" w:eastAsia="宋体" w:hAnsi="Times New Roman" w:cs="Times New Roman"/>
      <w:kern w:val="0"/>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ac">
    <w:name w:val="annotation reference"/>
    <w:basedOn w:val="a0"/>
    <w:uiPriority w:val="99"/>
    <w:semiHidden/>
    <w:unhideWhenUsed/>
    <w:rsid w:val="00235F72"/>
    <w:rPr>
      <w:sz w:val="21"/>
      <w:szCs w:val="21"/>
    </w:rPr>
  </w:style>
  <w:style w:type="paragraph" w:styleId="ad">
    <w:name w:val="annotation text"/>
    <w:basedOn w:val="a"/>
    <w:link w:val="Char2"/>
    <w:uiPriority w:val="99"/>
    <w:semiHidden/>
    <w:unhideWhenUsed/>
    <w:rsid w:val="00235F72"/>
    <w:pPr>
      <w:widowControl/>
      <w:spacing w:line="360" w:lineRule="auto"/>
      <w:jc w:val="left"/>
    </w:pPr>
    <w:rPr>
      <w:rFonts w:asciiTheme="minorHAnsi" w:eastAsiaTheme="minorEastAsia" w:hAnsiTheme="minorHAnsi" w:cstheme="minorBidi"/>
      <w:szCs w:val="22"/>
    </w:rPr>
  </w:style>
  <w:style w:type="character" w:customStyle="1" w:styleId="Char2">
    <w:name w:val="批注文字 Char"/>
    <w:basedOn w:val="a0"/>
    <w:link w:val="ad"/>
    <w:uiPriority w:val="99"/>
    <w:semiHidden/>
    <w:rsid w:val="00235F72"/>
  </w:style>
  <w:style w:type="table" w:styleId="ae">
    <w:name w:val="Table Grid"/>
    <w:basedOn w:val="a1"/>
    <w:uiPriority w:val="59"/>
    <w:rsid w:val="00CA1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8563">
      <w:bodyDiv w:val="1"/>
      <w:marLeft w:val="0"/>
      <w:marRight w:val="0"/>
      <w:marTop w:val="0"/>
      <w:marBottom w:val="0"/>
      <w:divBdr>
        <w:top w:val="none" w:sz="0" w:space="0" w:color="auto"/>
        <w:left w:val="none" w:sz="0" w:space="0" w:color="auto"/>
        <w:bottom w:val="none" w:sz="0" w:space="0" w:color="auto"/>
        <w:right w:val="none" w:sz="0" w:space="0" w:color="auto"/>
      </w:divBdr>
    </w:div>
    <w:div w:id="1785117">
      <w:bodyDiv w:val="1"/>
      <w:marLeft w:val="0"/>
      <w:marRight w:val="0"/>
      <w:marTop w:val="0"/>
      <w:marBottom w:val="0"/>
      <w:divBdr>
        <w:top w:val="none" w:sz="0" w:space="0" w:color="auto"/>
        <w:left w:val="none" w:sz="0" w:space="0" w:color="auto"/>
        <w:bottom w:val="none" w:sz="0" w:space="0" w:color="auto"/>
        <w:right w:val="none" w:sz="0" w:space="0" w:color="auto"/>
      </w:divBdr>
    </w:div>
    <w:div w:id="15080287">
      <w:bodyDiv w:val="1"/>
      <w:marLeft w:val="0"/>
      <w:marRight w:val="0"/>
      <w:marTop w:val="0"/>
      <w:marBottom w:val="0"/>
      <w:divBdr>
        <w:top w:val="none" w:sz="0" w:space="0" w:color="auto"/>
        <w:left w:val="none" w:sz="0" w:space="0" w:color="auto"/>
        <w:bottom w:val="none" w:sz="0" w:space="0" w:color="auto"/>
        <w:right w:val="none" w:sz="0" w:space="0" w:color="auto"/>
      </w:divBdr>
    </w:div>
    <w:div w:id="30423748">
      <w:bodyDiv w:val="1"/>
      <w:marLeft w:val="0"/>
      <w:marRight w:val="0"/>
      <w:marTop w:val="0"/>
      <w:marBottom w:val="0"/>
      <w:divBdr>
        <w:top w:val="none" w:sz="0" w:space="0" w:color="auto"/>
        <w:left w:val="none" w:sz="0" w:space="0" w:color="auto"/>
        <w:bottom w:val="none" w:sz="0" w:space="0" w:color="auto"/>
        <w:right w:val="none" w:sz="0" w:space="0" w:color="auto"/>
      </w:divBdr>
    </w:div>
    <w:div w:id="95028287">
      <w:bodyDiv w:val="1"/>
      <w:marLeft w:val="0"/>
      <w:marRight w:val="0"/>
      <w:marTop w:val="0"/>
      <w:marBottom w:val="0"/>
      <w:divBdr>
        <w:top w:val="none" w:sz="0" w:space="0" w:color="auto"/>
        <w:left w:val="none" w:sz="0" w:space="0" w:color="auto"/>
        <w:bottom w:val="none" w:sz="0" w:space="0" w:color="auto"/>
        <w:right w:val="none" w:sz="0" w:space="0" w:color="auto"/>
      </w:divBdr>
    </w:div>
    <w:div w:id="127169275">
      <w:bodyDiv w:val="1"/>
      <w:marLeft w:val="0"/>
      <w:marRight w:val="0"/>
      <w:marTop w:val="0"/>
      <w:marBottom w:val="0"/>
      <w:divBdr>
        <w:top w:val="none" w:sz="0" w:space="0" w:color="auto"/>
        <w:left w:val="none" w:sz="0" w:space="0" w:color="auto"/>
        <w:bottom w:val="none" w:sz="0" w:space="0" w:color="auto"/>
        <w:right w:val="none" w:sz="0" w:space="0" w:color="auto"/>
      </w:divBdr>
    </w:div>
    <w:div w:id="147980953">
      <w:bodyDiv w:val="1"/>
      <w:marLeft w:val="0"/>
      <w:marRight w:val="0"/>
      <w:marTop w:val="0"/>
      <w:marBottom w:val="0"/>
      <w:divBdr>
        <w:top w:val="none" w:sz="0" w:space="0" w:color="auto"/>
        <w:left w:val="none" w:sz="0" w:space="0" w:color="auto"/>
        <w:bottom w:val="none" w:sz="0" w:space="0" w:color="auto"/>
        <w:right w:val="none" w:sz="0" w:space="0" w:color="auto"/>
      </w:divBdr>
    </w:div>
    <w:div w:id="168061298">
      <w:bodyDiv w:val="1"/>
      <w:marLeft w:val="0"/>
      <w:marRight w:val="0"/>
      <w:marTop w:val="0"/>
      <w:marBottom w:val="0"/>
      <w:divBdr>
        <w:top w:val="none" w:sz="0" w:space="0" w:color="auto"/>
        <w:left w:val="none" w:sz="0" w:space="0" w:color="auto"/>
        <w:bottom w:val="none" w:sz="0" w:space="0" w:color="auto"/>
        <w:right w:val="none" w:sz="0" w:space="0" w:color="auto"/>
      </w:divBdr>
    </w:div>
    <w:div w:id="170801443">
      <w:bodyDiv w:val="1"/>
      <w:marLeft w:val="0"/>
      <w:marRight w:val="0"/>
      <w:marTop w:val="0"/>
      <w:marBottom w:val="0"/>
      <w:divBdr>
        <w:top w:val="none" w:sz="0" w:space="0" w:color="auto"/>
        <w:left w:val="none" w:sz="0" w:space="0" w:color="auto"/>
        <w:bottom w:val="none" w:sz="0" w:space="0" w:color="auto"/>
        <w:right w:val="none" w:sz="0" w:space="0" w:color="auto"/>
      </w:divBdr>
    </w:div>
    <w:div w:id="207844585">
      <w:bodyDiv w:val="1"/>
      <w:marLeft w:val="0"/>
      <w:marRight w:val="0"/>
      <w:marTop w:val="0"/>
      <w:marBottom w:val="0"/>
      <w:divBdr>
        <w:top w:val="none" w:sz="0" w:space="0" w:color="auto"/>
        <w:left w:val="none" w:sz="0" w:space="0" w:color="auto"/>
        <w:bottom w:val="none" w:sz="0" w:space="0" w:color="auto"/>
        <w:right w:val="none" w:sz="0" w:space="0" w:color="auto"/>
      </w:divBdr>
    </w:div>
    <w:div w:id="228620156">
      <w:bodyDiv w:val="1"/>
      <w:marLeft w:val="0"/>
      <w:marRight w:val="0"/>
      <w:marTop w:val="0"/>
      <w:marBottom w:val="0"/>
      <w:divBdr>
        <w:top w:val="none" w:sz="0" w:space="0" w:color="auto"/>
        <w:left w:val="none" w:sz="0" w:space="0" w:color="auto"/>
        <w:bottom w:val="none" w:sz="0" w:space="0" w:color="auto"/>
        <w:right w:val="none" w:sz="0" w:space="0" w:color="auto"/>
      </w:divBdr>
    </w:div>
    <w:div w:id="255525915">
      <w:bodyDiv w:val="1"/>
      <w:marLeft w:val="0"/>
      <w:marRight w:val="0"/>
      <w:marTop w:val="0"/>
      <w:marBottom w:val="0"/>
      <w:divBdr>
        <w:top w:val="none" w:sz="0" w:space="0" w:color="auto"/>
        <w:left w:val="none" w:sz="0" w:space="0" w:color="auto"/>
        <w:bottom w:val="none" w:sz="0" w:space="0" w:color="auto"/>
        <w:right w:val="none" w:sz="0" w:space="0" w:color="auto"/>
      </w:divBdr>
    </w:div>
    <w:div w:id="267811359">
      <w:bodyDiv w:val="1"/>
      <w:marLeft w:val="0"/>
      <w:marRight w:val="0"/>
      <w:marTop w:val="0"/>
      <w:marBottom w:val="0"/>
      <w:divBdr>
        <w:top w:val="none" w:sz="0" w:space="0" w:color="auto"/>
        <w:left w:val="none" w:sz="0" w:space="0" w:color="auto"/>
        <w:bottom w:val="none" w:sz="0" w:space="0" w:color="auto"/>
        <w:right w:val="none" w:sz="0" w:space="0" w:color="auto"/>
      </w:divBdr>
    </w:div>
    <w:div w:id="363599889">
      <w:bodyDiv w:val="1"/>
      <w:marLeft w:val="0"/>
      <w:marRight w:val="0"/>
      <w:marTop w:val="0"/>
      <w:marBottom w:val="0"/>
      <w:divBdr>
        <w:top w:val="none" w:sz="0" w:space="0" w:color="auto"/>
        <w:left w:val="none" w:sz="0" w:space="0" w:color="auto"/>
        <w:bottom w:val="none" w:sz="0" w:space="0" w:color="auto"/>
        <w:right w:val="none" w:sz="0" w:space="0" w:color="auto"/>
      </w:divBdr>
    </w:div>
    <w:div w:id="386683344">
      <w:bodyDiv w:val="1"/>
      <w:marLeft w:val="0"/>
      <w:marRight w:val="0"/>
      <w:marTop w:val="0"/>
      <w:marBottom w:val="0"/>
      <w:divBdr>
        <w:top w:val="none" w:sz="0" w:space="0" w:color="auto"/>
        <w:left w:val="none" w:sz="0" w:space="0" w:color="auto"/>
        <w:bottom w:val="none" w:sz="0" w:space="0" w:color="auto"/>
        <w:right w:val="none" w:sz="0" w:space="0" w:color="auto"/>
      </w:divBdr>
    </w:div>
    <w:div w:id="422147414">
      <w:bodyDiv w:val="1"/>
      <w:marLeft w:val="0"/>
      <w:marRight w:val="0"/>
      <w:marTop w:val="0"/>
      <w:marBottom w:val="0"/>
      <w:divBdr>
        <w:top w:val="none" w:sz="0" w:space="0" w:color="auto"/>
        <w:left w:val="none" w:sz="0" w:space="0" w:color="auto"/>
        <w:bottom w:val="none" w:sz="0" w:space="0" w:color="auto"/>
        <w:right w:val="none" w:sz="0" w:space="0" w:color="auto"/>
      </w:divBdr>
    </w:div>
    <w:div w:id="435373893">
      <w:bodyDiv w:val="1"/>
      <w:marLeft w:val="0"/>
      <w:marRight w:val="0"/>
      <w:marTop w:val="0"/>
      <w:marBottom w:val="0"/>
      <w:divBdr>
        <w:top w:val="none" w:sz="0" w:space="0" w:color="auto"/>
        <w:left w:val="none" w:sz="0" w:space="0" w:color="auto"/>
        <w:bottom w:val="none" w:sz="0" w:space="0" w:color="auto"/>
        <w:right w:val="none" w:sz="0" w:space="0" w:color="auto"/>
      </w:divBdr>
    </w:div>
    <w:div w:id="460004145">
      <w:bodyDiv w:val="1"/>
      <w:marLeft w:val="0"/>
      <w:marRight w:val="0"/>
      <w:marTop w:val="0"/>
      <w:marBottom w:val="0"/>
      <w:divBdr>
        <w:top w:val="none" w:sz="0" w:space="0" w:color="auto"/>
        <w:left w:val="none" w:sz="0" w:space="0" w:color="auto"/>
        <w:bottom w:val="none" w:sz="0" w:space="0" w:color="auto"/>
        <w:right w:val="none" w:sz="0" w:space="0" w:color="auto"/>
      </w:divBdr>
    </w:div>
    <w:div w:id="461850814">
      <w:bodyDiv w:val="1"/>
      <w:marLeft w:val="0"/>
      <w:marRight w:val="0"/>
      <w:marTop w:val="0"/>
      <w:marBottom w:val="0"/>
      <w:divBdr>
        <w:top w:val="none" w:sz="0" w:space="0" w:color="auto"/>
        <w:left w:val="none" w:sz="0" w:space="0" w:color="auto"/>
        <w:bottom w:val="none" w:sz="0" w:space="0" w:color="auto"/>
        <w:right w:val="none" w:sz="0" w:space="0" w:color="auto"/>
      </w:divBdr>
    </w:div>
    <w:div w:id="505902694">
      <w:bodyDiv w:val="1"/>
      <w:marLeft w:val="0"/>
      <w:marRight w:val="0"/>
      <w:marTop w:val="0"/>
      <w:marBottom w:val="0"/>
      <w:divBdr>
        <w:top w:val="none" w:sz="0" w:space="0" w:color="auto"/>
        <w:left w:val="none" w:sz="0" w:space="0" w:color="auto"/>
        <w:bottom w:val="none" w:sz="0" w:space="0" w:color="auto"/>
        <w:right w:val="none" w:sz="0" w:space="0" w:color="auto"/>
      </w:divBdr>
    </w:div>
    <w:div w:id="552693671">
      <w:bodyDiv w:val="1"/>
      <w:marLeft w:val="0"/>
      <w:marRight w:val="0"/>
      <w:marTop w:val="0"/>
      <w:marBottom w:val="0"/>
      <w:divBdr>
        <w:top w:val="none" w:sz="0" w:space="0" w:color="auto"/>
        <w:left w:val="none" w:sz="0" w:space="0" w:color="auto"/>
        <w:bottom w:val="none" w:sz="0" w:space="0" w:color="auto"/>
        <w:right w:val="none" w:sz="0" w:space="0" w:color="auto"/>
      </w:divBdr>
    </w:div>
    <w:div w:id="580942653">
      <w:bodyDiv w:val="1"/>
      <w:marLeft w:val="0"/>
      <w:marRight w:val="0"/>
      <w:marTop w:val="0"/>
      <w:marBottom w:val="0"/>
      <w:divBdr>
        <w:top w:val="none" w:sz="0" w:space="0" w:color="auto"/>
        <w:left w:val="none" w:sz="0" w:space="0" w:color="auto"/>
        <w:bottom w:val="none" w:sz="0" w:space="0" w:color="auto"/>
        <w:right w:val="none" w:sz="0" w:space="0" w:color="auto"/>
      </w:divBdr>
    </w:div>
    <w:div w:id="683439097">
      <w:bodyDiv w:val="1"/>
      <w:marLeft w:val="0"/>
      <w:marRight w:val="0"/>
      <w:marTop w:val="0"/>
      <w:marBottom w:val="0"/>
      <w:divBdr>
        <w:top w:val="none" w:sz="0" w:space="0" w:color="auto"/>
        <w:left w:val="none" w:sz="0" w:space="0" w:color="auto"/>
        <w:bottom w:val="none" w:sz="0" w:space="0" w:color="auto"/>
        <w:right w:val="none" w:sz="0" w:space="0" w:color="auto"/>
      </w:divBdr>
    </w:div>
    <w:div w:id="702631429">
      <w:bodyDiv w:val="1"/>
      <w:marLeft w:val="0"/>
      <w:marRight w:val="0"/>
      <w:marTop w:val="0"/>
      <w:marBottom w:val="0"/>
      <w:divBdr>
        <w:top w:val="none" w:sz="0" w:space="0" w:color="auto"/>
        <w:left w:val="none" w:sz="0" w:space="0" w:color="auto"/>
        <w:bottom w:val="none" w:sz="0" w:space="0" w:color="auto"/>
        <w:right w:val="none" w:sz="0" w:space="0" w:color="auto"/>
      </w:divBdr>
    </w:div>
    <w:div w:id="710114661">
      <w:bodyDiv w:val="1"/>
      <w:marLeft w:val="0"/>
      <w:marRight w:val="0"/>
      <w:marTop w:val="0"/>
      <w:marBottom w:val="0"/>
      <w:divBdr>
        <w:top w:val="none" w:sz="0" w:space="0" w:color="auto"/>
        <w:left w:val="none" w:sz="0" w:space="0" w:color="auto"/>
        <w:bottom w:val="none" w:sz="0" w:space="0" w:color="auto"/>
        <w:right w:val="none" w:sz="0" w:space="0" w:color="auto"/>
      </w:divBdr>
    </w:div>
    <w:div w:id="712273577">
      <w:bodyDiv w:val="1"/>
      <w:marLeft w:val="0"/>
      <w:marRight w:val="0"/>
      <w:marTop w:val="0"/>
      <w:marBottom w:val="0"/>
      <w:divBdr>
        <w:top w:val="none" w:sz="0" w:space="0" w:color="auto"/>
        <w:left w:val="none" w:sz="0" w:space="0" w:color="auto"/>
        <w:bottom w:val="none" w:sz="0" w:space="0" w:color="auto"/>
        <w:right w:val="none" w:sz="0" w:space="0" w:color="auto"/>
      </w:divBdr>
    </w:div>
    <w:div w:id="714549792">
      <w:bodyDiv w:val="1"/>
      <w:marLeft w:val="0"/>
      <w:marRight w:val="0"/>
      <w:marTop w:val="0"/>
      <w:marBottom w:val="0"/>
      <w:divBdr>
        <w:top w:val="none" w:sz="0" w:space="0" w:color="auto"/>
        <w:left w:val="none" w:sz="0" w:space="0" w:color="auto"/>
        <w:bottom w:val="none" w:sz="0" w:space="0" w:color="auto"/>
        <w:right w:val="none" w:sz="0" w:space="0" w:color="auto"/>
      </w:divBdr>
    </w:div>
    <w:div w:id="721902263">
      <w:bodyDiv w:val="1"/>
      <w:marLeft w:val="0"/>
      <w:marRight w:val="0"/>
      <w:marTop w:val="0"/>
      <w:marBottom w:val="0"/>
      <w:divBdr>
        <w:top w:val="none" w:sz="0" w:space="0" w:color="auto"/>
        <w:left w:val="none" w:sz="0" w:space="0" w:color="auto"/>
        <w:bottom w:val="none" w:sz="0" w:space="0" w:color="auto"/>
        <w:right w:val="none" w:sz="0" w:space="0" w:color="auto"/>
      </w:divBdr>
    </w:div>
    <w:div w:id="723799273">
      <w:bodyDiv w:val="1"/>
      <w:marLeft w:val="0"/>
      <w:marRight w:val="0"/>
      <w:marTop w:val="0"/>
      <w:marBottom w:val="0"/>
      <w:divBdr>
        <w:top w:val="none" w:sz="0" w:space="0" w:color="auto"/>
        <w:left w:val="none" w:sz="0" w:space="0" w:color="auto"/>
        <w:bottom w:val="none" w:sz="0" w:space="0" w:color="auto"/>
        <w:right w:val="none" w:sz="0" w:space="0" w:color="auto"/>
      </w:divBdr>
    </w:div>
    <w:div w:id="739868506">
      <w:bodyDiv w:val="1"/>
      <w:marLeft w:val="0"/>
      <w:marRight w:val="0"/>
      <w:marTop w:val="0"/>
      <w:marBottom w:val="0"/>
      <w:divBdr>
        <w:top w:val="none" w:sz="0" w:space="0" w:color="auto"/>
        <w:left w:val="none" w:sz="0" w:space="0" w:color="auto"/>
        <w:bottom w:val="none" w:sz="0" w:space="0" w:color="auto"/>
        <w:right w:val="none" w:sz="0" w:space="0" w:color="auto"/>
      </w:divBdr>
    </w:div>
    <w:div w:id="754278562">
      <w:bodyDiv w:val="1"/>
      <w:marLeft w:val="0"/>
      <w:marRight w:val="0"/>
      <w:marTop w:val="0"/>
      <w:marBottom w:val="0"/>
      <w:divBdr>
        <w:top w:val="none" w:sz="0" w:space="0" w:color="auto"/>
        <w:left w:val="none" w:sz="0" w:space="0" w:color="auto"/>
        <w:bottom w:val="none" w:sz="0" w:space="0" w:color="auto"/>
        <w:right w:val="none" w:sz="0" w:space="0" w:color="auto"/>
      </w:divBdr>
    </w:div>
    <w:div w:id="763963656">
      <w:bodyDiv w:val="1"/>
      <w:marLeft w:val="0"/>
      <w:marRight w:val="0"/>
      <w:marTop w:val="0"/>
      <w:marBottom w:val="0"/>
      <w:divBdr>
        <w:top w:val="none" w:sz="0" w:space="0" w:color="auto"/>
        <w:left w:val="none" w:sz="0" w:space="0" w:color="auto"/>
        <w:bottom w:val="none" w:sz="0" w:space="0" w:color="auto"/>
        <w:right w:val="none" w:sz="0" w:space="0" w:color="auto"/>
      </w:divBdr>
    </w:div>
    <w:div w:id="770510016">
      <w:bodyDiv w:val="1"/>
      <w:marLeft w:val="0"/>
      <w:marRight w:val="0"/>
      <w:marTop w:val="0"/>
      <w:marBottom w:val="0"/>
      <w:divBdr>
        <w:top w:val="none" w:sz="0" w:space="0" w:color="auto"/>
        <w:left w:val="none" w:sz="0" w:space="0" w:color="auto"/>
        <w:bottom w:val="none" w:sz="0" w:space="0" w:color="auto"/>
        <w:right w:val="none" w:sz="0" w:space="0" w:color="auto"/>
      </w:divBdr>
    </w:div>
    <w:div w:id="772475368">
      <w:bodyDiv w:val="1"/>
      <w:marLeft w:val="0"/>
      <w:marRight w:val="0"/>
      <w:marTop w:val="0"/>
      <w:marBottom w:val="0"/>
      <w:divBdr>
        <w:top w:val="none" w:sz="0" w:space="0" w:color="auto"/>
        <w:left w:val="none" w:sz="0" w:space="0" w:color="auto"/>
        <w:bottom w:val="none" w:sz="0" w:space="0" w:color="auto"/>
        <w:right w:val="none" w:sz="0" w:space="0" w:color="auto"/>
      </w:divBdr>
    </w:div>
    <w:div w:id="793207210">
      <w:bodyDiv w:val="1"/>
      <w:marLeft w:val="0"/>
      <w:marRight w:val="0"/>
      <w:marTop w:val="0"/>
      <w:marBottom w:val="0"/>
      <w:divBdr>
        <w:top w:val="none" w:sz="0" w:space="0" w:color="auto"/>
        <w:left w:val="none" w:sz="0" w:space="0" w:color="auto"/>
        <w:bottom w:val="none" w:sz="0" w:space="0" w:color="auto"/>
        <w:right w:val="none" w:sz="0" w:space="0" w:color="auto"/>
      </w:divBdr>
    </w:div>
    <w:div w:id="814445285">
      <w:bodyDiv w:val="1"/>
      <w:marLeft w:val="0"/>
      <w:marRight w:val="0"/>
      <w:marTop w:val="0"/>
      <w:marBottom w:val="0"/>
      <w:divBdr>
        <w:top w:val="none" w:sz="0" w:space="0" w:color="auto"/>
        <w:left w:val="none" w:sz="0" w:space="0" w:color="auto"/>
        <w:bottom w:val="none" w:sz="0" w:space="0" w:color="auto"/>
        <w:right w:val="none" w:sz="0" w:space="0" w:color="auto"/>
      </w:divBdr>
    </w:div>
    <w:div w:id="829712932">
      <w:bodyDiv w:val="1"/>
      <w:marLeft w:val="0"/>
      <w:marRight w:val="0"/>
      <w:marTop w:val="0"/>
      <w:marBottom w:val="0"/>
      <w:divBdr>
        <w:top w:val="none" w:sz="0" w:space="0" w:color="auto"/>
        <w:left w:val="none" w:sz="0" w:space="0" w:color="auto"/>
        <w:bottom w:val="none" w:sz="0" w:space="0" w:color="auto"/>
        <w:right w:val="none" w:sz="0" w:space="0" w:color="auto"/>
      </w:divBdr>
    </w:div>
    <w:div w:id="878975984">
      <w:bodyDiv w:val="1"/>
      <w:marLeft w:val="0"/>
      <w:marRight w:val="0"/>
      <w:marTop w:val="0"/>
      <w:marBottom w:val="0"/>
      <w:divBdr>
        <w:top w:val="none" w:sz="0" w:space="0" w:color="auto"/>
        <w:left w:val="none" w:sz="0" w:space="0" w:color="auto"/>
        <w:bottom w:val="none" w:sz="0" w:space="0" w:color="auto"/>
        <w:right w:val="none" w:sz="0" w:space="0" w:color="auto"/>
      </w:divBdr>
    </w:div>
    <w:div w:id="900021052">
      <w:bodyDiv w:val="1"/>
      <w:marLeft w:val="0"/>
      <w:marRight w:val="0"/>
      <w:marTop w:val="0"/>
      <w:marBottom w:val="0"/>
      <w:divBdr>
        <w:top w:val="none" w:sz="0" w:space="0" w:color="auto"/>
        <w:left w:val="none" w:sz="0" w:space="0" w:color="auto"/>
        <w:bottom w:val="none" w:sz="0" w:space="0" w:color="auto"/>
        <w:right w:val="none" w:sz="0" w:space="0" w:color="auto"/>
      </w:divBdr>
    </w:div>
    <w:div w:id="919677752">
      <w:bodyDiv w:val="1"/>
      <w:marLeft w:val="0"/>
      <w:marRight w:val="0"/>
      <w:marTop w:val="0"/>
      <w:marBottom w:val="0"/>
      <w:divBdr>
        <w:top w:val="none" w:sz="0" w:space="0" w:color="auto"/>
        <w:left w:val="none" w:sz="0" w:space="0" w:color="auto"/>
        <w:bottom w:val="none" w:sz="0" w:space="0" w:color="auto"/>
        <w:right w:val="none" w:sz="0" w:space="0" w:color="auto"/>
      </w:divBdr>
    </w:div>
    <w:div w:id="949551452">
      <w:bodyDiv w:val="1"/>
      <w:marLeft w:val="0"/>
      <w:marRight w:val="0"/>
      <w:marTop w:val="0"/>
      <w:marBottom w:val="0"/>
      <w:divBdr>
        <w:top w:val="none" w:sz="0" w:space="0" w:color="auto"/>
        <w:left w:val="none" w:sz="0" w:space="0" w:color="auto"/>
        <w:bottom w:val="none" w:sz="0" w:space="0" w:color="auto"/>
        <w:right w:val="none" w:sz="0" w:space="0" w:color="auto"/>
      </w:divBdr>
    </w:div>
    <w:div w:id="984435006">
      <w:bodyDiv w:val="1"/>
      <w:marLeft w:val="0"/>
      <w:marRight w:val="0"/>
      <w:marTop w:val="0"/>
      <w:marBottom w:val="0"/>
      <w:divBdr>
        <w:top w:val="none" w:sz="0" w:space="0" w:color="auto"/>
        <w:left w:val="none" w:sz="0" w:space="0" w:color="auto"/>
        <w:bottom w:val="none" w:sz="0" w:space="0" w:color="auto"/>
        <w:right w:val="none" w:sz="0" w:space="0" w:color="auto"/>
      </w:divBdr>
    </w:div>
    <w:div w:id="985014378">
      <w:bodyDiv w:val="1"/>
      <w:marLeft w:val="0"/>
      <w:marRight w:val="0"/>
      <w:marTop w:val="0"/>
      <w:marBottom w:val="0"/>
      <w:divBdr>
        <w:top w:val="none" w:sz="0" w:space="0" w:color="auto"/>
        <w:left w:val="none" w:sz="0" w:space="0" w:color="auto"/>
        <w:bottom w:val="none" w:sz="0" w:space="0" w:color="auto"/>
        <w:right w:val="none" w:sz="0" w:space="0" w:color="auto"/>
      </w:divBdr>
    </w:div>
    <w:div w:id="1029261256">
      <w:bodyDiv w:val="1"/>
      <w:marLeft w:val="0"/>
      <w:marRight w:val="0"/>
      <w:marTop w:val="0"/>
      <w:marBottom w:val="0"/>
      <w:divBdr>
        <w:top w:val="none" w:sz="0" w:space="0" w:color="auto"/>
        <w:left w:val="none" w:sz="0" w:space="0" w:color="auto"/>
        <w:bottom w:val="none" w:sz="0" w:space="0" w:color="auto"/>
        <w:right w:val="none" w:sz="0" w:space="0" w:color="auto"/>
      </w:divBdr>
    </w:div>
    <w:div w:id="1083188921">
      <w:bodyDiv w:val="1"/>
      <w:marLeft w:val="0"/>
      <w:marRight w:val="0"/>
      <w:marTop w:val="0"/>
      <w:marBottom w:val="0"/>
      <w:divBdr>
        <w:top w:val="none" w:sz="0" w:space="0" w:color="auto"/>
        <w:left w:val="none" w:sz="0" w:space="0" w:color="auto"/>
        <w:bottom w:val="none" w:sz="0" w:space="0" w:color="auto"/>
        <w:right w:val="none" w:sz="0" w:space="0" w:color="auto"/>
      </w:divBdr>
    </w:div>
    <w:div w:id="1116293533">
      <w:bodyDiv w:val="1"/>
      <w:marLeft w:val="0"/>
      <w:marRight w:val="0"/>
      <w:marTop w:val="0"/>
      <w:marBottom w:val="0"/>
      <w:divBdr>
        <w:top w:val="none" w:sz="0" w:space="0" w:color="auto"/>
        <w:left w:val="none" w:sz="0" w:space="0" w:color="auto"/>
        <w:bottom w:val="none" w:sz="0" w:space="0" w:color="auto"/>
        <w:right w:val="none" w:sz="0" w:space="0" w:color="auto"/>
      </w:divBdr>
    </w:div>
    <w:div w:id="1163669232">
      <w:bodyDiv w:val="1"/>
      <w:marLeft w:val="0"/>
      <w:marRight w:val="0"/>
      <w:marTop w:val="0"/>
      <w:marBottom w:val="0"/>
      <w:divBdr>
        <w:top w:val="none" w:sz="0" w:space="0" w:color="auto"/>
        <w:left w:val="none" w:sz="0" w:space="0" w:color="auto"/>
        <w:bottom w:val="none" w:sz="0" w:space="0" w:color="auto"/>
        <w:right w:val="none" w:sz="0" w:space="0" w:color="auto"/>
      </w:divBdr>
    </w:div>
    <w:div w:id="1171873452">
      <w:bodyDiv w:val="1"/>
      <w:marLeft w:val="0"/>
      <w:marRight w:val="0"/>
      <w:marTop w:val="0"/>
      <w:marBottom w:val="0"/>
      <w:divBdr>
        <w:top w:val="none" w:sz="0" w:space="0" w:color="auto"/>
        <w:left w:val="none" w:sz="0" w:space="0" w:color="auto"/>
        <w:bottom w:val="none" w:sz="0" w:space="0" w:color="auto"/>
        <w:right w:val="none" w:sz="0" w:space="0" w:color="auto"/>
      </w:divBdr>
    </w:div>
    <w:div w:id="1181165070">
      <w:bodyDiv w:val="1"/>
      <w:marLeft w:val="0"/>
      <w:marRight w:val="0"/>
      <w:marTop w:val="0"/>
      <w:marBottom w:val="0"/>
      <w:divBdr>
        <w:top w:val="none" w:sz="0" w:space="0" w:color="auto"/>
        <w:left w:val="none" w:sz="0" w:space="0" w:color="auto"/>
        <w:bottom w:val="none" w:sz="0" w:space="0" w:color="auto"/>
        <w:right w:val="none" w:sz="0" w:space="0" w:color="auto"/>
      </w:divBdr>
    </w:div>
    <w:div w:id="1237325822">
      <w:bodyDiv w:val="1"/>
      <w:marLeft w:val="0"/>
      <w:marRight w:val="0"/>
      <w:marTop w:val="0"/>
      <w:marBottom w:val="0"/>
      <w:divBdr>
        <w:top w:val="none" w:sz="0" w:space="0" w:color="auto"/>
        <w:left w:val="none" w:sz="0" w:space="0" w:color="auto"/>
        <w:bottom w:val="none" w:sz="0" w:space="0" w:color="auto"/>
        <w:right w:val="none" w:sz="0" w:space="0" w:color="auto"/>
      </w:divBdr>
    </w:div>
    <w:div w:id="1265729376">
      <w:bodyDiv w:val="1"/>
      <w:marLeft w:val="0"/>
      <w:marRight w:val="0"/>
      <w:marTop w:val="0"/>
      <w:marBottom w:val="0"/>
      <w:divBdr>
        <w:top w:val="none" w:sz="0" w:space="0" w:color="auto"/>
        <w:left w:val="none" w:sz="0" w:space="0" w:color="auto"/>
        <w:bottom w:val="none" w:sz="0" w:space="0" w:color="auto"/>
        <w:right w:val="none" w:sz="0" w:space="0" w:color="auto"/>
      </w:divBdr>
    </w:div>
    <w:div w:id="1267733015">
      <w:bodyDiv w:val="1"/>
      <w:marLeft w:val="0"/>
      <w:marRight w:val="0"/>
      <w:marTop w:val="0"/>
      <w:marBottom w:val="0"/>
      <w:divBdr>
        <w:top w:val="none" w:sz="0" w:space="0" w:color="auto"/>
        <w:left w:val="none" w:sz="0" w:space="0" w:color="auto"/>
        <w:bottom w:val="none" w:sz="0" w:space="0" w:color="auto"/>
        <w:right w:val="none" w:sz="0" w:space="0" w:color="auto"/>
      </w:divBdr>
    </w:div>
    <w:div w:id="1282803145">
      <w:bodyDiv w:val="1"/>
      <w:marLeft w:val="0"/>
      <w:marRight w:val="0"/>
      <w:marTop w:val="0"/>
      <w:marBottom w:val="0"/>
      <w:divBdr>
        <w:top w:val="none" w:sz="0" w:space="0" w:color="auto"/>
        <w:left w:val="none" w:sz="0" w:space="0" w:color="auto"/>
        <w:bottom w:val="none" w:sz="0" w:space="0" w:color="auto"/>
        <w:right w:val="none" w:sz="0" w:space="0" w:color="auto"/>
      </w:divBdr>
    </w:div>
    <w:div w:id="1306279947">
      <w:bodyDiv w:val="1"/>
      <w:marLeft w:val="0"/>
      <w:marRight w:val="0"/>
      <w:marTop w:val="0"/>
      <w:marBottom w:val="0"/>
      <w:divBdr>
        <w:top w:val="none" w:sz="0" w:space="0" w:color="auto"/>
        <w:left w:val="none" w:sz="0" w:space="0" w:color="auto"/>
        <w:bottom w:val="none" w:sz="0" w:space="0" w:color="auto"/>
        <w:right w:val="none" w:sz="0" w:space="0" w:color="auto"/>
      </w:divBdr>
    </w:div>
    <w:div w:id="1345205268">
      <w:bodyDiv w:val="1"/>
      <w:marLeft w:val="0"/>
      <w:marRight w:val="0"/>
      <w:marTop w:val="0"/>
      <w:marBottom w:val="0"/>
      <w:divBdr>
        <w:top w:val="none" w:sz="0" w:space="0" w:color="auto"/>
        <w:left w:val="none" w:sz="0" w:space="0" w:color="auto"/>
        <w:bottom w:val="none" w:sz="0" w:space="0" w:color="auto"/>
        <w:right w:val="none" w:sz="0" w:space="0" w:color="auto"/>
      </w:divBdr>
    </w:div>
    <w:div w:id="1364945100">
      <w:bodyDiv w:val="1"/>
      <w:marLeft w:val="0"/>
      <w:marRight w:val="0"/>
      <w:marTop w:val="0"/>
      <w:marBottom w:val="0"/>
      <w:divBdr>
        <w:top w:val="none" w:sz="0" w:space="0" w:color="auto"/>
        <w:left w:val="none" w:sz="0" w:space="0" w:color="auto"/>
        <w:bottom w:val="none" w:sz="0" w:space="0" w:color="auto"/>
        <w:right w:val="none" w:sz="0" w:space="0" w:color="auto"/>
      </w:divBdr>
    </w:div>
    <w:div w:id="1378814745">
      <w:bodyDiv w:val="1"/>
      <w:marLeft w:val="0"/>
      <w:marRight w:val="0"/>
      <w:marTop w:val="0"/>
      <w:marBottom w:val="0"/>
      <w:divBdr>
        <w:top w:val="none" w:sz="0" w:space="0" w:color="auto"/>
        <w:left w:val="none" w:sz="0" w:space="0" w:color="auto"/>
        <w:bottom w:val="none" w:sz="0" w:space="0" w:color="auto"/>
        <w:right w:val="none" w:sz="0" w:space="0" w:color="auto"/>
      </w:divBdr>
    </w:div>
    <w:div w:id="1386293168">
      <w:bodyDiv w:val="1"/>
      <w:marLeft w:val="0"/>
      <w:marRight w:val="0"/>
      <w:marTop w:val="0"/>
      <w:marBottom w:val="0"/>
      <w:divBdr>
        <w:top w:val="none" w:sz="0" w:space="0" w:color="auto"/>
        <w:left w:val="none" w:sz="0" w:space="0" w:color="auto"/>
        <w:bottom w:val="none" w:sz="0" w:space="0" w:color="auto"/>
        <w:right w:val="none" w:sz="0" w:space="0" w:color="auto"/>
      </w:divBdr>
    </w:div>
    <w:div w:id="1412508028">
      <w:bodyDiv w:val="1"/>
      <w:marLeft w:val="0"/>
      <w:marRight w:val="0"/>
      <w:marTop w:val="0"/>
      <w:marBottom w:val="0"/>
      <w:divBdr>
        <w:top w:val="none" w:sz="0" w:space="0" w:color="auto"/>
        <w:left w:val="none" w:sz="0" w:space="0" w:color="auto"/>
        <w:bottom w:val="none" w:sz="0" w:space="0" w:color="auto"/>
        <w:right w:val="none" w:sz="0" w:space="0" w:color="auto"/>
      </w:divBdr>
    </w:div>
    <w:div w:id="1417359095">
      <w:bodyDiv w:val="1"/>
      <w:marLeft w:val="0"/>
      <w:marRight w:val="0"/>
      <w:marTop w:val="0"/>
      <w:marBottom w:val="0"/>
      <w:divBdr>
        <w:top w:val="none" w:sz="0" w:space="0" w:color="auto"/>
        <w:left w:val="none" w:sz="0" w:space="0" w:color="auto"/>
        <w:bottom w:val="none" w:sz="0" w:space="0" w:color="auto"/>
        <w:right w:val="none" w:sz="0" w:space="0" w:color="auto"/>
      </w:divBdr>
    </w:div>
    <w:div w:id="1421103142">
      <w:bodyDiv w:val="1"/>
      <w:marLeft w:val="0"/>
      <w:marRight w:val="0"/>
      <w:marTop w:val="0"/>
      <w:marBottom w:val="0"/>
      <w:divBdr>
        <w:top w:val="none" w:sz="0" w:space="0" w:color="auto"/>
        <w:left w:val="none" w:sz="0" w:space="0" w:color="auto"/>
        <w:bottom w:val="none" w:sz="0" w:space="0" w:color="auto"/>
        <w:right w:val="none" w:sz="0" w:space="0" w:color="auto"/>
      </w:divBdr>
    </w:div>
    <w:div w:id="1488324891">
      <w:bodyDiv w:val="1"/>
      <w:marLeft w:val="0"/>
      <w:marRight w:val="0"/>
      <w:marTop w:val="0"/>
      <w:marBottom w:val="0"/>
      <w:divBdr>
        <w:top w:val="none" w:sz="0" w:space="0" w:color="auto"/>
        <w:left w:val="none" w:sz="0" w:space="0" w:color="auto"/>
        <w:bottom w:val="none" w:sz="0" w:space="0" w:color="auto"/>
        <w:right w:val="none" w:sz="0" w:space="0" w:color="auto"/>
      </w:divBdr>
    </w:div>
    <w:div w:id="1492718924">
      <w:bodyDiv w:val="1"/>
      <w:marLeft w:val="0"/>
      <w:marRight w:val="0"/>
      <w:marTop w:val="0"/>
      <w:marBottom w:val="0"/>
      <w:divBdr>
        <w:top w:val="none" w:sz="0" w:space="0" w:color="auto"/>
        <w:left w:val="none" w:sz="0" w:space="0" w:color="auto"/>
        <w:bottom w:val="none" w:sz="0" w:space="0" w:color="auto"/>
        <w:right w:val="none" w:sz="0" w:space="0" w:color="auto"/>
      </w:divBdr>
    </w:div>
    <w:div w:id="1524978065">
      <w:bodyDiv w:val="1"/>
      <w:marLeft w:val="0"/>
      <w:marRight w:val="0"/>
      <w:marTop w:val="0"/>
      <w:marBottom w:val="0"/>
      <w:divBdr>
        <w:top w:val="none" w:sz="0" w:space="0" w:color="auto"/>
        <w:left w:val="none" w:sz="0" w:space="0" w:color="auto"/>
        <w:bottom w:val="none" w:sz="0" w:space="0" w:color="auto"/>
        <w:right w:val="none" w:sz="0" w:space="0" w:color="auto"/>
      </w:divBdr>
    </w:div>
    <w:div w:id="1572690577">
      <w:bodyDiv w:val="1"/>
      <w:marLeft w:val="0"/>
      <w:marRight w:val="0"/>
      <w:marTop w:val="0"/>
      <w:marBottom w:val="0"/>
      <w:divBdr>
        <w:top w:val="none" w:sz="0" w:space="0" w:color="auto"/>
        <w:left w:val="none" w:sz="0" w:space="0" w:color="auto"/>
        <w:bottom w:val="none" w:sz="0" w:space="0" w:color="auto"/>
        <w:right w:val="none" w:sz="0" w:space="0" w:color="auto"/>
      </w:divBdr>
    </w:div>
    <w:div w:id="1592859745">
      <w:bodyDiv w:val="1"/>
      <w:marLeft w:val="0"/>
      <w:marRight w:val="0"/>
      <w:marTop w:val="0"/>
      <w:marBottom w:val="0"/>
      <w:divBdr>
        <w:top w:val="none" w:sz="0" w:space="0" w:color="auto"/>
        <w:left w:val="none" w:sz="0" w:space="0" w:color="auto"/>
        <w:bottom w:val="none" w:sz="0" w:space="0" w:color="auto"/>
        <w:right w:val="none" w:sz="0" w:space="0" w:color="auto"/>
      </w:divBdr>
    </w:div>
    <w:div w:id="1596866993">
      <w:bodyDiv w:val="1"/>
      <w:marLeft w:val="0"/>
      <w:marRight w:val="0"/>
      <w:marTop w:val="0"/>
      <w:marBottom w:val="0"/>
      <w:divBdr>
        <w:top w:val="none" w:sz="0" w:space="0" w:color="auto"/>
        <w:left w:val="none" w:sz="0" w:space="0" w:color="auto"/>
        <w:bottom w:val="none" w:sz="0" w:space="0" w:color="auto"/>
        <w:right w:val="none" w:sz="0" w:space="0" w:color="auto"/>
      </w:divBdr>
    </w:div>
    <w:div w:id="1644776758">
      <w:bodyDiv w:val="1"/>
      <w:marLeft w:val="0"/>
      <w:marRight w:val="0"/>
      <w:marTop w:val="0"/>
      <w:marBottom w:val="0"/>
      <w:divBdr>
        <w:top w:val="none" w:sz="0" w:space="0" w:color="auto"/>
        <w:left w:val="none" w:sz="0" w:space="0" w:color="auto"/>
        <w:bottom w:val="none" w:sz="0" w:space="0" w:color="auto"/>
        <w:right w:val="none" w:sz="0" w:space="0" w:color="auto"/>
      </w:divBdr>
    </w:div>
    <w:div w:id="1711607100">
      <w:bodyDiv w:val="1"/>
      <w:marLeft w:val="0"/>
      <w:marRight w:val="0"/>
      <w:marTop w:val="0"/>
      <w:marBottom w:val="0"/>
      <w:divBdr>
        <w:top w:val="none" w:sz="0" w:space="0" w:color="auto"/>
        <w:left w:val="none" w:sz="0" w:space="0" w:color="auto"/>
        <w:bottom w:val="none" w:sz="0" w:space="0" w:color="auto"/>
        <w:right w:val="none" w:sz="0" w:space="0" w:color="auto"/>
      </w:divBdr>
    </w:div>
    <w:div w:id="1737632878">
      <w:bodyDiv w:val="1"/>
      <w:marLeft w:val="0"/>
      <w:marRight w:val="0"/>
      <w:marTop w:val="0"/>
      <w:marBottom w:val="0"/>
      <w:divBdr>
        <w:top w:val="none" w:sz="0" w:space="0" w:color="auto"/>
        <w:left w:val="none" w:sz="0" w:space="0" w:color="auto"/>
        <w:bottom w:val="none" w:sz="0" w:space="0" w:color="auto"/>
        <w:right w:val="none" w:sz="0" w:space="0" w:color="auto"/>
      </w:divBdr>
    </w:div>
    <w:div w:id="1739747464">
      <w:bodyDiv w:val="1"/>
      <w:marLeft w:val="0"/>
      <w:marRight w:val="0"/>
      <w:marTop w:val="0"/>
      <w:marBottom w:val="0"/>
      <w:divBdr>
        <w:top w:val="none" w:sz="0" w:space="0" w:color="auto"/>
        <w:left w:val="none" w:sz="0" w:space="0" w:color="auto"/>
        <w:bottom w:val="none" w:sz="0" w:space="0" w:color="auto"/>
        <w:right w:val="none" w:sz="0" w:space="0" w:color="auto"/>
      </w:divBdr>
    </w:div>
    <w:div w:id="1744915507">
      <w:bodyDiv w:val="1"/>
      <w:marLeft w:val="0"/>
      <w:marRight w:val="0"/>
      <w:marTop w:val="0"/>
      <w:marBottom w:val="0"/>
      <w:divBdr>
        <w:top w:val="none" w:sz="0" w:space="0" w:color="auto"/>
        <w:left w:val="none" w:sz="0" w:space="0" w:color="auto"/>
        <w:bottom w:val="none" w:sz="0" w:space="0" w:color="auto"/>
        <w:right w:val="none" w:sz="0" w:space="0" w:color="auto"/>
      </w:divBdr>
    </w:div>
    <w:div w:id="1771776022">
      <w:bodyDiv w:val="1"/>
      <w:marLeft w:val="0"/>
      <w:marRight w:val="0"/>
      <w:marTop w:val="0"/>
      <w:marBottom w:val="0"/>
      <w:divBdr>
        <w:top w:val="none" w:sz="0" w:space="0" w:color="auto"/>
        <w:left w:val="none" w:sz="0" w:space="0" w:color="auto"/>
        <w:bottom w:val="none" w:sz="0" w:space="0" w:color="auto"/>
        <w:right w:val="none" w:sz="0" w:space="0" w:color="auto"/>
      </w:divBdr>
    </w:div>
    <w:div w:id="1846747160">
      <w:bodyDiv w:val="1"/>
      <w:marLeft w:val="0"/>
      <w:marRight w:val="0"/>
      <w:marTop w:val="0"/>
      <w:marBottom w:val="0"/>
      <w:divBdr>
        <w:top w:val="none" w:sz="0" w:space="0" w:color="auto"/>
        <w:left w:val="none" w:sz="0" w:space="0" w:color="auto"/>
        <w:bottom w:val="none" w:sz="0" w:space="0" w:color="auto"/>
        <w:right w:val="none" w:sz="0" w:space="0" w:color="auto"/>
      </w:divBdr>
    </w:div>
    <w:div w:id="1896579057">
      <w:bodyDiv w:val="1"/>
      <w:marLeft w:val="0"/>
      <w:marRight w:val="0"/>
      <w:marTop w:val="0"/>
      <w:marBottom w:val="0"/>
      <w:divBdr>
        <w:top w:val="none" w:sz="0" w:space="0" w:color="auto"/>
        <w:left w:val="none" w:sz="0" w:space="0" w:color="auto"/>
        <w:bottom w:val="none" w:sz="0" w:space="0" w:color="auto"/>
        <w:right w:val="none" w:sz="0" w:space="0" w:color="auto"/>
      </w:divBdr>
    </w:div>
    <w:div w:id="1916435817">
      <w:bodyDiv w:val="1"/>
      <w:marLeft w:val="0"/>
      <w:marRight w:val="0"/>
      <w:marTop w:val="0"/>
      <w:marBottom w:val="0"/>
      <w:divBdr>
        <w:top w:val="none" w:sz="0" w:space="0" w:color="auto"/>
        <w:left w:val="none" w:sz="0" w:space="0" w:color="auto"/>
        <w:bottom w:val="none" w:sz="0" w:space="0" w:color="auto"/>
        <w:right w:val="none" w:sz="0" w:space="0" w:color="auto"/>
      </w:divBdr>
    </w:div>
    <w:div w:id="1934703297">
      <w:bodyDiv w:val="1"/>
      <w:marLeft w:val="0"/>
      <w:marRight w:val="0"/>
      <w:marTop w:val="0"/>
      <w:marBottom w:val="0"/>
      <w:divBdr>
        <w:top w:val="none" w:sz="0" w:space="0" w:color="auto"/>
        <w:left w:val="none" w:sz="0" w:space="0" w:color="auto"/>
        <w:bottom w:val="none" w:sz="0" w:space="0" w:color="auto"/>
        <w:right w:val="none" w:sz="0" w:space="0" w:color="auto"/>
      </w:divBdr>
    </w:div>
    <w:div w:id="2014649146">
      <w:bodyDiv w:val="1"/>
      <w:marLeft w:val="0"/>
      <w:marRight w:val="0"/>
      <w:marTop w:val="0"/>
      <w:marBottom w:val="0"/>
      <w:divBdr>
        <w:top w:val="none" w:sz="0" w:space="0" w:color="auto"/>
        <w:left w:val="none" w:sz="0" w:space="0" w:color="auto"/>
        <w:bottom w:val="none" w:sz="0" w:space="0" w:color="auto"/>
        <w:right w:val="none" w:sz="0" w:space="0" w:color="auto"/>
      </w:divBdr>
    </w:div>
    <w:div w:id="2067996484">
      <w:bodyDiv w:val="1"/>
      <w:marLeft w:val="0"/>
      <w:marRight w:val="0"/>
      <w:marTop w:val="0"/>
      <w:marBottom w:val="0"/>
      <w:divBdr>
        <w:top w:val="none" w:sz="0" w:space="0" w:color="auto"/>
        <w:left w:val="none" w:sz="0" w:space="0" w:color="auto"/>
        <w:bottom w:val="none" w:sz="0" w:space="0" w:color="auto"/>
        <w:right w:val="none" w:sz="0" w:space="0" w:color="auto"/>
      </w:divBdr>
    </w:div>
    <w:div w:id="2083604138">
      <w:bodyDiv w:val="1"/>
      <w:marLeft w:val="0"/>
      <w:marRight w:val="0"/>
      <w:marTop w:val="0"/>
      <w:marBottom w:val="0"/>
      <w:divBdr>
        <w:top w:val="none" w:sz="0" w:space="0" w:color="auto"/>
        <w:left w:val="none" w:sz="0" w:space="0" w:color="auto"/>
        <w:bottom w:val="none" w:sz="0" w:space="0" w:color="auto"/>
        <w:right w:val="none" w:sz="0" w:space="0" w:color="auto"/>
      </w:divBdr>
    </w:div>
    <w:div w:id="212469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FD770-1402-4F35-BACF-DEA02CF6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6295</Characters>
  <Application>Microsoft Office Word</Application>
  <DocSecurity>4</DocSecurity>
  <Lines>52</Lines>
  <Paragraphs>14</Paragraphs>
  <ScaleCrop>false</ScaleCrop>
  <Company>Microsoft</Company>
  <LinksUpToDate>false</LinksUpToDate>
  <CharactersWithSpaces>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周望胜</dc:creator>
  <cp:keywords/>
  <dc:description/>
  <cp:lastModifiedBy>ZHONGM</cp:lastModifiedBy>
  <cp:revision>2</cp:revision>
  <cp:lastPrinted>2018-11-26T03:19:00Z</cp:lastPrinted>
  <dcterms:created xsi:type="dcterms:W3CDTF">2018-12-27T16:35:00Z</dcterms:created>
  <dcterms:modified xsi:type="dcterms:W3CDTF">2018-12-27T16:35:00Z</dcterms:modified>
</cp:coreProperties>
</file>