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F090B" w:rsidP="00E45AEB">
      <w:pPr>
        <w:jc w:val="center"/>
        <w:rPr>
          <w:rFonts w:ascii="宋体" w:hAnsi="宋体"/>
          <w:b/>
          <w:bCs/>
          <w:sz w:val="48"/>
          <w:szCs w:val="30"/>
        </w:rPr>
      </w:pPr>
      <w:r>
        <w:rPr>
          <w:rFonts w:ascii="宋体" w:hAnsi="宋体" w:hint="eastAsia"/>
          <w:b/>
          <w:bCs/>
          <w:sz w:val="48"/>
          <w:szCs w:val="30"/>
        </w:rPr>
        <w:t>鹏华兴盛灵活配置混合型证券投资基金</w:t>
      </w:r>
      <w:r w:rsidR="00E45AEB" w:rsidRPr="00F64285">
        <w:rPr>
          <w:rFonts w:ascii="宋体" w:hAnsi="宋体" w:hint="eastAsia"/>
          <w:b/>
          <w:bCs/>
          <w:sz w:val="48"/>
          <w:szCs w:val="30"/>
        </w:rPr>
        <w:t>清</w:t>
      </w:r>
      <w:r w:rsidR="00E45AEB">
        <w:rPr>
          <w:rFonts w:ascii="宋体" w:hAnsi="宋体" w:hint="eastAsia"/>
          <w:b/>
          <w:bCs/>
          <w:sz w:val="48"/>
          <w:szCs w:val="30"/>
        </w:rPr>
        <w:t>算</w:t>
      </w:r>
      <w:r w:rsidR="00E45AEB" w:rsidRPr="00F64285">
        <w:rPr>
          <w:rFonts w:ascii="宋体" w:hAnsi="宋体" w:hint="eastAsia"/>
          <w:b/>
          <w:bCs/>
          <w:sz w:val="48"/>
          <w:szCs w:val="30"/>
        </w:rPr>
        <w:t>报告</w:t>
      </w:r>
    </w:p>
    <w:p w:rsidR="00E45AEB" w:rsidRPr="000C4BF5" w:rsidRDefault="00E45AEB" w:rsidP="00E45AEB">
      <w:pPr>
        <w:jc w:val="center"/>
        <w:rPr>
          <w:rFonts w:ascii="宋体" w:hAnsi="宋体"/>
          <w:b/>
          <w:bCs/>
          <w:sz w:val="28"/>
          <w:szCs w:val="30"/>
        </w:rPr>
      </w:pPr>
    </w:p>
    <w:p w:rsidR="00E45AEB" w:rsidRPr="00EF090B" w:rsidRDefault="00E45AEB" w:rsidP="00E45AEB">
      <w:pPr>
        <w:jc w:val="center"/>
        <w:rPr>
          <w:rFonts w:ascii="宋体" w:hAnsi="宋体"/>
          <w:b/>
          <w:bCs/>
          <w:sz w:val="28"/>
          <w:szCs w:val="30"/>
        </w:rPr>
      </w:pPr>
    </w:p>
    <w:p w:rsidR="00BA09F8" w:rsidRPr="00F64285" w:rsidRDefault="00BA09F8" w:rsidP="00E45AEB">
      <w:pPr>
        <w:jc w:val="center"/>
        <w:rPr>
          <w:rFonts w:ascii="宋体" w:hAnsi="宋体"/>
          <w:b/>
          <w:bCs/>
          <w:sz w:val="28"/>
          <w:szCs w:val="30"/>
        </w:rPr>
      </w:pP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EF090B">
        <w:rPr>
          <w:rFonts w:ascii="宋体" w:hAnsi="宋体" w:hint="eastAsia"/>
          <w:b/>
          <w:bCs/>
          <w:sz w:val="28"/>
          <w:szCs w:val="30"/>
        </w:rPr>
        <w:t>上海浦东发展银行股份有限公司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AD5B17">
        <w:rPr>
          <w:rFonts w:ascii="宋体" w:hAnsi="宋体" w:hint="eastAsia"/>
          <w:b/>
          <w:bCs/>
          <w:sz w:val="28"/>
          <w:szCs w:val="30"/>
        </w:rPr>
        <w:t>18</w:t>
      </w:r>
      <w:r w:rsidRPr="00F64285">
        <w:rPr>
          <w:rFonts w:ascii="宋体" w:hAnsi="宋体" w:hint="eastAsia"/>
          <w:b/>
          <w:bCs/>
          <w:sz w:val="28"/>
          <w:szCs w:val="30"/>
        </w:rPr>
        <w:t>年</w:t>
      </w:r>
      <w:r w:rsidR="00FF10CC">
        <w:rPr>
          <w:rFonts w:ascii="宋体" w:hAnsi="宋体" w:hint="eastAsia"/>
          <w:b/>
          <w:bCs/>
          <w:sz w:val="28"/>
          <w:szCs w:val="30"/>
        </w:rPr>
        <w:t>12</w:t>
      </w:r>
      <w:r w:rsidRPr="00F64285">
        <w:rPr>
          <w:rFonts w:ascii="宋体" w:hAnsi="宋体" w:hint="eastAsia"/>
          <w:b/>
          <w:bCs/>
          <w:sz w:val="28"/>
          <w:szCs w:val="30"/>
        </w:rPr>
        <w:t>月</w:t>
      </w:r>
      <w:r w:rsidR="00FF10CC">
        <w:rPr>
          <w:rFonts w:ascii="宋体" w:hAnsi="宋体" w:hint="eastAsia"/>
          <w:b/>
          <w:bCs/>
          <w:sz w:val="28"/>
          <w:szCs w:val="30"/>
        </w:rPr>
        <w:t>21</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1" w:name="_Toc495929374"/>
      <w:r w:rsidRPr="00F64285">
        <w:rPr>
          <w:rFonts w:hint="eastAsia"/>
        </w:rPr>
        <w:lastRenderedPageBreak/>
        <w:t>一、重要提示</w:t>
      </w:r>
      <w:bookmarkEnd w:id="0"/>
      <w:bookmarkEnd w:id="1"/>
    </w:p>
    <w:p w:rsidR="00EA11D8" w:rsidRPr="0098183B" w:rsidRDefault="00EA11D8" w:rsidP="00EA11D8">
      <w:pPr>
        <w:spacing w:line="360" w:lineRule="auto"/>
        <w:rPr>
          <w:rFonts w:ascii="宋体" w:hAnsi="宋体"/>
          <w:color w:val="000000" w:themeColor="text1"/>
          <w:sz w:val="24"/>
          <w:szCs w:val="24"/>
        </w:rPr>
      </w:pPr>
      <w:bookmarkStart w:id="2" w:name="m01_01"/>
      <w:r w:rsidRPr="0098183B">
        <w:rPr>
          <w:rFonts w:ascii="宋体" w:hAnsi="宋体"/>
          <w:color w:val="000000" w:themeColor="text1"/>
          <w:sz w:val="24"/>
          <w:szCs w:val="24"/>
        </w:rPr>
        <w:t>鹏华兴盛灵活配置混合型证券投资基金</w:t>
      </w:r>
      <w:r w:rsidRPr="0098183B">
        <w:rPr>
          <w:rFonts w:ascii="宋体" w:hAnsi="宋体" w:hint="eastAsia"/>
          <w:color w:val="000000" w:themeColor="text1"/>
          <w:sz w:val="24"/>
          <w:szCs w:val="24"/>
        </w:rPr>
        <w:t>(原鹏华兴盛定期开放灵活配置混合型证券投资基金，以下简称“本基金”)经中国证券监督管理委员会(以下简称“中国证监会”)证监许可</w:t>
      </w:r>
      <w:r w:rsidRPr="0098183B">
        <w:rPr>
          <w:rFonts w:ascii="宋体" w:hAnsi="宋体"/>
          <w:color w:val="000000" w:themeColor="text1"/>
          <w:sz w:val="24"/>
          <w:szCs w:val="24"/>
        </w:rPr>
        <w:t>[2016]864</w:t>
      </w:r>
      <w:r w:rsidRPr="0098183B">
        <w:rPr>
          <w:rFonts w:ascii="宋体" w:hAnsi="宋体" w:hint="eastAsia"/>
          <w:color w:val="000000" w:themeColor="text1"/>
          <w:sz w:val="24"/>
          <w:szCs w:val="24"/>
        </w:rPr>
        <w:t>号《关于准予鹏华兴盛定期开放灵活配置混合型证券投资基金注册的批复》核准，由鹏华基金管理有限公司依照《中华人民共和国证券投资基金法》和《鹏华兴盛定期开放灵活配置混合型证券投资基金基金合同》(以下简称“基金合同”)负责公开募集</w:t>
      </w:r>
      <w:r w:rsidRPr="0098183B">
        <w:rPr>
          <w:rFonts w:ascii="宋体" w:hAnsi="宋体"/>
          <w:color w:val="000000" w:themeColor="text1"/>
          <w:sz w:val="24"/>
          <w:szCs w:val="24"/>
        </w:rPr>
        <w:t>。</w:t>
      </w:r>
      <w:r w:rsidRPr="0098183B">
        <w:rPr>
          <w:rFonts w:ascii="宋体" w:hAnsi="宋体" w:hint="eastAsia"/>
          <w:color w:val="000000" w:themeColor="text1"/>
          <w:sz w:val="24"/>
          <w:szCs w:val="24"/>
        </w:rPr>
        <w:t>本基金</w:t>
      </w:r>
      <w:r w:rsidRPr="0098183B">
        <w:rPr>
          <w:rFonts w:ascii="宋体" w:hAnsi="宋体"/>
          <w:color w:val="000000" w:themeColor="text1"/>
          <w:sz w:val="24"/>
          <w:szCs w:val="24"/>
        </w:rPr>
        <w:t>为契约型，采取在封闭期内封闭运作、封闭期与封闭期之间定期开放的运作方式</w:t>
      </w:r>
      <w:r w:rsidRPr="0098183B">
        <w:rPr>
          <w:rFonts w:ascii="宋体" w:hAnsi="宋体" w:hint="eastAsia"/>
          <w:color w:val="000000" w:themeColor="text1"/>
          <w:sz w:val="24"/>
          <w:szCs w:val="24"/>
        </w:rPr>
        <w:t>，存续期限不定</w:t>
      </w:r>
      <w:r w:rsidRPr="0098183B">
        <w:rPr>
          <w:rFonts w:ascii="宋体" w:hAnsi="宋体"/>
          <w:color w:val="000000" w:themeColor="text1"/>
          <w:sz w:val="24"/>
          <w:szCs w:val="24"/>
        </w:rPr>
        <w:t>。</w:t>
      </w:r>
      <w:r w:rsidRPr="0098183B">
        <w:rPr>
          <w:rFonts w:ascii="宋体" w:hAnsi="宋体" w:hint="eastAsia"/>
          <w:color w:val="000000" w:themeColor="text1"/>
          <w:sz w:val="24"/>
          <w:szCs w:val="24"/>
        </w:rPr>
        <w:t>首次设立募集不包括认购资金利息共募集801,461,151.35元，业经普华永道中天会计师事务所(特殊普通合伙)普华永道中天验字(2016)第1062号验资报告予以验证。经向中国证监会备案，《鹏华兴盛定期开放灵活配置混合型证券投资基金基金合同》于2016年8月25日正式生效，基金合同生效日的基金份额总额为801,512,632.68份基金份额，其中认购资金利息折合51,481.33份基金份额。本基金的基金管理人为鹏华基金管理有限公司，基金托管人为上海浦东发展银行股份有限公司。</w:t>
      </w:r>
    </w:p>
    <w:p w:rsidR="004A7A21" w:rsidRPr="00802064" w:rsidRDefault="004A7A21" w:rsidP="00982F2A">
      <w:pPr>
        <w:spacing w:line="360" w:lineRule="auto"/>
        <w:ind w:firstLineChars="200" w:firstLine="480"/>
        <w:jc w:val="left"/>
        <w:rPr>
          <w:rFonts w:ascii="宋体" w:hAnsi="宋体"/>
          <w:color w:val="000000" w:themeColor="text1"/>
          <w:sz w:val="24"/>
          <w:szCs w:val="24"/>
        </w:rPr>
      </w:pPr>
      <w:r w:rsidRPr="0098183B">
        <w:rPr>
          <w:rFonts w:ascii="宋体" w:hAnsi="宋体" w:hint="eastAsia"/>
          <w:color w:val="000000" w:themeColor="text1"/>
          <w:sz w:val="24"/>
          <w:szCs w:val="24"/>
        </w:rPr>
        <w:t>根据《</w:t>
      </w:r>
      <w:r w:rsidR="00902ABF" w:rsidRPr="0098183B">
        <w:rPr>
          <w:rFonts w:ascii="宋体" w:hAnsi="宋体" w:hint="eastAsia"/>
          <w:color w:val="000000" w:themeColor="text1"/>
          <w:sz w:val="24"/>
          <w:szCs w:val="24"/>
        </w:rPr>
        <w:t>鹏华兴盛灵活配置混合型证券投资基金</w:t>
      </w:r>
      <w:r w:rsidRPr="0098183B">
        <w:rPr>
          <w:rFonts w:ascii="宋体" w:hAnsi="宋体" w:hint="eastAsia"/>
          <w:color w:val="000000" w:themeColor="text1"/>
          <w:sz w:val="24"/>
          <w:szCs w:val="24"/>
        </w:rPr>
        <w:t>基金合同》</w:t>
      </w:r>
      <w:r w:rsidR="001271F0" w:rsidRPr="0098183B">
        <w:rPr>
          <w:rFonts w:ascii="宋体" w:hAnsi="宋体" w:hint="eastAsia"/>
          <w:color w:val="000000" w:themeColor="text1"/>
          <w:sz w:val="24"/>
          <w:szCs w:val="24"/>
        </w:rPr>
        <w:t>(以</w:t>
      </w:r>
      <w:r w:rsidR="001271F0" w:rsidRPr="0098183B">
        <w:rPr>
          <w:rFonts w:ascii="宋体" w:hAnsi="宋体"/>
          <w:color w:val="000000" w:themeColor="text1"/>
          <w:sz w:val="24"/>
          <w:szCs w:val="24"/>
        </w:rPr>
        <w:t>下简称</w:t>
      </w:r>
      <w:r w:rsidR="001271F0" w:rsidRPr="0098183B">
        <w:rPr>
          <w:rFonts w:ascii="宋体" w:hAnsi="宋体" w:hint="eastAsia"/>
          <w:color w:val="000000" w:themeColor="text1"/>
          <w:sz w:val="24"/>
          <w:szCs w:val="24"/>
        </w:rPr>
        <w:t>“基金</w:t>
      </w:r>
      <w:r w:rsidR="001271F0" w:rsidRPr="0098183B">
        <w:rPr>
          <w:rFonts w:ascii="宋体" w:hAnsi="宋体"/>
          <w:color w:val="000000" w:themeColor="text1"/>
          <w:sz w:val="24"/>
          <w:szCs w:val="24"/>
        </w:rPr>
        <w:t>合同</w:t>
      </w:r>
      <w:r w:rsidR="001271F0" w:rsidRPr="0098183B">
        <w:rPr>
          <w:rFonts w:ascii="宋体" w:hAnsi="宋体" w:hint="eastAsia"/>
          <w:color w:val="000000" w:themeColor="text1"/>
          <w:sz w:val="24"/>
          <w:szCs w:val="24"/>
        </w:rPr>
        <w:t>”)有关</w:t>
      </w:r>
      <w:r w:rsidR="001271F0" w:rsidRPr="0098183B">
        <w:rPr>
          <w:rFonts w:ascii="宋体" w:hAnsi="宋体"/>
          <w:color w:val="000000" w:themeColor="text1"/>
          <w:sz w:val="24"/>
          <w:szCs w:val="24"/>
        </w:rPr>
        <w:t>规定</w:t>
      </w:r>
      <w:r w:rsidR="001271F0" w:rsidRPr="0098183B">
        <w:rPr>
          <w:rFonts w:ascii="宋体" w:hAnsi="宋体" w:hint="eastAsia"/>
          <w:color w:val="000000" w:themeColor="text1"/>
          <w:sz w:val="24"/>
          <w:szCs w:val="24"/>
        </w:rPr>
        <w:t>，</w:t>
      </w:r>
      <w:r w:rsidRPr="0098183B">
        <w:rPr>
          <w:rFonts w:ascii="宋体" w:hAnsi="宋体" w:hint="eastAsia"/>
          <w:color w:val="000000" w:themeColor="text1"/>
          <w:sz w:val="24"/>
          <w:szCs w:val="24"/>
        </w:rPr>
        <w:t>基金合同生效后，连续</w:t>
      </w:r>
      <w:r w:rsidR="001271F0" w:rsidRPr="0098183B">
        <w:rPr>
          <w:rFonts w:ascii="宋体" w:hAnsi="宋体"/>
          <w:color w:val="000000" w:themeColor="text1"/>
          <w:sz w:val="24"/>
          <w:szCs w:val="24"/>
        </w:rPr>
        <w:t>60</w:t>
      </w:r>
      <w:r w:rsidRPr="0098183B">
        <w:rPr>
          <w:rFonts w:ascii="宋体" w:hAnsi="宋体" w:hint="eastAsia"/>
          <w:color w:val="000000" w:themeColor="text1"/>
          <w:sz w:val="24"/>
          <w:szCs w:val="24"/>
        </w:rPr>
        <w:t>个工作日出现基金份额持有人数量不满200人或者基金资产净值低于5000万元的，</w:t>
      </w:r>
      <w:r w:rsidR="001271F0" w:rsidRPr="0098183B">
        <w:rPr>
          <w:rFonts w:ascii="宋体" w:hAnsi="宋体" w:hint="eastAsia"/>
          <w:color w:val="000000" w:themeColor="text1"/>
          <w:sz w:val="24"/>
          <w:szCs w:val="24"/>
        </w:rPr>
        <w:t>基金管理人应当终止《基金合同》，无须召开基金份额持有人大会。</w:t>
      </w:r>
      <w:r w:rsidRPr="0098183B">
        <w:rPr>
          <w:rFonts w:ascii="宋体" w:hAnsi="宋体" w:hint="eastAsia"/>
          <w:color w:val="000000" w:themeColor="text1"/>
          <w:sz w:val="24"/>
          <w:szCs w:val="24"/>
        </w:rPr>
        <w:t>截至</w:t>
      </w:r>
      <w:r w:rsidR="00902ABF" w:rsidRPr="0098183B">
        <w:rPr>
          <w:rFonts w:ascii="宋体" w:hAnsi="宋体"/>
          <w:color w:val="000000" w:themeColor="text1"/>
          <w:sz w:val="24"/>
          <w:szCs w:val="24"/>
        </w:rPr>
        <w:t>2018</w:t>
      </w:r>
      <w:r w:rsidR="00902ABF" w:rsidRPr="0098183B">
        <w:rPr>
          <w:rFonts w:ascii="宋体" w:hAnsi="宋体" w:hint="eastAsia"/>
          <w:color w:val="000000" w:themeColor="text1"/>
          <w:sz w:val="24"/>
          <w:szCs w:val="24"/>
        </w:rPr>
        <w:t>年</w:t>
      </w:r>
      <w:r w:rsidR="00902ABF" w:rsidRPr="0098183B">
        <w:rPr>
          <w:rFonts w:ascii="宋体" w:hAnsi="宋体"/>
          <w:color w:val="000000" w:themeColor="text1"/>
          <w:sz w:val="24"/>
          <w:szCs w:val="24"/>
        </w:rPr>
        <w:t>10</w:t>
      </w:r>
      <w:r w:rsidR="00902ABF" w:rsidRPr="0098183B">
        <w:rPr>
          <w:rFonts w:ascii="宋体" w:hAnsi="宋体" w:hint="eastAsia"/>
          <w:color w:val="000000" w:themeColor="text1"/>
          <w:sz w:val="24"/>
          <w:szCs w:val="24"/>
        </w:rPr>
        <w:t>月</w:t>
      </w:r>
      <w:r w:rsidR="00902ABF" w:rsidRPr="0098183B">
        <w:rPr>
          <w:rFonts w:ascii="宋体" w:hAnsi="宋体"/>
          <w:color w:val="000000" w:themeColor="text1"/>
          <w:sz w:val="24"/>
          <w:szCs w:val="24"/>
        </w:rPr>
        <w:t>11</w:t>
      </w:r>
      <w:r w:rsidR="00902ABF" w:rsidRPr="0098183B">
        <w:rPr>
          <w:rFonts w:ascii="宋体" w:hAnsi="宋体" w:hint="eastAsia"/>
          <w:color w:val="000000" w:themeColor="text1"/>
          <w:sz w:val="24"/>
          <w:szCs w:val="24"/>
        </w:rPr>
        <w:t>日终</w:t>
      </w:r>
      <w:r w:rsidRPr="0098183B">
        <w:rPr>
          <w:rFonts w:ascii="宋体" w:hAnsi="宋体" w:hint="eastAsia"/>
          <w:color w:val="000000" w:themeColor="text1"/>
          <w:sz w:val="24"/>
          <w:szCs w:val="24"/>
        </w:rPr>
        <w:t>，本基金已出现连续60个工作日</w:t>
      </w:r>
      <w:r w:rsidR="00982F2A" w:rsidRPr="00982F2A">
        <w:rPr>
          <w:rFonts w:ascii="宋体" w:hAnsi="宋体" w:hint="eastAsia"/>
          <w:color w:val="000000" w:themeColor="text1"/>
          <w:sz w:val="24"/>
          <w:szCs w:val="24"/>
        </w:rPr>
        <w:t>基金份额持有人数量不满200人</w:t>
      </w:r>
      <w:r w:rsidR="00C03A02">
        <w:rPr>
          <w:rFonts w:ascii="宋体" w:hAnsi="宋体" w:hint="eastAsia"/>
          <w:color w:val="000000" w:themeColor="text1"/>
          <w:sz w:val="24"/>
          <w:szCs w:val="24"/>
        </w:rPr>
        <w:t>的</w:t>
      </w:r>
      <w:r w:rsidRPr="0098183B">
        <w:rPr>
          <w:rFonts w:ascii="宋体" w:hAnsi="宋体" w:hint="eastAsia"/>
          <w:color w:val="000000" w:themeColor="text1"/>
          <w:sz w:val="24"/>
          <w:szCs w:val="24"/>
        </w:rPr>
        <w:t>情形，已触发</w:t>
      </w:r>
      <w:r w:rsidR="001271F0" w:rsidRPr="0098183B">
        <w:rPr>
          <w:rFonts w:ascii="宋体" w:hAnsi="宋体" w:hint="eastAsia"/>
          <w:color w:val="000000" w:themeColor="text1"/>
          <w:sz w:val="24"/>
          <w:szCs w:val="24"/>
        </w:rPr>
        <w:t>基金合</w:t>
      </w:r>
      <w:r w:rsidR="001271F0" w:rsidRPr="0098183B">
        <w:rPr>
          <w:rFonts w:ascii="宋体" w:hAnsi="宋体"/>
          <w:color w:val="000000" w:themeColor="text1"/>
          <w:sz w:val="24"/>
          <w:szCs w:val="24"/>
        </w:rPr>
        <w:t>同</w:t>
      </w:r>
      <w:r w:rsidRPr="0098183B">
        <w:rPr>
          <w:rFonts w:ascii="宋体" w:hAnsi="宋体" w:hint="eastAsia"/>
          <w:color w:val="000000" w:themeColor="text1"/>
          <w:sz w:val="24"/>
          <w:szCs w:val="24"/>
        </w:rPr>
        <w:t>中约定的本基金终止条款</w:t>
      </w:r>
      <w:r w:rsidR="001271F0" w:rsidRPr="0098183B">
        <w:rPr>
          <w:rFonts w:ascii="宋体" w:hAnsi="宋体" w:hint="eastAsia"/>
          <w:color w:val="000000" w:themeColor="text1"/>
          <w:sz w:val="24"/>
          <w:szCs w:val="24"/>
        </w:rPr>
        <w:t>，基金合</w:t>
      </w:r>
      <w:r w:rsidR="001271F0" w:rsidRPr="0098183B">
        <w:rPr>
          <w:rFonts w:ascii="宋体" w:hAnsi="宋体"/>
          <w:color w:val="000000" w:themeColor="text1"/>
          <w:sz w:val="24"/>
          <w:szCs w:val="24"/>
        </w:rPr>
        <w:t>同自动终止</w:t>
      </w:r>
      <w:r w:rsidR="001271F0" w:rsidRPr="0098183B">
        <w:rPr>
          <w:rFonts w:ascii="宋体" w:hAnsi="宋体" w:hint="eastAsia"/>
          <w:color w:val="000000" w:themeColor="text1"/>
          <w:sz w:val="24"/>
          <w:szCs w:val="24"/>
        </w:rPr>
        <w:t>。</w:t>
      </w:r>
    </w:p>
    <w:p w:rsidR="004A7A21" w:rsidRPr="0098183B" w:rsidRDefault="001271F0" w:rsidP="006F21C7">
      <w:pPr>
        <w:widowControl/>
        <w:spacing w:line="360" w:lineRule="auto"/>
        <w:ind w:firstLineChars="200" w:firstLine="480"/>
        <w:jc w:val="left"/>
        <w:rPr>
          <w:rFonts w:ascii="宋体" w:hAnsi="宋体"/>
          <w:color w:val="000000" w:themeColor="text1"/>
          <w:sz w:val="24"/>
          <w:szCs w:val="24"/>
        </w:rPr>
      </w:pPr>
      <w:r w:rsidRPr="0098183B">
        <w:rPr>
          <w:rFonts w:ascii="宋体" w:hAnsi="宋体" w:cs="宋体" w:hint="eastAsia"/>
          <w:kern w:val="0"/>
          <w:sz w:val="24"/>
          <w:szCs w:val="24"/>
        </w:rPr>
        <w:t>本</w:t>
      </w:r>
      <w:r w:rsidRPr="0098183B">
        <w:rPr>
          <w:rFonts w:ascii="宋体" w:hAnsi="宋体" w:cs="宋体"/>
          <w:kern w:val="0"/>
          <w:sz w:val="24"/>
          <w:szCs w:val="24"/>
        </w:rPr>
        <w:t>基金从</w:t>
      </w:r>
      <w:r w:rsidR="00EF090B" w:rsidRPr="0098183B">
        <w:rPr>
          <w:rFonts w:ascii="宋体" w:hAnsi="宋体" w:cs="宋体" w:hint="eastAsia"/>
          <w:kern w:val="0"/>
          <w:sz w:val="24"/>
          <w:szCs w:val="24"/>
        </w:rPr>
        <w:t>2018</w:t>
      </w:r>
      <w:r w:rsidRPr="0098183B">
        <w:rPr>
          <w:rFonts w:ascii="宋体" w:hAnsi="宋体" w:cs="宋体" w:hint="eastAsia"/>
          <w:kern w:val="0"/>
          <w:sz w:val="24"/>
          <w:szCs w:val="24"/>
        </w:rPr>
        <w:t>年</w:t>
      </w:r>
      <w:r w:rsidR="00EF090B" w:rsidRPr="0098183B">
        <w:rPr>
          <w:rFonts w:ascii="宋体" w:hAnsi="宋体" w:cs="宋体" w:hint="eastAsia"/>
          <w:kern w:val="0"/>
          <w:sz w:val="24"/>
          <w:szCs w:val="24"/>
        </w:rPr>
        <w:t>10</w:t>
      </w:r>
      <w:r w:rsidRPr="0098183B">
        <w:rPr>
          <w:rFonts w:ascii="宋体" w:hAnsi="宋体" w:cs="宋体" w:hint="eastAsia"/>
          <w:kern w:val="0"/>
          <w:sz w:val="24"/>
          <w:szCs w:val="24"/>
        </w:rPr>
        <w:t>月</w:t>
      </w:r>
      <w:r w:rsidR="00EF090B" w:rsidRPr="0098183B">
        <w:rPr>
          <w:rFonts w:ascii="宋体" w:hAnsi="宋体" w:cs="宋体" w:hint="eastAsia"/>
          <w:kern w:val="0"/>
          <w:sz w:val="24"/>
          <w:szCs w:val="24"/>
        </w:rPr>
        <w:t>18</w:t>
      </w:r>
      <w:r w:rsidRPr="0098183B">
        <w:rPr>
          <w:rFonts w:ascii="宋体" w:hAnsi="宋体" w:cs="宋体" w:hint="eastAsia"/>
          <w:kern w:val="0"/>
          <w:sz w:val="24"/>
          <w:szCs w:val="24"/>
        </w:rPr>
        <w:t>日</w:t>
      </w:r>
      <w:r w:rsidRPr="0098183B">
        <w:rPr>
          <w:rFonts w:ascii="宋体" w:hAnsi="宋体" w:cs="宋体"/>
          <w:kern w:val="0"/>
          <w:sz w:val="24"/>
          <w:szCs w:val="24"/>
        </w:rPr>
        <w:t>起进入</w:t>
      </w:r>
      <w:r w:rsidRPr="0098183B">
        <w:rPr>
          <w:rFonts w:ascii="宋体" w:hAnsi="宋体" w:cs="宋体" w:hint="eastAsia"/>
          <w:kern w:val="0"/>
          <w:sz w:val="24"/>
          <w:szCs w:val="24"/>
        </w:rPr>
        <w:t>清</w:t>
      </w:r>
      <w:r w:rsidRPr="0098183B">
        <w:rPr>
          <w:rFonts w:ascii="宋体" w:hAnsi="宋体" w:cs="宋体"/>
          <w:kern w:val="0"/>
          <w:sz w:val="24"/>
          <w:szCs w:val="24"/>
        </w:rPr>
        <w:t>算期</w:t>
      </w:r>
      <w:r w:rsidRPr="0098183B">
        <w:rPr>
          <w:rFonts w:ascii="宋体" w:hAnsi="宋体" w:cs="宋体" w:hint="eastAsia"/>
          <w:kern w:val="0"/>
          <w:sz w:val="24"/>
          <w:szCs w:val="24"/>
        </w:rPr>
        <w:t>，由</w:t>
      </w:r>
      <w:r w:rsidRPr="0098183B">
        <w:rPr>
          <w:rFonts w:ascii="宋体" w:hAnsi="宋体" w:cs="宋体"/>
          <w:kern w:val="0"/>
          <w:sz w:val="24"/>
          <w:szCs w:val="24"/>
        </w:rPr>
        <w:t>本基金管理人</w:t>
      </w:r>
      <w:r w:rsidR="00EA11D8" w:rsidRPr="0098183B">
        <w:rPr>
          <w:rFonts w:ascii="宋体" w:hAnsi="宋体" w:hint="eastAsia"/>
          <w:color w:val="000000" w:themeColor="text1"/>
          <w:sz w:val="24"/>
          <w:szCs w:val="24"/>
        </w:rPr>
        <w:t>鹏华基金管理有限公司、基金托管人上海浦东发展银行股份有限公司、普华永道中天会计师事务所（特殊普通合伙）、上海市通力律师事务所组成</w:t>
      </w:r>
      <w:r w:rsidR="0037297E" w:rsidRPr="0098183B">
        <w:rPr>
          <w:rFonts w:ascii="宋体" w:hAnsi="宋体"/>
          <w:color w:val="000000" w:themeColor="text1"/>
          <w:sz w:val="24"/>
          <w:szCs w:val="24"/>
        </w:rPr>
        <w:t>基金财产清算小组履行基金财产清算程序</w:t>
      </w:r>
      <w:r w:rsidR="0037297E" w:rsidRPr="0098183B">
        <w:rPr>
          <w:rFonts w:ascii="宋体" w:hAnsi="宋体" w:hint="eastAsia"/>
          <w:color w:val="000000" w:themeColor="text1"/>
          <w:sz w:val="24"/>
          <w:szCs w:val="24"/>
        </w:rPr>
        <w:t>，并</w:t>
      </w:r>
      <w:r w:rsidR="0037297E" w:rsidRPr="0098183B">
        <w:rPr>
          <w:rFonts w:ascii="宋体" w:hAnsi="宋体"/>
          <w:color w:val="000000" w:themeColor="text1"/>
          <w:sz w:val="24"/>
          <w:szCs w:val="24"/>
        </w:rPr>
        <w:t>由</w:t>
      </w:r>
      <w:r w:rsidR="00EA11D8" w:rsidRPr="0098183B">
        <w:rPr>
          <w:rFonts w:ascii="宋体" w:hAnsi="宋体" w:hint="eastAsia"/>
          <w:color w:val="000000" w:themeColor="text1"/>
          <w:sz w:val="24"/>
          <w:szCs w:val="24"/>
        </w:rPr>
        <w:t>普华永道中天会计师事务所（特殊普通合伙）</w:t>
      </w:r>
      <w:r w:rsidR="0037297E" w:rsidRPr="0098183B">
        <w:rPr>
          <w:rFonts w:ascii="宋体" w:hAnsi="宋体" w:hint="eastAsia"/>
          <w:color w:val="000000" w:themeColor="text1"/>
          <w:sz w:val="24"/>
          <w:szCs w:val="24"/>
        </w:rPr>
        <w:t>对</w:t>
      </w:r>
      <w:r w:rsidR="0037297E" w:rsidRPr="0098183B">
        <w:rPr>
          <w:rFonts w:ascii="宋体" w:hAnsi="宋体"/>
          <w:color w:val="000000" w:themeColor="text1"/>
          <w:sz w:val="24"/>
          <w:szCs w:val="24"/>
        </w:rPr>
        <w:t>清算报告进行审计</w:t>
      </w:r>
      <w:r w:rsidR="0037297E" w:rsidRPr="0098183B">
        <w:rPr>
          <w:rFonts w:ascii="宋体" w:hAnsi="宋体" w:hint="eastAsia"/>
          <w:color w:val="000000" w:themeColor="text1"/>
          <w:sz w:val="24"/>
          <w:szCs w:val="24"/>
        </w:rPr>
        <w:t>，</w:t>
      </w:r>
      <w:r w:rsidR="00EA11D8" w:rsidRPr="0098183B">
        <w:rPr>
          <w:rFonts w:ascii="宋体" w:hAnsi="宋体" w:hint="eastAsia"/>
          <w:color w:val="000000" w:themeColor="text1"/>
          <w:sz w:val="24"/>
          <w:szCs w:val="24"/>
        </w:rPr>
        <w:t>上海市通力律师事务</w:t>
      </w:r>
      <w:r w:rsidR="0037297E" w:rsidRPr="0098183B">
        <w:rPr>
          <w:rFonts w:ascii="宋体" w:hAnsi="宋体" w:hint="eastAsia"/>
          <w:color w:val="000000" w:themeColor="text1"/>
          <w:sz w:val="24"/>
          <w:szCs w:val="24"/>
        </w:rPr>
        <w:t>对</w:t>
      </w:r>
      <w:r w:rsidR="0037297E" w:rsidRPr="0098183B">
        <w:rPr>
          <w:rFonts w:ascii="宋体" w:hAnsi="宋体"/>
          <w:color w:val="000000" w:themeColor="text1"/>
          <w:sz w:val="24"/>
          <w:szCs w:val="24"/>
        </w:rPr>
        <w:t>清算报告出具法律意见</w:t>
      </w:r>
      <w:r w:rsidR="0037297E" w:rsidRPr="0098183B">
        <w:rPr>
          <w:rFonts w:ascii="宋体" w:hAnsi="宋体" w:hint="eastAsia"/>
          <w:color w:val="000000" w:themeColor="text1"/>
          <w:sz w:val="24"/>
          <w:szCs w:val="24"/>
        </w:rPr>
        <w:t>。</w:t>
      </w:r>
    </w:p>
    <w:p w:rsidR="00E45AEB" w:rsidRPr="00F64285" w:rsidRDefault="00E45AEB" w:rsidP="00E45AEB">
      <w:pPr>
        <w:pStyle w:val="XBRLTitle1"/>
        <w:numPr>
          <w:ilvl w:val="0"/>
          <w:numId w:val="0"/>
        </w:numPr>
        <w:spacing w:before="156" w:after="156"/>
        <w:ind w:left="425"/>
        <w:jc w:val="left"/>
      </w:pPr>
      <w:bookmarkStart w:id="3" w:name="_Toc247416622"/>
      <w:bookmarkStart w:id="4" w:name="_Toc495929377"/>
      <w:bookmarkEnd w:id="2"/>
      <w:r w:rsidRPr="00F64285">
        <w:rPr>
          <w:rFonts w:hint="eastAsia"/>
        </w:rPr>
        <w:t>二、基金</w:t>
      </w:r>
      <w:bookmarkEnd w:id="3"/>
      <w:r w:rsidRPr="00F64285">
        <w:rPr>
          <w:rFonts w:hint="eastAsia"/>
        </w:rPr>
        <w:t>概况</w:t>
      </w:r>
      <w:bookmarkEnd w:id="4"/>
    </w:p>
    <w:p w:rsidR="00BB0571" w:rsidRDefault="00BB0571" w:rsidP="00E45AEB">
      <w:pPr>
        <w:widowControl/>
        <w:spacing w:line="360" w:lineRule="auto"/>
        <w:ind w:firstLineChars="250" w:firstLine="600"/>
        <w:jc w:val="left"/>
        <w:rPr>
          <w:sz w:val="24"/>
          <w:szCs w:val="24"/>
        </w:rPr>
      </w:pPr>
      <w:bookmarkStart w:id="5" w:name="m02_06"/>
      <w:bookmarkStart w:id="6" w:name="_Toc247416628"/>
      <w:r>
        <w:rPr>
          <w:rFonts w:hint="eastAsia"/>
          <w:sz w:val="24"/>
          <w:szCs w:val="24"/>
        </w:rPr>
        <w:t>1</w:t>
      </w:r>
      <w:r>
        <w:rPr>
          <w:rFonts w:hint="eastAsia"/>
          <w:sz w:val="24"/>
          <w:szCs w:val="24"/>
        </w:rPr>
        <w:t>、基金</w:t>
      </w:r>
      <w:r>
        <w:rPr>
          <w:sz w:val="24"/>
          <w:szCs w:val="24"/>
        </w:rPr>
        <w:t>基本情况</w:t>
      </w:r>
    </w:p>
    <w:tbl>
      <w:tblPr>
        <w:tblW w:w="918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2943"/>
        <w:gridCol w:w="6237"/>
      </w:tblGrid>
      <w:tr w:rsidR="00EF090B" w:rsidRPr="0098183B" w:rsidTr="00EF090B">
        <w:trPr>
          <w:trHeight w:val="64"/>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lang/>
              </w:rPr>
            </w:pPr>
            <w:bookmarkStart w:id="7" w:name="m02_01"/>
            <w:r w:rsidRPr="0098183B">
              <w:rPr>
                <w:rFonts w:asciiTheme="minorEastAsia" w:eastAsiaTheme="minorEastAsia" w:hAnsiTheme="minorEastAsia" w:hint="eastAsia"/>
                <w:sz w:val="24"/>
                <w:szCs w:val="24"/>
              </w:rPr>
              <w:t>基金简称</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lang/>
              </w:rPr>
              <w:t xml:space="preserve">鹏华兴盛混合 </w:t>
            </w:r>
          </w:p>
        </w:tc>
      </w:tr>
      <w:tr w:rsidR="00EF090B" w:rsidRPr="0098183B" w:rsidTr="00EF090B">
        <w:trPr>
          <w:trHeight w:val="64"/>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lastRenderedPageBreak/>
              <w:t>基金主代码</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lang/>
              </w:rPr>
              <w:t xml:space="preserve">003122 </w:t>
            </w: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t>基金运作方式</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rPr>
            </w:pPr>
            <w:r w:rsidRPr="0098183B">
              <w:rPr>
                <w:rFonts w:asciiTheme="minorEastAsia" w:eastAsiaTheme="minorEastAsia" w:hAnsiTheme="minorEastAsia" w:hint="eastAsia"/>
                <w:sz w:val="24"/>
                <w:szCs w:val="24"/>
                <w:lang/>
              </w:rPr>
              <w:t>契约型开放式</w:t>
            </w: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t>基金合同生效日</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rPr>
            </w:pPr>
            <w:r w:rsidRPr="0098183B">
              <w:rPr>
                <w:rFonts w:asciiTheme="minorEastAsia" w:eastAsiaTheme="minorEastAsia" w:hAnsiTheme="minorEastAsia" w:hint="eastAsia"/>
                <w:sz w:val="24"/>
                <w:szCs w:val="24"/>
                <w:lang/>
              </w:rPr>
              <w:t>2016年08月25日</w:t>
            </w: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t>基金管理人</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rPr>
            </w:pPr>
            <w:r w:rsidRPr="0098183B">
              <w:rPr>
                <w:rFonts w:asciiTheme="minorEastAsia" w:eastAsiaTheme="minorEastAsia" w:hAnsiTheme="minorEastAsia" w:hint="eastAsia"/>
                <w:sz w:val="24"/>
                <w:szCs w:val="24"/>
                <w:lang/>
              </w:rPr>
              <w:t>鹏华基金管理有限公司</w:t>
            </w: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t>基金托管人</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Theme="minorEastAsia" w:eastAsiaTheme="minorEastAsia" w:hAnsiTheme="minorEastAsia"/>
                <w:sz w:val="24"/>
                <w:szCs w:val="24"/>
              </w:rPr>
            </w:pPr>
            <w:r w:rsidRPr="0098183B">
              <w:rPr>
                <w:rFonts w:asciiTheme="minorEastAsia" w:eastAsiaTheme="minorEastAsia" w:hAnsiTheme="minorEastAsia" w:hint="eastAsia"/>
                <w:sz w:val="24"/>
                <w:szCs w:val="24"/>
                <w:lang/>
              </w:rPr>
              <w:t>上海浦东发展银行股份有限公司</w:t>
            </w: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90B" w:rsidRPr="0098183B" w:rsidRDefault="00EF090B" w:rsidP="00EF090B">
            <w:pPr>
              <w:spacing w:line="360" w:lineRule="auto"/>
              <w:jc w:val="left"/>
              <w:rPr>
                <w:rFonts w:asciiTheme="minorEastAsia" w:eastAsiaTheme="minorEastAsia" w:hAnsiTheme="minorEastAsia"/>
                <w:sz w:val="24"/>
                <w:szCs w:val="24"/>
              </w:rPr>
            </w:pPr>
            <w:r w:rsidRPr="0098183B">
              <w:rPr>
                <w:rFonts w:asciiTheme="minorEastAsia" w:eastAsiaTheme="minorEastAsia" w:hAnsiTheme="minorEastAsia" w:hint="eastAsia"/>
                <w:sz w:val="24"/>
                <w:szCs w:val="24"/>
              </w:rPr>
              <w:t>最后</w:t>
            </w:r>
            <w:r w:rsidRPr="0098183B">
              <w:rPr>
                <w:rFonts w:asciiTheme="minorEastAsia" w:eastAsiaTheme="minorEastAsia" w:hAnsiTheme="minorEastAsia"/>
                <w:sz w:val="24"/>
                <w:szCs w:val="24"/>
              </w:rPr>
              <w:t>运作日</w:t>
            </w:r>
            <w:r w:rsidRPr="0098183B">
              <w:rPr>
                <w:rFonts w:asciiTheme="minorEastAsia" w:eastAsiaTheme="minorEastAsia" w:hAnsiTheme="minorEastAsia" w:hint="eastAsia"/>
                <w:sz w:val="24"/>
                <w:szCs w:val="24"/>
              </w:rPr>
              <w:t>（2018年10月17日）基金份额总额</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29" w:rsidRPr="0098183B" w:rsidRDefault="00E13B29" w:rsidP="00E13B29">
            <w:pPr>
              <w:widowControl/>
              <w:jc w:val="left"/>
              <w:rPr>
                <w:rFonts w:asciiTheme="minorEastAsia" w:eastAsiaTheme="minorEastAsia" w:hAnsiTheme="minorEastAsia"/>
                <w:sz w:val="24"/>
                <w:szCs w:val="24"/>
                <w:lang/>
              </w:rPr>
            </w:pPr>
          </w:p>
          <w:p w:rsidR="00E13B29" w:rsidRPr="0098183B" w:rsidRDefault="00E13B29" w:rsidP="00E13B29">
            <w:pPr>
              <w:widowControl/>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lang/>
              </w:rPr>
              <w:t>4,580,049.14</w:t>
            </w:r>
          </w:p>
          <w:p w:rsidR="00EF090B" w:rsidRPr="0098183B" w:rsidRDefault="00EF090B" w:rsidP="00E13B29">
            <w:pPr>
              <w:widowControl/>
              <w:jc w:val="left"/>
              <w:rPr>
                <w:rFonts w:asciiTheme="minorEastAsia" w:eastAsiaTheme="minorEastAsia" w:hAnsiTheme="minorEastAsia"/>
                <w:sz w:val="24"/>
                <w:szCs w:val="24"/>
                <w:lang/>
              </w:rPr>
            </w:pPr>
          </w:p>
        </w:tc>
      </w:tr>
      <w:tr w:rsidR="00EF090B" w:rsidRPr="0098183B" w:rsidTr="00EF090B">
        <w:trPr>
          <w:trHeight w:val="347"/>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t>下属分级基金的基金简称</w:t>
            </w:r>
          </w:p>
        </w:tc>
        <w:tc>
          <w:tcPr>
            <w:tcW w:w="6237" w:type="dxa"/>
            <w:tcBorders>
              <w:top w:val="single" w:sz="4" w:space="0" w:color="000000"/>
              <w:left w:val="single" w:sz="4" w:space="0" w:color="000000"/>
              <w:bottom w:val="single" w:sz="4" w:space="0" w:color="000000"/>
              <w:right w:val="nil"/>
            </w:tcBorders>
            <w:vAlign w:val="center"/>
            <w:hideMark/>
          </w:tcPr>
          <w:tbl>
            <w:tblPr>
              <w:tblpPr w:leftFromText="405" w:rightFromText="180" w:vertAnchor="text" w:horzAnchor="margin" w:tblpY="8"/>
              <w:tblOverlap w:val="never"/>
              <w:tblW w:w="6237" w:type="dxa"/>
              <w:tblBorders>
                <w:right w:val="single" w:sz="4" w:space="0" w:color="000000"/>
              </w:tblBorders>
              <w:tblLayout w:type="fixed"/>
              <w:tblCellMar>
                <w:left w:w="0" w:type="dxa"/>
                <w:right w:w="0" w:type="dxa"/>
              </w:tblCellMar>
              <w:tblLook w:val="04A0"/>
            </w:tblPr>
            <w:tblGrid>
              <w:gridCol w:w="3117"/>
              <w:gridCol w:w="3120"/>
            </w:tblGrid>
            <w:tr w:rsidR="00EF090B" w:rsidRPr="0098183B" w:rsidTr="00EF090B">
              <w:trPr>
                <w:trHeight w:val="426"/>
              </w:trPr>
              <w:tc>
                <w:tcPr>
                  <w:tcW w:w="6237" w:type="dxa"/>
                  <w:tcBorders>
                    <w:top w:val="nil"/>
                    <w:left w:val="nil"/>
                    <w:bottom w:val="nil"/>
                    <w:right w:val="single" w:sz="4" w:space="0" w:color="000000"/>
                  </w:tcBorders>
                  <w:vAlign w:val="center"/>
                  <w:hideMark/>
                </w:tcPr>
                <w:p w:rsidR="00EF090B" w:rsidRPr="0098183B" w:rsidRDefault="00EF090B" w:rsidP="00EF090B">
                  <w:pPr>
                    <w:spacing w:line="360" w:lineRule="auto"/>
                    <w:jc w:val="center"/>
                    <w:rPr>
                      <w:rFonts w:asciiTheme="minorEastAsia" w:eastAsiaTheme="minorEastAsia" w:hAnsiTheme="minorEastAsia"/>
                      <w:kern w:val="0"/>
                      <w:sz w:val="24"/>
                      <w:szCs w:val="24"/>
                      <w:lang/>
                    </w:rPr>
                  </w:pPr>
                  <w:r w:rsidRPr="0098183B">
                    <w:rPr>
                      <w:rFonts w:asciiTheme="minorEastAsia" w:eastAsiaTheme="minorEastAsia" w:hAnsiTheme="minorEastAsia" w:hint="eastAsia"/>
                      <w:sz w:val="24"/>
                      <w:szCs w:val="24"/>
                      <w:lang/>
                    </w:rPr>
                    <w:t>鹏华兴盛混合A类</w:t>
                  </w:r>
                </w:p>
              </w:tc>
              <w:tc>
                <w:tcPr>
                  <w:tcW w:w="6237" w:type="dxa"/>
                  <w:tcBorders>
                    <w:top w:val="nil"/>
                    <w:left w:val="nil"/>
                    <w:bottom w:val="nil"/>
                    <w:right w:val="single" w:sz="4" w:space="0" w:color="000000"/>
                  </w:tcBorders>
                  <w:vAlign w:val="center"/>
                  <w:hideMark/>
                </w:tcPr>
                <w:p w:rsidR="00EF090B" w:rsidRPr="0098183B" w:rsidRDefault="00EF090B" w:rsidP="00EF090B">
                  <w:pPr>
                    <w:spacing w:line="360" w:lineRule="auto"/>
                    <w:jc w:val="center"/>
                    <w:rPr>
                      <w:rFonts w:asciiTheme="minorEastAsia" w:eastAsiaTheme="minorEastAsia" w:hAnsiTheme="minorEastAsia"/>
                      <w:kern w:val="0"/>
                      <w:sz w:val="24"/>
                      <w:szCs w:val="24"/>
                      <w:lang/>
                    </w:rPr>
                  </w:pPr>
                  <w:r w:rsidRPr="0098183B">
                    <w:rPr>
                      <w:rFonts w:asciiTheme="minorEastAsia" w:eastAsiaTheme="minorEastAsia" w:hAnsiTheme="minorEastAsia" w:hint="eastAsia"/>
                      <w:sz w:val="24"/>
                      <w:szCs w:val="24"/>
                      <w:lang/>
                    </w:rPr>
                    <w:t>鹏华兴盛混合C类</w:t>
                  </w:r>
                </w:p>
              </w:tc>
            </w:tr>
          </w:tbl>
          <w:p w:rsidR="00EF090B" w:rsidRPr="0098183B" w:rsidRDefault="00EF090B" w:rsidP="00EF090B">
            <w:pPr>
              <w:widowControl/>
              <w:jc w:val="left"/>
              <w:rPr>
                <w:rFonts w:asciiTheme="minorEastAsia" w:eastAsiaTheme="minorEastAsia" w:hAnsiTheme="minorEastAsia"/>
                <w:kern w:val="0"/>
                <w:sz w:val="24"/>
                <w:szCs w:val="24"/>
              </w:rPr>
            </w:pP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t>下属分级基金的场内简称</w:t>
            </w:r>
          </w:p>
        </w:tc>
        <w:tc>
          <w:tcPr>
            <w:tcW w:w="6237" w:type="dxa"/>
            <w:tcBorders>
              <w:top w:val="single" w:sz="4" w:space="0" w:color="000000"/>
              <w:left w:val="single" w:sz="4" w:space="0" w:color="000000"/>
              <w:bottom w:val="single" w:sz="4" w:space="0" w:color="000000"/>
              <w:right w:val="nil"/>
            </w:tcBorders>
            <w:vAlign w:val="center"/>
            <w:hideMark/>
          </w:tcPr>
          <w:tbl>
            <w:tblPr>
              <w:tblpPr w:leftFromText="405" w:rightFromText="180" w:vertAnchor="text" w:horzAnchor="margin" w:tblpY="8"/>
              <w:tblOverlap w:val="never"/>
              <w:tblW w:w="6237" w:type="dxa"/>
              <w:tblBorders>
                <w:right w:val="single" w:sz="4" w:space="0" w:color="000000"/>
              </w:tblBorders>
              <w:tblLayout w:type="fixed"/>
              <w:tblCellMar>
                <w:left w:w="0" w:type="dxa"/>
                <w:right w:w="0" w:type="dxa"/>
              </w:tblCellMar>
              <w:tblLook w:val="04A0"/>
            </w:tblPr>
            <w:tblGrid>
              <w:gridCol w:w="3117"/>
              <w:gridCol w:w="3120"/>
            </w:tblGrid>
            <w:tr w:rsidR="00EF090B" w:rsidRPr="0098183B" w:rsidTr="00EF090B">
              <w:trPr>
                <w:trHeight w:val="426"/>
              </w:trPr>
              <w:tc>
                <w:tcPr>
                  <w:tcW w:w="6237" w:type="dxa"/>
                  <w:tcBorders>
                    <w:top w:val="nil"/>
                    <w:left w:val="nil"/>
                    <w:bottom w:val="nil"/>
                    <w:right w:val="single" w:sz="4" w:space="0" w:color="000000"/>
                  </w:tcBorders>
                  <w:vAlign w:val="center"/>
                  <w:hideMark/>
                </w:tcPr>
                <w:p w:rsidR="00EF090B" w:rsidRPr="0098183B" w:rsidRDefault="00EF090B" w:rsidP="00EF090B">
                  <w:pPr>
                    <w:spacing w:line="360" w:lineRule="auto"/>
                    <w:jc w:val="center"/>
                    <w:rPr>
                      <w:rFonts w:asciiTheme="minorEastAsia" w:eastAsiaTheme="minorEastAsia" w:hAnsiTheme="minorEastAsia"/>
                      <w:kern w:val="0"/>
                      <w:sz w:val="24"/>
                      <w:szCs w:val="24"/>
                      <w:lang/>
                    </w:rPr>
                  </w:pPr>
                  <w:r w:rsidRPr="0098183B">
                    <w:rPr>
                      <w:rFonts w:asciiTheme="minorEastAsia" w:eastAsiaTheme="minorEastAsia" w:hAnsiTheme="minorEastAsia" w:hint="eastAsia"/>
                      <w:sz w:val="24"/>
                      <w:szCs w:val="24"/>
                      <w:lang/>
                    </w:rPr>
                    <w:t>-</w:t>
                  </w:r>
                </w:p>
              </w:tc>
              <w:tc>
                <w:tcPr>
                  <w:tcW w:w="6237" w:type="dxa"/>
                  <w:tcBorders>
                    <w:top w:val="nil"/>
                    <w:left w:val="nil"/>
                    <w:bottom w:val="nil"/>
                    <w:right w:val="single" w:sz="4" w:space="0" w:color="000000"/>
                  </w:tcBorders>
                  <w:vAlign w:val="center"/>
                  <w:hideMark/>
                </w:tcPr>
                <w:p w:rsidR="00EF090B" w:rsidRPr="0098183B" w:rsidRDefault="00EF090B" w:rsidP="00EF090B">
                  <w:pPr>
                    <w:spacing w:line="360" w:lineRule="auto"/>
                    <w:jc w:val="center"/>
                    <w:rPr>
                      <w:rFonts w:asciiTheme="minorEastAsia" w:eastAsiaTheme="minorEastAsia" w:hAnsiTheme="minorEastAsia"/>
                      <w:kern w:val="0"/>
                      <w:sz w:val="24"/>
                      <w:szCs w:val="24"/>
                      <w:lang/>
                    </w:rPr>
                  </w:pPr>
                  <w:r w:rsidRPr="0098183B">
                    <w:rPr>
                      <w:rFonts w:asciiTheme="minorEastAsia" w:eastAsiaTheme="minorEastAsia" w:hAnsiTheme="minorEastAsia" w:hint="eastAsia"/>
                      <w:sz w:val="24"/>
                      <w:szCs w:val="24"/>
                      <w:lang/>
                    </w:rPr>
                    <w:t>-</w:t>
                  </w:r>
                </w:p>
              </w:tc>
            </w:tr>
          </w:tbl>
          <w:p w:rsidR="00EF090B" w:rsidRPr="0098183B" w:rsidRDefault="00EF090B" w:rsidP="00EF090B">
            <w:pPr>
              <w:widowControl/>
              <w:jc w:val="left"/>
              <w:rPr>
                <w:rFonts w:asciiTheme="minorEastAsia" w:eastAsiaTheme="minorEastAsia" w:hAnsiTheme="minorEastAsia"/>
                <w:kern w:val="0"/>
                <w:sz w:val="24"/>
                <w:szCs w:val="24"/>
              </w:rPr>
            </w:pP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090B" w:rsidRPr="0098183B" w:rsidRDefault="00EF090B"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t>下属分级基金的交易代码</w:t>
            </w:r>
          </w:p>
        </w:tc>
        <w:tc>
          <w:tcPr>
            <w:tcW w:w="6237" w:type="dxa"/>
            <w:tcBorders>
              <w:top w:val="single" w:sz="4" w:space="0" w:color="000000"/>
              <w:left w:val="single" w:sz="4" w:space="0" w:color="000000"/>
              <w:bottom w:val="single" w:sz="4" w:space="0" w:color="000000"/>
              <w:right w:val="nil"/>
            </w:tcBorders>
            <w:vAlign w:val="center"/>
            <w:hideMark/>
          </w:tcPr>
          <w:tbl>
            <w:tblPr>
              <w:tblpPr w:leftFromText="405" w:rightFromText="180" w:vertAnchor="text" w:horzAnchor="margin" w:tblpY="8"/>
              <w:tblOverlap w:val="never"/>
              <w:tblW w:w="6237" w:type="dxa"/>
              <w:tblBorders>
                <w:right w:val="single" w:sz="4" w:space="0" w:color="000000"/>
              </w:tblBorders>
              <w:tblLayout w:type="fixed"/>
              <w:tblCellMar>
                <w:left w:w="0" w:type="dxa"/>
                <w:right w:w="0" w:type="dxa"/>
              </w:tblCellMar>
              <w:tblLook w:val="04A0"/>
            </w:tblPr>
            <w:tblGrid>
              <w:gridCol w:w="3117"/>
              <w:gridCol w:w="3120"/>
            </w:tblGrid>
            <w:tr w:rsidR="00EF090B" w:rsidRPr="0098183B" w:rsidTr="00EF090B">
              <w:trPr>
                <w:trHeight w:val="469"/>
              </w:trPr>
              <w:tc>
                <w:tcPr>
                  <w:tcW w:w="6237" w:type="dxa"/>
                  <w:tcBorders>
                    <w:top w:val="nil"/>
                    <w:left w:val="nil"/>
                    <w:bottom w:val="nil"/>
                    <w:right w:val="single" w:sz="4" w:space="0" w:color="000000"/>
                  </w:tcBorders>
                  <w:vAlign w:val="center"/>
                  <w:hideMark/>
                </w:tcPr>
                <w:p w:rsidR="00EF090B" w:rsidRPr="0098183B" w:rsidRDefault="00EF090B" w:rsidP="00EF090B">
                  <w:pPr>
                    <w:spacing w:line="360" w:lineRule="auto"/>
                    <w:jc w:val="center"/>
                    <w:rPr>
                      <w:rFonts w:asciiTheme="minorEastAsia" w:eastAsiaTheme="minorEastAsia" w:hAnsiTheme="minorEastAsia"/>
                      <w:kern w:val="0"/>
                      <w:sz w:val="24"/>
                      <w:szCs w:val="24"/>
                      <w:lang/>
                    </w:rPr>
                  </w:pPr>
                  <w:r w:rsidRPr="0098183B">
                    <w:rPr>
                      <w:rFonts w:asciiTheme="minorEastAsia" w:eastAsiaTheme="minorEastAsia" w:hAnsiTheme="minorEastAsia" w:hint="eastAsia"/>
                      <w:sz w:val="24"/>
                      <w:szCs w:val="24"/>
                      <w:lang/>
                    </w:rPr>
                    <w:t>003122</w:t>
                  </w:r>
                </w:p>
              </w:tc>
              <w:tc>
                <w:tcPr>
                  <w:tcW w:w="6237" w:type="dxa"/>
                  <w:tcBorders>
                    <w:top w:val="nil"/>
                    <w:left w:val="nil"/>
                    <w:bottom w:val="nil"/>
                    <w:right w:val="single" w:sz="4" w:space="0" w:color="000000"/>
                  </w:tcBorders>
                  <w:vAlign w:val="center"/>
                  <w:hideMark/>
                </w:tcPr>
                <w:p w:rsidR="00EF090B" w:rsidRPr="0098183B" w:rsidRDefault="00EF090B" w:rsidP="00EF090B">
                  <w:pPr>
                    <w:spacing w:line="360" w:lineRule="auto"/>
                    <w:jc w:val="center"/>
                    <w:rPr>
                      <w:rFonts w:asciiTheme="minorEastAsia" w:eastAsiaTheme="minorEastAsia" w:hAnsiTheme="minorEastAsia"/>
                      <w:kern w:val="0"/>
                      <w:sz w:val="24"/>
                      <w:szCs w:val="24"/>
                      <w:lang/>
                    </w:rPr>
                  </w:pPr>
                  <w:r w:rsidRPr="0098183B">
                    <w:rPr>
                      <w:rFonts w:asciiTheme="minorEastAsia" w:eastAsiaTheme="minorEastAsia" w:hAnsiTheme="minorEastAsia" w:hint="eastAsia"/>
                      <w:sz w:val="24"/>
                      <w:szCs w:val="24"/>
                      <w:lang/>
                    </w:rPr>
                    <w:t>006041</w:t>
                  </w:r>
                </w:p>
              </w:tc>
            </w:tr>
          </w:tbl>
          <w:p w:rsidR="00EF090B" w:rsidRPr="0098183B" w:rsidRDefault="00EF090B" w:rsidP="00EF090B">
            <w:pPr>
              <w:widowControl/>
              <w:jc w:val="left"/>
              <w:rPr>
                <w:rFonts w:asciiTheme="minorEastAsia" w:eastAsiaTheme="minorEastAsia" w:hAnsiTheme="minorEastAsia"/>
                <w:kern w:val="0"/>
                <w:sz w:val="24"/>
                <w:szCs w:val="24"/>
              </w:rPr>
            </w:pP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090B" w:rsidRPr="0098183B" w:rsidRDefault="00E13B29" w:rsidP="00EF090B">
            <w:pPr>
              <w:spacing w:line="360" w:lineRule="auto"/>
              <w:jc w:val="left"/>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rPr>
              <w:t>最后</w:t>
            </w:r>
            <w:r w:rsidRPr="0098183B">
              <w:rPr>
                <w:rFonts w:asciiTheme="minorEastAsia" w:eastAsiaTheme="minorEastAsia" w:hAnsiTheme="minorEastAsia"/>
                <w:sz w:val="24"/>
                <w:szCs w:val="24"/>
              </w:rPr>
              <w:t>运作日</w:t>
            </w:r>
            <w:r w:rsidRPr="0098183B">
              <w:rPr>
                <w:rFonts w:asciiTheme="minorEastAsia" w:eastAsiaTheme="minorEastAsia" w:hAnsiTheme="minorEastAsia" w:hint="eastAsia"/>
                <w:sz w:val="24"/>
                <w:szCs w:val="24"/>
              </w:rPr>
              <w:t>（2018年10月17日）</w:t>
            </w:r>
            <w:r w:rsidR="00EF090B" w:rsidRPr="0098183B">
              <w:rPr>
                <w:rFonts w:asciiTheme="minorEastAsia" w:eastAsiaTheme="minorEastAsia" w:hAnsiTheme="minorEastAsia" w:hint="eastAsia"/>
                <w:sz w:val="24"/>
                <w:szCs w:val="24"/>
              </w:rPr>
              <w:t>下属分级基金的份额总额</w:t>
            </w:r>
          </w:p>
        </w:tc>
        <w:tc>
          <w:tcPr>
            <w:tcW w:w="6237" w:type="dxa"/>
            <w:tcBorders>
              <w:top w:val="single" w:sz="4" w:space="0" w:color="000000"/>
              <w:left w:val="single" w:sz="4" w:space="0" w:color="000000"/>
              <w:bottom w:val="single" w:sz="4" w:space="0" w:color="000000"/>
              <w:right w:val="nil"/>
            </w:tcBorders>
            <w:vAlign w:val="center"/>
            <w:hideMark/>
          </w:tcPr>
          <w:tbl>
            <w:tblPr>
              <w:tblpPr w:leftFromText="405" w:rightFromText="180" w:vertAnchor="text" w:horzAnchor="margin" w:tblpY="8"/>
              <w:tblOverlap w:val="never"/>
              <w:tblW w:w="6237" w:type="dxa"/>
              <w:tblBorders>
                <w:right w:val="single" w:sz="4" w:space="0" w:color="000000"/>
              </w:tblBorders>
              <w:tblLayout w:type="fixed"/>
              <w:tblCellMar>
                <w:left w:w="0" w:type="dxa"/>
                <w:right w:w="0" w:type="dxa"/>
              </w:tblCellMar>
              <w:tblLook w:val="04A0"/>
            </w:tblPr>
            <w:tblGrid>
              <w:gridCol w:w="3117"/>
              <w:gridCol w:w="3120"/>
            </w:tblGrid>
            <w:tr w:rsidR="00EF090B" w:rsidRPr="0098183B" w:rsidTr="00EF090B">
              <w:trPr>
                <w:trHeight w:val="930"/>
              </w:trPr>
              <w:tc>
                <w:tcPr>
                  <w:tcW w:w="6237" w:type="dxa"/>
                  <w:tcBorders>
                    <w:top w:val="nil"/>
                    <w:left w:val="nil"/>
                    <w:bottom w:val="nil"/>
                    <w:right w:val="single" w:sz="4" w:space="0" w:color="000000"/>
                  </w:tcBorders>
                  <w:vAlign w:val="center"/>
                  <w:hideMark/>
                </w:tcPr>
                <w:p w:rsidR="00EF090B" w:rsidRPr="0098183B" w:rsidRDefault="00E13B29" w:rsidP="00E13B29">
                  <w:pPr>
                    <w:spacing w:line="360" w:lineRule="auto"/>
                    <w:jc w:val="center"/>
                    <w:rPr>
                      <w:rFonts w:asciiTheme="minorEastAsia" w:eastAsiaTheme="minorEastAsia" w:hAnsiTheme="minorEastAsia"/>
                      <w:kern w:val="0"/>
                      <w:sz w:val="24"/>
                      <w:szCs w:val="24"/>
                      <w:lang/>
                    </w:rPr>
                  </w:pPr>
                  <w:r w:rsidRPr="0098183B">
                    <w:rPr>
                      <w:rFonts w:asciiTheme="minorEastAsia" w:eastAsiaTheme="minorEastAsia" w:hAnsiTheme="minorEastAsia"/>
                      <w:sz w:val="24"/>
                      <w:szCs w:val="24"/>
                    </w:rPr>
                    <w:t>4,580,039.15</w:t>
                  </w:r>
                  <w:r w:rsidR="00EF090B" w:rsidRPr="0098183B">
                    <w:rPr>
                      <w:rFonts w:asciiTheme="minorEastAsia" w:eastAsiaTheme="minorEastAsia" w:hAnsiTheme="minorEastAsia"/>
                      <w:sz w:val="24"/>
                      <w:szCs w:val="24"/>
                    </w:rPr>
                    <w:t>份</w:t>
                  </w:r>
                </w:p>
              </w:tc>
              <w:tc>
                <w:tcPr>
                  <w:tcW w:w="6237" w:type="dxa"/>
                  <w:tcBorders>
                    <w:top w:val="nil"/>
                    <w:left w:val="nil"/>
                    <w:bottom w:val="nil"/>
                    <w:right w:val="single" w:sz="4" w:space="0" w:color="000000"/>
                  </w:tcBorders>
                  <w:vAlign w:val="center"/>
                  <w:hideMark/>
                </w:tcPr>
                <w:p w:rsidR="00EF090B" w:rsidRPr="0098183B" w:rsidRDefault="00EF090B" w:rsidP="00EF090B">
                  <w:pPr>
                    <w:spacing w:line="360" w:lineRule="auto"/>
                    <w:jc w:val="center"/>
                    <w:rPr>
                      <w:rFonts w:asciiTheme="minorEastAsia" w:eastAsiaTheme="minorEastAsia" w:hAnsiTheme="minorEastAsia"/>
                      <w:kern w:val="0"/>
                      <w:sz w:val="24"/>
                      <w:szCs w:val="24"/>
                      <w:lang/>
                    </w:rPr>
                  </w:pPr>
                  <w:r w:rsidRPr="0098183B">
                    <w:rPr>
                      <w:rFonts w:asciiTheme="minorEastAsia" w:eastAsiaTheme="minorEastAsia" w:hAnsiTheme="minorEastAsia" w:hint="eastAsia"/>
                      <w:sz w:val="24"/>
                      <w:szCs w:val="24"/>
                      <w:lang/>
                    </w:rPr>
                    <w:t>9.99</w:t>
                  </w:r>
                  <w:r w:rsidRPr="0098183B">
                    <w:rPr>
                      <w:rFonts w:asciiTheme="minorEastAsia" w:eastAsiaTheme="minorEastAsia" w:hAnsiTheme="minorEastAsia"/>
                      <w:sz w:val="24"/>
                      <w:szCs w:val="24"/>
                    </w:rPr>
                    <w:t>份</w:t>
                  </w:r>
                </w:p>
              </w:tc>
            </w:tr>
            <w:tr w:rsidR="00E13B29" w:rsidRPr="0098183B" w:rsidTr="00E13B29">
              <w:trPr>
                <w:trHeight w:val="342"/>
              </w:trPr>
              <w:tc>
                <w:tcPr>
                  <w:tcW w:w="6237" w:type="dxa"/>
                  <w:tcBorders>
                    <w:top w:val="nil"/>
                    <w:left w:val="nil"/>
                    <w:bottom w:val="nil"/>
                    <w:right w:val="single" w:sz="4" w:space="0" w:color="000000"/>
                  </w:tcBorders>
                  <w:vAlign w:val="center"/>
                </w:tcPr>
                <w:p w:rsidR="00E13B29" w:rsidRPr="0098183B" w:rsidRDefault="00E13B29" w:rsidP="00EF090B">
                  <w:pPr>
                    <w:spacing w:line="360" w:lineRule="auto"/>
                    <w:jc w:val="center"/>
                    <w:rPr>
                      <w:rFonts w:asciiTheme="minorEastAsia" w:eastAsiaTheme="minorEastAsia" w:hAnsiTheme="minorEastAsia"/>
                      <w:sz w:val="24"/>
                      <w:szCs w:val="24"/>
                    </w:rPr>
                  </w:pPr>
                </w:p>
              </w:tc>
              <w:tc>
                <w:tcPr>
                  <w:tcW w:w="6237" w:type="dxa"/>
                  <w:tcBorders>
                    <w:top w:val="nil"/>
                    <w:left w:val="nil"/>
                    <w:bottom w:val="nil"/>
                    <w:right w:val="single" w:sz="4" w:space="0" w:color="000000"/>
                  </w:tcBorders>
                  <w:vAlign w:val="center"/>
                </w:tcPr>
                <w:p w:rsidR="00E13B29" w:rsidRPr="0098183B" w:rsidRDefault="00E13B29" w:rsidP="00EF090B">
                  <w:pPr>
                    <w:spacing w:line="360" w:lineRule="auto"/>
                    <w:jc w:val="center"/>
                    <w:rPr>
                      <w:rFonts w:asciiTheme="minorEastAsia" w:eastAsiaTheme="minorEastAsia" w:hAnsiTheme="minorEastAsia"/>
                      <w:sz w:val="24"/>
                      <w:szCs w:val="24"/>
                      <w:lang/>
                    </w:rPr>
                  </w:pPr>
                </w:p>
              </w:tc>
            </w:tr>
          </w:tbl>
          <w:p w:rsidR="00EF090B" w:rsidRPr="0098183B" w:rsidRDefault="00EF090B" w:rsidP="00EF090B">
            <w:pPr>
              <w:widowControl/>
              <w:jc w:val="left"/>
              <w:rPr>
                <w:rFonts w:asciiTheme="minorEastAsia" w:eastAsiaTheme="minorEastAsia" w:hAnsiTheme="minorEastAsia"/>
                <w:kern w:val="0"/>
                <w:sz w:val="24"/>
                <w:szCs w:val="24"/>
              </w:rPr>
            </w:pPr>
          </w:p>
        </w:tc>
      </w:tr>
      <w:bookmarkEnd w:id="7"/>
      <w:tr w:rsidR="00E13B29" w:rsidRPr="0098183B" w:rsidTr="00E13B29">
        <w:trPr>
          <w:trHeight w:val="966"/>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B29" w:rsidRPr="0098183B" w:rsidRDefault="00E13B29" w:rsidP="00935F65">
            <w:pPr>
              <w:spacing w:line="360" w:lineRule="auto"/>
              <w:jc w:val="left"/>
              <w:rPr>
                <w:rFonts w:asciiTheme="minorEastAsia" w:eastAsiaTheme="minorEastAsia" w:hAnsiTheme="minorEastAsia"/>
                <w:sz w:val="24"/>
                <w:szCs w:val="24"/>
              </w:rPr>
            </w:pPr>
            <w:r w:rsidRPr="0098183B">
              <w:rPr>
                <w:rFonts w:asciiTheme="minorEastAsia" w:eastAsiaTheme="minorEastAsia" w:hAnsiTheme="minorEastAsia" w:hint="eastAsia"/>
                <w:sz w:val="24"/>
                <w:szCs w:val="24"/>
              </w:rPr>
              <w:t>最后</w:t>
            </w:r>
            <w:r w:rsidRPr="0098183B">
              <w:rPr>
                <w:rFonts w:asciiTheme="minorEastAsia" w:eastAsiaTheme="minorEastAsia" w:hAnsiTheme="minorEastAsia"/>
                <w:sz w:val="24"/>
                <w:szCs w:val="24"/>
              </w:rPr>
              <w:t>运作日</w:t>
            </w:r>
            <w:r w:rsidRPr="0098183B">
              <w:rPr>
                <w:rFonts w:asciiTheme="minorEastAsia" w:eastAsiaTheme="minorEastAsia" w:hAnsiTheme="minorEastAsia" w:hint="eastAsia"/>
                <w:sz w:val="24"/>
                <w:szCs w:val="24"/>
              </w:rPr>
              <w:t>（2018年10月17日）下属分级基金的份额净值</w:t>
            </w:r>
          </w:p>
        </w:tc>
        <w:tc>
          <w:tcPr>
            <w:tcW w:w="6237" w:type="dxa"/>
            <w:tcBorders>
              <w:top w:val="single" w:sz="4" w:space="0" w:color="000000"/>
              <w:left w:val="single" w:sz="4" w:space="0" w:color="000000"/>
              <w:bottom w:val="single" w:sz="4" w:space="0" w:color="000000"/>
              <w:right w:val="nil"/>
            </w:tcBorders>
            <w:vAlign w:val="center"/>
            <w:hideMark/>
          </w:tcPr>
          <w:tbl>
            <w:tblPr>
              <w:tblpPr w:leftFromText="405" w:rightFromText="180" w:vertAnchor="text" w:horzAnchor="margin" w:tblpY="8"/>
              <w:tblOverlap w:val="never"/>
              <w:tblW w:w="12471" w:type="dxa"/>
              <w:tblBorders>
                <w:right w:val="single" w:sz="4" w:space="0" w:color="000000"/>
              </w:tblBorders>
              <w:tblLayout w:type="fixed"/>
              <w:tblCellMar>
                <w:left w:w="0" w:type="dxa"/>
                <w:right w:w="0" w:type="dxa"/>
              </w:tblCellMar>
              <w:tblLook w:val="04A0"/>
            </w:tblPr>
            <w:tblGrid>
              <w:gridCol w:w="3117"/>
              <w:gridCol w:w="3117"/>
              <w:gridCol w:w="3117"/>
              <w:gridCol w:w="3120"/>
            </w:tblGrid>
            <w:tr w:rsidR="00E13B29" w:rsidRPr="0098183B" w:rsidTr="001C45F4">
              <w:trPr>
                <w:trHeight w:val="930"/>
              </w:trPr>
              <w:tc>
                <w:tcPr>
                  <w:tcW w:w="3117" w:type="dxa"/>
                  <w:tcBorders>
                    <w:top w:val="nil"/>
                    <w:left w:val="nil"/>
                    <w:bottom w:val="nil"/>
                    <w:right w:val="single" w:sz="4" w:space="0" w:color="000000"/>
                  </w:tcBorders>
                  <w:vAlign w:val="center"/>
                </w:tcPr>
                <w:p w:rsidR="00E13B29" w:rsidRPr="0098183B" w:rsidRDefault="00E13B29" w:rsidP="00E13B29">
                  <w:pPr>
                    <w:widowControl/>
                    <w:jc w:val="center"/>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lang/>
                    </w:rPr>
                    <w:t>0.9846</w:t>
                  </w:r>
                </w:p>
                <w:p w:rsidR="00E13B29" w:rsidRPr="0098183B" w:rsidRDefault="00E13B29" w:rsidP="00E13B29">
                  <w:pPr>
                    <w:spacing w:line="360" w:lineRule="auto"/>
                    <w:jc w:val="center"/>
                    <w:rPr>
                      <w:rFonts w:asciiTheme="minorEastAsia" w:eastAsiaTheme="minorEastAsia" w:hAnsiTheme="minorEastAsia"/>
                      <w:kern w:val="0"/>
                      <w:sz w:val="24"/>
                      <w:szCs w:val="24"/>
                      <w:lang/>
                    </w:rPr>
                  </w:pPr>
                </w:p>
              </w:tc>
              <w:tc>
                <w:tcPr>
                  <w:tcW w:w="3117" w:type="dxa"/>
                  <w:tcBorders>
                    <w:top w:val="nil"/>
                    <w:left w:val="nil"/>
                    <w:bottom w:val="nil"/>
                    <w:right w:val="single" w:sz="4" w:space="0" w:color="000000"/>
                  </w:tcBorders>
                  <w:vAlign w:val="center"/>
                </w:tcPr>
                <w:p w:rsidR="00E13B29" w:rsidRPr="0098183B" w:rsidRDefault="00E13B29" w:rsidP="00E13B29">
                  <w:pPr>
                    <w:widowControl/>
                    <w:jc w:val="center"/>
                    <w:rPr>
                      <w:rFonts w:asciiTheme="minorEastAsia" w:eastAsiaTheme="minorEastAsia" w:hAnsiTheme="minorEastAsia"/>
                      <w:sz w:val="24"/>
                      <w:szCs w:val="24"/>
                      <w:lang/>
                    </w:rPr>
                  </w:pPr>
                  <w:r w:rsidRPr="0098183B">
                    <w:rPr>
                      <w:rFonts w:asciiTheme="minorEastAsia" w:eastAsiaTheme="minorEastAsia" w:hAnsiTheme="minorEastAsia" w:hint="eastAsia"/>
                      <w:sz w:val="24"/>
                      <w:szCs w:val="24"/>
                      <w:lang/>
                    </w:rPr>
                    <w:t>0.9980</w:t>
                  </w:r>
                </w:p>
                <w:p w:rsidR="00E13B29" w:rsidRPr="0098183B" w:rsidRDefault="00E13B29" w:rsidP="00E13B29">
                  <w:pPr>
                    <w:spacing w:line="360" w:lineRule="auto"/>
                    <w:jc w:val="center"/>
                    <w:rPr>
                      <w:rFonts w:asciiTheme="minorEastAsia" w:eastAsiaTheme="minorEastAsia" w:hAnsiTheme="minorEastAsia"/>
                      <w:kern w:val="0"/>
                      <w:sz w:val="24"/>
                      <w:szCs w:val="24"/>
                      <w:lang/>
                    </w:rPr>
                  </w:pPr>
                </w:p>
              </w:tc>
              <w:tc>
                <w:tcPr>
                  <w:tcW w:w="3117" w:type="dxa"/>
                  <w:tcBorders>
                    <w:top w:val="nil"/>
                    <w:left w:val="nil"/>
                    <w:bottom w:val="nil"/>
                    <w:right w:val="single" w:sz="4" w:space="0" w:color="000000"/>
                  </w:tcBorders>
                  <w:vAlign w:val="center"/>
                </w:tcPr>
                <w:p w:rsidR="00E13B29" w:rsidRPr="0098183B" w:rsidRDefault="00E13B29" w:rsidP="00E13B29">
                  <w:pPr>
                    <w:spacing w:line="360" w:lineRule="auto"/>
                    <w:jc w:val="center"/>
                    <w:rPr>
                      <w:rFonts w:asciiTheme="minorEastAsia" w:eastAsiaTheme="minorEastAsia" w:hAnsiTheme="minorEastAsia"/>
                      <w:kern w:val="0"/>
                      <w:sz w:val="24"/>
                      <w:szCs w:val="24"/>
                      <w:lang/>
                    </w:rPr>
                  </w:pPr>
                </w:p>
              </w:tc>
              <w:tc>
                <w:tcPr>
                  <w:tcW w:w="3120" w:type="dxa"/>
                  <w:tcBorders>
                    <w:top w:val="nil"/>
                    <w:left w:val="nil"/>
                    <w:bottom w:val="nil"/>
                    <w:right w:val="single" w:sz="4" w:space="0" w:color="000000"/>
                  </w:tcBorders>
                  <w:vAlign w:val="center"/>
                </w:tcPr>
                <w:p w:rsidR="00E13B29" w:rsidRPr="0098183B" w:rsidRDefault="00E13B29" w:rsidP="00E13B29">
                  <w:pPr>
                    <w:spacing w:line="360" w:lineRule="auto"/>
                    <w:jc w:val="center"/>
                    <w:rPr>
                      <w:rFonts w:asciiTheme="minorEastAsia" w:eastAsiaTheme="minorEastAsia" w:hAnsiTheme="minorEastAsia"/>
                      <w:kern w:val="0"/>
                      <w:sz w:val="24"/>
                      <w:szCs w:val="24"/>
                      <w:lang/>
                    </w:rPr>
                  </w:pPr>
                </w:p>
              </w:tc>
            </w:tr>
            <w:tr w:rsidR="00E13B29" w:rsidRPr="0098183B" w:rsidTr="00E13B29">
              <w:trPr>
                <w:trHeight w:val="340"/>
              </w:trPr>
              <w:tc>
                <w:tcPr>
                  <w:tcW w:w="3117" w:type="dxa"/>
                  <w:tcBorders>
                    <w:top w:val="nil"/>
                    <w:left w:val="nil"/>
                    <w:bottom w:val="nil"/>
                    <w:right w:val="single" w:sz="4" w:space="0" w:color="000000"/>
                  </w:tcBorders>
                </w:tcPr>
                <w:p w:rsidR="00E13B29" w:rsidRPr="0098183B" w:rsidRDefault="00E13B29" w:rsidP="00E13B29">
                  <w:pPr>
                    <w:spacing w:line="360" w:lineRule="auto"/>
                    <w:jc w:val="center"/>
                    <w:rPr>
                      <w:rFonts w:asciiTheme="minorEastAsia" w:eastAsiaTheme="minorEastAsia" w:hAnsiTheme="minorEastAsia"/>
                      <w:sz w:val="24"/>
                      <w:szCs w:val="24"/>
                    </w:rPr>
                  </w:pPr>
                </w:p>
              </w:tc>
              <w:tc>
                <w:tcPr>
                  <w:tcW w:w="3117" w:type="dxa"/>
                  <w:tcBorders>
                    <w:top w:val="nil"/>
                    <w:left w:val="nil"/>
                    <w:bottom w:val="nil"/>
                    <w:right w:val="single" w:sz="4" w:space="0" w:color="000000"/>
                  </w:tcBorders>
                </w:tcPr>
                <w:p w:rsidR="00E13B29" w:rsidRPr="0098183B" w:rsidRDefault="00E13B29" w:rsidP="00E13B29">
                  <w:pPr>
                    <w:spacing w:line="360" w:lineRule="auto"/>
                    <w:jc w:val="center"/>
                    <w:rPr>
                      <w:rFonts w:asciiTheme="minorEastAsia" w:eastAsiaTheme="minorEastAsia" w:hAnsiTheme="minorEastAsia"/>
                      <w:sz w:val="24"/>
                      <w:szCs w:val="24"/>
                    </w:rPr>
                  </w:pPr>
                </w:p>
              </w:tc>
              <w:tc>
                <w:tcPr>
                  <w:tcW w:w="3117" w:type="dxa"/>
                  <w:tcBorders>
                    <w:top w:val="nil"/>
                    <w:left w:val="nil"/>
                    <w:bottom w:val="nil"/>
                    <w:right w:val="single" w:sz="4" w:space="0" w:color="000000"/>
                  </w:tcBorders>
                  <w:vAlign w:val="center"/>
                </w:tcPr>
                <w:p w:rsidR="00E13B29" w:rsidRPr="0098183B" w:rsidRDefault="00E13B29" w:rsidP="00E13B29">
                  <w:pPr>
                    <w:spacing w:line="360" w:lineRule="auto"/>
                    <w:jc w:val="center"/>
                    <w:rPr>
                      <w:rFonts w:asciiTheme="minorEastAsia" w:eastAsiaTheme="minorEastAsia" w:hAnsiTheme="minorEastAsia"/>
                      <w:sz w:val="24"/>
                      <w:szCs w:val="24"/>
                    </w:rPr>
                  </w:pPr>
                </w:p>
              </w:tc>
              <w:tc>
                <w:tcPr>
                  <w:tcW w:w="3120" w:type="dxa"/>
                  <w:tcBorders>
                    <w:top w:val="nil"/>
                    <w:left w:val="nil"/>
                    <w:bottom w:val="nil"/>
                    <w:right w:val="single" w:sz="4" w:space="0" w:color="000000"/>
                  </w:tcBorders>
                  <w:vAlign w:val="center"/>
                </w:tcPr>
                <w:p w:rsidR="00E13B29" w:rsidRPr="0098183B" w:rsidRDefault="00E13B29" w:rsidP="00E13B29">
                  <w:pPr>
                    <w:spacing w:line="360" w:lineRule="auto"/>
                    <w:jc w:val="center"/>
                    <w:rPr>
                      <w:rFonts w:asciiTheme="minorEastAsia" w:eastAsiaTheme="minorEastAsia" w:hAnsiTheme="minorEastAsia"/>
                      <w:sz w:val="24"/>
                      <w:szCs w:val="24"/>
                      <w:lang/>
                    </w:rPr>
                  </w:pPr>
                </w:p>
              </w:tc>
            </w:tr>
          </w:tbl>
          <w:p w:rsidR="00E13B29" w:rsidRPr="0098183B" w:rsidRDefault="00E13B29" w:rsidP="00935F65">
            <w:pPr>
              <w:widowControl/>
              <w:jc w:val="left"/>
              <w:rPr>
                <w:rFonts w:asciiTheme="minorEastAsia" w:eastAsiaTheme="minorEastAsia" w:hAnsiTheme="minorEastAsia"/>
                <w:kern w:val="0"/>
                <w:sz w:val="24"/>
                <w:szCs w:val="24"/>
              </w:rPr>
            </w:pPr>
          </w:p>
        </w:tc>
      </w:tr>
    </w:tbl>
    <w:p w:rsidR="00E13B29" w:rsidRDefault="00E13B29" w:rsidP="00EF090B">
      <w:pPr>
        <w:widowControl/>
        <w:spacing w:line="360" w:lineRule="auto"/>
        <w:ind w:firstLineChars="250" w:firstLine="600"/>
        <w:jc w:val="left"/>
        <w:rPr>
          <w:sz w:val="24"/>
          <w:szCs w:val="24"/>
        </w:rPr>
      </w:pPr>
    </w:p>
    <w:p w:rsidR="00EF090B" w:rsidRPr="00EF090B" w:rsidRDefault="004C5AAA" w:rsidP="00EF090B">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bookmarkStart w:id="8" w:name="_Toc405886236"/>
      <w:bookmarkStart w:id="9" w:name="_Toc405886237"/>
      <w:bookmarkStart w:id="10" w:name="_Toc405886238"/>
      <w:bookmarkStart w:id="11" w:name="_Toc405886244"/>
      <w:bookmarkStart w:id="12" w:name="_Toc405886310"/>
      <w:bookmarkStart w:id="13" w:name="_Toc405886311"/>
      <w:bookmarkStart w:id="14" w:name="_Toc405886312"/>
      <w:bookmarkStart w:id="15" w:name="_Toc405886313"/>
      <w:bookmarkStart w:id="16" w:name="_Toc405886322"/>
      <w:bookmarkStart w:id="17" w:name="_Toc405886323"/>
      <w:bookmarkStart w:id="18" w:name="_Toc405886332"/>
      <w:bookmarkStart w:id="19" w:name="_Toc405886333"/>
      <w:bookmarkStart w:id="20" w:name="_Toc405886334"/>
      <w:bookmarkStart w:id="21" w:name="_Toc405886335"/>
      <w:bookmarkStart w:id="22" w:name="_Toc405886336"/>
      <w:bookmarkStart w:id="23" w:name="_Toc405886337"/>
      <w:bookmarkStart w:id="24" w:name="_Toc405886338"/>
      <w:bookmarkStart w:id="25" w:name="_Toc405886339"/>
      <w:bookmarkStart w:id="26" w:name="_Toc405886340"/>
      <w:bookmarkStart w:id="27" w:name="_Toc405886341"/>
      <w:bookmarkStart w:id="28" w:name="_Toc405886342"/>
      <w:bookmarkStart w:id="29" w:name="_Toc405886343"/>
      <w:bookmarkStart w:id="30" w:name="_Toc405886344"/>
      <w:bookmarkStart w:id="31" w:name="_Toc405886345"/>
      <w:bookmarkStart w:id="32" w:name="_Toc405886359"/>
      <w:bookmarkStart w:id="33" w:name="_Toc405886373"/>
      <w:bookmarkStart w:id="34" w:name="_Toc405886374"/>
      <w:bookmarkStart w:id="35" w:name="_Toc405886375"/>
      <w:bookmarkStart w:id="36" w:name="_Toc405886376"/>
      <w:bookmarkStart w:id="37" w:name="_Toc405886377"/>
      <w:bookmarkStart w:id="38" w:name="_Toc405886378"/>
      <w:bookmarkStart w:id="39" w:name="_Toc405886385"/>
      <w:bookmarkStart w:id="40" w:name="_Toc405886392"/>
      <w:bookmarkStart w:id="41" w:name="_Toc405886393"/>
      <w:bookmarkStart w:id="42" w:name="_Toc405886394"/>
      <w:bookmarkStart w:id="43" w:name="_Toc405886395"/>
      <w:bookmarkStart w:id="44" w:name="_Toc405886396"/>
      <w:bookmarkStart w:id="45" w:name="_Toc405886397"/>
      <w:bookmarkStart w:id="46" w:name="_Toc405886398"/>
      <w:bookmarkStart w:id="47" w:name="_Toc405886399"/>
      <w:bookmarkStart w:id="48" w:name="_Toc405886400"/>
      <w:bookmarkStart w:id="49" w:name="_Toc405886401"/>
      <w:bookmarkStart w:id="50" w:name="_Toc405886402"/>
      <w:bookmarkStart w:id="51" w:name="_Toc405886403"/>
      <w:bookmarkStart w:id="52" w:name="_Toc405886404"/>
      <w:bookmarkStart w:id="53" w:name="_Toc405886405"/>
      <w:bookmarkStart w:id="54" w:name="_Toc405886406"/>
      <w:bookmarkStart w:id="55" w:name="_Toc405886407"/>
      <w:bookmarkStart w:id="56" w:name="_Toc405886408"/>
      <w:bookmarkStart w:id="57" w:name="_Toc405886409"/>
      <w:bookmarkStart w:id="58" w:name="_Toc405886410"/>
      <w:bookmarkStart w:id="59" w:name="_Toc405886411"/>
      <w:bookmarkStart w:id="60" w:name="_Toc405886412"/>
      <w:bookmarkStart w:id="61" w:name="_Toc405886413"/>
      <w:bookmarkStart w:id="62" w:name="_Toc405886414"/>
      <w:bookmarkStart w:id="63" w:name="_Toc405886415"/>
      <w:bookmarkStart w:id="64" w:name="_Toc405886416"/>
      <w:bookmarkStart w:id="65" w:name="_Toc405886417"/>
      <w:bookmarkStart w:id="66" w:name="_Toc405886418"/>
      <w:bookmarkStart w:id="67" w:name="_Toc405886419"/>
      <w:bookmarkStart w:id="68" w:name="_Toc405886420"/>
      <w:bookmarkStart w:id="69" w:name="_Toc405886421"/>
      <w:bookmarkStart w:id="70" w:name="m06_02"/>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bl>
      <w:tblPr>
        <w:tblW w:w="918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2943"/>
        <w:gridCol w:w="6237"/>
      </w:tblGrid>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宋体" w:hAnsi="宋体"/>
                <w:sz w:val="24"/>
                <w:szCs w:val="24"/>
                <w:lang/>
              </w:rPr>
            </w:pPr>
            <w:r w:rsidRPr="0098183B">
              <w:rPr>
                <w:rFonts w:ascii="宋体" w:hAnsi="宋体" w:hint="eastAsia"/>
                <w:sz w:val="24"/>
                <w:szCs w:val="24"/>
              </w:rPr>
              <w:t>投资目标</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B27097" w:rsidP="00EF090B">
            <w:pPr>
              <w:spacing w:line="360" w:lineRule="auto"/>
              <w:jc w:val="left"/>
              <w:rPr>
                <w:sz w:val="24"/>
                <w:szCs w:val="24"/>
              </w:rPr>
            </w:pPr>
            <w:r w:rsidRPr="00B27097">
              <w:rPr>
                <w:rFonts w:ascii="宋体" w:hAnsi="宋体" w:hint="eastAsia"/>
                <w:sz w:val="24"/>
                <w:szCs w:val="24"/>
                <w:lang/>
              </w:rPr>
              <w:t>本基金在科学严谨的资产配置框架下，力争基金资产的保值增值。</w:t>
            </w: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宋体" w:hAnsi="宋体"/>
                <w:sz w:val="24"/>
                <w:szCs w:val="24"/>
                <w:lang/>
              </w:rPr>
            </w:pPr>
            <w:r w:rsidRPr="0098183B">
              <w:rPr>
                <w:rFonts w:ascii="宋体" w:hAnsi="宋体" w:hint="eastAsia"/>
                <w:sz w:val="24"/>
                <w:szCs w:val="24"/>
              </w:rPr>
              <w:t>投资策略</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sz w:val="24"/>
                <w:szCs w:val="24"/>
              </w:rPr>
            </w:pPr>
            <w:r w:rsidRPr="0098183B">
              <w:rPr>
                <w:rFonts w:ascii="宋体" w:hAnsi="宋体" w:hint="eastAsia"/>
                <w:sz w:val="24"/>
                <w:szCs w:val="24"/>
                <w:lang/>
              </w:rPr>
              <w:t>1、资产配置策略 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在股票、债券和货币等资产间进行大类资产的灵活配置。 2、股票投资策略 本基金通过自上而下及自下而上相结合的方法挖掘优质的上市公司，严选其中安全边际较高的个股构建投资组合：自上而下地分</w:t>
            </w:r>
            <w:r w:rsidRPr="0098183B">
              <w:rPr>
                <w:rFonts w:ascii="宋体" w:hAnsi="宋体" w:hint="eastAsia"/>
                <w:sz w:val="24"/>
                <w:szCs w:val="24"/>
                <w:lang/>
              </w:rPr>
              <w:lastRenderedPageBreak/>
              <w:t>析行业的增长前景、行业结构、商业模式、竞争要素等分析把握其投资机会；自下而上地评判企业的产品、核心竞争力、管理层、治理结构等；并结合企业基本面和估值水平进行综合的研判，严选安全边际较高的个股，力争实现组合的绝对收益。 （1）自上而下的行业遴选 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（2）自下而上的个股选择 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 另一方面是管理层分析，在国内监管体系落后、公司治理结构不完善的基础上，上市公司的命运对管理团队的依赖度大大增加。本基金将着重考察公司的管理层以及管理制度。 （3）综合研判 本基金在自上而下和自下而上的基础上，结合估值分析，严选安全边际较高的个股，力争实现组合的绝对收益。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 3、债券投资策略 本基金债券投资将采取久期策略、收益率曲线策略、骑乘策略、息差策略、个券选择策略、信用策略、中小企业私募债投资策略等积极投资策略，灵活地调整组合的券种搭配，精选安全边际较高的个券，力争实现组合的绝对收益。 （1）久期策略 久期管理是债券投资的重要考量因素，本基金将采用以“目标久期”为中心、自上而下的组合久期管理策略。 （2）收益率曲线策略 收益率曲线的形状变化是判断市场整体走向的一个重要依据，本基金将据此调整组合长、中、短期债券的搭配，并进行动态调整。 （3）骑乘策略 本基金将采用基于收益率曲线分析对债券组合进行适时调整的骑乘策略，以达到增强组合的持有期收益的目的。 （4）息差策略 本基金将采用息差策略，以达到更好地利用杠杆放大债券投资的收益的目的。 （5）个券选择策略 本基金将根据单个债券到期收益率相对于市场收益率曲线的偏离程度，结合信用等级、流动性、选择权条款、税赋特点等因素，确定其投资价值，选择定价合理或价值被低估的债券进行投资。 （6）信用策略 本基金通过主动承担适度的信用风险来获取信用溢价，根据内、外部信用评级结果，结合对类似债券信用利差的分析以及对未来信用利差走势的判断，选择信用利差被高估、未来信用利差可能下降的信用债进行投资。 （7）中小企业私募债投资策略 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 4、资产支持证券的投资策略 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宋体" w:hAnsi="宋体"/>
                <w:sz w:val="24"/>
                <w:szCs w:val="24"/>
                <w:lang/>
              </w:rPr>
            </w:pPr>
            <w:r w:rsidRPr="0098183B">
              <w:rPr>
                <w:rFonts w:ascii="宋体" w:hAnsi="宋体" w:hint="eastAsia"/>
                <w:sz w:val="24"/>
                <w:szCs w:val="24"/>
              </w:rPr>
              <w:lastRenderedPageBreak/>
              <w:t>业绩比较基准</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sz w:val="24"/>
                <w:szCs w:val="24"/>
              </w:rPr>
            </w:pPr>
            <w:r w:rsidRPr="0098183B">
              <w:rPr>
                <w:rFonts w:ascii="宋体" w:hAnsi="宋体" w:hint="eastAsia"/>
                <w:sz w:val="24"/>
                <w:szCs w:val="24"/>
                <w:lang/>
              </w:rPr>
              <w:t>沪深300指数收益率×50%+中证全债指数收益率×50%</w:t>
            </w:r>
          </w:p>
        </w:tc>
      </w:tr>
      <w:tr w:rsidR="00EF090B" w:rsidRPr="0098183B" w:rsidTr="00EF090B">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EF090B">
            <w:pPr>
              <w:spacing w:line="360" w:lineRule="auto"/>
              <w:jc w:val="left"/>
              <w:rPr>
                <w:rFonts w:ascii="宋体" w:hAnsi="宋体"/>
                <w:sz w:val="24"/>
                <w:szCs w:val="24"/>
                <w:lang/>
              </w:rPr>
            </w:pPr>
            <w:r w:rsidRPr="0098183B">
              <w:rPr>
                <w:rFonts w:ascii="宋体" w:hAnsi="宋体" w:hint="eastAsia"/>
                <w:sz w:val="24"/>
                <w:szCs w:val="24"/>
              </w:rPr>
              <w:t>风险收益特征</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90B" w:rsidRPr="0098183B" w:rsidRDefault="00EF090B" w:rsidP="00975250">
            <w:pPr>
              <w:spacing w:line="360" w:lineRule="auto"/>
              <w:jc w:val="left"/>
              <w:rPr>
                <w:sz w:val="24"/>
                <w:szCs w:val="24"/>
              </w:rPr>
            </w:pPr>
            <w:r w:rsidRPr="0098183B">
              <w:rPr>
                <w:rFonts w:ascii="宋体" w:hAnsi="宋体" w:hint="eastAsia"/>
                <w:sz w:val="24"/>
                <w:szCs w:val="24"/>
                <w:lang/>
              </w:rPr>
              <w:t>本基金属于混合型基金，其预期的风险和收益高于货币市场基金、债券基金，低于股票型基金。</w:t>
            </w:r>
          </w:p>
        </w:tc>
      </w:tr>
    </w:tbl>
    <w:p w:rsidR="00EF090B" w:rsidRPr="00EF090B" w:rsidRDefault="00EF090B" w:rsidP="00E45AEB">
      <w:pPr>
        <w:spacing w:line="360" w:lineRule="auto"/>
        <w:ind w:firstLineChars="200" w:firstLine="420"/>
        <w:rPr>
          <w:rFonts w:ascii="宋体" w:hAnsi="宋体"/>
          <w:szCs w:val="24"/>
        </w:rPr>
      </w:pPr>
    </w:p>
    <w:p w:rsidR="00A41AA1" w:rsidRDefault="00BB0571" w:rsidP="00E45AEB">
      <w:pPr>
        <w:pStyle w:val="XBRLTitle1"/>
        <w:numPr>
          <w:ilvl w:val="0"/>
          <w:numId w:val="0"/>
        </w:numPr>
        <w:spacing w:before="156" w:after="156"/>
        <w:ind w:left="425" w:hanging="425"/>
        <w:jc w:val="both"/>
      </w:pPr>
      <w:bookmarkStart w:id="71" w:name="_Toc495929378"/>
      <w:bookmarkEnd w:id="70"/>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Pr>
          <w:rFonts w:hint="eastAsia"/>
          <w:sz w:val="24"/>
          <w:szCs w:val="24"/>
        </w:rPr>
        <w:t>基金</w:t>
      </w:r>
      <w:r>
        <w:rPr>
          <w:sz w:val="24"/>
          <w:szCs w:val="24"/>
        </w:rPr>
        <w:t>基本情况</w:t>
      </w:r>
    </w:p>
    <w:p w:rsidR="005806A0" w:rsidRPr="0098183B" w:rsidRDefault="005806A0" w:rsidP="00A41AA1">
      <w:pPr>
        <w:widowControl/>
        <w:spacing w:line="360" w:lineRule="auto"/>
        <w:jc w:val="left"/>
        <w:rPr>
          <w:rFonts w:ascii="宋体" w:hAnsi="宋体"/>
          <w:sz w:val="24"/>
          <w:szCs w:val="24"/>
          <w:lang/>
        </w:rPr>
      </w:pPr>
      <w:r w:rsidRPr="0098183B">
        <w:rPr>
          <w:rFonts w:ascii="宋体" w:hAnsi="宋体" w:hint="eastAsia"/>
          <w:sz w:val="24"/>
          <w:szCs w:val="24"/>
          <w:lang/>
        </w:rPr>
        <w:t>鹏华兴盛定期开放灵活配置混合型证券投资基金(以下简称“本基金”)经中国证券监督管理委员会(以下简称“中国证监会”)证监许可[2016]864号《关于准予鹏华兴盛定期开放灵活配置混合型证券投资基金注册的批复》核准，由鹏华基金管理有限公司依照《中华人民共和国证券投资基金法》和《鹏华兴盛定期开放灵活配置混合型证券投资基金基金合同》负责公开募集。本基金为契约型，采取在封闭期内封闭运作、封闭期与封闭期之间定期开放的运作方式，存续期限不定。首次设立募集不包括认购资金利息共募集801,461,151.35元，业经普华永道中天会计师事务所(特殊普通合伙)普华永道中天验字(2016)第1062号验资报告予以验证。经向中国证监会备案，《鹏华兴盛定期开放灵活配置混合型证券投资基金基金合同》于2016年8月25日正式生效，基金合同生效日的基金份额总额为801,512,632.68份基金份额，其中认购资金利息折合51,481.33份基金份额。本基金的基金管理人为鹏华基金管理有限公司，基金托管人为上海浦东发展银行股份有限公司。本基金自基金合同生效之日(含)起或自每一开放期结束之日次日(含)起六个月的期间封闭运作。自封闭期结束之后第一个工作日(含)起进入开放期，每个开放期原则上不少于五个工作日、不超过二十个工作日，开放期的具体时间以基金管理人届时公告为准。 </w:t>
      </w:r>
      <w:r w:rsidRPr="0098183B">
        <w:rPr>
          <w:rFonts w:ascii="宋体" w:hAnsi="宋体" w:hint="eastAsia"/>
          <w:sz w:val="24"/>
          <w:szCs w:val="24"/>
          <w:lang/>
        </w:rPr>
        <w:br/>
      </w:r>
      <w:r w:rsidRPr="0098183B">
        <w:rPr>
          <w:rFonts w:ascii="宋体" w:hAnsi="宋体" w:hint="eastAsia"/>
          <w:sz w:val="24"/>
          <w:szCs w:val="24"/>
          <w:lang/>
        </w:rPr>
        <w:br/>
        <w:t>根据《鹏华兴盛灵活配置混合型证券投资基金基金合同》、《鹏华兴盛灵活配置混合型证券投资基金招募说明书》和《</w:t>
      </w:r>
      <w:r w:rsidR="00DA47EF" w:rsidRPr="00DA47EF">
        <w:rPr>
          <w:rFonts w:ascii="宋体" w:hAnsi="宋体" w:hint="eastAsia"/>
          <w:sz w:val="24"/>
          <w:szCs w:val="24"/>
          <w:lang/>
        </w:rPr>
        <w:t>鹏华基金管理有限公司</w:t>
      </w:r>
      <w:r w:rsidRPr="0098183B">
        <w:rPr>
          <w:rFonts w:ascii="宋体" w:hAnsi="宋体" w:hint="eastAsia"/>
          <w:sz w:val="24"/>
          <w:szCs w:val="24"/>
          <w:lang/>
        </w:rPr>
        <w:t>关于鹏华兴盛定期开放灵活配置混合型证券投资基金实施转型的提示性公告》，本基金自2018年5月31日起根据销售服务费收取方式的不同，将基金份额分为不同的类别。在投资者持有基金期间不计提销售服务费的，称为A类基金份额；在投资者持有基金期间从本类别基金资产中计提销售服务费的，称为C类基金份额。本基金A类、C类两种收费模式并存，由于基金费用的不同，本基金A类基金份额和C类基金份额分别计算基金份额净值，计算公式为计算日各类别基金资产净值除以计算日发售在外的该类别基金份额总数。</w:t>
      </w:r>
    </w:p>
    <w:p w:rsidR="005806A0" w:rsidRPr="0098183B" w:rsidRDefault="005806A0" w:rsidP="00A41AA1">
      <w:pPr>
        <w:widowControl/>
        <w:spacing w:line="360" w:lineRule="auto"/>
        <w:jc w:val="left"/>
        <w:rPr>
          <w:sz w:val="24"/>
          <w:szCs w:val="24"/>
        </w:rPr>
      </w:pPr>
    </w:p>
    <w:p w:rsidR="00890559" w:rsidRPr="0098183B" w:rsidRDefault="00890559" w:rsidP="00A41AA1">
      <w:pPr>
        <w:widowControl/>
        <w:spacing w:line="360" w:lineRule="auto"/>
        <w:jc w:val="left"/>
        <w:rPr>
          <w:rFonts w:ascii="宋体" w:hAnsi="宋体" w:cs="宋体"/>
          <w:kern w:val="0"/>
          <w:sz w:val="24"/>
          <w:szCs w:val="24"/>
        </w:rPr>
      </w:pPr>
      <w:r w:rsidRPr="0098183B">
        <w:rPr>
          <w:rFonts w:hint="eastAsia"/>
          <w:sz w:val="24"/>
          <w:szCs w:val="24"/>
        </w:rPr>
        <w:t>自</w:t>
      </w:r>
      <w:r w:rsidR="00E30F67" w:rsidRPr="0098183B">
        <w:rPr>
          <w:rFonts w:ascii="宋体" w:hAnsi="宋体" w:cs="宋体" w:hint="eastAsia"/>
          <w:kern w:val="0"/>
          <w:sz w:val="24"/>
          <w:szCs w:val="24"/>
        </w:rPr>
        <w:t>2016年8月25日</w:t>
      </w:r>
      <w:r w:rsidRPr="0098183B">
        <w:rPr>
          <w:rFonts w:ascii="宋体" w:hAnsi="宋体" w:cs="宋体" w:hint="eastAsia"/>
          <w:kern w:val="0"/>
          <w:sz w:val="24"/>
          <w:szCs w:val="24"/>
        </w:rPr>
        <w:t>至</w:t>
      </w:r>
      <w:r w:rsidR="00E30F67" w:rsidRPr="0098183B">
        <w:rPr>
          <w:rFonts w:ascii="宋体" w:hAnsi="宋体" w:cs="宋体" w:hint="eastAsia"/>
          <w:kern w:val="0"/>
          <w:sz w:val="24"/>
          <w:szCs w:val="24"/>
        </w:rPr>
        <w:t>2018年10月17日</w:t>
      </w:r>
      <w:r w:rsidRPr="0098183B">
        <w:rPr>
          <w:rFonts w:ascii="宋体" w:hAnsi="宋体" w:cs="宋体" w:hint="eastAsia"/>
          <w:kern w:val="0"/>
          <w:sz w:val="24"/>
          <w:szCs w:val="24"/>
        </w:rPr>
        <w:t>期</w:t>
      </w:r>
      <w:r w:rsidRPr="0098183B">
        <w:rPr>
          <w:rFonts w:ascii="宋体" w:hAnsi="宋体" w:cs="宋体"/>
          <w:kern w:val="0"/>
          <w:sz w:val="24"/>
          <w:szCs w:val="24"/>
        </w:rPr>
        <w:t>间</w:t>
      </w:r>
      <w:r w:rsidRPr="0098183B">
        <w:rPr>
          <w:rFonts w:ascii="宋体" w:hAnsi="宋体" w:cs="宋体" w:hint="eastAsia"/>
          <w:kern w:val="0"/>
          <w:sz w:val="24"/>
          <w:szCs w:val="24"/>
        </w:rPr>
        <w:t>，本基金</w:t>
      </w:r>
      <w:r w:rsidRPr="0098183B">
        <w:rPr>
          <w:rFonts w:ascii="宋体" w:hAnsi="宋体" w:cs="宋体"/>
          <w:kern w:val="0"/>
          <w:sz w:val="24"/>
          <w:szCs w:val="24"/>
        </w:rPr>
        <w:t>按基金</w:t>
      </w:r>
      <w:r w:rsidRPr="0098183B">
        <w:rPr>
          <w:rFonts w:ascii="宋体" w:hAnsi="宋体" w:cs="宋体" w:hint="eastAsia"/>
          <w:kern w:val="0"/>
          <w:sz w:val="24"/>
          <w:szCs w:val="24"/>
        </w:rPr>
        <w:t>合</w:t>
      </w:r>
      <w:r w:rsidRPr="0098183B">
        <w:rPr>
          <w:rFonts w:ascii="宋体" w:hAnsi="宋体" w:cs="宋体"/>
          <w:kern w:val="0"/>
          <w:sz w:val="24"/>
          <w:szCs w:val="24"/>
        </w:rPr>
        <w:t>同</w:t>
      </w:r>
      <w:r w:rsidRPr="0098183B">
        <w:rPr>
          <w:rFonts w:ascii="宋体" w:hAnsi="宋体" w:cs="宋体" w:hint="eastAsia"/>
          <w:kern w:val="0"/>
          <w:sz w:val="24"/>
          <w:szCs w:val="24"/>
        </w:rPr>
        <w:t>约</w:t>
      </w:r>
      <w:r w:rsidRPr="0098183B">
        <w:rPr>
          <w:rFonts w:ascii="宋体" w:hAnsi="宋体" w:cs="宋体"/>
          <w:kern w:val="0"/>
          <w:sz w:val="24"/>
          <w:szCs w:val="24"/>
        </w:rPr>
        <w:t>定正常运作</w:t>
      </w:r>
      <w:r w:rsidRPr="0098183B">
        <w:rPr>
          <w:rFonts w:ascii="宋体" w:hAnsi="宋体" w:cs="宋体" w:hint="eastAsia"/>
          <w:kern w:val="0"/>
          <w:sz w:val="24"/>
          <w:szCs w:val="24"/>
        </w:rPr>
        <w:t>。</w:t>
      </w:r>
    </w:p>
    <w:p w:rsidR="005806A0" w:rsidRPr="00890559" w:rsidRDefault="005806A0" w:rsidP="00A41AA1">
      <w:pPr>
        <w:widowControl/>
        <w:spacing w:line="360" w:lineRule="auto"/>
        <w:jc w:val="left"/>
        <w:rPr>
          <w:sz w:val="24"/>
          <w:szCs w:val="24"/>
        </w:rPr>
      </w:pPr>
    </w:p>
    <w:p w:rsidR="00A41AA1" w:rsidRDefault="00A41AA1" w:rsidP="00A41AA1">
      <w:pPr>
        <w:widowControl/>
        <w:spacing w:line="360" w:lineRule="auto"/>
        <w:jc w:val="left"/>
        <w:rPr>
          <w:sz w:val="24"/>
          <w:szCs w:val="24"/>
        </w:rPr>
      </w:pPr>
      <w:r>
        <w:rPr>
          <w:sz w:val="24"/>
          <w:szCs w:val="24"/>
        </w:rPr>
        <w:t>2</w:t>
      </w:r>
      <w:r>
        <w:rPr>
          <w:sz w:val="24"/>
          <w:szCs w:val="24"/>
        </w:rPr>
        <w:t>、</w:t>
      </w:r>
      <w:r>
        <w:rPr>
          <w:rFonts w:hint="eastAsia"/>
          <w:sz w:val="24"/>
          <w:szCs w:val="24"/>
        </w:rPr>
        <w:t>清</w:t>
      </w:r>
      <w:r>
        <w:rPr>
          <w:sz w:val="24"/>
          <w:szCs w:val="24"/>
        </w:rPr>
        <w:t>算原因</w:t>
      </w:r>
    </w:p>
    <w:p w:rsidR="006248D6" w:rsidRDefault="006248D6" w:rsidP="00A41AA1">
      <w:pPr>
        <w:widowControl/>
        <w:spacing w:line="360" w:lineRule="auto"/>
        <w:jc w:val="left"/>
        <w:rPr>
          <w:sz w:val="24"/>
          <w:szCs w:val="24"/>
        </w:rPr>
      </w:pPr>
      <w:r w:rsidRPr="006248D6">
        <w:rPr>
          <w:rFonts w:hint="eastAsia"/>
          <w:sz w:val="24"/>
          <w:szCs w:val="24"/>
        </w:rPr>
        <w:t>根据基金管理人鹏华基金管理有限公司于</w:t>
      </w:r>
      <w:r w:rsidRPr="006248D6">
        <w:rPr>
          <w:rFonts w:hint="eastAsia"/>
          <w:sz w:val="24"/>
          <w:szCs w:val="24"/>
        </w:rPr>
        <w:t>2018</w:t>
      </w:r>
      <w:r w:rsidRPr="006248D6">
        <w:rPr>
          <w:rFonts w:hint="eastAsia"/>
          <w:sz w:val="24"/>
          <w:szCs w:val="24"/>
        </w:rPr>
        <w:t>年</w:t>
      </w:r>
      <w:r w:rsidRPr="006248D6">
        <w:rPr>
          <w:rFonts w:hint="eastAsia"/>
          <w:sz w:val="24"/>
          <w:szCs w:val="24"/>
        </w:rPr>
        <w:t>10</w:t>
      </w:r>
      <w:r w:rsidRPr="006248D6">
        <w:rPr>
          <w:rFonts w:hint="eastAsia"/>
          <w:sz w:val="24"/>
          <w:szCs w:val="24"/>
        </w:rPr>
        <w:t>月</w:t>
      </w:r>
      <w:r w:rsidRPr="006248D6">
        <w:rPr>
          <w:rFonts w:hint="eastAsia"/>
          <w:sz w:val="24"/>
          <w:szCs w:val="24"/>
        </w:rPr>
        <w:t>12</w:t>
      </w:r>
      <w:r w:rsidRPr="006248D6">
        <w:rPr>
          <w:rFonts w:hint="eastAsia"/>
          <w:sz w:val="24"/>
          <w:szCs w:val="24"/>
        </w:rPr>
        <w:t>日发布的《关于鹏华兴盛灵活配置混合型证券投资基金基金合同终止及基金财产清算的公告》，截至</w:t>
      </w:r>
      <w:r w:rsidRPr="006248D6">
        <w:rPr>
          <w:rFonts w:hint="eastAsia"/>
          <w:sz w:val="24"/>
          <w:szCs w:val="24"/>
        </w:rPr>
        <w:t>2018</w:t>
      </w:r>
      <w:r w:rsidRPr="006248D6">
        <w:rPr>
          <w:rFonts w:hint="eastAsia"/>
          <w:sz w:val="24"/>
          <w:szCs w:val="24"/>
        </w:rPr>
        <w:t>年</w:t>
      </w:r>
      <w:r w:rsidRPr="006248D6">
        <w:rPr>
          <w:rFonts w:hint="eastAsia"/>
          <w:sz w:val="24"/>
          <w:szCs w:val="24"/>
        </w:rPr>
        <w:t>10</w:t>
      </w:r>
      <w:r w:rsidRPr="006248D6">
        <w:rPr>
          <w:rFonts w:hint="eastAsia"/>
          <w:sz w:val="24"/>
          <w:szCs w:val="24"/>
        </w:rPr>
        <w:t>月</w:t>
      </w:r>
      <w:r w:rsidRPr="006248D6">
        <w:rPr>
          <w:rFonts w:hint="eastAsia"/>
          <w:sz w:val="24"/>
          <w:szCs w:val="24"/>
        </w:rPr>
        <w:t>11</w:t>
      </w:r>
      <w:r w:rsidRPr="006248D6">
        <w:rPr>
          <w:rFonts w:hint="eastAsia"/>
          <w:sz w:val="24"/>
          <w:szCs w:val="24"/>
        </w:rPr>
        <w:t>日日终，本基金已连续</w:t>
      </w:r>
      <w:r w:rsidRPr="006248D6">
        <w:rPr>
          <w:rFonts w:hint="eastAsia"/>
          <w:sz w:val="24"/>
          <w:szCs w:val="24"/>
        </w:rPr>
        <w:t>60</w:t>
      </w:r>
      <w:r w:rsidRPr="006248D6">
        <w:rPr>
          <w:rFonts w:hint="eastAsia"/>
          <w:sz w:val="24"/>
          <w:szCs w:val="24"/>
        </w:rPr>
        <w:t>个工作日出现基金份额持有人数量不满</w:t>
      </w:r>
      <w:r w:rsidRPr="006248D6">
        <w:rPr>
          <w:rFonts w:hint="eastAsia"/>
          <w:sz w:val="24"/>
          <w:szCs w:val="24"/>
        </w:rPr>
        <w:t>200</w:t>
      </w:r>
      <w:r w:rsidRPr="006248D6">
        <w:rPr>
          <w:rFonts w:hint="eastAsia"/>
          <w:sz w:val="24"/>
          <w:szCs w:val="24"/>
        </w:rPr>
        <w:t>人的情形，已触发《鹏华兴盛灵活配置混合型证券投资基金基金合同》约定的进入基金财产清算程序并终止情形，本基金自</w:t>
      </w:r>
      <w:r w:rsidRPr="006248D6">
        <w:rPr>
          <w:rFonts w:hint="eastAsia"/>
          <w:sz w:val="24"/>
          <w:szCs w:val="24"/>
        </w:rPr>
        <w:t>2018</w:t>
      </w:r>
      <w:r w:rsidRPr="006248D6">
        <w:rPr>
          <w:rFonts w:hint="eastAsia"/>
          <w:sz w:val="24"/>
          <w:szCs w:val="24"/>
        </w:rPr>
        <w:t>年</w:t>
      </w:r>
      <w:r w:rsidRPr="006248D6">
        <w:rPr>
          <w:rFonts w:hint="eastAsia"/>
          <w:sz w:val="24"/>
          <w:szCs w:val="24"/>
        </w:rPr>
        <w:t>10</w:t>
      </w:r>
      <w:r w:rsidRPr="006248D6">
        <w:rPr>
          <w:rFonts w:hint="eastAsia"/>
          <w:sz w:val="24"/>
          <w:szCs w:val="24"/>
        </w:rPr>
        <w:t>月</w:t>
      </w:r>
      <w:r w:rsidRPr="006248D6">
        <w:rPr>
          <w:rFonts w:hint="eastAsia"/>
          <w:sz w:val="24"/>
          <w:szCs w:val="24"/>
        </w:rPr>
        <w:t>18</w:t>
      </w:r>
      <w:r w:rsidRPr="006248D6">
        <w:rPr>
          <w:rFonts w:hint="eastAsia"/>
          <w:sz w:val="24"/>
          <w:szCs w:val="24"/>
        </w:rPr>
        <w:t>日起进入基金财产清算程序。</w:t>
      </w:r>
    </w:p>
    <w:p w:rsidR="006248D6" w:rsidRDefault="006248D6" w:rsidP="00A41AA1">
      <w:pPr>
        <w:widowControl/>
        <w:spacing w:line="360" w:lineRule="auto"/>
        <w:jc w:val="left"/>
        <w:rPr>
          <w:sz w:val="24"/>
          <w:szCs w:val="24"/>
        </w:rPr>
      </w:pPr>
    </w:p>
    <w:p w:rsidR="005F11B7" w:rsidRDefault="00A41AA1" w:rsidP="00A41AA1">
      <w:pPr>
        <w:widowControl/>
        <w:spacing w:line="360" w:lineRule="auto"/>
        <w:jc w:val="left"/>
        <w:rPr>
          <w:sz w:val="24"/>
          <w:szCs w:val="24"/>
        </w:rPr>
      </w:pPr>
      <w:r>
        <w:rPr>
          <w:rFonts w:hint="eastAsia"/>
          <w:sz w:val="24"/>
          <w:szCs w:val="24"/>
        </w:rPr>
        <w:t>3</w:t>
      </w:r>
      <w:r>
        <w:rPr>
          <w:rFonts w:hint="eastAsia"/>
          <w:sz w:val="24"/>
          <w:szCs w:val="24"/>
        </w:rPr>
        <w:t>、</w:t>
      </w:r>
      <w:r w:rsidR="005F11B7">
        <w:rPr>
          <w:rFonts w:hint="eastAsia"/>
          <w:sz w:val="24"/>
          <w:szCs w:val="24"/>
        </w:rPr>
        <w:t>清</w:t>
      </w:r>
      <w:r w:rsidR="005F11B7">
        <w:rPr>
          <w:sz w:val="24"/>
          <w:szCs w:val="24"/>
        </w:rPr>
        <w:t>算</w:t>
      </w:r>
      <w:r w:rsidR="005F11B7">
        <w:rPr>
          <w:rFonts w:hint="eastAsia"/>
          <w:sz w:val="24"/>
          <w:szCs w:val="24"/>
        </w:rPr>
        <w:t>起</w:t>
      </w:r>
      <w:r w:rsidR="005F11B7">
        <w:rPr>
          <w:sz w:val="24"/>
          <w:szCs w:val="24"/>
        </w:rPr>
        <w:t>始日</w:t>
      </w:r>
    </w:p>
    <w:p w:rsidR="005F11B7" w:rsidRDefault="005F11B7" w:rsidP="00A41AA1">
      <w:pPr>
        <w:widowControl/>
        <w:spacing w:line="360" w:lineRule="auto"/>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kern w:val="0"/>
          <w:sz w:val="24"/>
          <w:szCs w:val="24"/>
        </w:rPr>
        <w:t>基金从</w:t>
      </w:r>
      <w:r w:rsidR="00E30F67">
        <w:rPr>
          <w:rFonts w:ascii="宋体" w:hAnsi="宋体" w:cs="宋体" w:hint="eastAsia"/>
          <w:kern w:val="0"/>
          <w:sz w:val="24"/>
          <w:szCs w:val="24"/>
        </w:rPr>
        <w:t>2018</w:t>
      </w:r>
      <w:r>
        <w:rPr>
          <w:rFonts w:ascii="宋体" w:hAnsi="宋体" w:cs="宋体" w:hint="eastAsia"/>
          <w:kern w:val="0"/>
          <w:sz w:val="24"/>
          <w:szCs w:val="24"/>
        </w:rPr>
        <w:t>年</w:t>
      </w:r>
      <w:r w:rsidR="00E30F67">
        <w:rPr>
          <w:rFonts w:ascii="宋体" w:hAnsi="宋体" w:cs="宋体" w:hint="eastAsia"/>
          <w:kern w:val="0"/>
          <w:sz w:val="24"/>
          <w:szCs w:val="24"/>
        </w:rPr>
        <w:t>10</w:t>
      </w:r>
      <w:r>
        <w:rPr>
          <w:rFonts w:ascii="宋体" w:hAnsi="宋体" w:cs="宋体" w:hint="eastAsia"/>
          <w:kern w:val="0"/>
          <w:sz w:val="24"/>
          <w:szCs w:val="24"/>
        </w:rPr>
        <w:t>月</w:t>
      </w:r>
      <w:r w:rsidR="00E30F67">
        <w:rPr>
          <w:rFonts w:ascii="宋体" w:hAnsi="宋体" w:cs="宋体" w:hint="eastAsia"/>
          <w:kern w:val="0"/>
          <w:sz w:val="24"/>
          <w:szCs w:val="24"/>
        </w:rPr>
        <w:t>18</w:t>
      </w:r>
      <w:r>
        <w:rPr>
          <w:rFonts w:ascii="宋体" w:hAnsi="宋体" w:cs="宋体" w:hint="eastAsia"/>
          <w:kern w:val="0"/>
          <w:sz w:val="24"/>
          <w:szCs w:val="24"/>
        </w:rPr>
        <w:t>日</w:t>
      </w:r>
      <w:r>
        <w:rPr>
          <w:rFonts w:ascii="宋体" w:hAnsi="宋体" w:cs="宋体"/>
          <w:kern w:val="0"/>
          <w:sz w:val="24"/>
          <w:szCs w:val="24"/>
        </w:rPr>
        <w:t>起进入</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w:t>
      </w:r>
      <w:r w:rsidR="00DD0602" w:rsidRPr="00DD0602">
        <w:rPr>
          <w:rFonts w:ascii="宋体" w:hAnsi="宋体" w:cs="宋体" w:hint="eastAsia"/>
          <w:kern w:val="0"/>
          <w:sz w:val="24"/>
          <w:szCs w:val="24"/>
        </w:rPr>
        <w:t>由于</w:t>
      </w:r>
      <w:r w:rsidR="00DD0602" w:rsidRPr="00DD0602">
        <w:rPr>
          <w:rFonts w:ascii="宋体" w:hAnsi="宋体" w:cs="宋体"/>
          <w:kern w:val="0"/>
          <w:sz w:val="24"/>
          <w:szCs w:val="24"/>
        </w:rPr>
        <w:t>本基金持有停牌股票</w:t>
      </w:r>
      <w:r w:rsidR="00DD0602" w:rsidRPr="00DD0602">
        <w:rPr>
          <w:rFonts w:ascii="宋体" w:hAnsi="宋体" w:cs="宋体" w:hint="eastAsia"/>
          <w:kern w:val="0"/>
          <w:sz w:val="24"/>
          <w:szCs w:val="24"/>
        </w:rPr>
        <w:t>等流通</w:t>
      </w:r>
      <w:r w:rsidR="00DD0602" w:rsidRPr="00DD0602">
        <w:rPr>
          <w:rFonts w:ascii="宋体" w:hAnsi="宋体" w:cs="宋体"/>
          <w:kern w:val="0"/>
          <w:sz w:val="24"/>
          <w:szCs w:val="24"/>
        </w:rPr>
        <w:t>受限证券，所以本基金需要</w:t>
      </w:r>
      <w:r w:rsidR="00DD0602" w:rsidRPr="00DD0602">
        <w:rPr>
          <w:rFonts w:ascii="宋体" w:hAnsi="宋体" w:cs="宋体" w:hint="eastAsia"/>
          <w:kern w:val="0"/>
          <w:sz w:val="24"/>
          <w:szCs w:val="24"/>
        </w:rPr>
        <w:t>进行</w:t>
      </w:r>
      <w:r w:rsidR="00DD0602" w:rsidRPr="00DD0602">
        <w:rPr>
          <w:rFonts w:ascii="宋体" w:hAnsi="宋体" w:cs="宋体"/>
          <w:kern w:val="0"/>
          <w:sz w:val="24"/>
          <w:szCs w:val="24"/>
        </w:rPr>
        <w:t>二次清算，本次</w:t>
      </w:r>
      <w:r w:rsidR="00DD0602" w:rsidRPr="00DD0602">
        <w:rPr>
          <w:rFonts w:ascii="宋体" w:hAnsi="宋体" w:cs="宋体" w:hint="eastAsia"/>
          <w:kern w:val="0"/>
          <w:sz w:val="24"/>
          <w:szCs w:val="24"/>
        </w:rPr>
        <w:t>为</w:t>
      </w:r>
      <w:r w:rsidR="00DD0602" w:rsidRPr="00DD0602">
        <w:rPr>
          <w:rFonts w:ascii="宋体" w:hAnsi="宋体" w:cs="宋体"/>
          <w:kern w:val="0"/>
          <w:sz w:val="24"/>
          <w:szCs w:val="24"/>
        </w:rPr>
        <w:t>第一次清算，</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间</w:t>
      </w:r>
      <w:r>
        <w:rPr>
          <w:rFonts w:ascii="宋体" w:hAnsi="宋体" w:cs="宋体"/>
          <w:kern w:val="0"/>
          <w:sz w:val="24"/>
          <w:szCs w:val="24"/>
        </w:rPr>
        <w:t>为</w:t>
      </w:r>
      <w:r w:rsidR="00E30F67">
        <w:rPr>
          <w:rFonts w:ascii="宋体" w:hAnsi="宋体" w:cs="宋体" w:hint="eastAsia"/>
          <w:kern w:val="0"/>
          <w:sz w:val="24"/>
          <w:szCs w:val="24"/>
        </w:rPr>
        <w:t>2018</w:t>
      </w:r>
      <w:r>
        <w:rPr>
          <w:rFonts w:ascii="宋体" w:hAnsi="宋体" w:cs="宋体" w:hint="eastAsia"/>
          <w:kern w:val="0"/>
          <w:sz w:val="24"/>
          <w:szCs w:val="24"/>
        </w:rPr>
        <w:t>年</w:t>
      </w:r>
      <w:r w:rsidR="00E30F67">
        <w:rPr>
          <w:rFonts w:ascii="宋体" w:hAnsi="宋体" w:cs="宋体" w:hint="eastAsia"/>
          <w:kern w:val="0"/>
          <w:sz w:val="24"/>
          <w:szCs w:val="24"/>
        </w:rPr>
        <w:t>10</w:t>
      </w:r>
      <w:r>
        <w:rPr>
          <w:rFonts w:ascii="宋体" w:hAnsi="宋体" w:cs="宋体" w:hint="eastAsia"/>
          <w:kern w:val="0"/>
          <w:sz w:val="24"/>
          <w:szCs w:val="24"/>
        </w:rPr>
        <w:t>月</w:t>
      </w:r>
      <w:r w:rsidR="00E30F67">
        <w:rPr>
          <w:rFonts w:ascii="宋体" w:hAnsi="宋体" w:cs="宋体" w:hint="eastAsia"/>
          <w:kern w:val="0"/>
          <w:sz w:val="24"/>
          <w:szCs w:val="24"/>
        </w:rPr>
        <w:t>18</w:t>
      </w:r>
      <w:r>
        <w:rPr>
          <w:rFonts w:ascii="宋体" w:hAnsi="宋体" w:cs="宋体" w:hint="eastAsia"/>
          <w:kern w:val="0"/>
          <w:sz w:val="24"/>
          <w:szCs w:val="24"/>
        </w:rPr>
        <w:t>日至20</w:t>
      </w:r>
      <w:r w:rsidR="00E30F67">
        <w:rPr>
          <w:rFonts w:ascii="宋体" w:hAnsi="宋体" w:cs="宋体"/>
          <w:kern w:val="0"/>
          <w:sz w:val="24"/>
          <w:szCs w:val="24"/>
        </w:rPr>
        <w:t>18</w:t>
      </w:r>
      <w:r>
        <w:rPr>
          <w:rFonts w:ascii="宋体" w:hAnsi="宋体" w:cs="宋体" w:hint="eastAsia"/>
          <w:kern w:val="0"/>
          <w:sz w:val="24"/>
          <w:szCs w:val="24"/>
        </w:rPr>
        <w:t>年</w:t>
      </w:r>
      <w:r w:rsidR="00E30F67">
        <w:rPr>
          <w:rFonts w:ascii="宋体" w:hAnsi="宋体" w:cs="宋体" w:hint="eastAsia"/>
          <w:kern w:val="0"/>
          <w:sz w:val="24"/>
          <w:szCs w:val="24"/>
        </w:rPr>
        <w:t>11</w:t>
      </w:r>
      <w:r>
        <w:rPr>
          <w:rFonts w:ascii="宋体" w:hAnsi="宋体" w:cs="宋体" w:hint="eastAsia"/>
          <w:kern w:val="0"/>
          <w:sz w:val="24"/>
          <w:szCs w:val="24"/>
        </w:rPr>
        <w:t>月</w:t>
      </w:r>
      <w:r w:rsidR="00E30F67">
        <w:rPr>
          <w:rFonts w:ascii="宋体" w:hAnsi="宋体" w:cs="宋体" w:hint="eastAsia"/>
          <w:kern w:val="0"/>
          <w:sz w:val="24"/>
          <w:szCs w:val="24"/>
        </w:rPr>
        <w:t>2</w:t>
      </w:r>
      <w:r>
        <w:rPr>
          <w:rFonts w:ascii="宋体" w:hAnsi="宋体" w:cs="宋体" w:hint="eastAsia"/>
          <w:kern w:val="0"/>
          <w:sz w:val="24"/>
          <w:szCs w:val="24"/>
        </w:rPr>
        <w:t>日。</w:t>
      </w:r>
    </w:p>
    <w:p w:rsidR="006248D6" w:rsidRDefault="006248D6" w:rsidP="00A41AA1">
      <w:pPr>
        <w:widowControl/>
        <w:spacing w:line="360" w:lineRule="auto"/>
        <w:jc w:val="left"/>
        <w:rPr>
          <w:sz w:val="24"/>
          <w:szCs w:val="24"/>
        </w:rPr>
      </w:pPr>
    </w:p>
    <w:p w:rsidR="00A41AA1" w:rsidRDefault="005F11B7" w:rsidP="00A41AA1">
      <w:pPr>
        <w:widowControl/>
        <w:spacing w:line="360" w:lineRule="auto"/>
        <w:jc w:val="left"/>
        <w:rPr>
          <w:sz w:val="24"/>
          <w:szCs w:val="24"/>
        </w:rPr>
      </w:pPr>
      <w:r>
        <w:rPr>
          <w:rFonts w:hint="eastAsia"/>
          <w:sz w:val="24"/>
          <w:szCs w:val="24"/>
        </w:rPr>
        <w:t>4</w:t>
      </w:r>
      <w:r>
        <w:rPr>
          <w:rFonts w:hint="eastAsia"/>
          <w:sz w:val="24"/>
          <w:szCs w:val="24"/>
        </w:rPr>
        <w:t>、</w:t>
      </w:r>
      <w:r w:rsidR="00A41AA1">
        <w:rPr>
          <w:rFonts w:hint="eastAsia"/>
          <w:sz w:val="24"/>
          <w:szCs w:val="24"/>
        </w:rPr>
        <w:t>清</w:t>
      </w:r>
      <w:r w:rsidR="00A41AA1">
        <w:rPr>
          <w:sz w:val="24"/>
          <w:szCs w:val="24"/>
        </w:rPr>
        <w:t>算报</w:t>
      </w:r>
      <w:r w:rsidR="00A41AA1">
        <w:rPr>
          <w:rFonts w:hint="eastAsia"/>
          <w:sz w:val="24"/>
          <w:szCs w:val="24"/>
        </w:rPr>
        <w:t>表</w:t>
      </w:r>
      <w:r w:rsidR="00A41AA1">
        <w:rPr>
          <w:sz w:val="24"/>
          <w:szCs w:val="24"/>
        </w:rPr>
        <w:t>编制基础</w:t>
      </w:r>
    </w:p>
    <w:p w:rsidR="00DB06D8" w:rsidRDefault="00777F02" w:rsidP="00A41AA1">
      <w:pPr>
        <w:widowControl/>
        <w:spacing w:line="360" w:lineRule="auto"/>
        <w:jc w:val="left"/>
        <w:rPr>
          <w:sz w:val="24"/>
          <w:szCs w:val="24"/>
        </w:rPr>
      </w:pPr>
      <w:r>
        <w:rPr>
          <w:rFonts w:hint="eastAsia"/>
          <w:sz w:val="24"/>
          <w:szCs w:val="24"/>
        </w:rPr>
        <w:t>本</w:t>
      </w:r>
      <w:r>
        <w:rPr>
          <w:sz w:val="24"/>
          <w:szCs w:val="24"/>
        </w:rPr>
        <w:t>基金的清算报表是在非持续经营的前提下参考</w:t>
      </w:r>
      <w:r>
        <w:rPr>
          <w:rFonts w:hint="eastAsia"/>
          <w:sz w:val="24"/>
          <w:szCs w:val="24"/>
        </w:rPr>
        <w:t>《企业</w:t>
      </w:r>
      <w:r>
        <w:rPr>
          <w:sz w:val="24"/>
          <w:szCs w:val="24"/>
        </w:rPr>
        <w:t>会计准则</w:t>
      </w:r>
      <w:r>
        <w:rPr>
          <w:rFonts w:hint="eastAsia"/>
          <w:sz w:val="24"/>
          <w:szCs w:val="24"/>
        </w:rPr>
        <w:t>》及</w:t>
      </w:r>
      <w:r>
        <w:rPr>
          <w:sz w:val="24"/>
          <w:szCs w:val="24"/>
        </w:rPr>
        <w:t>证券投资基金会计核算业务指引</w:t>
      </w:r>
      <w:r>
        <w:rPr>
          <w:rFonts w:hint="eastAsia"/>
          <w:sz w:val="24"/>
          <w:szCs w:val="24"/>
        </w:rPr>
        <w:t>》的</w:t>
      </w:r>
      <w:r>
        <w:rPr>
          <w:sz w:val="24"/>
          <w:szCs w:val="24"/>
        </w:rPr>
        <w:t>有关规定编制的</w:t>
      </w:r>
      <w:r>
        <w:rPr>
          <w:rFonts w:hint="eastAsia"/>
          <w:sz w:val="24"/>
          <w:szCs w:val="24"/>
        </w:rPr>
        <w:t>。自</w:t>
      </w:r>
      <w:r>
        <w:rPr>
          <w:sz w:val="24"/>
          <w:szCs w:val="24"/>
        </w:rPr>
        <w:t>本基金最后</w:t>
      </w:r>
      <w:r>
        <w:rPr>
          <w:rFonts w:hint="eastAsia"/>
          <w:sz w:val="24"/>
          <w:szCs w:val="24"/>
        </w:rPr>
        <w:t>运作</w:t>
      </w:r>
      <w:r>
        <w:rPr>
          <w:sz w:val="24"/>
          <w:szCs w:val="24"/>
        </w:rPr>
        <w:t>日起</w:t>
      </w:r>
      <w:r>
        <w:rPr>
          <w:rFonts w:hint="eastAsia"/>
          <w:sz w:val="24"/>
          <w:szCs w:val="24"/>
        </w:rPr>
        <w:t>，资产</w:t>
      </w:r>
      <w:r>
        <w:rPr>
          <w:sz w:val="24"/>
          <w:szCs w:val="24"/>
        </w:rPr>
        <w:t>负债按清算价格计价</w:t>
      </w:r>
      <w:r>
        <w:rPr>
          <w:rFonts w:hint="eastAsia"/>
          <w:sz w:val="24"/>
          <w:szCs w:val="24"/>
        </w:rPr>
        <w:t>，由于报告</w:t>
      </w:r>
      <w:r>
        <w:rPr>
          <w:sz w:val="24"/>
          <w:szCs w:val="24"/>
        </w:rPr>
        <w:t>性质所</w:t>
      </w:r>
      <w:r>
        <w:rPr>
          <w:rFonts w:hint="eastAsia"/>
          <w:sz w:val="24"/>
          <w:szCs w:val="24"/>
        </w:rPr>
        <w:t>致，本</w:t>
      </w:r>
      <w:r>
        <w:rPr>
          <w:sz w:val="24"/>
          <w:szCs w:val="24"/>
        </w:rPr>
        <w:t>清算报</w:t>
      </w:r>
      <w:r>
        <w:rPr>
          <w:rFonts w:hint="eastAsia"/>
          <w:sz w:val="24"/>
          <w:szCs w:val="24"/>
        </w:rPr>
        <w:t>表</w:t>
      </w:r>
      <w:r>
        <w:rPr>
          <w:sz w:val="24"/>
          <w:szCs w:val="24"/>
        </w:rPr>
        <w:t>并无比较期间的相关数据列示</w:t>
      </w:r>
      <w:r>
        <w:rPr>
          <w:rFonts w:hint="eastAsia"/>
          <w:sz w:val="24"/>
          <w:szCs w:val="24"/>
        </w:rPr>
        <w:t>。</w:t>
      </w:r>
    </w:p>
    <w:p w:rsidR="006248D6" w:rsidRPr="00A41AA1" w:rsidRDefault="006248D6" w:rsidP="00A41AA1">
      <w:pPr>
        <w:widowControl/>
        <w:spacing w:line="360" w:lineRule="auto"/>
        <w:jc w:val="left"/>
        <w:rPr>
          <w:sz w:val="24"/>
          <w:szCs w:val="24"/>
        </w:rPr>
      </w:pPr>
    </w:p>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1"/>
    </w:p>
    <w:p w:rsidR="00E45AEB" w:rsidRPr="00F64285" w:rsidRDefault="00E45AEB" w:rsidP="00E45AEB">
      <w:pPr>
        <w:spacing w:line="360" w:lineRule="auto"/>
        <w:rPr>
          <w:rFonts w:ascii="宋体" w:hAnsi="宋体"/>
          <w:sz w:val="24"/>
          <w:szCs w:val="24"/>
        </w:rPr>
      </w:pPr>
      <w:bookmarkStart w:id="72" w:name="m07_01_tab"/>
      <w:bookmarkStart w:id="73" w:name="m07_01"/>
      <w:r w:rsidRPr="00F64285">
        <w:rPr>
          <w:rFonts w:ascii="宋体" w:hAnsi="宋体" w:hint="eastAsia"/>
          <w:sz w:val="24"/>
          <w:szCs w:val="24"/>
        </w:rPr>
        <w:t>资产负债表</w:t>
      </w:r>
    </w:p>
    <w:p w:rsidR="00E45AEB" w:rsidRPr="0098183B" w:rsidRDefault="00E45AEB" w:rsidP="00E45AEB">
      <w:pPr>
        <w:spacing w:line="360" w:lineRule="auto"/>
        <w:rPr>
          <w:rFonts w:ascii="宋体" w:hAnsi="宋体"/>
          <w:sz w:val="24"/>
          <w:szCs w:val="24"/>
        </w:rPr>
      </w:pPr>
      <w:r w:rsidRPr="0098183B">
        <w:rPr>
          <w:rFonts w:ascii="宋体" w:hAnsi="宋体" w:hint="eastAsia"/>
          <w:sz w:val="24"/>
          <w:szCs w:val="24"/>
        </w:rPr>
        <w:t>会计主体：</w:t>
      </w:r>
      <w:r w:rsidR="00E30F67" w:rsidRPr="0098183B">
        <w:rPr>
          <w:rFonts w:ascii="宋体" w:hAnsi="宋体" w:hint="eastAsia"/>
          <w:sz w:val="24"/>
          <w:szCs w:val="24"/>
          <w:lang/>
        </w:rPr>
        <w:t xml:space="preserve">鹏华兴盛灵活配置混合型证券投资基金 </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E30F67" w:rsidRPr="00E30F67">
        <w:rPr>
          <w:rFonts w:ascii="宋体" w:hAnsi="宋体" w:hint="eastAsia"/>
          <w:sz w:val="24"/>
          <w:szCs w:val="24"/>
        </w:rPr>
        <w:t>2018年10月17日</w:t>
      </w:r>
    </w:p>
    <w:bookmarkEnd w:id="72"/>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2835"/>
      </w:tblGrid>
      <w:tr w:rsidR="006248D6" w:rsidRPr="001B3757" w:rsidTr="006248D6">
        <w:trPr>
          <w:cantSplit/>
        </w:trPr>
        <w:tc>
          <w:tcPr>
            <w:tcW w:w="3407" w:type="pct"/>
            <w:tcBorders>
              <w:top w:val="single" w:sz="4" w:space="0" w:color="auto"/>
            </w:tcBorders>
            <w:vAlign w:val="center"/>
          </w:tcPr>
          <w:p w:rsidR="006248D6" w:rsidRPr="001B3757" w:rsidRDefault="006248D6" w:rsidP="00AE4DB2">
            <w:pPr>
              <w:pStyle w:val="a6"/>
              <w:spacing w:before="156" w:beforeAutospacing="0" w:after="156" w:afterAutospacing="0"/>
              <w:jc w:val="center"/>
              <w:rPr>
                <w:rFonts w:ascii="Arial" w:hAnsi="Arial" w:cs="Arial"/>
                <w:b/>
                <w:color w:val="000000"/>
              </w:rPr>
            </w:pPr>
            <w:bookmarkStart w:id="74" w:name="_Toc495929379"/>
            <w:bookmarkEnd w:id="73"/>
            <w:r w:rsidRPr="001B3757">
              <w:rPr>
                <w:rFonts w:ascii="Arial" w:hAnsi="Arial" w:cs="Arial"/>
                <w:b/>
                <w:color w:val="000000"/>
              </w:rPr>
              <w:t>资产</w:t>
            </w:r>
          </w:p>
        </w:tc>
        <w:tc>
          <w:tcPr>
            <w:tcW w:w="1593" w:type="pct"/>
            <w:tcBorders>
              <w:top w:val="single" w:sz="4" w:space="0" w:color="auto"/>
            </w:tcBorders>
            <w:vAlign w:val="center"/>
          </w:tcPr>
          <w:p w:rsidR="006248D6" w:rsidRPr="001B3757" w:rsidRDefault="006248D6" w:rsidP="00AE4DB2">
            <w:pPr>
              <w:pStyle w:val="a6"/>
              <w:spacing w:before="156" w:beforeAutospacing="0" w:after="156" w:afterAutospacing="0"/>
              <w:jc w:val="center"/>
              <w:rPr>
                <w:rFonts w:ascii="Arial" w:hAnsi="Arial" w:cs="Arial"/>
                <w:b/>
                <w:color w:val="000000"/>
              </w:rPr>
            </w:pPr>
            <w:r w:rsidRPr="001B3757">
              <w:rPr>
                <w:rFonts w:ascii="Arial" w:cs="Arial"/>
                <w:b/>
                <w:color w:val="000000"/>
              </w:rPr>
              <w:t>本期末</w:t>
            </w:r>
          </w:p>
          <w:p w:rsidR="006248D6" w:rsidRDefault="006248D6" w:rsidP="00AE4DB2">
            <w:pPr>
              <w:pStyle w:val="a6"/>
              <w:spacing w:before="156" w:beforeAutospacing="0" w:after="156" w:afterAutospacing="0"/>
              <w:ind w:left="-110" w:right="-84"/>
              <w:jc w:val="center"/>
              <w:rPr>
                <w:rFonts w:ascii="Arial" w:hAnsi="Arial" w:cs="Arial"/>
                <w:b/>
                <w:color w:val="000000"/>
              </w:rPr>
            </w:pPr>
            <w:r>
              <w:rPr>
                <w:rFonts w:ascii="Arial" w:hAnsi="Arial" w:cs="Arial"/>
                <w:b/>
                <w:color w:val="000000"/>
              </w:rPr>
              <w:t>2018</w:t>
            </w:r>
            <w:r>
              <w:rPr>
                <w:rFonts w:ascii="Arial" w:hAnsi="Arial" w:cs="Arial"/>
                <w:b/>
                <w:color w:val="000000"/>
              </w:rPr>
              <w:t>年</w:t>
            </w:r>
            <w:r>
              <w:rPr>
                <w:rFonts w:ascii="Arial" w:hAnsi="Arial" w:cs="Arial"/>
                <w:b/>
                <w:color w:val="000000"/>
              </w:rPr>
              <w:t>10</w:t>
            </w:r>
            <w:r>
              <w:rPr>
                <w:rFonts w:ascii="Arial" w:hAnsi="Arial" w:cs="Arial"/>
                <w:b/>
                <w:color w:val="000000"/>
              </w:rPr>
              <w:t>月</w:t>
            </w:r>
            <w:r>
              <w:rPr>
                <w:rFonts w:ascii="Arial" w:hAnsi="Arial" w:cs="Arial"/>
                <w:b/>
                <w:color w:val="000000"/>
              </w:rPr>
              <w:t>17</w:t>
            </w:r>
            <w:r>
              <w:rPr>
                <w:rFonts w:ascii="Arial" w:hAnsi="Arial" w:cs="Arial"/>
                <w:b/>
                <w:color w:val="000000"/>
              </w:rPr>
              <w:t>日</w:t>
            </w:r>
          </w:p>
          <w:p w:rsidR="006248D6" w:rsidRPr="001B3757" w:rsidRDefault="006248D6" w:rsidP="00AE4DB2">
            <w:pPr>
              <w:pStyle w:val="a6"/>
              <w:spacing w:before="156" w:beforeAutospacing="0" w:after="156" w:afterAutospacing="0"/>
              <w:ind w:left="-110" w:right="-84"/>
              <w:jc w:val="center"/>
              <w:rPr>
                <w:rFonts w:ascii="Arial" w:hAnsi="Arial" w:cs="Arial"/>
                <w:b/>
                <w:color w:val="000000"/>
              </w:rPr>
            </w:pPr>
            <w:r w:rsidRPr="001B3757">
              <w:rPr>
                <w:rFonts w:ascii="Arial" w:hAnsi="Arial" w:cs="Arial" w:hint="eastAsia"/>
                <w:b/>
                <w:color w:val="000000"/>
              </w:rPr>
              <w:t>(</w:t>
            </w:r>
            <w:r w:rsidRPr="001B3757">
              <w:rPr>
                <w:rFonts w:ascii="Arial" w:hAnsi="Arial" w:cs="Arial" w:hint="eastAsia"/>
                <w:b/>
                <w:color w:val="000000"/>
              </w:rPr>
              <w:t>基金</w:t>
            </w:r>
            <w:r w:rsidRPr="001B3757">
              <w:rPr>
                <w:rFonts w:ascii="Arial" w:hAnsi="Arial" w:cs="Arial"/>
                <w:b/>
                <w:color w:val="000000"/>
              </w:rPr>
              <w:t>最后</w:t>
            </w:r>
            <w:r w:rsidRPr="001B3757">
              <w:rPr>
                <w:rFonts w:ascii="Arial" w:hAnsi="Arial" w:cs="Arial" w:hint="eastAsia"/>
                <w:b/>
                <w:color w:val="000000"/>
              </w:rPr>
              <w:t>运作</w:t>
            </w:r>
            <w:r w:rsidRPr="001B3757">
              <w:rPr>
                <w:rFonts w:ascii="Arial" w:hAnsi="Arial" w:cs="Arial"/>
                <w:b/>
                <w:color w:val="000000"/>
              </w:rPr>
              <w:t>日</w:t>
            </w:r>
            <w:r w:rsidRPr="001B3757">
              <w:rPr>
                <w:rFonts w:ascii="Arial" w:hAnsi="Arial" w:cs="Arial" w:hint="eastAsia"/>
                <w:b/>
                <w:color w:val="000000"/>
              </w:rPr>
              <w:t>)</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b/>
                <w:color w:val="000000"/>
              </w:rPr>
              <w:t>资产：</w:t>
            </w:r>
          </w:p>
        </w:tc>
        <w:tc>
          <w:tcPr>
            <w:tcW w:w="1593" w:type="pct"/>
            <w:vAlign w:val="bottom"/>
          </w:tcPr>
          <w:p w:rsidR="006248D6" w:rsidRPr="001B3757" w:rsidRDefault="006248D6" w:rsidP="00AE4DB2">
            <w:pPr>
              <w:pStyle w:val="a6"/>
              <w:spacing w:before="156" w:beforeAutospacing="0" w:after="156" w:afterAutospacing="0"/>
              <w:rPr>
                <w:rFonts w:ascii="Arial" w:hAnsi="Arial" w:cs="Arial"/>
                <w:color w:val="000000"/>
              </w:rPr>
            </w:pP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color w:val="000000"/>
              </w:rPr>
              <w:t>银行存款</w:t>
            </w:r>
          </w:p>
        </w:tc>
        <w:tc>
          <w:tcPr>
            <w:tcW w:w="1593" w:type="pct"/>
            <w:vAlign w:val="bottom"/>
          </w:tcPr>
          <w:p w:rsidR="006248D6" w:rsidRPr="0002651D" w:rsidRDefault="006248D6" w:rsidP="00AE4DB2">
            <w:pPr>
              <w:tabs>
                <w:tab w:val="decimal" w:pos="1603"/>
              </w:tabs>
              <w:rPr>
                <w:color w:val="000000"/>
                <w:sz w:val="24"/>
                <w:szCs w:val="24"/>
              </w:rPr>
            </w:pPr>
            <w:r w:rsidRPr="0002651D">
              <w:rPr>
                <w:color w:val="000000"/>
                <w:sz w:val="24"/>
                <w:szCs w:val="24"/>
              </w:rPr>
              <w:t>2,768,376.73</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color w:val="000000"/>
              </w:rPr>
              <w:t>结算备付金</w:t>
            </w:r>
          </w:p>
        </w:tc>
        <w:tc>
          <w:tcPr>
            <w:tcW w:w="1593" w:type="pct"/>
            <w:vAlign w:val="bottom"/>
          </w:tcPr>
          <w:p w:rsidR="006248D6" w:rsidRPr="0002651D" w:rsidRDefault="006248D6" w:rsidP="00AE4DB2">
            <w:pPr>
              <w:tabs>
                <w:tab w:val="decimal" w:pos="1603"/>
              </w:tabs>
              <w:rPr>
                <w:color w:val="000000"/>
                <w:sz w:val="24"/>
                <w:szCs w:val="24"/>
              </w:rPr>
            </w:pPr>
            <w:r w:rsidRPr="0002651D">
              <w:rPr>
                <w:color w:val="000000"/>
                <w:sz w:val="24"/>
                <w:szCs w:val="24"/>
              </w:rPr>
              <w:t>16,481.37</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hint="eastAsia"/>
                <w:color w:val="000000"/>
              </w:rPr>
              <w:t>存出保证金</w:t>
            </w:r>
          </w:p>
        </w:tc>
        <w:tc>
          <w:tcPr>
            <w:tcW w:w="1593" w:type="pct"/>
            <w:vAlign w:val="bottom"/>
          </w:tcPr>
          <w:p w:rsidR="006248D6" w:rsidRPr="0002651D" w:rsidRDefault="006248D6" w:rsidP="00AE4DB2">
            <w:pPr>
              <w:tabs>
                <w:tab w:val="decimal" w:pos="1603"/>
              </w:tabs>
              <w:rPr>
                <w:color w:val="000000"/>
                <w:sz w:val="24"/>
                <w:szCs w:val="24"/>
              </w:rPr>
            </w:pPr>
            <w:r w:rsidRPr="0002651D">
              <w:rPr>
                <w:color w:val="000000"/>
                <w:sz w:val="24"/>
                <w:szCs w:val="24"/>
              </w:rPr>
              <w:t>16,447.53</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hint="eastAsia"/>
                <w:color w:val="000000"/>
              </w:rPr>
              <w:t>交易性金融资产</w:t>
            </w:r>
          </w:p>
        </w:tc>
        <w:tc>
          <w:tcPr>
            <w:tcW w:w="1593" w:type="pct"/>
            <w:vAlign w:val="bottom"/>
          </w:tcPr>
          <w:p w:rsidR="006248D6" w:rsidRPr="0002651D" w:rsidRDefault="006248D6" w:rsidP="00AE4DB2">
            <w:pPr>
              <w:tabs>
                <w:tab w:val="decimal" w:pos="1603"/>
              </w:tabs>
              <w:rPr>
                <w:color w:val="000000"/>
                <w:sz w:val="24"/>
                <w:szCs w:val="24"/>
              </w:rPr>
            </w:pPr>
            <w:r w:rsidRPr="0002651D">
              <w:rPr>
                <w:color w:val="000000"/>
                <w:sz w:val="24"/>
                <w:szCs w:val="24"/>
              </w:rPr>
              <w:t>2,033,694.72</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color w:val="000000"/>
              </w:rPr>
              <w:t>其中：</w:t>
            </w:r>
            <w:r>
              <w:rPr>
                <w:rFonts w:ascii="Arial" w:hAnsi="Arial" w:cs="Arial" w:hint="eastAsia"/>
                <w:color w:val="000000"/>
              </w:rPr>
              <w:t>股票投资</w:t>
            </w:r>
          </w:p>
        </w:tc>
        <w:tc>
          <w:tcPr>
            <w:tcW w:w="1593" w:type="pct"/>
            <w:vAlign w:val="bottom"/>
          </w:tcPr>
          <w:p w:rsidR="006248D6" w:rsidRPr="0002651D" w:rsidRDefault="006248D6" w:rsidP="00AE4DB2">
            <w:pPr>
              <w:tabs>
                <w:tab w:val="decimal" w:pos="1603"/>
              </w:tabs>
              <w:rPr>
                <w:color w:val="000000"/>
                <w:sz w:val="24"/>
                <w:szCs w:val="24"/>
              </w:rPr>
            </w:pPr>
            <w:r w:rsidRPr="0002651D">
              <w:rPr>
                <w:color w:val="000000"/>
                <w:sz w:val="24"/>
                <w:szCs w:val="24"/>
              </w:rPr>
              <w:t>2,033,694.72</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hint="eastAsia"/>
                <w:color w:val="000000"/>
              </w:rPr>
              <w:t>债券投资</w:t>
            </w:r>
          </w:p>
        </w:tc>
        <w:tc>
          <w:tcPr>
            <w:tcW w:w="1593" w:type="pct"/>
            <w:vAlign w:val="bottom"/>
          </w:tcPr>
          <w:p w:rsidR="006248D6" w:rsidRPr="0002651D" w:rsidRDefault="006248D6" w:rsidP="00AE4DB2">
            <w:pPr>
              <w:tabs>
                <w:tab w:val="decimal" w:pos="1603"/>
              </w:tabs>
              <w:rPr>
                <w:color w:val="000000"/>
                <w:sz w:val="24"/>
                <w:szCs w:val="24"/>
              </w:rPr>
            </w:pPr>
            <w:r w:rsidRPr="0002651D">
              <w:rPr>
                <w:color w:val="000000"/>
                <w:sz w:val="24"/>
                <w:szCs w:val="24"/>
              </w:rPr>
              <w:t>-</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hint="eastAsia"/>
                <w:color w:val="000000"/>
              </w:rPr>
              <w:t>买入返售金融资产</w:t>
            </w:r>
          </w:p>
        </w:tc>
        <w:tc>
          <w:tcPr>
            <w:tcW w:w="1593" w:type="pct"/>
            <w:vAlign w:val="bottom"/>
          </w:tcPr>
          <w:p w:rsidR="006248D6" w:rsidRPr="0002651D" w:rsidRDefault="006248D6" w:rsidP="00AE4DB2">
            <w:pPr>
              <w:tabs>
                <w:tab w:val="decimal" w:pos="1603"/>
              </w:tabs>
              <w:rPr>
                <w:color w:val="000000"/>
                <w:sz w:val="24"/>
                <w:szCs w:val="24"/>
              </w:rPr>
            </w:pPr>
            <w:r w:rsidRPr="0002651D">
              <w:rPr>
                <w:color w:val="000000"/>
                <w:sz w:val="24"/>
                <w:szCs w:val="24"/>
              </w:rPr>
              <w:t>-</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color w:val="000000"/>
              </w:rPr>
              <w:t>应收利息</w:t>
            </w:r>
          </w:p>
        </w:tc>
        <w:tc>
          <w:tcPr>
            <w:tcW w:w="1593" w:type="pct"/>
            <w:vAlign w:val="bottom"/>
          </w:tcPr>
          <w:p w:rsidR="006248D6" w:rsidRPr="0002651D" w:rsidRDefault="006248D6" w:rsidP="00AE4DB2">
            <w:pPr>
              <w:tabs>
                <w:tab w:val="decimal" w:pos="1603"/>
              </w:tabs>
              <w:rPr>
                <w:color w:val="000000"/>
                <w:sz w:val="24"/>
                <w:szCs w:val="24"/>
              </w:rPr>
            </w:pPr>
            <w:r w:rsidRPr="0002651D">
              <w:rPr>
                <w:color w:val="000000"/>
                <w:sz w:val="24"/>
                <w:szCs w:val="24"/>
              </w:rPr>
              <w:t>1,748.87</w:t>
            </w:r>
          </w:p>
        </w:tc>
      </w:tr>
      <w:tr w:rsidR="006248D6" w:rsidRPr="001B3757" w:rsidTr="006248D6">
        <w:trPr>
          <w:cantSplit/>
        </w:trPr>
        <w:tc>
          <w:tcPr>
            <w:tcW w:w="3407" w:type="pct"/>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b/>
                <w:color w:val="000000"/>
              </w:rPr>
              <w:t>资产总计</w:t>
            </w:r>
          </w:p>
        </w:tc>
        <w:tc>
          <w:tcPr>
            <w:tcW w:w="1593" w:type="pct"/>
            <w:vAlign w:val="bottom"/>
          </w:tcPr>
          <w:p w:rsidR="006248D6" w:rsidRPr="0002651D" w:rsidRDefault="006248D6" w:rsidP="00AE4DB2">
            <w:pPr>
              <w:tabs>
                <w:tab w:val="decimal" w:pos="1603"/>
              </w:tabs>
              <w:rPr>
                <w:b/>
                <w:color w:val="000000"/>
                <w:sz w:val="24"/>
                <w:szCs w:val="24"/>
              </w:rPr>
            </w:pPr>
            <w:r w:rsidRPr="0002651D">
              <w:rPr>
                <w:b/>
                <w:color w:val="000000"/>
                <w:sz w:val="24"/>
                <w:szCs w:val="24"/>
              </w:rPr>
              <w:t>4,836,749.22</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b/>
                <w:color w:val="000000"/>
              </w:rPr>
              <w:t>负债和所有者权益</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b/>
                <w:color w:val="000000"/>
              </w:rPr>
              <w:t>负债：</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p>
        </w:tc>
      </w:tr>
      <w:tr w:rsidR="006248D6" w:rsidRPr="00095A0C"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095A0C" w:rsidRDefault="006248D6" w:rsidP="00AE4DB2">
            <w:pPr>
              <w:pStyle w:val="a6"/>
              <w:spacing w:before="156" w:beforeAutospacing="0" w:after="156" w:afterAutospacing="0"/>
              <w:rPr>
                <w:rFonts w:ascii="Arial" w:hAnsi="Arial" w:cs="Arial"/>
                <w:color w:val="000000"/>
              </w:rPr>
            </w:pPr>
            <w:r w:rsidRPr="00095A0C">
              <w:rPr>
                <w:rFonts w:ascii="Arial" w:hAnsi="Arial" w:cs="Arial" w:hint="eastAsia"/>
                <w:color w:val="000000"/>
              </w:rPr>
              <w:t>应付证券清算款</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r w:rsidRPr="0002651D">
              <w:rPr>
                <w:color w:val="000000"/>
                <w:sz w:val="24"/>
                <w:szCs w:val="24"/>
              </w:rPr>
              <w:t>-</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color w:val="000000"/>
              </w:rPr>
              <w:t>应付管理人报酬</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r w:rsidRPr="0002651D">
              <w:rPr>
                <w:color w:val="000000"/>
                <w:sz w:val="24"/>
                <w:szCs w:val="24"/>
              </w:rPr>
              <w:t>1,743.09</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color w:val="000000"/>
              </w:rPr>
              <w:t>应付托管费</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r w:rsidRPr="0002651D">
              <w:rPr>
                <w:color w:val="000000"/>
                <w:sz w:val="24"/>
                <w:szCs w:val="24"/>
              </w:rPr>
              <w:t>290.52</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color w:val="000000"/>
              </w:rPr>
              <w:t>应付交易费用</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r w:rsidRPr="0002651D">
              <w:rPr>
                <w:color w:val="000000"/>
                <w:sz w:val="24"/>
                <w:szCs w:val="24"/>
              </w:rPr>
              <w:t>-</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color w:val="000000"/>
              </w:rPr>
              <w:t>其他负债</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bookmarkStart w:id="75" w:name="OLE_LINK1"/>
            <w:r w:rsidRPr="0002651D">
              <w:rPr>
                <w:color w:val="000000"/>
                <w:sz w:val="24"/>
                <w:szCs w:val="24"/>
              </w:rPr>
              <w:t>325,372.90</w:t>
            </w:r>
            <w:bookmarkEnd w:id="75"/>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b/>
                <w:color w:val="000000"/>
              </w:rPr>
              <w:t>负债合计</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b/>
                <w:color w:val="000000"/>
                <w:sz w:val="24"/>
                <w:szCs w:val="24"/>
              </w:rPr>
            </w:pPr>
            <w:r w:rsidRPr="0002651D">
              <w:rPr>
                <w:b/>
                <w:color w:val="000000"/>
                <w:sz w:val="24"/>
                <w:szCs w:val="24"/>
              </w:rPr>
              <w:t>327,406.51</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b/>
                <w:color w:val="000000"/>
              </w:rPr>
              <w:t>所有者权益：</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hint="eastAsia"/>
                <w:color w:val="000000"/>
              </w:rPr>
              <w:t>实收基金</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r w:rsidRPr="0002651D">
              <w:rPr>
                <w:color w:val="000000"/>
                <w:sz w:val="24"/>
                <w:szCs w:val="24"/>
              </w:rPr>
              <w:t>4,445,242.31</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color w:val="000000"/>
              </w:rPr>
            </w:pPr>
            <w:r w:rsidRPr="001B3757">
              <w:rPr>
                <w:rFonts w:ascii="Arial" w:hAnsi="Arial" w:cs="Arial" w:hint="eastAsia"/>
                <w:color w:val="000000"/>
              </w:rPr>
              <w:t>未分配利润</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color w:val="000000"/>
                <w:sz w:val="24"/>
                <w:szCs w:val="24"/>
              </w:rPr>
            </w:pPr>
            <w:r w:rsidRPr="0002651D">
              <w:rPr>
                <w:color w:val="000000"/>
                <w:sz w:val="24"/>
                <w:szCs w:val="24"/>
              </w:rPr>
              <w:t>64,100.40</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hint="eastAsia"/>
                <w:b/>
                <w:color w:val="000000"/>
              </w:rPr>
              <w:t>所有者权益合计</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b/>
                <w:color w:val="000000"/>
                <w:sz w:val="24"/>
                <w:szCs w:val="24"/>
              </w:rPr>
            </w:pPr>
            <w:r w:rsidRPr="0002651D">
              <w:rPr>
                <w:b/>
                <w:color w:val="000000"/>
                <w:sz w:val="24"/>
                <w:szCs w:val="24"/>
              </w:rPr>
              <w:t>4,509,342.71</w:t>
            </w:r>
          </w:p>
        </w:tc>
      </w:tr>
      <w:tr w:rsidR="006248D6" w:rsidRPr="001B3757" w:rsidTr="006248D6">
        <w:trPr>
          <w:cantSplit/>
        </w:trPr>
        <w:tc>
          <w:tcPr>
            <w:tcW w:w="3407" w:type="pct"/>
            <w:tcBorders>
              <w:top w:val="single" w:sz="4" w:space="0" w:color="auto"/>
              <w:left w:val="single" w:sz="4" w:space="0" w:color="auto"/>
              <w:bottom w:val="single" w:sz="4" w:space="0" w:color="auto"/>
              <w:right w:val="single" w:sz="4" w:space="0" w:color="auto"/>
            </w:tcBorders>
            <w:vAlign w:val="bottom"/>
          </w:tcPr>
          <w:p w:rsidR="006248D6" w:rsidRPr="001B3757" w:rsidRDefault="006248D6" w:rsidP="00AE4DB2">
            <w:pPr>
              <w:pStyle w:val="a6"/>
              <w:spacing w:before="156" w:beforeAutospacing="0" w:after="156" w:afterAutospacing="0"/>
              <w:rPr>
                <w:rFonts w:ascii="Arial" w:hAnsi="Arial" w:cs="Arial"/>
                <w:b/>
                <w:color w:val="000000"/>
              </w:rPr>
            </w:pPr>
            <w:r w:rsidRPr="001B3757">
              <w:rPr>
                <w:rFonts w:ascii="Arial" w:hAnsi="Arial" w:cs="Arial" w:hint="eastAsia"/>
                <w:b/>
                <w:color w:val="000000"/>
              </w:rPr>
              <w:t>负债和所有者权益总计</w:t>
            </w:r>
          </w:p>
        </w:tc>
        <w:tc>
          <w:tcPr>
            <w:tcW w:w="1593" w:type="pct"/>
            <w:tcBorders>
              <w:top w:val="single" w:sz="4" w:space="0" w:color="auto"/>
              <w:left w:val="single" w:sz="4" w:space="0" w:color="auto"/>
              <w:bottom w:val="single" w:sz="4" w:space="0" w:color="auto"/>
              <w:right w:val="single" w:sz="4" w:space="0" w:color="auto"/>
            </w:tcBorders>
            <w:vAlign w:val="bottom"/>
          </w:tcPr>
          <w:p w:rsidR="006248D6" w:rsidRPr="0002651D" w:rsidRDefault="006248D6" w:rsidP="00AE4DB2">
            <w:pPr>
              <w:tabs>
                <w:tab w:val="decimal" w:pos="1603"/>
              </w:tabs>
              <w:rPr>
                <w:b/>
                <w:color w:val="000000"/>
                <w:sz w:val="24"/>
                <w:szCs w:val="24"/>
              </w:rPr>
            </w:pPr>
            <w:r w:rsidRPr="0002651D">
              <w:rPr>
                <w:b/>
                <w:color w:val="000000"/>
                <w:sz w:val="24"/>
                <w:szCs w:val="24"/>
              </w:rPr>
              <w:t>4,836,749.22</w:t>
            </w:r>
          </w:p>
        </w:tc>
      </w:tr>
    </w:tbl>
    <w:p w:rsidR="00A41AA1" w:rsidRPr="004C5AAA" w:rsidRDefault="00A41AA1" w:rsidP="00A41AA1">
      <w:pPr>
        <w:spacing w:line="360" w:lineRule="auto"/>
        <w:rPr>
          <w:sz w:val="24"/>
          <w:szCs w:val="24"/>
        </w:rPr>
      </w:pP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6" w:name="_Toc405886432"/>
      <w:bookmarkStart w:id="77" w:name="_Toc405886433"/>
      <w:bookmarkStart w:id="78" w:name="_Toc405886434"/>
      <w:bookmarkStart w:id="79" w:name="_Toc405886435"/>
      <w:bookmarkStart w:id="80" w:name="_Toc405886436"/>
      <w:bookmarkStart w:id="81" w:name="_Toc405886437"/>
      <w:bookmarkStart w:id="82" w:name="_Toc405886438"/>
      <w:bookmarkStart w:id="83" w:name="_Toc405886439"/>
      <w:bookmarkStart w:id="84" w:name="_Toc405886440"/>
      <w:bookmarkStart w:id="85" w:name="_Toc405886441"/>
      <w:bookmarkStart w:id="86" w:name="_Toc405886442"/>
      <w:bookmarkStart w:id="87" w:name="_Toc405886443"/>
      <w:bookmarkStart w:id="88" w:name="_Toc405886444"/>
      <w:bookmarkStart w:id="89" w:name="_Toc405886445"/>
      <w:bookmarkStart w:id="90" w:name="_Toc405886446"/>
      <w:bookmarkStart w:id="91" w:name="_Toc405886447"/>
      <w:bookmarkStart w:id="92" w:name="_Toc405886448"/>
      <w:bookmarkStart w:id="93" w:name="_Toc405886449"/>
      <w:bookmarkStart w:id="94" w:name="_Toc405886450"/>
      <w:bookmarkStart w:id="95" w:name="_Toc405886451"/>
      <w:bookmarkStart w:id="96" w:name="_Toc405886452"/>
      <w:bookmarkStart w:id="97" w:name="_Toc405886453"/>
      <w:bookmarkStart w:id="98" w:name="_Toc405886454"/>
      <w:bookmarkStart w:id="99" w:name="_Toc405886455"/>
      <w:bookmarkStart w:id="100" w:name="_Toc405886456"/>
      <w:bookmarkStart w:id="101" w:name="_Toc405886457"/>
      <w:bookmarkStart w:id="102" w:name="_Toc405886458"/>
      <w:bookmarkStart w:id="103" w:name="_Toc405886459"/>
      <w:bookmarkStart w:id="104" w:name="_Toc405886460"/>
      <w:bookmarkStart w:id="105" w:name="_Toc405886461"/>
      <w:bookmarkStart w:id="106" w:name="_Toc405886462"/>
      <w:bookmarkStart w:id="107" w:name="_Toc405886463"/>
      <w:bookmarkStart w:id="108" w:name="_Toc405886464"/>
      <w:bookmarkStart w:id="109" w:name="_Toc405886465"/>
      <w:bookmarkStart w:id="110" w:name="_Toc405886466"/>
      <w:bookmarkStart w:id="111" w:name="_Toc405886467"/>
      <w:bookmarkStart w:id="112" w:name="_Toc405886468"/>
      <w:bookmarkStart w:id="113" w:name="_Toc405886469"/>
      <w:bookmarkStart w:id="114" w:name="_Toc405886470"/>
      <w:bookmarkStart w:id="115" w:name="_Toc405886471"/>
      <w:bookmarkStart w:id="116" w:name="_Toc405886472"/>
      <w:bookmarkStart w:id="117" w:name="_Toc405886473"/>
      <w:bookmarkStart w:id="118" w:name="_Toc405886474"/>
      <w:bookmarkStart w:id="119" w:name="_Toc405886475"/>
      <w:bookmarkStart w:id="120" w:name="_Toc405886476"/>
      <w:bookmarkStart w:id="121" w:name="_Toc405886477"/>
      <w:bookmarkStart w:id="122" w:name="_Toc405886478"/>
      <w:bookmarkStart w:id="123" w:name="_Toc405886479"/>
      <w:bookmarkStart w:id="124" w:name="_Toc405886480"/>
      <w:bookmarkStart w:id="125" w:name="_Toc405886481"/>
      <w:bookmarkStart w:id="126" w:name="_Toc405886482"/>
      <w:bookmarkStart w:id="127" w:name="_Toc405886483"/>
      <w:bookmarkStart w:id="128" w:name="_Toc405886484"/>
      <w:bookmarkStart w:id="129" w:name="_Toc405886485"/>
      <w:bookmarkStart w:id="130" w:name="_Toc405886486"/>
      <w:bookmarkStart w:id="131" w:name="_Toc405886487"/>
      <w:bookmarkStart w:id="132" w:name="_Toc405886488"/>
      <w:bookmarkStart w:id="133" w:name="_Toc405886489"/>
      <w:bookmarkStart w:id="134" w:name="_Toc405886490"/>
      <w:bookmarkStart w:id="135" w:name="_Toc405886491"/>
      <w:bookmarkStart w:id="136" w:name="_Toc405886492"/>
      <w:bookmarkStart w:id="137" w:name="_Toc405886493"/>
      <w:bookmarkStart w:id="138" w:name="_Toc405886494"/>
      <w:bookmarkStart w:id="139" w:name="_Toc405886495"/>
      <w:bookmarkStart w:id="140" w:name="_Toc405886496"/>
      <w:bookmarkStart w:id="141" w:name="_Toc405886497"/>
      <w:bookmarkStart w:id="142" w:name="_Toc405886498"/>
      <w:bookmarkStart w:id="143" w:name="_Toc405886499"/>
      <w:bookmarkStart w:id="144" w:name="_Toc405886500"/>
      <w:bookmarkStart w:id="145" w:name="_Toc405886501"/>
      <w:bookmarkStart w:id="146" w:name="_Toc405886502"/>
      <w:bookmarkStart w:id="147" w:name="_Toc405886503"/>
      <w:bookmarkStart w:id="148" w:name="_Toc405886504"/>
      <w:bookmarkStart w:id="149" w:name="_Toc405886505"/>
      <w:bookmarkStart w:id="150" w:name="_Toc405886506"/>
      <w:bookmarkStart w:id="151" w:name="_Toc405886507"/>
      <w:bookmarkStart w:id="152" w:name="_Toc405886508"/>
      <w:bookmarkStart w:id="153" w:name="_Toc405886509"/>
      <w:bookmarkStart w:id="154" w:name="_Toc405886510"/>
      <w:bookmarkStart w:id="155" w:name="_Toc405886511"/>
      <w:bookmarkStart w:id="156" w:name="_Toc405886512"/>
      <w:bookmarkStart w:id="157" w:name="_Toc405886513"/>
      <w:bookmarkStart w:id="158" w:name="_Toc405886514"/>
      <w:bookmarkStart w:id="159" w:name="_Toc405886515"/>
      <w:bookmarkStart w:id="160" w:name="_Toc405886516"/>
      <w:bookmarkStart w:id="161" w:name="_Toc405886517"/>
      <w:bookmarkStart w:id="162" w:name="_Toc405886518"/>
      <w:bookmarkStart w:id="163" w:name="_Toc405886519"/>
      <w:bookmarkStart w:id="164" w:name="_Toc405886520"/>
      <w:bookmarkStart w:id="165" w:name="_Toc405886521"/>
      <w:bookmarkStart w:id="166" w:name="_Toc405886522"/>
      <w:bookmarkStart w:id="167" w:name="_Toc405886523"/>
      <w:bookmarkStart w:id="168" w:name="_Toc405886524"/>
      <w:bookmarkStart w:id="169" w:name="_Toc405886525"/>
      <w:bookmarkStart w:id="170" w:name="_Toc405886526"/>
      <w:bookmarkStart w:id="171" w:name="_Toc405886527"/>
      <w:bookmarkStart w:id="172" w:name="_Toc405886528"/>
      <w:bookmarkStart w:id="173" w:name="_Toc405886529"/>
      <w:bookmarkStart w:id="174" w:name="_Toc405886530"/>
      <w:bookmarkStart w:id="175" w:name="_Toc405886531"/>
      <w:bookmarkStart w:id="176" w:name="_Toc495929383"/>
      <w:bookmarkEnd w:id="7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F64285">
        <w:rPr>
          <w:rFonts w:ascii="宋体" w:hAnsi="宋体" w:hint="eastAsia"/>
        </w:rPr>
        <w:t>五、清算情况</w:t>
      </w:r>
      <w:bookmarkEnd w:id="176"/>
    </w:p>
    <w:p w:rsidR="00E45AEB" w:rsidRPr="00F64285" w:rsidRDefault="00E45AEB" w:rsidP="00E45AEB">
      <w:pPr>
        <w:spacing w:line="360" w:lineRule="auto"/>
        <w:ind w:firstLineChars="200" w:firstLine="480"/>
        <w:rPr>
          <w:sz w:val="24"/>
          <w:szCs w:val="24"/>
        </w:rPr>
      </w:pPr>
      <w:bookmarkStart w:id="177" w:name="m07_04_08_01"/>
      <w:r w:rsidRPr="00F64285">
        <w:rPr>
          <w:rFonts w:hint="eastAsia"/>
          <w:sz w:val="24"/>
          <w:szCs w:val="24"/>
        </w:rPr>
        <w:t>在清算</w:t>
      </w:r>
      <w:r w:rsidR="005F11B7">
        <w:rPr>
          <w:rFonts w:hint="eastAsia"/>
          <w:sz w:val="24"/>
          <w:szCs w:val="24"/>
        </w:rPr>
        <w:t>期间</w:t>
      </w:r>
      <w:r w:rsidRPr="00F64285">
        <w:rPr>
          <w:rFonts w:hint="eastAsia"/>
          <w:sz w:val="24"/>
          <w:szCs w:val="24"/>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78" w:name="_Toc495929384"/>
      <w:r w:rsidRPr="00F64285">
        <w:rPr>
          <w:rFonts w:hint="eastAsia"/>
        </w:rPr>
        <w:t>1</w:t>
      </w:r>
      <w:r w:rsidRPr="00F64285">
        <w:rPr>
          <w:rFonts w:hint="eastAsia"/>
        </w:rPr>
        <w:t>、</w:t>
      </w:r>
      <w:r w:rsidRPr="00F64285">
        <w:t>清算费用</w:t>
      </w:r>
      <w:bookmarkEnd w:id="178"/>
    </w:p>
    <w:p w:rsidR="00E45AEB" w:rsidRDefault="00E45AEB" w:rsidP="0003284F">
      <w:pPr>
        <w:spacing w:line="360" w:lineRule="auto"/>
        <w:ind w:firstLineChars="200" w:firstLine="480"/>
        <w:rPr>
          <w:sz w:val="24"/>
          <w:szCs w:val="24"/>
        </w:rPr>
      </w:pPr>
      <w:r w:rsidRPr="00F64285">
        <w:rPr>
          <w:sz w:val="24"/>
          <w:szCs w:val="24"/>
        </w:rPr>
        <w:t>按照</w:t>
      </w:r>
      <w:r w:rsidR="0081201C" w:rsidRPr="00F64285">
        <w:rPr>
          <w:sz w:val="24"/>
          <w:szCs w:val="24"/>
        </w:rPr>
        <w:t>《基金合同》</w:t>
      </w:r>
      <w:r w:rsidRPr="00F64285">
        <w:rPr>
          <w:sz w:val="24"/>
          <w:szCs w:val="24"/>
        </w:rPr>
        <w:t>第</w:t>
      </w:r>
      <w:r>
        <w:rPr>
          <w:rFonts w:hint="eastAsia"/>
          <w:sz w:val="24"/>
          <w:szCs w:val="24"/>
        </w:rPr>
        <w:t>十九</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的规定，清算费用是指基金财产清算小组在进行基金清算过程中发生的所有合理费用，清算费用由基金财产清算小组优先从基金财产中支付。</w:t>
      </w:r>
    </w:p>
    <w:p w:rsidR="00E30F67" w:rsidRDefault="00E30F67" w:rsidP="0003284F">
      <w:pPr>
        <w:spacing w:line="360" w:lineRule="auto"/>
        <w:ind w:firstLineChars="200" w:firstLine="480"/>
        <w:rPr>
          <w:sz w:val="24"/>
          <w:szCs w:val="24"/>
        </w:rPr>
      </w:pPr>
    </w:p>
    <w:p w:rsidR="00E45AEB" w:rsidRPr="00054628" w:rsidRDefault="00E45AEB" w:rsidP="00A41AA1">
      <w:pPr>
        <w:pStyle w:val="XBRLTitle2"/>
        <w:numPr>
          <w:ilvl w:val="0"/>
          <w:numId w:val="0"/>
        </w:numPr>
        <w:spacing w:before="156" w:after="156"/>
        <w:ind w:left="454" w:hanging="454"/>
        <w:rPr>
          <w:color w:val="000000" w:themeColor="text1"/>
        </w:rPr>
      </w:pPr>
      <w:bookmarkStart w:id="179" w:name="_Toc495929385"/>
      <w:bookmarkStart w:id="180" w:name="OLE_LINK8"/>
      <w:bookmarkStart w:id="181" w:name="OLE_LINK9"/>
      <w:r w:rsidRPr="00054628">
        <w:rPr>
          <w:rFonts w:hint="eastAsia"/>
          <w:color w:val="000000" w:themeColor="text1"/>
        </w:rPr>
        <w:t>2</w:t>
      </w:r>
      <w:r w:rsidRPr="00054628">
        <w:rPr>
          <w:rFonts w:hint="eastAsia"/>
          <w:color w:val="000000" w:themeColor="text1"/>
        </w:rPr>
        <w:t>、资产处置情况</w:t>
      </w:r>
      <w:bookmarkEnd w:id="179"/>
      <w:bookmarkEnd w:id="180"/>
      <w:bookmarkEnd w:id="181"/>
    </w:p>
    <w:p w:rsidR="00BE2B06"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1</w:t>
      </w:r>
      <w:r w:rsidRPr="00054628">
        <w:rPr>
          <w:rFonts w:hint="eastAsia"/>
          <w:color w:val="000000" w:themeColor="text1"/>
          <w:sz w:val="24"/>
          <w:szCs w:val="24"/>
        </w:rPr>
        <w:t>）</w:t>
      </w:r>
      <w:r w:rsidR="00BE2B06" w:rsidRPr="00054628">
        <w:rPr>
          <w:rFonts w:hint="eastAsia"/>
          <w:color w:val="000000" w:themeColor="text1"/>
          <w:sz w:val="24"/>
          <w:szCs w:val="24"/>
        </w:rPr>
        <w:t>备付</w:t>
      </w:r>
      <w:r w:rsidR="00BE2B06" w:rsidRPr="00054628">
        <w:rPr>
          <w:color w:val="000000" w:themeColor="text1"/>
          <w:sz w:val="24"/>
          <w:szCs w:val="24"/>
        </w:rPr>
        <w:t>金</w:t>
      </w:r>
      <w:r w:rsidR="00BE2B06" w:rsidRPr="00054628">
        <w:rPr>
          <w:rFonts w:hint="eastAsia"/>
          <w:color w:val="000000" w:themeColor="text1"/>
          <w:sz w:val="24"/>
          <w:szCs w:val="24"/>
        </w:rPr>
        <w:t>、保</w:t>
      </w:r>
      <w:r w:rsidR="00BE2B06" w:rsidRPr="00054628">
        <w:rPr>
          <w:color w:val="000000" w:themeColor="text1"/>
          <w:sz w:val="24"/>
          <w:szCs w:val="24"/>
        </w:rPr>
        <w:t>证金</w:t>
      </w:r>
      <w:r w:rsidR="00054628" w:rsidRPr="00054628">
        <w:rPr>
          <w:color w:val="000000" w:themeColor="text1"/>
          <w:sz w:val="24"/>
          <w:szCs w:val="24"/>
        </w:rPr>
        <w:t>、</w:t>
      </w:r>
      <w:r w:rsidR="00BE2B06" w:rsidRPr="00054628">
        <w:rPr>
          <w:color w:val="000000" w:themeColor="text1"/>
          <w:sz w:val="24"/>
          <w:szCs w:val="24"/>
        </w:rPr>
        <w:t>应收款</w:t>
      </w:r>
      <w:r w:rsidR="00054628" w:rsidRPr="00054628">
        <w:rPr>
          <w:rFonts w:hint="eastAsia"/>
          <w:color w:val="000000" w:themeColor="text1"/>
          <w:sz w:val="24"/>
          <w:szCs w:val="24"/>
        </w:rPr>
        <w:t>和其他资产</w:t>
      </w:r>
      <w:r w:rsidR="00BE2B06" w:rsidRPr="00054628">
        <w:rPr>
          <w:color w:val="000000" w:themeColor="text1"/>
          <w:sz w:val="24"/>
          <w:szCs w:val="24"/>
        </w:rPr>
        <w:t>处置情况</w:t>
      </w:r>
    </w:p>
    <w:tbl>
      <w:tblPr>
        <w:tblStyle w:val="ad"/>
        <w:tblW w:w="0" w:type="auto"/>
        <w:tblLook w:val="04A0"/>
      </w:tblPr>
      <w:tblGrid>
        <w:gridCol w:w="733"/>
        <w:gridCol w:w="1744"/>
        <w:gridCol w:w="1852"/>
        <w:gridCol w:w="2725"/>
        <w:gridCol w:w="1701"/>
      </w:tblGrid>
      <w:tr w:rsidR="00BA6B2B" w:rsidRPr="00054628" w:rsidTr="00A01005">
        <w:tc>
          <w:tcPr>
            <w:tcW w:w="733"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BA6B2B" w:rsidRPr="00054628" w:rsidRDefault="00BA6B2B" w:rsidP="00A01005">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c>
          <w:tcPr>
            <w:tcW w:w="2725" w:type="dxa"/>
          </w:tcPr>
          <w:p w:rsidR="00BA6B2B" w:rsidRPr="00054628" w:rsidRDefault="00154A21" w:rsidP="00590325">
            <w:pPr>
              <w:spacing w:line="360" w:lineRule="auto"/>
              <w:jc w:val="center"/>
              <w:rPr>
                <w:color w:val="000000" w:themeColor="text1"/>
                <w:sz w:val="24"/>
                <w:szCs w:val="24"/>
              </w:rPr>
            </w:pPr>
            <w:r>
              <w:rPr>
                <w:rFonts w:hint="eastAsia"/>
                <w:color w:val="000000" w:themeColor="text1"/>
                <w:kern w:val="0"/>
                <w:sz w:val="24"/>
                <w:szCs w:val="24"/>
              </w:rPr>
              <w:t>清算期变动金额（账面价值减少以“</w:t>
            </w:r>
            <w:r>
              <w:rPr>
                <w:color w:val="000000" w:themeColor="text1"/>
                <w:kern w:val="0"/>
                <w:sz w:val="24"/>
                <w:szCs w:val="24"/>
              </w:rPr>
              <w:t>-</w:t>
            </w:r>
            <w:r>
              <w:rPr>
                <w:rFonts w:hint="eastAsia"/>
                <w:color w:val="000000" w:themeColor="text1"/>
                <w:kern w:val="0"/>
                <w:sz w:val="24"/>
                <w:szCs w:val="24"/>
              </w:rPr>
              <w:t>”填列）</w:t>
            </w:r>
          </w:p>
        </w:tc>
        <w:tc>
          <w:tcPr>
            <w:tcW w:w="1701" w:type="dxa"/>
          </w:tcPr>
          <w:p w:rsidR="00BA6B2B" w:rsidRPr="00054628" w:rsidRDefault="00BA6B2B" w:rsidP="00883FE9">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1</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结</w:t>
            </w:r>
            <w:r w:rsidRPr="00054628">
              <w:rPr>
                <w:color w:val="000000" w:themeColor="text1"/>
                <w:sz w:val="24"/>
                <w:szCs w:val="24"/>
              </w:rPr>
              <w:t>算</w:t>
            </w:r>
            <w:r w:rsidRPr="00054628">
              <w:rPr>
                <w:rFonts w:hint="eastAsia"/>
                <w:color w:val="000000" w:themeColor="text1"/>
                <w:sz w:val="24"/>
                <w:szCs w:val="24"/>
              </w:rPr>
              <w:t>备</w:t>
            </w:r>
            <w:r w:rsidRPr="00054628">
              <w:rPr>
                <w:color w:val="000000" w:themeColor="text1"/>
                <w:sz w:val="24"/>
                <w:szCs w:val="24"/>
              </w:rPr>
              <w:t>付金</w:t>
            </w:r>
          </w:p>
        </w:tc>
        <w:tc>
          <w:tcPr>
            <w:tcW w:w="1852" w:type="dxa"/>
          </w:tcPr>
          <w:p w:rsidR="009D0984" w:rsidRPr="00054628" w:rsidRDefault="00142A8F" w:rsidP="009D0984">
            <w:pPr>
              <w:spacing w:line="360" w:lineRule="auto"/>
              <w:jc w:val="right"/>
              <w:rPr>
                <w:color w:val="000000" w:themeColor="text1"/>
                <w:sz w:val="24"/>
                <w:szCs w:val="24"/>
              </w:rPr>
            </w:pPr>
            <w:r w:rsidRPr="00142A8F">
              <w:rPr>
                <w:color w:val="000000" w:themeColor="text1"/>
                <w:sz w:val="24"/>
                <w:szCs w:val="24"/>
              </w:rPr>
              <w:t>16,481.37</w:t>
            </w:r>
          </w:p>
        </w:tc>
        <w:tc>
          <w:tcPr>
            <w:tcW w:w="2725" w:type="dxa"/>
          </w:tcPr>
          <w:p w:rsidR="009D0984" w:rsidRPr="00054628" w:rsidRDefault="00142A8F" w:rsidP="009D0984">
            <w:pPr>
              <w:spacing w:line="360" w:lineRule="auto"/>
              <w:jc w:val="right"/>
              <w:rPr>
                <w:color w:val="000000" w:themeColor="text1"/>
                <w:sz w:val="24"/>
                <w:szCs w:val="24"/>
              </w:rPr>
            </w:pPr>
            <w:r w:rsidRPr="00142A8F">
              <w:rPr>
                <w:color w:val="000000" w:themeColor="text1"/>
                <w:sz w:val="24"/>
                <w:szCs w:val="24"/>
              </w:rPr>
              <w:t>-4</w:t>
            </w:r>
            <w:r w:rsidR="00DD0602">
              <w:rPr>
                <w:color w:val="000000" w:themeColor="text1"/>
                <w:sz w:val="24"/>
                <w:szCs w:val="24"/>
              </w:rPr>
              <w:t>,</w:t>
            </w:r>
            <w:r w:rsidRPr="00142A8F">
              <w:rPr>
                <w:color w:val="000000" w:themeColor="text1"/>
                <w:sz w:val="24"/>
                <w:szCs w:val="24"/>
              </w:rPr>
              <w:t>259.15</w:t>
            </w:r>
          </w:p>
        </w:tc>
        <w:tc>
          <w:tcPr>
            <w:tcW w:w="1701" w:type="dxa"/>
          </w:tcPr>
          <w:p w:rsidR="009D0984" w:rsidRPr="00054628" w:rsidRDefault="00142A8F" w:rsidP="009D0984">
            <w:pPr>
              <w:spacing w:line="360" w:lineRule="auto"/>
              <w:jc w:val="right"/>
              <w:rPr>
                <w:color w:val="000000" w:themeColor="text1"/>
                <w:sz w:val="24"/>
                <w:szCs w:val="24"/>
              </w:rPr>
            </w:pPr>
            <w:r w:rsidRPr="00142A8F">
              <w:rPr>
                <w:color w:val="000000" w:themeColor="text1"/>
                <w:sz w:val="24"/>
                <w:szCs w:val="24"/>
              </w:rPr>
              <w:t>12,222.22</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2</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存</w:t>
            </w:r>
            <w:r w:rsidRPr="00054628">
              <w:rPr>
                <w:color w:val="000000" w:themeColor="text1"/>
                <w:sz w:val="24"/>
                <w:szCs w:val="24"/>
              </w:rPr>
              <w:t>出保证金</w:t>
            </w:r>
          </w:p>
        </w:tc>
        <w:tc>
          <w:tcPr>
            <w:tcW w:w="1852" w:type="dxa"/>
          </w:tcPr>
          <w:p w:rsidR="009D0984" w:rsidRPr="00054628" w:rsidRDefault="00142A8F" w:rsidP="009D0984">
            <w:pPr>
              <w:spacing w:line="360" w:lineRule="auto"/>
              <w:jc w:val="right"/>
              <w:rPr>
                <w:color w:val="000000" w:themeColor="text1"/>
                <w:sz w:val="24"/>
                <w:szCs w:val="24"/>
              </w:rPr>
            </w:pPr>
            <w:r w:rsidRPr="00142A8F">
              <w:rPr>
                <w:color w:val="000000" w:themeColor="text1"/>
                <w:sz w:val="24"/>
                <w:szCs w:val="24"/>
              </w:rPr>
              <w:t>16,447.53</w:t>
            </w:r>
          </w:p>
        </w:tc>
        <w:tc>
          <w:tcPr>
            <w:tcW w:w="2725" w:type="dxa"/>
          </w:tcPr>
          <w:p w:rsidR="009D0984" w:rsidRPr="00054628" w:rsidRDefault="00142A8F" w:rsidP="009D0984">
            <w:pPr>
              <w:spacing w:line="360" w:lineRule="auto"/>
              <w:jc w:val="right"/>
              <w:rPr>
                <w:color w:val="000000" w:themeColor="text1"/>
                <w:sz w:val="24"/>
                <w:szCs w:val="24"/>
              </w:rPr>
            </w:pPr>
            <w:r>
              <w:rPr>
                <w:color w:val="000000" w:themeColor="text1"/>
                <w:sz w:val="24"/>
                <w:szCs w:val="24"/>
              </w:rPr>
              <w:t>-</w:t>
            </w:r>
            <w:r w:rsidRPr="00142A8F">
              <w:rPr>
                <w:color w:val="000000" w:themeColor="text1"/>
                <w:sz w:val="24"/>
                <w:szCs w:val="24"/>
              </w:rPr>
              <w:t>16,447.53</w:t>
            </w:r>
          </w:p>
        </w:tc>
        <w:tc>
          <w:tcPr>
            <w:tcW w:w="1701" w:type="dxa"/>
          </w:tcPr>
          <w:p w:rsidR="009D0984" w:rsidRPr="00054628" w:rsidRDefault="009D0984" w:rsidP="009D0984">
            <w:pPr>
              <w:spacing w:line="360" w:lineRule="auto"/>
              <w:jc w:val="right"/>
              <w:rPr>
                <w:color w:val="000000" w:themeColor="text1"/>
                <w:sz w:val="24"/>
                <w:szCs w:val="24"/>
              </w:rPr>
            </w:pPr>
            <w:r w:rsidRPr="00142A8F">
              <w:rPr>
                <w:rFonts w:hint="eastAsia"/>
                <w:color w:val="000000" w:themeColor="text1"/>
                <w:sz w:val="24"/>
                <w:szCs w:val="24"/>
              </w:rPr>
              <w:t>-</w:t>
            </w:r>
          </w:p>
        </w:tc>
      </w:tr>
      <w:tr w:rsidR="009D0984" w:rsidRPr="00054628" w:rsidTr="00A01005">
        <w:tc>
          <w:tcPr>
            <w:tcW w:w="733" w:type="dxa"/>
          </w:tcPr>
          <w:p w:rsidR="009D0984" w:rsidRPr="00054628" w:rsidRDefault="00142A8F" w:rsidP="009D0984">
            <w:pPr>
              <w:spacing w:line="360" w:lineRule="auto"/>
              <w:rPr>
                <w:color w:val="000000" w:themeColor="text1"/>
                <w:sz w:val="24"/>
                <w:szCs w:val="24"/>
              </w:rPr>
            </w:pPr>
            <w:r>
              <w:rPr>
                <w:rFonts w:hint="eastAsia"/>
                <w:color w:val="000000" w:themeColor="text1"/>
                <w:sz w:val="24"/>
                <w:szCs w:val="24"/>
              </w:rPr>
              <w:t>3</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w:t>
            </w:r>
            <w:r w:rsidRPr="00054628">
              <w:rPr>
                <w:rFonts w:hint="eastAsia"/>
                <w:color w:val="000000" w:themeColor="text1"/>
                <w:sz w:val="24"/>
                <w:szCs w:val="24"/>
              </w:rPr>
              <w:t>利息（注）</w:t>
            </w:r>
          </w:p>
        </w:tc>
        <w:tc>
          <w:tcPr>
            <w:tcW w:w="1852" w:type="dxa"/>
          </w:tcPr>
          <w:p w:rsidR="009D0984" w:rsidRPr="00054628" w:rsidRDefault="00142A8F" w:rsidP="009D0984">
            <w:pPr>
              <w:spacing w:line="360" w:lineRule="auto"/>
              <w:jc w:val="right"/>
              <w:rPr>
                <w:color w:val="000000" w:themeColor="text1"/>
                <w:sz w:val="24"/>
                <w:szCs w:val="24"/>
              </w:rPr>
            </w:pPr>
            <w:r w:rsidRPr="00142A8F">
              <w:rPr>
                <w:color w:val="000000" w:themeColor="text1"/>
                <w:sz w:val="24"/>
                <w:szCs w:val="24"/>
              </w:rPr>
              <w:t>1,748.87</w:t>
            </w:r>
          </w:p>
        </w:tc>
        <w:tc>
          <w:tcPr>
            <w:tcW w:w="2725" w:type="dxa"/>
          </w:tcPr>
          <w:p w:rsidR="009D0984" w:rsidRPr="00054628" w:rsidRDefault="00142A8F" w:rsidP="009D0984">
            <w:pPr>
              <w:spacing w:line="360" w:lineRule="auto"/>
              <w:jc w:val="right"/>
              <w:rPr>
                <w:color w:val="000000" w:themeColor="text1"/>
                <w:sz w:val="24"/>
                <w:szCs w:val="24"/>
              </w:rPr>
            </w:pPr>
            <w:r>
              <w:rPr>
                <w:rFonts w:hint="eastAsia"/>
                <w:color w:val="000000" w:themeColor="text1"/>
                <w:sz w:val="24"/>
                <w:szCs w:val="24"/>
              </w:rPr>
              <w:t>1</w:t>
            </w:r>
            <w:r w:rsidR="00DD0602">
              <w:rPr>
                <w:color w:val="000000" w:themeColor="text1"/>
                <w:sz w:val="24"/>
                <w:szCs w:val="24"/>
              </w:rPr>
              <w:t>,</w:t>
            </w:r>
            <w:r>
              <w:rPr>
                <w:rFonts w:hint="eastAsia"/>
                <w:color w:val="000000" w:themeColor="text1"/>
                <w:sz w:val="24"/>
                <w:szCs w:val="24"/>
              </w:rPr>
              <w:t>031.43</w:t>
            </w:r>
          </w:p>
        </w:tc>
        <w:tc>
          <w:tcPr>
            <w:tcW w:w="1701" w:type="dxa"/>
          </w:tcPr>
          <w:p w:rsidR="009D0984" w:rsidRPr="00054628" w:rsidRDefault="00142A8F" w:rsidP="009D0984">
            <w:pPr>
              <w:spacing w:line="360" w:lineRule="auto"/>
              <w:jc w:val="right"/>
              <w:rPr>
                <w:color w:val="000000" w:themeColor="text1"/>
                <w:sz w:val="24"/>
                <w:szCs w:val="24"/>
              </w:rPr>
            </w:pPr>
            <w:r w:rsidRPr="00142A8F">
              <w:rPr>
                <w:color w:val="000000" w:themeColor="text1"/>
                <w:sz w:val="24"/>
                <w:szCs w:val="24"/>
              </w:rPr>
              <w:t>2,780.30</w:t>
            </w:r>
          </w:p>
        </w:tc>
      </w:tr>
    </w:tbl>
    <w:p w:rsidR="00883FE9" w:rsidRPr="00054628" w:rsidRDefault="00BE2B06" w:rsidP="00054628">
      <w:pPr>
        <w:spacing w:line="360" w:lineRule="auto"/>
        <w:rPr>
          <w:color w:val="000000" w:themeColor="text1"/>
          <w:sz w:val="24"/>
          <w:szCs w:val="24"/>
        </w:rPr>
      </w:pPr>
      <w:r w:rsidRPr="00054628">
        <w:rPr>
          <w:rFonts w:hint="eastAsia"/>
          <w:color w:val="000000" w:themeColor="text1"/>
          <w:sz w:val="24"/>
          <w:szCs w:val="24"/>
        </w:rPr>
        <w:t>注：应</w:t>
      </w:r>
      <w:r w:rsidRPr="00054628">
        <w:rPr>
          <w:color w:val="000000" w:themeColor="text1"/>
          <w:sz w:val="24"/>
          <w:szCs w:val="24"/>
        </w:rPr>
        <w:t>收利息不含应收债券利息</w:t>
      </w:r>
      <w:r w:rsidRPr="00054628">
        <w:rPr>
          <w:rFonts w:hint="eastAsia"/>
          <w:color w:val="000000" w:themeColor="text1"/>
          <w:sz w:val="24"/>
          <w:szCs w:val="24"/>
        </w:rPr>
        <w:t>、应</w:t>
      </w:r>
      <w:r w:rsidRPr="00054628">
        <w:rPr>
          <w:color w:val="000000" w:themeColor="text1"/>
          <w:sz w:val="24"/>
          <w:szCs w:val="24"/>
        </w:rPr>
        <w:t>收资产证券化利息和应收买入返售金融资产利息</w:t>
      </w:r>
      <w:r w:rsidRPr="00054628">
        <w:rPr>
          <w:rFonts w:hint="eastAsia"/>
          <w:color w:val="000000" w:themeColor="text1"/>
          <w:sz w:val="24"/>
          <w:szCs w:val="24"/>
        </w:rPr>
        <w:t>。</w:t>
      </w:r>
    </w:p>
    <w:p w:rsidR="00883FE9"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2</w:t>
      </w:r>
      <w:r w:rsidRPr="00054628">
        <w:rPr>
          <w:rFonts w:hint="eastAsia"/>
          <w:color w:val="000000" w:themeColor="text1"/>
          <w:sz w:val="24"/>
          <w:szCs w:val="24"/>
        </w:rPr>
        <w:t>）</w:t>
      </w:r>
      <w:r w:rsidR="00BE2B06" w:rsidRPr="00054628">
        <w:rPr>
          <w:rFonts w:hint="eastAsia"/>
          <w:color w:val="000000" w:themeColor="text1"/>
          <w:sz w:val="24"/>
          <w:szCs w:val="24"/>
        </w:rPr>
        <w:t>金融资产</w:t>
      </w:r>
      <w:r w:rsidR="00BE2B06" w:rsidRPr="00054628">
        <w:rPr>
          <w:color w:val="000000" w:themeColor="text1"/>
          <w:sz w:val="24"/>
          <w:szCs w:val="24"/>
        </w:rPr>
        <w:t>处置情况</w:t>
      </w:r>
    </w:p>
    <w:tbl>
      <w:tblPr>
        <w:tblStyle w:val="ad"/>
        <w:tblW w:w="9060" w:type="dxa"/>
        <w:tblLook w:val="04A0"/>
      </w:tblPr>
      <w:tblGrid>
        <w:gridCol w:w="627"/>
        <w:gridCol w:w="1181"/>
        <w:gridCol w:w="1476"/>
        <w:gridCol w:w="1296"/>
        <w:gridCol w:w="853"/>
        <w:gridCol w:w="855"/>
        <w:gridCol w:w="1476"/>
        <w:gridCol w:w="1296"/>
      </w:tblGrid>
      <w:tr w:rsidR="00470C24" w:rsidRPr="00054628" w:rsidTr="008735AA">
        <w:tc>
          <w:tcPr>
            <w:tcW w:w="736"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序号</w:t>
            </w:r>
          </w:p>
        </w:tc>
        <w:tc>
          <w:tcPr>
            <w:tcW w:w="1640"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项目</w:t>
            </w:r>
          </w:p>
        </w:tc>
        <w:tc>
          <w:tcPr>
            <w:tcW w:w="1208" w:type="dxa"/>
          </w:tcPr>
          <w:p w:rsidR="00470C24" w:rsidRPr="00054628" w:rsidRDefault="00470C24" w:rsidP="00154A21">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账面价</w:t>
            </w:r>
            <w:r w:rsidRPr="00054628">
              <w:rPr>
                <w:color w:val="000000" w:themeColor="text1"/>
                <w:sz w:val="24"/>
                <w:szCs w:val="24"/>
              </w:rPr>
              <w:t>值</w:t>
            </w:r>
          </w:p>
        </w:tc>
        <w:tc>
          <w:tcPr>
            <w:tcW w:w="1108" w:type="dxa"/>
          </w:tcPr>
          <w:p w:rsidR="00470C24" w:rsidRDefault="00470C24" w:rsidP="0029229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数量（股</w:t>
            </w:r>
            <w:r>
              <w:rPr>
                <w:rFonts w:hint="eastAsia"/>
                <w:color w:val="000000" w:themeColor="text1"/>
                <w:sz w:val="24"/>
                <w:szCs w:val="24"/>
              </w:rPr>
              <w:t>/</w:t>
            </w:r>
            <w:r>
              <w:rPr>
                <w:rFonts w:hint="eastAsia"/>
                <w:color w:val="000000" w:themeColor="text1"/>
                <w:sz w:val="24"/>
                <w:szCs w:val="24"/>
              </w:rPr>
              <w:t>份</w:t>
            </w:r>
            <w:r>
              <w:rPr>
                <w:rFonts w:hint="eastAsia"/>
                <w:color w:val="000000" w:themeColor="text1"/>
                <w:sz w:val="24"/>
                <w:szCs w:val="24"/>
              </w:rPr>
              <w:t>/</w:t>
            </w:r>
            <w:r>
              <w:rPr>
                <w:rFonts w:hint="eastAsia"/>
                <w:color w:val="000000" w:themeColor="text1"/>
                <w:sz w:val="24"/>
                <w:szCs w:val="24"/>
              </w:rPr>
              <w:t>张）</w:t>
            </w:r>
          </w:p>
        </w:tc>
        <w:tc>
          <w:tcPr>
            <w:tcW w:w="1105" w:type="dxa"/>
          </w:tcPr>
          <w:p w:rsidR="00470C24" w:rsidRPr="00054628" w:rsidRDefault="00470C24" w:rsidP="00292293">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w:t>
            </w:r>
            <w:r>
              <w:rPr>
                <w:rFonts w:hint="eastAsia"/>
                <w:color w:val="000000" w:themeColor="text1"/>
                <w:sz w:val="24"/>
                <w:szCs w:val="24"/>
              </w:rPr>
              <w:t>内</w:t>
            </w:r>
            <w:r w:rsidRPr="00054628">
              <w:rPr>
                <w:rFonts w:hint="eastAsia"/>
                <w:color w:val="000000" w:themeColor="text1"/>
                <w:sz w:val="24"/>
                <w:szCs w:val="24"/>
              </w:rPr>
              <w:t>最后</w:t>
            </w:r>
            <w:r>
              <w:rPr>
                <w:rFonts w:hint="eastAsia"/>
                <w:color w:val="000000" w:themeColor="text1"/>
                <w:sz w:val="24"/>
                <w:szCs w:val="24"/>
              </w:rPr>
              <w:t>处置</w:t>
            </w:r>
            <w:r w:rsidRPr="00054628">
              <w:rPr>
                <w:color w:val="000000" w:themeColor="text1"/>
                <w:sz w:val="24"/>
                <w:szCs w:val="24"/>
              </w:rPr>
              <w:t>日</w:t>
            </w:r>
          </w:p>
        </w:tc>
        <w:tc>
          <w:tcPr>
            <w:tcW w:w="1108" w:type="dxa"/>
          </w:tcPr>
          <w:p w:rsidR="00470C24" w:rsidRPr="00054628" w:rsidRDefault="00590325" w:rsidP="00590325">
            <w:pPr>
              <w:spacing w:line="360" w:lineRule="auto"/>
              <w:jc w:val="center"/>
              <w:rPr>
                <w:color w:val="000000" w:themeColor="text1"/>
                <w:sz w:val="24"/>
                <w:szCs w:val="24"/>
              </w:rPr>
            </w:pPr>
            <w:r>
              <w:rPr>
                <w:rFonts w:hint="eastAsia"/>
                <w:color w:val="000000" w:themeColor="text1"/>
                <w:sz w:val="24"/>
                <w:szCs w:val="24"/>
              </w:rPr>
              <w:t>清算</w:t>
            </w:r>
            <w:r w:rsidR="00470C24" w:rsidRPr="00054628">
              <w:rPr>
                <w:color w:val="000000" w:themeColor="text1"/>
                <w:sz w:val="24"/>
                <w:szCs w:val="24"/>
              </w:rPr>
              <w:t>金额</w:t>
            </w:r>
          </w:p>
        </w:tc>
        <w:tc>
          <w:tcPr>
            <w:tcW w:w="1064" w:type="dxa"/>
          </w:tcPr>
          <w:p w:rsidR="00470C24" w:rsidRPr="00054628" w:rsidRDefault="00470C24" w:rsidP="00154A21">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账面价</w:t>
            </w:r>
            <w:r w:rsidRPr="00054628">
              <w:rPr>
                <w:color w:val="000000" w:themeColor="text1"/>
                <w:sz w:val="24"/>
                <w:szCs w:val="24"/>
              </w:rPr>
              <w:t>值</w:t>
            </w:r>
          </w:p>
        </w:tc>
        <w:tc>
          <w:tcPr>
            <w:tcW w:w="1091" w:type="dxa"/>
          </w:tcPr>
          <w:p w:rsidR="00470C24" w:rsidRDefault="00470C24" w:rsidP="00A0100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数量（股</w:t>
            </w:r>
            <w:r>
              <w:rPr>
                <w:rFonts w:hint="eastAsia"/>
                <w:color w:val="000000" w:themeColor="text1"/>
                <w:sz w:val="24"/>
                <w:szCs w:val="24"/>
              </w:rPr>
              <w:t>/</w:t>
            </w:r>
            <w:r>
              <w:rPr>
                <w:rFonts w:hint="eastAsia"/>
                <w:color w:val="000000" w:themeColor="text1"/>
                <w:sz w:val="24"/>
                <w:szCs w:val="24"/>
              </w:rPr>
              <w:t>份</w:t>
            </w:r>
            <w:r>
              <w:rPr>
                <w:rFonts w:hint="eastAsia"/>
                <w:color w:val="000000" w:themeColor="text1"/>
                <w:sz w:val="24"/>
                <w:szCs w:val="24"/>
              </w:rPr>
              <w:t>/</w:t>
            </w:r>
            <w:r>
              <w:rPr>
                <w:rFonts w:hint="eastAsia"/>
                <w:color w:val="000000" w:themeColor="text1"/>
                <w:sz w:val="24"/>
                <w:szCs w:val="24"/>
              </w:rPr>
              <w:t>张）</w:t>
            </w:r>
          </w:p>
        </w:tc>
      </w:tr>
      <w:tr w:rsidR="009D0984" w:rsidRPr="0098183B" w:rsidTr="008735AA">
        <w:tc>
          <w:tcPr>
            <w:tcW w:w="736" w:type="dxa"/>
          </w:tcPr>
          <w:p w:rsidR="009D0984" w:rsidRPr="0098183B" w:rsidRDefault="009D0984" w:rsidP="009D0984">
            <w:pPr>
              <w:spacing w:line="360" w:lineRule="auto"/>
              <w:rPr>
                <w:color w:val="000000" w:themeColor="text1"/>
                <w:sz w:val="24"/>
                <w:szCs w:val="24"/>
              </w:rPr>
            </w:pPr>
            <w:r w:rsidRPr="0098183B">
              <w:rPr>
                <w:rFonts w:hint="eastAsia"/>
                <w:color w:val="000000" w:themeColor="text1"/>
                <w:sz w:val="24"/>
                <w:szCs w:val="24"/>
              </w:rPr>
              <w:t>1</w:t>
            </w:r>
          </w:p>
        </w:tc>
        <w:tc>
          <w:tcPr>
            <w:tcW w:w="1640" w:type="dxa"/>
            <w:vAlign w:val="center"/>
          </w:tcPr>
          <w:p w:rsidR="009D0984" w:rsidRPr="0098183B" w:rsidRDefault="009D0984" w:rsidP="009D0984">
            <w:pPr>
              <w:spacing w:line="360" w:lineRule="auto"/>
              <w:rPr>
                <w:color w:val="000000" w:themeColor="text1"/>
                <w:sz w:val="24"/>
                <w:szCs w:val="24"/>
              </w:rPr>
            </w:pPr>
            <w:r w:rsidRPr="0098183B">
              <w:rPr>
                <w:rFonts w:hint="eastAsia"/>
                <w:color w:val="000000" w:themeColor="text1"/>
                <w:sz w:val="24"/>
                <w:szCs w:val="24"/>
              </w:rPr>
              <w:t>股票投资</w:t>
            </w:r>
          </w:p>
        </w:tc>
        <w:tc>
          <w:tcPr>
            <w:tcW w:w="1208" w:type="dxa"/>
          </w:tcPr>
          <w:p w:rsidR="009D0984" w:rsidRPr="0098183B" w:rsidRDefault="00154A21" w:rsidP="009D0984">
            <w:pPr>
              <w:spacing w:line="360" w:lineRule="auto"/>
              <w:jc w:val="right"/>
              <w:rPr>
                <w:color w:val="000000" w:themeColor="text1"/>
                <w:sz w:val="24"/>
                <w:szCs w:val="24"/>
              </w:rPr>
            </w:pPr>
            <w:r w:rsidRPr="0098183B">
              <w:rPr>
                <w:color w:val="000000" w:themeColor="text1"/>
                <w:sz w:val="24"/>
                <w:szCs w:val="24"/>
              </w:rPr>
              <w:t>2,033,694.72</w:t>
            </w:r>
          </w:p>
        </w:tc>
        <w:tc>
          <w:tcPr>
            <w:tcW w:w="1108" w:type="dxa"/>
          </w:tcPr>
          <w:p w:rsidR="009D0984" w:rsidRPr="0098183B" w:rsidRDefault="00154A21" w:rsidP="009D0984">
            <w:pPr>
              <w:spacing w:line="360" w:lineRule="auto"/>
              <w:jc w:val="right"/>
              <w:rPr>
                <w:color w:val="000000" w:themeColor="text1"/>
                <w:sz w:val="24"/>
                <w:szCs w:val="24"/>
              </w:rPr>
            </w:pPr>
            <w:r w:rsidRPr="0098183B">
              <w:rPr>
                <w:color w:val="000000" w:themeColor="text1"/>
                <w:sz w:val="24"/>
                <w:szCs w:val="24"/>
              </w:rPr>
              <w:t>198,603.00</w:t>
            </w:r>
          </w:p>
        </w:tc>
        <w:tc>
          <w:tcPr>
            <w:tcW w:w="1105" w:type="dxa"/>
          </w:tcPr>
          <w:p w:rsidR="009D0984" w:rsidRPr="0098183B" w:rsidRDefault="00154A21" w:rsidP="009D0984">
            <w:pPr>
              <w:spacing w:line="360" w:lineRule="auto"/>
              <w:jc w:val="right"/>
              <w:rPr>
                <w:color w:val="000000" w:themeColor="text1"/>
                <w:sz w:val="24"/>
                <w:szCs w:val="24"/>
              </w:rPr>
            </w:pPr>
            <w:r w:rsidRPr="0098183B">
              <w:rPr>
                <w:rFonts w:hint="eastAsia"/>
                <w:color w:val="000000" w:themeColor="text1"/>
                <w:sz w:val="24"/>
                <w:szCs w:val="24"/>
              </w:rPr>
              <w:t>-</w:t>
            </w:r>
          </w:p>
        </w:tc>
        <w:tc>
          <w:tcPr>
            <w:tcW w:w="1108" w:type="dxa"/>
          </w:tcPr>
          <w:p w:rsidR="009D0984" w:rsidRPr="0098183B" w:rsidRDefault="00154A21" w:rsidP="009D0984">
            <w:pPr>
              <w:spacing w:line="360" w:lineRule="auto"/>
              <w:jc w:val="right"/>
              <w:rPr>
                <w:color w:val="000000" w:themeColor="text1"/>
                <w:sz w:val="24"/>
                <w:szCs w:val="24"/>
              </w:rPr>
            </w:pPr>
            <w:r w:rsidRPr="0098183B">
              <w:rPr>
                <w:rFonts w:hint="eastAsia"/>
                <w:color w:val="000000" w:themeColor="text1"/>
                <w:sz w:val="24"/>
                <w:szCs w:val="24"/>
              </w:rPr>
              <w:t>-</w:t>
            </w:r>
          </w:p>
        </w:tc>
        <w:tc>
          <w:tcPr>
            <w:tcW w:w="1064" w:type="dxa"/>
          </w:tcPr>
          <w:p w:rsidR="009D0984" w:rsidRPr="0098183B" w:rsidRDefault="00154A21" w:rsidP="009D0984">
            <w:pPr>
              <w:spacing w:line="360" w:lineRule="auto"/>
              <w:jc w:val="right"/>
              <w:rPr>
                <w:color w:val="000000" w:themeColor="text1"/>
                <w:sz w:val="24"/>
                <w:szCs w:val="24"/>
              </w:rPr>
            </w:pPr>
            <w:r w:rsidRPr="0098183B">
              <w:rPr>
                <w:color w:val="000000" w:themeColor="text1"/>
                <w:sz w:val="24"/>
                <w:szCs w:val="24"/>
              </w:rPr>
              <w:t>2,033,694.72</w:t>
            </w:r>
          </w:p>
        </w:tc>
        <w:tc>
          <w:tcPr>
            <w:tcW w:w="1091" w:type="dxa"/>
          </w:tcPr>
          <w:p w:rsidR="009D0984" w:rsidRPr="0098183B" w:rsidRDefault="00154A21" w:rsidP="009D0984">
            <w:pPr>
              <w:spacing w:line="360" w:lineRule="auto"/>
              <w:jc w:val="right"/>
              <w:rPr>
                <w:color w:val="000000" w:themeColor="text1"/>
                <w:sz w:val="24"/>
                <w:szCs w:val="24"/>
              </w:rPr>
            </w:pPr>
            <w:r w:rsidRPr="0098183B">
              <w:rPr>
                <w:color w:val="000000" w:themeColor="text1"/>
                <w:sz w:val="24"/>
                <w:szCs w:val="24"/>
              </w:rPr>
              <w:t>198,603.00</w:t>
            </w:r>
          </w:p>
        </w:tc>
      </w:tr>
    </w:tbl>
    <w:p w:rsidR="009024EA" w:rsidRPr="00292293" w:rsidRDefault="009024EA" w:rsidP="006B7150">
      <w:pPr>
        <w:spacing w:line="360" w:lineRule="auto"/>
        <w:ind w:firstLineChars="200" w:firstLine="480"/>
        <w:rPr>
          <w:color w:val="FF0000"/>
          <w:sz w:val="24"/>
          <w:szCs w:val="24"/>
        </w:rPr>
      </w:pPr>
    </w:p>
    <w:p w:rsidR="00E45AEB" w:rsidRPr="007D0D1C" w:rsidRDefault="00E45AEB" w:rsidP="007D0D1C">
      <w:pPr>
        <w:pStyle w:val="XBRLTitle2"/>
        <w:numPr>
          <w:ilvl w:val="0"/>
          <w:numId w:val="0"/>
        </w:numPr>
        <w:spacing w:before="156" w:after="156"/>
        <w:ind w:left="454" w:hanging="454"/>
        <w:rPr>
          <w:color w:val="000000" w:themeColor="text1"/>
        </w:rPr>
      </w:pPr>
      <w:bookmarkStart w:id="182" w:name="_Toc495929386"/>
      <w:r w:rsidRPr="007D0D1C">
        <w:rPr>
          <w:rFonts w:hint="eastAsia"/>
          <w:color w:val="000000" w:themeColor="text1"/>
        </w:rPr>
        <w:t>3</w:t>
      </w:r>
      <w:r w:rsidRPr="007D0D1C">
        <w:rPr>
          <w:rFonts w:hint="eastAsia"/>
          <w:color w:val="000000" w:themeColor="text1"/>
        </w:rPr>
        <w:t>、负债清偿情况</w:t>
      </w:r>
      <w:bookmarkEnd w:id="182"/>
    </w:p>
    <w:tbl>
      <w:tblPr>
        <w:tblStyle w:val="ad"/>
        <w:tblW w:w="0" w:type="auto"/>
        <w:tblLook w:val="04A0"/>
      </w:tblPr>
      <w:tblGrid>
        <w:gridCol w:w="733"/>
        <w:gridCol w:w="1744"/>
        <w:gridCol w:w="1852"/>
        <w:gridCol w:w="2583"/>
        <w:gridCol w:w="2127"/>
      </w:tblGrid>
      <w:tr w:rsidR="009378E6" w:rsidRPr="0098183B" w:rsidTr="00470C24">
        <w:tc>
          <w:tcPr>
            <w:tcW w:w="733" w:type="dxa"/>
          </w:tcPr>
          <w:p w:rsidR="009378E6" w:rsidRPr="0098183B" w:rsidRDefault="009378E6" w:rsidP="00590325">
            <w:pPr>
              <w:spacing w:line="360" w:lineRule="auto"/>
              <w:rPr>
                <w:color w:val="000000" w:themeColor="text1"/>
                <w:sz w:val="24"/>
                <w:szCs w:val="24"/>
              </w:rPr>
            </w:pPr>
            <w:r w:rsidRPr="0098183B">
              <w:rPr>
                <w:rFonts w:hint="eastAsia"/>
                <w:color w:val="000000" w:themeColor="text1"/>
                <w:sz w:val="24"/>
                <w:szCs w:val="24"/>
              </w:rPr>
              <w:t>序号</w:t>
            </w:r>
          </w:p>
        </w:tc>
        <w:tc>
          <w:tcPr>
            <w:tcW w:w="1744" w:type="dxa"/>
          </w:tcPr>
          <w:p w:rsidR="009378E6" w:rsidRPr="0098183B" w:rsidRDefault="009378E6" w:rsidP="00590325">
            <w:pPr>
              <w:spacing w:line="360" w:lineRule="auto"/>
              <w:rPr>
                <w:color w:val="000000" w:themeColor="text1"/>
                <w:sz w:val="24"/>
                <w:szCs w:val="24"/>
              </w:rPr>
            </w:pPr>
            <w:r w:rsidRPr="0098183B">
              <w:rPr>
                <w:rFonts w:hint="eastAsia"/>
                <w:color w:val="000000" w:themeColor="text1"/>
                <w:sz w:val="24"/>
                <w:szCs w:val="24"/>
              </w:rPr>
              <w:t>项目</w:t>
            </w:r>
          </w:p>
        </w:tc>
        <w:tc>
          <w:tcPr>
            <w:tcW w:w="1852" w:type="dxa"/>
          </w:tcPr>
          <w:p w:rsidR="009378E6" w:rsidRPr="0098183B" w:rsidRDefault="009378E6" w:rsidP="00292293">
            <w:pPr>
              <w:spacing w:line="360" w:lineRule="auto"/>
              <w:rPr>
                <w:color w:val="000000" w:themeColor="text1"/>
                <w:sz w:val="24"/>
                <w:szCs w:val="24"/>
              </w:rPr>
            </w:pPr>
            <w:r w:rsidRPr="0098183B">
              <w:rPr>
                <w:rFonts w:hint="eastAsia"/>
                <w:color w:val="000000" w:themeColor="text1"/>
                <w:sz w:val="24"/>
                <w:szCs w:val="24"/>
              </w:rPr>
              <w:t>运作</w:t>
            </w:r>
            <w:r w:rsidRPr="0098183B">
              <w:rPr>
                <w:color w:val="000000" w:themeColor="text1"/>
                <w:sz w:val="24"/>
                <w:szCs w:val="24"/>
              </w:rPr>
              <w:t>终止日</w:t>
            </w:r>
            <w:r w:rsidRPr="0098183B">
              <w:rPr>
                <w:rFonts w:hint="eastAsia"/>
                <w:color w:val="000000" w:themeColor="text1"/>
                <w:sz w:val="24"/>
                <w:szCs w:val="24"/>
              </w:rPr>
              <w:t>金额</w:t>
            </w:r>
          </w:p>
        </w:tc>
        <w:tc>
          <w:tcPr>
            <w:tcW w:w="2583" w:type="dxa"/>
          </w:tcPr>
          <w:p w:rsidR="009378E6" w:rsidRPr="0098183B" w:rsidRDefault="009378E6" w:rsidP="00292293">
            <w:pPr>
              <w:spacing w:line="360" w:lineRule="auto"/>
              <w:rPr>
                <w:color w:val="000000" w:themeColor="text1"/>
                <w:sz w:val="24"/>
                <w:szCs w:val="24"/>
              </w:rPr>
            </w:pPr>
            <w:r w:rsidRPr="0098183B">
              <w:rPr>
                <w:rFonts w:hint="eastAsia"/>
                <w:color w:val="000000" w:themeColor="text1"/>
                <w:sz w:val="24"/>
                <w:szCs w:val="24"/>
              </w:rPr>
              <w:t>清算期变动</w:t>
            </w:r>
            <w:r w:rsidRPr="0098183B">
              <w:rPr>
                <w:color w:val="000000" w:themeColor="text1"/>
                <w:sz w:val="24"/>
                <w:szCs w:val="24"/>
              </w:rPr>
              <w:t>金额</w:t>
            </w:r>
            <w:r w:rsidRPr="0098183B">
              <w:rPr>
                <w:rFonts w:hint="eastAsia"/>
                <w:color w:val="000000" w:themeColor="text1"/>
                <w:sz w:val="24"/>
                <w:szCs w:val="24"/>
              </w:rPr>
              <w:t>(</w:t>
            </w:r>
            <w:r w:rsidR="00470C24" w:rsidRPr="0098183B">
              <w:rPr>
                <w:rFonts w:hint="eastAsia"/>
                <w:color w:val="000000" w:themeColor="text1"/>
                <w:sz w:val="24"/>
                <w:szCs w:val="24"/>
              </w:rPr>
              <w:t>账面</w:t>
            </w:r>
            <w:r w:rsidR="00470C24" w:rsidRPr="0098183B">
              <w:rPr>
                <w:color w:val="000000" w:themeColor="text1"/>
                <w:sz w:val="24"/>
                <w:szCs w:val="24"/>
              </w:rPr>
              <w:t>价值减少以</w:t>
            </w:r>
            <w:r w:rsidR="00470C24" w:rsidRPr="0098183B">
              <w:rPr>
                <w:rFonts w:hint="eastAsia"/>
                <w:color w:val="000000" w:themeColor="text1"/>
                <w:sz w:val="24"/>
                <w:szCs w:val="24"/>
              </w:rPr>
              <w:t>“</w:t>
            </w:r>
            <w:r w:rsidR="00470C24" w:rsidRPr="0098183B">
              <w:rPr>
                <w:rFonts w:hint="eastAsia"/>
                <w:color w:val="000000" w:themeColor="text1"/>
                <w:sz w:val="24"/>
                <w:szCs w:val="24"/>
              </w:rPr>
              <w:t>-</w:t>
            </w:r>
            <w:r w:rsidR="00470C24" w:rsidRPr="0098183B">
              <w:rPr>
                <w:rFonts w:hint="eastAsia"/>
                <w:color w:val="000000" w:themeColor="text1"/>
                <w:sz w:val="24"/>
                <w:szCs w:val="24"/>
              </w:rPr>
              <w:t>”填</w:t>
            </w:r>
            <w:r w:rsidR="00470C24" w:rsidRPr="0098183B">
              <w:rPr>
                <w:color w:val="000000" w:themeColor="text1"/>
                <w:sz w:val="24"/>
                <w:szCs w:val="24"/>
              </w:rPr>
              <w:t>列</w:t>
            </w:r>
            <w:r w:rsidRPr="0098183B">
              <w:rPr>
                <w:rFonts w:hint="eastAsia"/>
                <w:color w:val="000000" w:themeColor="text1"/>
                <w:sz w:val="24"/>
                <w:szCs w:val="24"/>
              </w:rPr>
              <w:t>)</w:t>
            </w:r>
          </w:p>
        </w:tc>
        <w:tc>
          <w:tcPr>
            <w:tcW w:w="2127" w:type="dxa"/>
          </w:tcPr>
          <w:p w:rsidR="009378E6" w:rsidRPr="0098183B" w:rsidRDefault="009378E6" w:rsidP="00590325">
            <w:pPr>
              <w:spacing w:line="360" w:lineRule="auto"/>
              <w:rPr>
                <w:color w:val="000000" w:themeColor="text1"/>
                <w:sz w:val="24"/>
                <w:szCs w:val="24"/>
              </w:rPr>
            </w:pPr>
            <w:r w:rsidRPr="0098183B">
              <w:rPr>
                <w:rFonts w:hint="eastAsia"/>
                <w:color w:val="000000" w:themeColor="text1"/>
                <w:sz w:val="24"/>
                <w:szCs w:val="24"/>
              </w:rPr>
              <w:t>清</w:t>
            </w:r>
            <w:r w:rsidRPr="0098183B">
              <w:rPr>
                <w:color w:val="000000" w:themeColor="text1"/>
                <w:sz w:val="24"/>
                <w:szCs w:val="24"/>
              </w:rPr>
              <w:t>算期期末</w:t>
            </w:r>
            <w:r w:rsidRPr="0098183B">
              <w:rPr>
                <w:rFonts w:hint="eastAsia"/>
                <w:color w:val="000000" w:themeColor="text1"/>
                <w:sz w:val="24"/>
                <w:szCs w:val="24"/>
              </w:rPr>
              <w:t>金额</w:t>
            </w:r>
          </w:p>
        </w:tc>
      </w:tr>
      <w:tr w:rsidR="00154A21" w:rsidRPr="0098183B" w:rsidTr="00470C24">
        <w:tc>
          <w:tcPr>
            <w:tcW w:w="733" w:type="dxa"/>
          </w:tcPr>
          <w:p w:rsidR="00154A21" w:rsidRPr="0098183B" w:rsidRDefault="0098183B" w:rsidP="00154A21">
            <w:pPr>
              <w:spacing w:line="360" w:lineRule="auto"/>
              <w:rPr>
                <w:color w:val="000000" w:themeColor="text1"/>
                <w:sz w:val="24"/>
                <w:szCs w:val="24"/>
              </w:rPr>
            </w:pPr>
            <w:r>
              <w:rPr>
                <w:rFonts w:hint="eastAsia"/>
                <w:color w:val="000000" w:themeColor="text1"/>
                <w:sz w:val="24"/>
                <w:szCs w:val="24"/>
              </w:rPr>
              <w:t>1</w:t>
            </w:r>
          </w:p>
        </w:tc>
        <w:tc>
          <w:tcPr>
            <w:tcW w:w="1744" w:type="dxa"/>
            <w:vAlign w:val="center"/>
          </w:tcPr>
          <w:p w:rsidR="00154A21" w:rsidRPr="0098183B" w:rsidRDefault="00154A21" w:rsidP="00154A21">
            <w:pPr>
              <w:spacing w:line="360" w:lineRule="auto"/>
              <w:rPr>
                <w:color w:val="000000" w:themeColor="text1"/>
                <w:sz w:val="24"/>
                <w:szCs w:val="24"/>
              </w:rPr>
            </w:pPr>
            <w:r w:rsidRPr="0098183B">
              <w:rPr>
                <w:rFonts w:hint="eastAsia"/>
                <w:sz w:val="24"/>
                <w:szCs w:val="24"/>
              </w:rPr>
              <w:t>应付管理人报酬</w:t>
            </w:r>
          </w:p>
        </w:tc>
        <w:tc>
          <w:tcPr>
            <w:tcW w:w="1852" w:type="dxa"/>
          </w:tcPr>
          <w:p w:rsidR="00154A21" w:rsidRPr="0098183B" w:rsidRDefault="00154A21" w:rsidP="00154A21">
            <w:pPr>
              <w:spacing w:line="360" w:lineRule="auto"/>
              <w:jc w:val="right"/>
              <w:rPr>
                <w:color w:val="000000" w:themeColor="text1"/>
                <w:sz w:val="24"/>
                <w:szCs w:val="24"/>
              </w:rPr>
            </w:pPr>
            <w:r w:rsidRPr="0098183B">
              <w:rPr>
                <w:color w:val="000000" w:themeColor="text1"/>
                <w:sz w:val="24"/>
                <w:szCs w:val="24"/>
              </w:rPr>
              <w:t>1,743.09</w:t>
            </w:r>
          </w:p>
        </w:tc>
        <w:tc>
          <w:tcPr>
            <w:tcW w:w="2583" w:type="dxa"/>
          </w:tcPr>
          <w:p w:rsidR="00154A21" w:rsidRPr="0098183B" w:rsidRDefault="00154A21" w:rsidP="00154A21">
            <w:pPr>
              <w:spacing w:line="360" w:lineRule="auto"/>
              <w:jc w:val="right"/>
              <w:rPr>
                <w:color w:val="000000" w:themeColor="text1"/>
                <w:sz w:val="24"/>
                <w:szCs w:val="24"/>
              </w:rPr>
            </w:pPr>
            <w:r w:rsidRPr="0098183B">
              <w:rPr>
                <w:color w:val="000000" w:themeColor="text1"/>
                <w:sz w:val="24"/>
                <w:szCs w:val="24"/>
              </w:rPr>
              <w:t>-1,743.09</w:t>
            </w:r>
          </w:p>
        </w:tc>
        <w:tc>
          <w:tcPr>
            <w:tcW w:w="2127" w:type="dxa"/>
          </w:tcPr>
          <w:p w:rsidR="00154A21" w:rsidRPr="0098183B" w:rsidRDefault="00154A21" w:rsidP="00154A21">
            <w:pPr>
              <w:spacing w:line="360" w:lineRule="auto"/>
              <w:jc w:val="right"/>
              <w:rPr>
                <w:color w:val="000000" w:themeColor="text1"/>
                <w:sz w:val="24"/>
                <w:szCs w:val="24"/>
              </w:rPr>
            </w:pPr>
            <w:r w:rsidRPr="0098183B">
              <w:rPr>
                <w:rFonts w:hint="eastAsia"/>
                <w:color w:val="000000" w:themeColor="text1"/>
                <w:sz w:val="24"/>
                <w:szCs w:val="24"/>
              </w:rPr>
              <w:t>-</w:t>
            </w:r>
          </w:p>
        </w:tc>
      </w:tr>
      <w:tr w:rsidR="00154A21" w:rsidRPr="0098183B" w:rsidTr="00470C24">
        <w:tc>
          <w:tcPr>
            <w:tcW w:w="733" w:type="dxa"/>
          </w:tcPr>
          <w:p w:rsidR="00154A21" w:rsidRPr="0098183B" w:rsidRDefault="0098183B" w:rsidP="00154A21">
            <w:pPr>
              <w:spacing w:line="360" w:lineRule="auto"/>
              <w:rPr>
                <w:color w:val="000000" w:themeColor="text1"/>
                <w:sz w:val="24"/>
                <w:szCs w:val="24"/>
              </w:rPr>
            </w:pPr>
            <w:r>
              <w:rPr>
                <w:rFonts w:hint="eastAsia"/>
                <w:color w:val="000000" w:themeColor="text1"/>
                <w:sz w:val="24"/>
                <w:szCs w:val="24"/>
              </w:rPr>
              <w:t>2</w:t>
            </w:r>
          </w:p>
        </w:tc>
        <w:tc>
          <w:tcPr>
            <w:tcW w:w="1744" w:type="dxa"/>
            <w:vAlign w:val="center"/>
          </w:tcPr>
          <w:p w:rsidR="00154A21" w:rsidRPr="0098183B" w:rsidRDefault="00154A21" w:rsidP="00154A21">
            <w:pPr>
              <w:spacing w:line="360" w:lineRule="auto"/>
              <w:rPr>
                <w:color w:val="000000" w:themeColor="text1"/>
                <w:sz w:val="24"/>
                <w:szCs w:val="24"/>
              </w:rPr>
            </w:pPr>
            <w:r w:rsidRPr="0098183B">
              <w:rPr>
                <w:rFonts w:hint="eastAsia"/>
                <w:sz w:val="24"/>
                <w:szCs w:val="24"/>
              </w:rPr>
              <w:t>应付托管费</w:t>
            </w:r>
          </w:p>
        </w:tc>
        <w:tc>
          <w:tcPr>
            <w:tcW w:w="1852" w:type="dxa"/>
          </w:tcPr>
          <w:p w:rsidR="00154A21" w:rsidRPr="0098183B" w:rsidRDefault="00154A21" w:rsidP="00154A21">
            <w:pPr>
              <w:spacing w:line="360" w:lineRule="auto"/>
              <w:jc w:val="right"/>
              <w:rPr>
                <w:color w:val="000000" w:themeColor="text1"/>
                <w:sz w:val="24"/>
                <w:szCs w:val="24"/>
              </w:rPr>
            </w:pPr>
            <w:r w:rsidRPr="0098183B">
              <w:rPr>
                <w:color w:val="000000" w:themeColor="text1"/>
                <w:sz w:val="24"/>
                <w:szCs w:val="24"/>
              </w:rPr>
              <w:t>290.52</w:t>
            </w:r>
          </w:p>
        </w:tc>
        <w:tc>
          <w:tcPr>
            <w:tcW w:w="2583" w:type="dxa"/>
          </w:tcPr>
          <w:p w:rsidR="00154A21" w:rsidRPr="0098183B" w:rsidRDefault="00154A21" w:rsidP="00154A21">
            <w:pPr>
              <w:spacing w:line="360" w:lineRule="auto"/>
              <w:jc w:val="right"/>
              <w:rPr>
                <w:color w:val="000000" w:themeColor="text1"/>
                <w:sz w:val="24"/>
                <w:szCs w:val="24"/>
              </w:rPr>
            </w:pPr>
            <w:r w:rsidRPr="0098183B">
              <w:rPr>
                <w:color w:val="000000" w:themeColor="text1"/>
                <w:sz w:val="24"/>
                <w:szCs w:val="24"/>
              </w:rPr>
              <w:t>-290.52</w:t>
            </w:r>
          </w:p>
        </w:tc>
        <w:tc>
          <w:tcPr>
            <w:tcW w:w="2127" w:type="dxa"/>
          </w:tcPr>
          <w:p w:rsidR="00154A21" w:rsidRPr="0098183B" w:rsidRDefault="00154A21" w:rsidP="00154A21">
            <w:pPr>
              <w:spacing w:line="360" w:lineRule="auto"/>
              <w:jc w:val="right"/>
              <w:rPr>
                <w:color w:val="000000" w:themeColor="text1"/>
                <w:sz w:val="24"/>
                <w:szCs w:val="24"/>
              </w:rPr>
            </w:pPr>
            <w:r w:rsidRPr="0098183B">
              <w:rPr>
                <w:rFonts w:hint="eastAsia"/>
                <w:color w:val="000000" w:themeColor="text1"/>
                <w:sz w:val="24"/>
                <w:szCs w:val="24"/>
              </w:rPr>
              <w:t>-</w:t>
            </w:r>
          </w:p>
        </w:tc>
      </w:tr>
      <w:tr w:rsidR="00154A21" w:rsidRPr="0098183B" w:rsidTr="00470C24">
        <w:tc>
          <w:tcPr>
            <w:tcW w:w="733" w:type="dxa"/>
          </w:tcPr>
          <w:p w:rsidR="00154A21" w:rsidRPr="0098183B" w:rsidRDefault="0098183B" w:rsidP="00154A21">
            <w:pPr>
              <w:spacing w:line="360" w:lineRule="auto"/>
              <w:rPr>
                <w:color w:val="000000" w:themeColor="text1"/>
                <w:sz w:val="24"/>
                <w:szCs w:val="24"/>
              </w:rPr>
            </w:pPr>
            <w:r>
              <w:rPr>
                <w:rFonts w:hint="eastAsia"/>
                <w:color w:val="000000" w:themeColor="text1"/>
                <w:sz w:val="24"/>
                <w:szCs w:val="24"/>
              </w:rPr>
              <w:t>3</w:t>
            </w:r>
          </w:p>
        </w:tc>
        <w:tc>
          <w:tcPr>
            <w:tcW w:w="1744" w:type="dxa"/>
            <w:vAlign w:val="center"/>
          </w:tcPr>
          <w:p w:rsidR="00154A21" w:rsidRPr="0098183B" w:rsidRDefault="00154A21" w:rsidP="00154A21">
            <w:pPr>
              <w:spacing w:line="360" w:lineRule="auto"/>
              <w:rPr>
                <w:color w:val="000000" w:themeColor="text1"/>
                <w:sz w:val="24"/>
                <w:szCs w:val="24"/>
              </w:rPr>
            </w:pPr>
            <w:r w:rsidRPr="0098183B">
              <w:rPr>
                <w:rFonts w:ascii="宋体" w:hAnsi="宋体" w:hint="eastAsia"/>
                <w:sz w:val="24"/>
                <w:szCs w:val="24"/>
              </w:rPr>
              <w:t xml:space="preserve">其他负债 </w:t>
            </w:r>
          </w:p>
        </w:tc>
        <w:tc>
          <w:tcPr>
            <w:tcW w:w="1852" w:type="dxa"/>
          </w:tcPr>
          <w:p w:rsidR="00154A21" w:rsidRPr="0098183B" w:rsidRDefault="00154A21" w:rsidP="00154A21">
            <w:pPr>
              <w:spacing w:line="360" w:lineRule="auto"/>
              <w:jc w:val="right"/>
              <w:rPr>
                <w:color w:val="000000" w:themeColor="text1"/>
                <w:sz w:val="24"/>
                <w:szCs w:val="24"/>
              </w:rPr>
            </w:pPr>
            <w:r w:rsidRPr="0098183B">
              <w:rPr>
                <w:color w:val="000000" w:themeColor="text1"/>
                <w:sz w:val="24"/>
                <w:szCs w:val="24"/>
              </w:rPr>
              <w:t>325,372.90</w:t>
            </w:r>
          </w:p>
        </w:tc>
        <w:tc>
          <w:tcPr>
            <w:tcW w:w="2583" w:type="dxa"/>
          </w:tcPr>
          <w:p w:rsidR="00154A21" w:rsidRPr="0098183B" w:rsidRDefault="00C517A3" w:rsidP="00154A21">
            <w:pPr>
              <w:spacing w:line="360" w:lineRule="auto"/>
              <w:jc w:val="right"/>
              <w:rPr>
                <w:color w:val="000000" w:themeColor="text1"/>
                <w:sz w:val="24"/>
                <w:szCs w:val="24"/>
              </w:rPr>
            </w:pPr>
            <w:r w:rsidRPr="0098183B">
              <w:rPr>
                <w:rFonts w:hint="eastAsia"/>
                <w:color w:val="000000" w:themeColor="text1"/>
                <w:sz w:val="24"/>
                <w:szCs w:val="24"/>
              </w:rPr>
              <w:t>-</w:t>
            </w:r>
            <w:r w:rsidRPr="0098183B">
              <w:rPr>
                <w:color w:val="000000" w:themeColor="text1"/>
                <w:sz w:val="24"/>
                <w:szCs w:val="24"/>
              </w:rPr>
              <w:t>305,372.9</w:t>
            </w:r>
            <w:r w:rsidR="00DD0602">
              <w:rPr>
                <w:color w:val="000000" w:themeColor="text1"/>
                <w:sz w:val="24"/>
                <w:szCs w:val="24"/>
              </w:rPr>
              <w:t>0</w:t>
            </w:r>
          </w:p>
        </w:tc>
        <w:tc>
          <w:tcPr>
            <w:tcW w:w="2127" w:type="dxa"/>
          </w:tcPr>
          <w:p w:rsidR="00154A21" w:rsidRPr="0098183B" w:rsidRDefault="00C517A3" w:rsidP="00154A21">
            <w:pPr>
              <w:spacing w:line="360" w:lineRule="auto"/>
              <w:jc w:val="right"/>
              <w:rPr>
                <w:color w:val="000000" w:themeColor="text1"/>
                <w:sz w:val="24"/>
                <w:szCs w:val="24"/>
              </w:rPr>
            </w:pPr>
            <w:r w:rsidRPr="0098183B">
              <w:rPr>
                <w:color w:val="000000" w:themeColor="text1"/>
                <w:sz w:val="24"/>
                <w:szCs w:val="24"/>
              </w:rPr>
              <w:t>20,000.00</w:t>
            </w:r>
          </w:p>
        </w:tc>
      </w:tr>
    </w:tbl>
    <w:p w:rsidR="00E45AEB" w:rsidRPr="008C5BB0" w:rsidRDefault="00E45AEB" w:rsidP="00E45AEB">
      <w:pPr>
        <w:pStyle w:val="XBRLTitle2"/>
        <w:numPr>
          <w:ilvl w:val="0"/>
          <w:numId w:val="0"/>
        </w:numPr>
        <w:spacing w:before="156" w:after="156"/>
        <w:ind w:left="454" w:hanging="454"/>
        <w:rPr>
          <w:color w:val="000000" w:themeColor="text1"/>
        </w:rPr>
      </w:pPr>
      <w:bookmarkStart w:id="183" w:name="_Toc495929387"/>
      <w:r w:rsidRPr="008C5BB0">
        <w:rPr>
          <w:rFonts w:hint="eastAsia"/>
          <w:color w:val="000000" w:themeColor="text1"/>
          <w:szCs w:val="24"/>
        </w:rPr>
        <w:t>4</w:t>
      </w:r>
      <w:r w:rsidRPr="008C5BB0">
        <w:rPr>
          <w:rFonts w:hint="eastAsia"/>
          <w:color w:val="000000" w:themeColor="text1"/>
          <w:szCs w:val="24"/>
        </w:rPr>
        <w:t>、</w:t>
      </w:r>
      <w:r w:rsidR="003567CB">
        <w:rPr>
          <w:rFonts w:hint="eastAsia"/>
          <w:color w:val="000000" w:themeColor="text1"/>
        </w:rPr>
        <w:t>清算期</w:t>
      </w:r>
      <w:r w:rsidRPr="008C5BB0">
        <w:rPr>
          <w:rFonts w:hint="eastAsia"/>
          <w:color w:val="000000" w:themeColor="text1"/>
        </w:rPr>
        <w:t>的清算损益情况</w:t>
      </w:r>
      <w:bookmarkEnd w:id="183"/>
    </w:p>
    <w:tbl>
      <w:tblPr>
        <w:tblW w:w="5000" w:type="pct"/>
        <w:tblLook w:val="04A0"/>
      </w:tblPr>
      <w:tblGrid>
        <w:gridCol w:w="5271"/>
        <w:gridCol w:w="3789"/>
      </w:tblGrid>
      <w:tr w:rsidR="008C5BB0" w:rsidRPr="008C5BB0" w:rsidTr="00341DA9">
        <w:trPr>
          <w:trHeight w:val="956"/>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widowControl/>
              <w:jc w:val="center"/>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项目</w:t>
            </w:r>
          </w:p>
        </w:tc>
        <w:tc>
          <w:tcPr>
            <w:tcW w:w="2091" w:type="pct"/>
            <w:tcBorders>
              <w:top w:val="single" w:sz="4" w:space="0" w:color="auto"/>
              <w:left w:val="single" w:sz="4" w:space="0" w:color="auto"/>
              <w:bottom w:val="single" w:sz="4" w:space="0" w:color="auto"/>
              <w:right w:val="single" w:sz="4" w:space="0" w:color="auto"/>
            </w:tcBorders>
            <w:vAlign w:val="center"/>
            <w:hideMark/>
          </w:tcPr>
          <w:p w:rsidR="00751579" w:rsidRPr="008C5BB0" w:rsidRDefault="00E30F67" w:rsidP="001928AF">
            <w:pPr>
              <w:widowControl/>
              <w:jc w:val="right"/>
              <w:rPr>
                <w:rFonts w:ascii="Arial Narrow" w:hAnsi="Arial Narrow" w:cs="宋体"/>
                <w:color w:val="000000" w:themeColor="text1"/>
                <w:kern w:val="0"/>
                <w:sz w:val="24"/>
              </w:rPr>
            </w:pPr>
            <w:r w:rsidRPr="00E30F67">
              <w:rPr>
                <w:rFonts w:ascii="宋体" w:hAnsi="宋体" w:hint="eastAsia"/>
                <w:color w:val="000000" w:themeColor="text1"/>
                <w:sz w:val="24"/>
                <w:szCs w:val="24"/>
              </w:rPr>
              <w:t>2018年10月18日至2018年11月2日</w:t>
            </w:r>
          </w:p>
        </w:tc>
      </w:tr>
      <w:tr w:rsidR="008C5BB0"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rPr>
                <w:b/>
                <w:color w:val="000000" w:themeColor="text1"/>
                <w:sz w:val="24"/>
              </w:rPr>
            </w:pPr>
            <w:r w:rsidRPr="008C5BB0">
              <w:rPr>
                <w:rFonts w:hint="eastAsia"/>
                <w:b/>
                <w:color w:val="000000" w:themeColor="text1"/>
                <w:sz w:val="24"/>
              </w:rPr>
              <w:t>一、收入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751579" w:rsidRPr="008C5BB0" w:rsidRDefault="00614610">
            <w:pPr>
              <w:widowControl/>
              <w:jc w:val="right"/>
              <w:rPr>
                <w:rFonts w:ascii="Arial Narrow" w:hAnsi="Arial Narrow" w:cs="宋体"/>
                <w:color w:val="000000" w:themeColor="text1"/>
                <w:kern w:val="0"/>
                <w:sz w:val="24"/>
              </w:rPr>
            </w:pPr>
            <w:r w:rsidRPr="00C517A3">
              <w:rPr>
                <w:color w:val="000000" w:themeColor="text1"/>
                <w:sz w:val="24"/>
                <w:szCs w:val="24"/>
              </w:rPr>
              <w:t>1,031.43</w:t>
            </w:r>
          </w:p>
        </w:tc>
      </w:tr>
      <w:tr w:rsidR="008C5BB0"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利息收入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751579" w:rsidRPr="00C517A3" w:rsidRDefault="00C517A3" w:rsidP="00C517A3">
            <w:pPr>
              <w:spacing w:line="360" w:lineRule="auto"/>
              <w:jc w:val="right"/>
              <w:rPr>
                <w:color w:val="000000" w:themeColor="text1"/>
                <w:sz w:val="24"/>
                <w:szCs w:val="24"/>
              </w:rPr>
            </w:pPr>
            <w:r w:rsidRPr="00C517A3">
              <w:rPr>
                <w:color w:val="000000" w:themeColor="text1"/>
                <w:sz w:val="24"/>
                <w:szCs w:val="24"/>
              </w:rPr>
              <w:t>1,031.43</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其中：存款利息收入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sidRPr="00C517A3">
              <w:rPr>
                <w:color w:val="000000" w:themeColor="text1"/>
                <w:sz w:val="24"/>
                <w:szCs w:val="24"/>
              </w:rPr>
              <w:t>1,031.43</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9D0984" w:rsidP="00C517A3">
            <w:pPr>
              <w:spacing w:line="360" w:lineRule="auto"/>
              <w:jc w:val="right"/>
              <w:rPr>
                <w:color w:val="000000" w:themeColor="text1"/>
                <w:sz w:val="24"/>
                <w:szCs w:val="24"/>
              </w:rPr>
            </w:pP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投资收益（损失以“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sidRPr="00C517A3">
              <w:rPr>
                <w:color w:val="000000" w:themeColor="text1"/>
                <w:sz w:val="24"/>
                <w:szCs w:val="24"/>
              </w:rPr>
              <w:t>-</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w:t>
            </w:r>
            <w:r w:rsidRPr="008C5BB0">
              <w:rPr>
                <w:rFonts w:hint="eastAsia"/>
                <w:color w:val="000000" w:themeColor="text1"/>
              </w:rPr>
              <w:t>股票投资收益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sidRPr="00C517A3">
              <w:rPr>
                <w:rFonts w:hint="eastAsia"/>
                <w:color w:val="000000" w:themeColor="text1"/>
                <w:sz w:val="24"/>
                <w:szCs w:val="24"/>
              </w:rPr>
              <w:t>-</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9D0984" w:rsidP="00C517A3">
            <w:pPr>
              <w:spacing w:line="360" w:lineRule="auto"/>
              <w:jc w:val="right"/>
              <w:rPr>
                <w:color w:val="000000" w:themeColor="text1"/>
                <w:sz w:val="24"/>
                <w:szCs w:val="24"/>
              </w:rPr>
            </w:pP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公允价值变动损益（损失以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sidRPr="00C517A3">
              <w:rPr>
                <w:color w:val="000000" w:themeColor="text1"/>
                <w:sz w:val="24"/>
                <w:szCs w:val="24"/>
              </w:rPr>
              <w:t>-</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汇兑收益（损失以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sidRPr="00C517A3">
              <w:rPr>
                <w:rFonts w:hint="eastAsia"/>
                <w:color w:val="000000" w:themeColor="text1"/>
                <w:sz w:val="24"/>
                <w:szCs w:val="24"/>
              </w:rPr>
              <w:t>-</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其他收入（损失以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sidRPr="00C517A3">
              <w:rPr>
                <w:rFonts w:hint="eastAsia"/>
                <w:color w:val="000000" w:themeColor="text1"/>
                <w:sz w:val="24"/>
                <w:szCs w:val="24"/>
              </w:rPr>
              <w:t>-</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rFonts w:ascii="Arial Narrow" w:hAnsi="Arial Narrow" w:cs="宋体"/>
                <w:color w:val="000000" w:themeColor="text1"/>
                <w:kern w:val="0"/>
                <w:sz w:val="24"/>
              </w:rPr>
            </w:pPr>
            <w:r w:rsidRPr="008C5BB0">
              <w:rPr>
                <w:rFonts w:hint="eastAsia"/>
                <w:b/>
                <w:color w:val="000000" w:themeColor="text1"/>
                <w:sz w:val="24"/>
              </w:rPr>
              <w:t>二、费用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614610" w:rsidP="00C517A3">
            <w:pPr>
              <w:spacing w:line="360" w:lineRule="auto"/>
              <w:jc w:val="right"/>
              <w:rPr>
                <w:color w:val="000000" w:themeColor="text1"/>
                <w:sz w:val="24"/>
                <w:szCs w:val="24"/>
              </w:rPr>
            </w:pPr>
            <w:r w:rsidRPr="00C517A3">
              <w:rPr>
                <w:color w:val="000000" w:themeColor="text1"/>
                <w:sz w:val="24"/>
                <w:szCs w:val="24"/>
              </w:rPr>
              <w:t>-197,858.52</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管理人报酬</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9D0984" w:rsidP="00C517A3">
            <w:pPr>
              <w:spacing w:line="360" w:lineRule="auto"/>
              <w:jc w:val="right"/>
              <w:rPr>
                <w:color w:val="000000" w:themeColor="text1"/>
                <w:sz w:val="24"/>
                <w:szCs w:val="24"/>
              </w:rPr>
            </w:pP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托管费</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9D0984" w:rsidP="00C517A3">
            <w:pPr>
              <w:spacing w:line="360" w:lineRule="auto"/>
              <w:jc w:val="right"/>
              <w:rPr>
                <w:color w:val="000000" w:themeColor="text1"/>
                <w:sz w:val="24"/>
                <w:szCs w:val="24"/>
              </w:rPr>
            </w:pP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销售服务费</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9D0984" w:rsidP="00C517A3">
            <w:pPr>
              <w:spacing w:line="360" w:lineRule="auto"/>
              <w:jc w:val="right"/>
              <w:rPr>
                <w:color w:val="000000" w:themeColor="text1"/>
                <w:sz w:val="24"/>
                <w:szCs w:val="24"/>
              </w:rPr>
            </w:pP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交易费用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9D0984" w:rsidP="00C517A3">
            <w:pPr>
              <w:spacing w:line="360" w:lineRule="auto"/>
              <w:jc w:val="right"/>
              <w:rPr>
                <w:color w:val="000000" w:themeColor="text1"/>
                <w:sz w:val="24"/>
                <w:szCs w:val="24"/>
              </w:rPr>
            </w:pP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利息支出</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9D0984" w:rsidP="00C517A3">
            <w:pPr>
              <w:spacing w:line="360" w:lineRule="auto"/>
              <w:jc w:val="right"/>
              <w:rPr>
                <w:color w:val="000000" w:themeColor="text1"/>
                <w:sz w:val="24"/>
                <w:szCs w:val="24"/>
              </w:rPr>
            </w:pP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其中：卖出回购金融资产支出</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9D0984" w:rsidP="00C517A3">
            <w:pPr>
              <w:spacing w:line="360" w:lineRule="auto"/>
              <w:jc w:val="right"/>
              <w:rPr>
                <w:color w:val="000000" w:themeColor="text1"/>
                <w:sz w:val="24"/>
                <w:szCs w:val="24"/>
              </w:rPr>
            </w:pP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6.</w:t>
            </w:r>
            <w:r w:rsidRPr="008C5BB0">
              <w:rPr>
                <w:rFonts w:ascii="Arial Narrow" w:hAnsi="Arial Narrow" w:cs="宋体" w:hint="eastAsia"/>
                <w:color w:val="000000" w:themeColor="text1"/>
                <w:kern w:val="0"/>
                <w:sz w:val="24"/>
              </w:rPr>
              <w:t>其他费用</w:t>
            </w:r>
            <w:r w:rsidR="00C517A3">
              <w:rPr>
                <w:rFonts w:ascii="Arial Narrow" w:hAnsi="Arial Narrow" w:cs="宋体" w:hint="eastAsia"/>
                <w:color w:val="000000" w:themeColor="text1"/>
                <w:kern w:val="0"/>
                <w:sz w:val="24"/>
              </w:rPr>
              <w:t>（注）</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sidRPr="00C517A3">
              <w:rPr>
                <w:color w:val="000000" w:themeColor="text1"/>
                <w:sz w:val="24"/>
                <w:szCs w:val="24"/>
              </w:rPr>
              <w:t>-197,858.52</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b/>
                <w:color w:val="000000" w:themeColor="text1"/>
                <w:sz w:val="24"/>
              </w:rPr>
            </w:pPr>
            <w:r w:rsidRPr="008C5BB0">
              <w:rPr>
                <w:rFonts w:hint="eastAsia"/>
                <w:b/>
                <w:color w:val="000000" w:themeColor="text1"/>
                <w:sz w:val="24"/>
              </w:rPr>
              <w:t>三、利润总额（亏损总额以</w:t>
            </w:r>
            <w:r w:rsidRPr="008C5BB0">
              <w:rPr>
                <w:b/>
                <w:color w:val="000000" w:themeColor="text1"/>
                <w:sz w:val="24"/>
              </w:rPr>
              <w:t>"-"</w:t>
            </w:r>
            <w:r w:rsidRPr="008C5BB0">
              <w:rPr>
                <w:rFonts w:hint="eastAsia"/>
                <w:b/>
                <w:color w:val="000000" w:themeColor="text1"/>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sidRPr="00C517A3">
              <w:rPr>
                <w:color w:val="000000" w:themeColor="text1"/>
                <w:sz w:val="24"/>
                <w:szCs w:val="24"/>
              </w:rPr>
              <w:t>198,889.95</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减：所得税费用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C517A3" w:rsidRDefault="00C517A3" w:rsidP="00C517A3">
            <w:pPr>
              <w:spacing w:line="360" w:lineRule="auto"/>
              <w:jc w:val="right"/>
              <w:rPr>
                <w:color w:val="000000" w:themeColor="text1"/>
                <w:sz w:val="24"/>
                <w:szCs w:val="24"/>
              </w:rPr>
            </w:pPr>
            <w:r>
              <w:rPr>
                <w:rFonts w:hint="eastAsia"/>
                <w:color w:val="000000" w:themeColor="text1"/>
                <w:sz w:val="24"/>
                <w:szCs w:val="24"/>
              </w:rPr>
              <w:t>-</w:t>
            </w:r>
          </w:p>
        </w:tc>
      </w:tr>
      <w:tr w:rsidR="009D0984" w:rsidRPr="008C5BB0" w:rsidTr="00341DA9">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b/>
                <w:color w:val="000000" w:themeColor="text1"/>
                <w:sz w:val="24"/>
              </w:rPr>
            </w:pPr>
            <w:r w:rsidRPr="008C5BB0">
              <w:rPr>
                <w:rFonts w:hint="eastAsia"/>
                <w:b/>
                <w:color w:val="000000" w:themeColor="text1"/>
                <w:sz w:val="24"/>
              </w:rPr>
              <w:t>四、净利润总额（净亏损以</w:t>
            </w:r>
            <w:r w:rsidRPr="008C5BB0">
              <w:rPr>
                <w:b/>
                <w:color w:val="000000" w:themeColor="text1"/>
                <w:sz w:val="24"/>
              </w:rPr>
              <w:t>"-"</w:t>
            </w:r>
            <w:r w:rsidRPr="008C5BB0">
              <w:rPr>
                <w:rFonts w:hint="eastAsia"/>
                <w:b/>
                <w:color w:val="000000" w:themeColor="text1"/>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8C5BB0" w:rsidRDefault="00C517A3" w:rsidP="009D0984">
            <w:pPr>
              <w:widowControl/>
              <w:jc w:val="right"/>
              <w:rPr>
                <w:rFonts w:ascii="Arial Narrow" w:hAnsi="Arial Narrow" w:cs="宋体"/>
                <w:color w:val="000000" w:themeColor="text1"/>
                <w:kern w:val="0"/>
                <w:sz w:val="24"/>
              </w:rPr>
            </w:pPr>
            <w:r w:rsidRPr="00C517A3">
              <w:rPr>
                <w:color w:val="000000" w:themeColor="text1"/>
                <w:sz w:val="24"/>
                <w:szCs w:val="24"/>
              </w:rPr>
              <w:t>198,889.95</w:t>
            </w:r>
          </w:p>
        </w:tc>
      </w:tr>
    </w:tbl>
    <w:p w:rsidR="008C5BB0" w:rsidRPr="0098183B" w:rsidRDefault="00796F2C" w:rsidP="00341DA9">
      <w:pPr>
        <w:rPr>
          <w:color w:val="000000" w:themeColor="text1"/>
          <w:sz w:val="24"/>
          <w:szCs w:val="24"/>
        </w:rPr>
      </w:pPr>
      <w:bookmarkStart w:id="184" w:name="_Toc495929388"/>
      <w:r w:rsidRPr="0098183B">
        <w:rPr>
          <w:rFonts w:hint="eastAsia"/>
          <w:color w:val="000000" w:themeColor="text1"/>
          <w:sz w:val="24"/>
          <w:szCs w:val="24"/>
        </w:rPr>
        <w:t>注：</w:t>
      </w:r>
      <w:r w:rsidR="00C517A3" w:rsidRPr="0098183B">
        <w:rPr>
          <w:rFonts w:hint="eastAsia"/>
          <w:color w:val="000000" w:themeColor="text1"/>
          <w:sz w:val="24"/>
          <w:szCs w:val="24"/>
        </w:rPr>
        <w:t>其他费用主要为清盘律师费、银行间账户维护费以及冲销报社减免的信息披露费。</w:t>
      </w:r>
    </w:p>
    <w:p w:rsidR="00E45AEB" w:rsidRPr="008A2788" w:rsidRDefault="00BA6B2B" w:rsidP="00E45AEB">
      <w:pPr>
        <w:pStyle w:val="XBRLTitle2"/>
        <w:numPr>
          <w:ilvl w:val="0"/>
          <w:numId w:val="0"/>
        </w:numPr>
        <w:spacing w:before="156" w:after="156"/>
        <w:ind w:left="454" w:hanging="454"/>
        <w:rPr>
          <w:color w:val="000000" w:themeColor="text1"/>
        </w:rPr>
      </w:pPr>
      <w:r>
        <w:rPr>
          <w:rFonts w:hint="eastAsia"/>
          <w:color w:val="000000" w:themeColor="text1"/>
        </w:rPr>
        <w:t>5</w:t>
      </w:r>
      <w:r>
        <w:rPr>
          <w:rFonts w:hint="eastAsia"/>
          <w:color w:val="000000" w:themeColor="text1"/>
        </w:rPr>
        <w:t>、</w:t>
      </w:r>
      <w:r w:rsidR="00E45AEB" w:rsidRPr="008A2788">
        <w:rPr>
          <w:rFonts w:hint="eastAsia"/>
          <w:color w:val="000000" w:themeColor="text1"/>
        </w:rPr>
        <w:t>资产处置及负债清偿后的剩余资产分配情况</w:t>
      </w:r>
      <w:bookmarkEnd w:id="184"/>
    </w:p>
    <w:p w:rsidR="00A67A2D" w:rsidRPr="008A2788" w:rsidRDefault="00A67A2D" w:rsidP="00A67A2D">
      <w:pPr>
        <w:overflowPunct w:val="0"/>
        <w:autoSpaceDE w:val="0"/>
        <w:autoSpaceDN w:val="0"/>
        <w:snapToGrid w:val="0"/>
        <w:ind w:left="6480"/>
        <w:jc w:val="right"/>
        <w:rPr>
          <w:rFonts w:ascii="宋体" w:hAnsi="宋体" w:cs="Arial"/>
          <w:b/>
          <w:color w:val="000000" w:themeColor="text1"/>
          <w:sz w:val="24"/>
          <w:szCs w:val="24"/>
        </w:rPr>
      </w:pPr>
      <w:r w:rsidRPr="008A2788">
        <w:rPr>
          <w:rFonts w:ascii="宋体" w:hAnsi="宋体" w:cs="Arial"/>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A67A2D" w:rsidRPr="008A2788" w:rsidTr="00590325">
        <w:tc>
          <w:tcPr>
            <w:tcW w:w="3160" w:type="pct"/>
            <w:shd w:val="clear" w:color="auto" w:fill="auto"/>
          </w:tcPr>
          <w:p w:rsidR="00A67A2D" w:rsidRPr="008A2788" w:rsidRDefault="00A67A2D" w:rsidP="00590325">
            <w:pPr>
              <w:overflowPunct w:val="0"/>
              <w:autoSpaceDE w:val="0"/>
              <w:autoSpaceDN w:val="0"/>
              <w:snapToGrid w:val="0"/>
              <w:jc w:val="left"/>
              <w:rPr>
                <w:rFonts w:ascii="宋体" w:hAnsi="宋体" w:cs="Arial"/>
                <w:color w:val="000000" w:themeColor="text1"/>
                <w:sz w:val="24"/>
                <w:szCs w:val="24"/>
              </w:rPr>
            </w:pPr>
            <w:r w:rsidRPr="008A2788">
              <w:rPr>
                <w:rFonts w:ascii="宋体" w:hAnsi="宋体" w:cs="Arial"/>
                <w:color w:val="000000" w:themeColor="text1"/>
                <w:sz w:val="24"/>
                <w:szCs w:val="24"/>
              </w:rPr>
              <w:t>项目</w:t>
            </w:r>
          </w:p>
        </w:tc>
        <w:tc>
          <w:tcPr>
            <w:tcW w:w="1840" w:type="pct"/>
            <w:shd w:val="clear" w:color="auto" w:fill="auto"/>
          </w:tcPr>
          <w:p w:rsidR="00A67A2D" w:rsidRPr="008A2788" w:rsidRDefault="00A67A2D" w:rsidP="00590325">
            <w:pPr>
              <w:overflowPunct w:val="0"/>
              <w:autoSpaceDE w:val="0"/>
              <w:autoSpaceDN w:val="0"/>
              <w:snapToGrid w:val="0"/>
              <w:jc w:val="right"/>
              <w:rPr>
                <w:rFonts w:ascii="宋体" w:hAnsi="宋体" w:cs="Arial"/>
                <w:color w:val="000000" w:themeColor="text1"/>
                <w:sz w:val="24"/>
                <w:szCs w:val="24"/>
              </w:rPr>
            </w:pPr>
            <w:r w:rsidRPr="008A2788">
              <w:rPr>
                <w:rFonts w:ascii="宋体" w:hAnsi="宋体" w:cs="Arial"/>
                <w:color w:val="000000" w:themeColor="text1"/>
                <w:sz w:val="24"/>
                <w:szCs w:val="24"/>
              </w:rPr>
              <w:t>金额</w:t>
            </w:r>
          </w:p>
        </w:tc>
      </w:tr>
      <w:tr w:rsidR="009D0984" w:rsidRPr="00DD0602" w:rsidTr="00590325">
        <w:tc>
          <w:tcPr>
            <w:tcW w:w="3160" w:type="pct"/>
            <w:shd w:val="clear" w:color="auto" w:fill="auto"/>
          </w:tcPr>
          <w:p w:rsidR="009D0984" w:rsidRPr="00DD0602" w:rsidRDefault="009D0984" w:rsidP="00C517A3">
            <w:pPr>
              <w:overflowPunct w:val="0"/>
              <w:autoSpaceDE w:val="0"/>
              <w:autoSpaceDN w:val="0"/>
              <w:snapToGrid w:val="0"/>
              <w:rPr>
                <w:rFonts w:ascii="宋体" w:hAnsi="宋体" w:cs="Arial"/>
                <w:b/>
                <w:color w:val="000000" w:themeColor="text1"/>
                <w:sz w:val="24"/>
                <w:szCs w:val="24"/>
              </w:rPr>
            </w:pPr>
            <w:r w:rsidRPr="00DD0602">
              <w:rPr>
                <w:rFonts w:ascii="宋体" w:hAnsi="宋体" w:cs="Arial"/>
                <w:b/>
                <w:color w:val="000000" w:themeColor="text1"/>
                <w:sz w:val="24"/>
                <w:szCs w:val="24"/>
              </w:rPr>
              <w:t>一、</w:t>
            </w:r>
            <w:r w:rsidR="00C517A3" w:rsidRPr="00DD0602">
              <w:rPr>
                <w:rFonts w:ascii="宋体" w:hAnsi="宋体" w:cs="Arial" w:hint="eastAsia"/>
                <w:b/>
                <w:color w:val="000000" w:themeColor="text1"/>
                <w:sz w:val="24"/>
                <w:szCs w:val="24"/>
              </w:rPr>
              <w:t>最后运作日2018年</w:t>
            </w:r>
            <w:r w:rsidR="00A31699" w:rsidRPr="00DD0602">
              <w:rPr>
                <w:rFonts w:ascii="宋体" w:hAnsi="宋体" w:cs="Arial" w:hint="eastAsia"/>
                <w:b/>
                <w:color w:val="000000" w:themeColor="text1"/>
                <w:sz w:val="24"/>
                <w:szCs w:val="24"/>
              </w:rPr>
              <w:t>10</w:t>
            </w:r>
            <w:r w:rsidR="00C517A3" w:rsidRPr="00DD0602">
              <w:rPr>
                <w:rFonts w:ascii="宋体" w:hAnsi="宋体" w:cs="Arial" w:hint="eastAsia"/>
                <w:b/>
                <w:color w:val="000000" w:themeColor="text1"/>
                <w:sz w:val="24"/>
                <w:szCs w:val="24"/>
              </w:rPr>
              <w:t>月17日基金净资产</w:t>
            </w:r>
          </w:p>
        </w:tc>
        <w:tc>
          <w:tcPr>
            <w:tcW w:w="1840" w:type="pct"/>
            <w:shd w:val="clear" w:color="auto" w:fill="auto"/>
          </w:tcPr>
          <w:p w:rsidR="009D0984" w:rsidRPr="00DD0602" w:rsidRDefault="00C517A3" w:rsidP="009D0984">
            <w:pPr>
              <w:overflowPunct w:val="0"/>
              <w:autoSpaceDE w:val="0"/>
              <w:autoSpaceDN w:val="0"/>
              <w:snapToGrid w:val="0"/>
              <w:jc w:val="right"/>
              <w:rPr>
                <w:b/>
                <w:color w:val="000000" w:themeColor="text1"/>
                <w:sz w:val="24"/>
                <w:szCs w:val="24"/>
              </w:rPr>
            </w:pPr>
            <w:r w:rsidRPr="00DD0602">
              <w:rPr>
                <w:b/>
                <w:color w:val="000000" w:themeColor="text1"/>
                <w:sz w:val="24"/>
                <w:szCs w:val="24"/>
              </w:rPr>
              <w:t>4,509,342.71</w:t>
            </w:r>
          </w:p>
        </w:tc>
      </w:tr>
      <w:tr w:rsidR="00DD0602" w:rsidRPr="008A2788" w:rsidTr="00590325">
        <w:tc>
          <w:tcPr>
            <w:tcW w:w="3160" w:type="pct"/>
            <w:shd w:val="clear" w:color="auto" w:fill="auto"/>
          </w:tcPr>
          <w:p w:rsidR="00DD0602" w:rsidRPr="008A2788" w:rsidRDefault="00DD0602" w:rsidP="009D0984">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其中</w:t>
            </w:r>
            <w:r>
              <w:rPr>
                <w:rFonts w:ascii="宋体" w:hAnsi="宋体" w:cs="Arial"/>
                <w:color w:val="000000" w:themeColor="text1"/>
                <w:sz w:val="24"/>
                <w:szCs w:val="24"/>
              </w:rPr>
              <w:t>：兴盛</w:t>
            </w:r>
            <w:r>
              <w:rPr>
                <w:rFonts w:ascii="宋体" w:hAnsi="宋体" w:cs="Arial" w:hint="eastAsia"/>
                <w:color w:val="000000" w:themeColor="text1"/>
                <w:sz w:val="24"/>
                <w:szCs w:val="24"/>
              </w:rPr>
              <w:t>A类</w:t>
            </w:r>
            <w:r>
              <w:rPr>
                <w:rFonts w:ascii="宋体" w:hAnsi="宋体" w:cs="Arial"/>
                <w:color w:val="000000" w:themeColor="text1"/>
                <w:sz w:val="24"/>
                <w:szCs w:val="24"/>
              </w:rPr>
              <w:t>资产净值</w:t>
            </w:r>
          </w:p>
        </w:tc>
        <w:tc>
          <w:tcPr>
            <w:tcW w:w="1840" w:type="pct"/>
            <w:shd w:val="clear" w:color="auto" w:fill="auto"/>
          </w:tcPr>
          <w:p w:rsidR="00DD0602" w:rsidRPr="0002651D" w:rsidRDefault="00DD0602" w:rsidP="009D0984">
            <w:pPr>
              <w:overflowPunct w:val="0"/>
              <w:autoSpaceDE w:val="0"/>
              <w:autoSpaceDN w:val="0"/>
              <w:snapToGrid w:val="0"/>
              <w:jc w:val="right"/>
              <w:rPr>
                <w:color w:val="000000" w:themeColor="text1"/>
                <w:sz w:val="24"/>
                <w:szCs w:val="24"/>
              </w:rPr>
            </w:pPr>
            <w:r w:rsidRPr="00DD0602">
              <w:rPr>
                <w:color w:val="000000" w:themeColor="text1"/>
                <w:sz w:val="24"/>
                <w:szCs w:val="24"/>
              </w:rPr>
              <w:t>4,509,332.74</w:t>
            </w:r>
          </w:p>
        </w:tc>
      </w:tr>
      <w:tr w:rsidR="00DD0602" w:rsidRPr="008A2788" w:rsidTr="00590325">
        <w:tc>
          <w:tcPr>
            <w:tcW w:w="3160" w:type="pct"/>
            <w:shd w:val="clear" w:color="auto" w:fill="auto"/>
          </w:tcPr>
          <w:p w:rsidR="00DD0602" w:rsidRPr="00DD0602" w:rsidRDefault="00DD0602" w:rsidP="00DD0602">
            <w:pPr>
              <w:overflowPunct w:val="0"/>
              <w:autoSpaceDE w:val="0"/>
              <w:autoSpaceDN w:val="0"/>
              <w:snapToGrid w:val="0"/>
              <w:ind w:firstLineChars="300" w:firstLine="720"/>
              <w:rPr>
                <w:rFonts w:ascii="宋体" w:hAnsi="宋体" w:cs="Arial"/>
                <w:color w:val="000000" w:themeColor="text1"/>
                <w:sz w:val="24"/>
                <w:szCs w:val="24"/>
              </w:rPr>
            </w:pPr>
            <w:r>
              <w:rPr>
                <w:rFonts w:ascii="宋体" w:hAnsi="宋体" w:cs="Arial" w:hint="eastAsia"/>
                <w:color w:val="000000" w:themeColor="text1"/>
                <w:sz w:val="24"/>
                <w:szCs w:val="24"/>
              </w:rPr>
              <w:t>兴盛C类</w:t>
            </w:r>
            <w:r>
              <w:rPr>
                <w:rFonts w:ascii="宋体" w:hAnsi="宋体" w:cs="Arial"/>
                <w:color w:val="000000" w:themeColor="text1"/>
                <w:sz w:val="24"/>
                <w:szCs w:val="24"/>
              </w:rPr>
              <w:t>资产净值</w:t>
            </w:r>
          </w:p>
        </w:tc>
        <w:tc>
          <w:tcPr>
            <w:tcW w:w="1840" w:type="pct"/>
            <w:shd w:val="clear" w:color="auto" w:fill="auto"/>
          </w:tcPr>
          <w:p w:rsidR="00DD0602" w:rsidRPr="0002651D" w:rsidRDefault="00DD0602" w:rsidP="009D0984">
            <w:pPr>
              <w:overflowPunct w:val="0"/>
              <w:autoSpaceDE w:val="0"/>
              <w:autoSpaceDN w:val="0"/>
              <w:snapToGrid w:val="0"/>
              <w:jc w:val="right"/>
              <w:rPr>
                <w:color w:val="000000" w:themeColor="text1"/>
                <w:sz w:val="24"/>
                <w:szCs w:val="24"/>
              </w:rPr>
            </w:pPr>
            <w:r w:rsidRPr="00DD0602">
              <w:rPr>
                <w:color w:val="000000" w:themeColor="text1"/>
                <w:sz w:val="24"/>
                <w:szCs w:val="24"/>
              </w:rPr>
              <w:t>9.97</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w:t>
            </w:r>
            <w:r>
              <w:rPr>
                <w:rFonts w:ascii="宋体" w:hAnsi="宋体" w:cs="宋体" w:hint="eastAsia"/>
                <w:color w:val="000000"/>
                <w:kern w:val="0"/>
                <w:sz w:val="24"/>
                <w:szCs w:val="24"/>
              </w:rPr>
              <w:t>本次清算期间净收益</w:t>
            </w:r>
          </w:p>
        </w:tc>
        <w:tc>
          <w:tcPr>
            <w:tcW w:w="1840" w:type="pct"/>
            <w:shd w:val="clear" w:color="auto" w:fill="auto"/>
          </w:tcPr>
          <w:p w:rsidR="009D0984" w:rsidRPr="0002651D" w:rsidRDefault="00C517A3" w:rsidP="009D0984">
            <w:pPr>
              <w:overflowPunct w:val="0"/>
              <w:autoSpaceDE w:val="0"/>
              <w:autoSpaceDN w:val="0"/>
              <w:snapToGrid w:val="0"/>
              <w:jc w:val="right"/>
              <w:rPr>
                <w:color w:val="000000" w:themeColor="text1"/>
                <w:sz w:val="24"/>
                <w:szCs w:val="24"/>
              </w:rPr>
            </w:pPr>
            <w:r w:rsidRPr="0002651D">
              <w:rPr>
                <w:color w:val="000000" w:themeColor="text1"/>
                <w:sz w:val="24"/>
                <w:szCs w:val="24"/>
              </w:rPr>
              <w:t>198,889.95</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加：应付利润结转实收基金</w:t>
            </w:r>
            <w:r w:rsidRPr="008A2788">
              <w:rPr>
                <w:rFonts w:ascii="宋体" w:hAnsi="宋体" w:cs="Arial" w:hint="eastAsia"/>
                <w:color w:val="000000" w:themeColor="text1"/>
                <w:sz w:val="24"/>
                <w:szCs w:val="24"/>
              </w:rPr>
              <w:t>金额</w:t>
            </w:r>
          </w:p>
        </w:tc>
        <w:tc>
          <w:tcPr>
            <w:tcW w:w="1840" w:type="pct"/>
            <w:shd w:val="clear" w:color="auto" w:fill="auto"/>
          </w:tcPr>
          <w:p w:rsidR="009D0984" w:rsidRPr="0002651D" w:rsidRDefault="00744C8A" w:rsidP="009D0984">
            <w:pPr>
              <w:overflowPunct w:val="0"/>
              <w:autoSpaceDE w:val="0"/>
              <w:autoSpaceDN w:val="0"/>
              <w:snapToGrid w:val="0"/>
              <w:jc w:val="right"/>
              <w:rPr>
                <w:color w:val="000000" w:themeColor="text1"/>
                <w:sz w:val="24"/>
                <w:szCs w:val="24"/>
              </w:rPr>
            </w:pPr>
            <w:r>
              <w:rPr>
                <w:rFonts w:hint="eastAsia"/>
                <w:color w:val="000000" w:themeColor="text1"/>
                <w:sz w:val="24"/>
                <w:szCs w:val="24"/>
              </w:rPr>
              <w:t>-</w:t>
            </w:r>
          </w:p>
        </w:tc>
      </w:tr>
      <w:tr w:rsidR="00C517A3" w:rsidRPr="008A2788" w:rsidTr="00590325">
        <w:tc>
          <w:tcPr>
            <w:tcW w:w="3160" w:type="pct"/>
            <w:shd w:val="clear" w:color="auto" w:fill="auto"/>
          </w:tcPr>
          <w:p w:rsidR="00C517A3" w:rsidRPr="008A2788" w:rsidRDefault="00847CF7" w:rsidP="009D0984">
            <w:pPr>
              <w:overflowPunct w:val="0"/>
              <w:autoSpaceDE w:val="0"/>
              <w:autoSpaceDN w:val="0"/>
              <w:snapToGrid w:val="0"/>
              <w:rPr>
                <w:rFonts w:ascii="宋体" w:hAnsi="宋体" w:cs="Arial"/>
                <w:color w:val="000000" w:themeColor="text1"/>
                <w:sz w:val="24"/>
                <w:szCs w:val="24"/>
              </w:rPr>
            </w:pPr>
            <w:r>
              <w:rPr>
                <w:rFonts w:ascii="宋体" w:hAnsi="宋体" w:cs="Arial" w:hint="eastAsia"/>
                <w:kern w:val="0"/>
                <w:sz w:val="24"/>
                <w:szCs w:val="24"/>
              </w:rPr>
              <w:t>减：净赎回金额（含费用）</w:t>
            </w:r>
          </w:p>
        </w:tc>
        <w:tc>
          <w:tcPr>
            <w:tcW w:w="1840" w:type="pct"/>
            <w:shd w:val="clear" w:color="auto" w:fill="auto"/>
          </w:tcPr>
          <w:p w:rsidR="00C517A3" w:rsidRPr="0002651D" w:rsidRDefault="00A31699" w:rsidP="009D0984">
            <w:pPr>
              <w:overflowPunct w:val="0"/>
              <w:autoSpaceDE w:val="0"/>
              <w:autoSpaceDN w:val="0"/>
              <w:snapToGrid w:val="0"/>
              <w:jc w:val="right"/>
              <w:rPr>
                <w:color w:val="000000" w:themeColor="text1"/>
                <w:sz w:val="24"/>
                <w:szCs w:val="24"/>
              </w:rPr>
            </w:pPr>
            <w:r>
              <w:rPr>
                <w:color w:val="000000" w:themeColor="text1"/>
                <w:sz w:val="24"/>
                <w:szCs w:val="24"/>
              </w:rPr>
              <w:t>1,96</w:t>
            </w:r>
            <w:r w:rsidR="00847CF7" w:rsidRPr="0002651D">
              <w:rPr>
                <w:color w:val="000000" w:themeColor="text1"/>
                <w:sz w:val="24"/>
                <w:szCs w:val="24"/>
              </w:rPr>
              <w:t>9,200.00</w:t>
            </w:r>
          </w:p>
        </w:tc>
      </w:tr>
      <w:tr w:rsidR="009D0984" w:rsidRPr="00DD0602" w:rsidTr="00590325">
        <w:trPr>
          <w:trHeight w:val="101"/>
        </w:trPr>
        <w:tc>
          <w:tcPr>
            <w:tcW w:w="3160" w:type="pct"/>
            <w:shd w:val="clear" w:color="auto" w:fill="auto"/>
          </w:tcPr>
          <w:p w:rsidR="009D0984" w:rsidRPr="00DD0602" w:rsidRDefault="009D0984" w:rsidP="00C517A3">
            <w:pPr>
              <w:overflowPunct w:val="0"/>
              <w:autoSpaceDE w:val="0"/>
              <w:autoSpaceDN w:val="0"/>
              <w:snapToGrid w:val="0"/>
              <w:rPr>
                <w:rFonts w:ascii="宋体" w:hAnsi="宋体" w:cs="Arial"/>
                <w:b/>
                <w:color w:val="000000" w:themeColor="text1"/>
                <w:sz w:val="24"/>
                <w:szCs w:val="24"/>
              </w:rPr>
            </w:pPr>
            <w:r w:rsidRPr="00DD0602">
              <w:rPr>
                <w:rFonts w:ascii="宋体" w:hAnsi="宋体" w:cs="Arial"/>
                <w:b/>
                <w:color w:val="000000" w:themeColor="text1"/>
                <w:sz w:val="24"/>
                <w:szCs w:val="24"/>
              </w:rPr>
              <w:t>二、</w:t>
            </w:r>
            <w:r w:rsidRPr="00DD0602">
              <w:rPr>
                <w:rFonts w:ascii="宋体" w:hAnsi="宋体" w:hint="eastAsia"/>
                <w:b/>
                <w:color w:val="000000" w:themeColor="text1"/>
                <w:sz w:val="24"/>
                <w:szCs w:val="24"/>
              </w:rPr>
              <w:t>20</w:t>
            </w:r>
            <w:r w:rsidR="00C517A3" w:rsidRPr="00DD0602">
              <w:rPr>
                <w:rFonts w:ascii="宋体" w:hAnsi="宋体"/>
                <w:b/>
                <w:color w:val="000000" w:themeColor="text1"/>
                <w:sz w:val="24"/>
                <w:szCs w:val="24"/>
              </w:rPr>
              <w:t>18</w:t>
            </w:r>
            <w:r w:rsidRPr="00DD0602">
              <w:rPr>
                <w:rFonts w:ascii="宋体" w:hAnsi="宋体"/>
                <w:b/>
                <w:color w:val="000000" w:themeColor="text1"/>
                <w:sz w:val="24"/>
                <w:szCs w:val="24"/>
              </w:rPr>
              <w:t>年</w:t>
            </w:r>
            <w:r w:rsidR="00C517A3" w:rsidRPr="00DD0602">
              <w:rPr>
                <w:rFonts w:ascii="宋体" w:hAnsi="宋体" w:hint="eastAsia"/>
                <w:b/>
                <w:color w:val="000000" w:themeColor="text1"/>
                <w:sz w:val="24"/>
                <w:szCs w:val="24"/>
              </w:rPr>
              <w:t>11</w:t>
            </w:r>
            <w:r w:rsidRPr="00DD0602">
              <w:rPr>
                <w:rFonts w:ascii="宋体" w:hAnsi="宋体"/>
                <w:b/>
                <w:color w:val="000000" w:themeColor="text1"/>
                <w:sz w:val="24"/>
                <w:szCs w:val="24"/>
              </w:rPr>
              <w:t>月</w:t>
            </w:r>
            <w:r w:rsidR="00C517A3" w:rsidRPr="00DD0602">
              <w:rPr>
                <w:rFonts w:ascii="宋体" w:hAnsi="宋体" w:hint="eastAsia"/>
                <w:b/>
                <w:color w:val="000000" w:themeColor="text1"/>
                <w:sz w:val="24"/>
                <w:szCs w:val="24"/>
              </w:rPr>
              <w:t>02</w:t>
            </w:r>
            <w:r w:rsidRPr="00DD0602">
              <w:rPr>
                <w:rFonts w:ascii="宋体" w:hAnsi="宋体"/>
                <w:b/>
                <w:color w:val="000000" w:themeColor="text1"/>
                <w:sz w:val="24"/>
                <w:szCs w:val="24"/>
              </w:rPr>
              <w:t>日</w:t>
            </w:r>
            <w:r w:rsidRPr="00DD0602">
              <w:rPr>
                <w:rFonts w:ascii="宋体" w:hAnsi="宋体" w:cs="Arial"/>
                <w:b/>
                <w:color w:val="000000" w:themeColor="text1"/>
                <w:sz w:val="24"/>
                <w:szCs w:val="24"/>
              </w:rPr>
              <w:t>基金净资产</w:t>
            </w:r>
          </w:p>
        </w:tc>
        <w:tc>
          <w:tcPr>
            <w:tcW w:w="1840" w:type="pct"/>
            <w:shd w:val="clear" w:color="auto" w:fill="auto"/>
          </w:tcPr>
          <w:p w:rsidR="009D0984" w:rsidRPr="00DD0602" w:rsidRDefault="00847CF7" w:rsidP="009D0984">
            <w:pPr>
              <w:overflowPunct w:val="0"/>
              <w:autoSpaceDE w:val="0"/>
              <w:autoSpaceDN w:val="0"/>
              <w:snapToGrid w:val="0"/>
              <w:jc w:val="right"/>
              <w:rPr>
                <w:b/>
                <w:color w:val="000000" w:themeColor="text1"/>
                <w:sz w:val="24"/>
                <w:szCs w:val="24"/>
              </w:rPr>
            </w:pPr>
            <w:r w:rsidRPr="00DD0602">
              <w:rPr>
                <w:b/>
                <w:color w:val="000000" w:themeColor="text1"/>
                <w:sz w:val="24"/>
                <w:szCs w:val="24"/>
              </w:rPr>
              <w:t>2,739,032.66</w:t>
            </w:r>
          </w:p>
        </w:tc>
      </w:tr>
      <w:tr w:rsidR="00DD0602" w:rsidRPr="008A2788" w:rsidTr="00590325">
        <w:trPr>
          <w:trHeight w:val="101"/>
        </w:trPr>
        <w:tc>
          <w:tcPr>
            <w:tcW w:w="3160" w:type="pct"/>
            <w:shd w:val="clear" w:color="auto" w:fill="auto"/>
          </w:tcPr>
          <w:p w:rsidR="00DD0602" w:rsidRPr="008A2788" w:rsidRDefault="00DD0602" w:rsidP="00DD0602">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其中</w:t>
            </w:r>
            <w:r>
              <w:rPr>
                <w:rFonts w:ascii="宋体" w:hAnsi="宋体" w:cs="Arial"/>
                <w:color w:val="000000" w:themeColor="text1"/>
                <w:sz w:val="24"/>
                <w:szCs w:val="24"/>
              </w:rPr>
              <w:t>：兴盛</w:t>
            </w:r>
            <w:r>
              <w:rPr>
                <w:rFonts w:ascii="宋体" w:hAnsi="宋体" w:cs="Arial" w:hint="eastAsia"/>
                <w:color w:val="000000" w:themeColor="text1"/>
                <w:sz w:val="24"/>
                <w:szCs w:val="24"/>
              </w:rPr>
              <w:t>A类</w:t>
            </w:r>
            <w:r>
              <w:rPr>
                <w:rFonts w:ascii="宋体" w:hAnsi="宋体" w:cs="Arial"/>
                <w:color w:val="000000" w:themeColor="text1"/>
                <w:sz w:val="24"/>
                <w:szCs w:val="24"/>
              </w:rPr>
              <w:t>资产净值</w:t>
            </w:r>
          </w:p>
        </w:tc>
        <w:tc>
          <w:tcPr>
            <w:tcW w:w="1840" w:type="pct"/>
            <w:shd w:val="clear" w:color="auto" w:fill="auto"/>
          </w:tcPr>
          <w:p w:rsidR="00DD0602" w:rsidRPr="0002651D" w:rsidRDefault="00DD0602" w:rsidP="00DD0602">
            <w:pPr>
              <w:overflowPunct w:val="0"/>
              <w:autoSpaceDE w:val="0"/>
              <w:autoSpaceDN w:val="0"/>
              <w:snapToGrid w:val="0"/>
              <w:jc w:val="right"/>
              <w:rPr>
                <w:color w:val="000000" w:themeColor="text1"/>
                <w:sz w:val="24"/>
                <w:szCs w:val="24"/>
              </w:rPr>
            </w:pPr>
            <w:r w:rsidRPr="00DD0602">
              <w:rPr>
                <w:color w:val="000000" w:themeColor="text1"/>
                <w:sz w:val="24"/>
                <w:szCs w:val="24"/>
              </w:rPr>
              <w:t>2,739,021.92</w:t>
            </w:r>
          </w:p>
        </w:tc>
      </w:tr>
      <w:tr w:rsidR="00DD0602" w:rsidRPr="008A2788" w:rsidTr="00590325">
        <w:trPr>
          <w:trHeight w:val="101"/>
        </w:trPr>
        <w:tc>
          <w:tcPr>
            <w:tcW w:w="3160" w:type="pct"/>
            <w:shd w:val="clear" w:color="auto" w:fill="auto"/>
          </w:tcPr>
          <w:p w:rsidR="00DD0602" w:rsidRPr="008A2788" w:rsidRDefault="00DD0602" w:rsidP="00DD0602">
            <w:pPr>
              <w:overflowPunct w:val="0"/>
              <w:autoSpaceDE w:val="0"/>
              <w:autoSpaceDN w:val="0"/>
              <w:snapToGrid w:val="0"/>
              <w:ind w:firstLineChars="300" w:firstLine="720"/>
              <w:rPr>
                <w:rFonts w:ascii="宋体" w:hAnsi="宋体" w:cs="Arial"/>
                <w:color w:val="000000" w:themeColor="text1"/>
                <w:sz w:val="24"/>
                <w:szCs w:val="24"/>
              </w:rPr>
            </w:pPr>
            <w:r>
              <w:rPr>
                <w:rFonts w:ascii="宋体" w:hAnsi="宋体" w:cs="Arial" w:hint="eastAsia"/>
                <w:color w:val="000000" w:themeColor="text1"/>
                <w:sz w:val="24"/>
                <w:szCs w:val="24"/>
              </w:rPr>
              <w:t>兴盛C类</w:t>
            </w:r>
            <w:r>
              <w:rPr>
                <w:rFonts w:ascii="宋体" w:hAnsi="宋体" w:cs="Arial"/>
                <w:color w:val="000000" w:themeColor="text1"/>
                <w:sz w:val="24"/>
                <w:szCs w:val="24"/>
              </w:rPr>
              <w:t>资产净值</w:t>
            </w:r>
          </w:p>
        </w:tc>
        <w:tc>
          <w:tcPr>
            <w:tcW w:w="1840" w:type="pct"/>
            <w:shd w:val="clear" w:color="auto" w:fill="auto"/>
          </w:tcPr>
          <w:p w:rsidR="00DD0602" w:rsidRPr="0002651D" w:rsidRDefault="00DD0602" w:rsidP="00DD0602">
            <w:pPr>
              <w:overflowPunct w:val="0"/>
              <w:autoSpaceDE w:val="0"/>
              <w:autoSpaceDN w:val="0"/>
              <w:snapToGrid w:val="0"/>
              <w:jc w:val="right"/>
              <w:rPr>
                <w:color w:val="000000" w:themeColor="text1"/>
                <w:sz w:val="24"/>
                <w:szCs w:val="24"/>
              </w:rPr>
            </w:pPr>
            <w:r w:rsidRPr="00DD0602">
              <w:rPr>
                <w:color w:val="000000" w:themeColor="text1"/>
                <w:sz w:val="24"/>
                <w:szCs w:val="24"/>
              </w:rPr>
              <w:t>10.74</w:t>
            </w:r>
          </w:p>
        </w:tc>
      </w:tr>
    </w:tbl>
    <w:p w:rsidR="00A67A2D" w:rsidRPr="004F6C60" w:rsidRDefault="00A67A2D" w:rsidP="00A67A2D">
      <w:pPr>
        <w:spacing w:line="360" w:lineRule="auto"/>
        <w:ind w:firstLineChars="200" w:firstLine="480"/>
        <w:jc w:val="left"/>
        <w:rPr>
          <w:color w:val="000000" w:themeColor="text1"/>
          <w:sz w:val="24"/>
          <w:szCs w:val="24"/>
        </w:rPr>
      </w:pPr>
      <w:r w:rsidRPr="004F6C60">
        <w:rPr>
          <w:color w:val="000000" w:themeColor="text1"/>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A67A2D" w:rsidRDefault="004F6C60" w:rsidP="00A67A2D">
      <w:pPr>
        <w:spacing w:line="360" w:lineRule="auto"/>
        <w:ind w:firstLineChars="200" w:firstLine="480"/>
        <w:jc w:val="left"/>
        <w:rPr>
          <w:color w:val="000000" w:themeColor="text1"/>
          <w:sz w:val="24"/>
          <w:szCs w:val="24"/>
        </w:rPr>
      </w:pPr>
      <w:r w:rsidRPr="004F6C60">
        <w:rPr>
          <w:rFonts w:hint="eastAsia"/>
          <w:color w:val="000000" w:themeColor="text1"/>
          <w:sz w:val="24"/>
          <w:szCs w:val="24"/>
        </w:rPr>
        <w:t>清</w:t>
      </w:r>
      <w:r w:rsidRPr="004F6C60">
        <w:rPr>
          <w:color w:val="000000" w:themeColor="text1"/>
          <w:sz w:val="24"/>
          <w:szCs w:val="24"/>
        </w:rPr>
        <w:t>算期结束日次日至清算款划出日前一日的银行存</w:t>
      </w:r>
      <w:r w:rsidRPr="004F6C60">
        <w:rPr>
          <w:rFonts w:hint="eastAsia"/>
          <w:color w:val="000000" w:themeColor="text1"/>
          <w:sz w:val="24"/>
          <w:szCs w:val="24"/>
        </w:rPr>
        <w:t>款</w:t>
      </w:r>
      <w:r w:rsidRPr="004F6C60">
        <w:rPr>
          <w:color w:val="000000" w:themeColor="text1"/>
          <w:sz w:val="24"/>
          <w:szCs w:val="24"/>
        </w:rPr>
        <w:t>产生的利息</w:t>
      </w:r>
      <w:r w:rsidRPr="004F6C60">
        <w:rPr>
          <w:rFonts w:hint="eastAsia"/>
          <w:color w:val="000000" w:themeColor="text1"/>
          <w:sz w:val="24"/>
          <w:szCs w:val="24"/>
        </w:rPr>
        <w:t>归</w:t>
      </w:r>
      <w:r w:rsidRPr="004F6C60">
        <w:rPr>
          <w:color w:val="000000" w:themeColor="text1"/>
          <w:sz w:val="24"/>
          <w:szCs w:val="24"/>
        </w:rPr>
        <w:t>份额持有人所有</w:t>
      </w:r>
      <w:r w:rsidRPr="004F6C60">
        <w:rPr>
          <w:rFonts w:hint="eastAsia"/>
          <w:color w:val="000000" w:themeColor="text1"/>
          <w:sz w:val="24"/>
          <w:szCs w:val="24"/>
        </w:rPr>
        <w:t>。</w:t>
      </w:r>
      <w:r w:rsidR="002021FD" w:rsidRPr="004F6C60">
        <w:rPr>
          <w:rFonts w:hint="eastAsia"/>
          <w:color w:val="000000" w:themeColor="text1"/>
          <w:sz w:val="24"/>
          <w:szCs w:val="24"/>
        </w:rPr>
        <w:t>如</w:t>
      </w:r>
      <w:r w:rsidR="00A67A2D" w:rsidRPr="004F6C60">
        <w:rPr>
          <w:rFonts w:hint="eastAsia"/>
          <w:color w:val="000000" w:themeColor="text1"/>
          <w:sz w:val="24"/>
          <w:szCs w:val="24"/>
        </w:rPr>
        <w:t>于清算</w:t>
      </w:r>
      <w:r w:rsidR="00A67A2D" w:rsidRPr="004F6C60">
        <w:rPr>
          <w:color w:val="000000" w:themeColor="text1"/>
          <w:sz w:val="24"/>
          <w:szCs w:val="24"/>
        </w:rPr>
        <w:t>划款日</w:t>
      </w:r>
      <w:r w:rsidR="00A67A2D" w:rsidRPr="004F6C60">
        <w:rPr>
          <w:rFonts w:hint="eastAsia"/>
          <w:color w:val="000000" w:themeColor="text1"/>
          <w:sz w:val="24"/>
          <w:szCs w:val="24"/>
        </w:rPr>
        <w:t>的</w:t>
      </w:r>
      <w:r w:rsidR="00A67A2D" w:rsidRPr="004F6C60">
        <w:rPr>
          <w:color w:val="000000" w:themeColor="text1"/>
          <w:sz w:val="24"/>
          <w:szCs w:val="24"/>
        </w:rPr>
        <w:t>应收利</w:t>
      </w:r>
      <w:r w:rsidR="00A67A2D" w:rsidRPr="004F6C60">
        <w:rPr>
          <w:rFonts w:hint="eastAsia"/>
          <w:color w:val="000000" w:themeColor="text1"/>
          <w:sz w:val="24"/>
          <w:szCs w:val="24"/>
        </w:rPr>
        <w:t>息</w:t>
      </w:r>
      <w:r w:rsidR="00A67A2D" w:rsidRPr="004F6C60">
        <w:rPr>
          <w:color w:val="000000" w:themeColor="text1"/>
          <w:sz w:val="24"/>
          <w:szCs w:val="24"/>
        </w:rPr>
        <w:t>余额由基金管理人以自有资金先行</w:t>
      </w:r>
      <w:r w:rsidR="00A67A2D" w:rsidRPr="004F6C60">
        <w:rPr>
          <w:rFonts w:hint="eastAsia"/>
          <w:color w:val="000000" w:themeColor="text1"/>
          <w:sz w:val="24"/>
          <w:szCs w:val="24"/>
        </w:rPr>
        <w:t>垫</w:t>
      </w:r>
      <w:r w:rsidR="00A67A2D" w:rsidRPr="004F6C60">
        <w:rPr>
          <w:color w:val="000000" w:themeColor="text1"/>
          <w:sz w:val="24"/>
          <w:szCs w:val="24"/>
        </w:rPr>
        <w:t>付</w:t>
      </w:r>
      <w:r w:rsidR="002021FD" w:rsidRPr="004F6C60">
        <w:rPr>
          <w:rFonts w:hint="eastAsia"/>
          <w:color w:val="000000" w:themeColor="text1"/>
          <w:sz w:val="24"/>
          <w:szCs w:val="24"/>
        </w:rPr>
        <w:t>的</w:t>
      </w:r>
      <w:r w:rsidR="00A67A2D" w:rsidRPr="004F6C60">
        <w:rPr>
          <w:rFonts w:hint="eastAsia"/>
          <w:color w:val="000000" w:themeColor="text1"/>
          <w:sz w:val="24"/>
          <w:szCs w:val="24"/>
        </w:rPr>
        <w:t>，基金</w:t>
      </w:r>
      <w:r w:rsidR="00A67A2D" w:rsidRPr="004F6C60">
        <w:rPr>
          <w:color w:val="000000" w:themeColor="text1"/>
          <w:sz w:val="24"/>
          <w:szCs w:val="24"/>
        </w:rPr>
        <w:t>管理人垫付资金到账日起孳生的</w:t>
      </w:r>
      <w:r w:rsidR="00A67A2D" w:rsidRPr="004F6C60">
        <w:rPr>
          <w:rFonts w:hint="eastAsia"/>
          <w:color w:val="000000" w:themeColor="text1"/>
          <w:sz w:val="24"/>
          <w:szCs w:val="24"/>
        </w:rPr>
        <w:t>利息</w:t>
      </w:r>
      <w:r w:rsidR="00A67A2D" w:rsidRPr="004F6C60">
        <w:rPr>
          <w:color w:val="000000" w:themeColor="text1"/>
          <w:sz w:val="24"/>
          <w:szCs w:val="24"/>
        </w:rPr>
        <w:t>归基金管理人所有</w:t>
      </w:r>
      <w:r w:rsidR="00A67A2D" w:rsidRPr="004F6C60">
        <w:rPr>
          <w:rFonts w:hint="eastAsia"/>
          <w:color w:val="000000" w:themeColor="text1"/>
          <w:sz w:val="24"/>
          <w:szCs w:val="24"/>
        </w:rPr>
        <w:t>。垫付资金</w:t>
      </w:r>
      <w:r w:rsidR="00A67A2D" w:rsidRPr="004F6C60">
        <w:rPr>
          <w:color w:val="000000" w:themeColor="text1"/>
          <w:sz w:val="24"/>
          <w:szCs w:val="24"/>
        </w:rPr>
        <w:t>及其孳生的利息将于清算期后返还</w:t>
      </w:r>
      <w:r w:rsidR="00A67A2D" w:rsidRPr="004F6C60">
        <w:rPr>
          <w:rFonts w:hint="eastAsia"/>
          <w:color w:val="000000" w:themeColor="text1"/>
          <w:sz w:val="24"/>
          <w:szCs w:val="24"/>
        </w:rPr>
        <w:t>给</w:t>
      </w:r>
      <w:r w:rsidR="00A67A2D" w:rsidRPr="004F6C60">
        <w:rPr>
          <w:color w:val="000000" w:themeColor="text1"/>
          <w:sz w:val="24"/>
          <w:szCs w:val="24"/>
        </w:rPr>
        <w:t>基金</w:t>
      </w:r>
      <w:r w:rsidR="00A67A2D" w:rsidRPr="004F6C60">
        <w:rPr>
          <w:rFonts w:hint="eastAsia"/>
          <w:color w:val="000000" w:themeColor="text1"/>
          <w:sz w:val="24"/>
          <w:szCs w:val="24"/>
        </w:rPr>
        <w:t>管理</w:t>
      </w:r>
      <w:r w:rsidR="00A67A2D" w:rsidRPr="004F6C60">
        <w:rPr>
          <w:color w:val="000000" w:themeColor="text1"/>
          <w:sz w:val="24"/>
          <w:szCs w:val="24"/>
        </w:rPr>
        <w:t>人</w:t>
      </w:r>
      <w:r w:rsidR="00A67A2D" w:rsidRPr="004F6C60">
        <w:rPr>
          <w:rFonts w:hint="eastAsia"/>
          <w:color w:val="000000" w:themeColor="text1"/>
          <w:sz w:val="24"/>
          <w:szCs w:val="24"/>
        </w:rPr>
        <w:t>。</w:t>
      </w:r>
    </w:p>
    <w:p w:rsidR="0098183B" w:rsidRPr="0098183B" w:rsidRDefault="0098183B" w:rsidP="00A67A2D">
      <w:pPr>
        <w:spacing w:line="360" w:lineRule="auto"/>
        <w:ind w:firstLineChars="200" w:firstLine="420"/>
        <w:jc w:val="left"/>
        <w:rPr>
          <w:b/>
          <w:color w:val="000000" w:themeColor="text1"/>
        </w:rPr>
      </w:pPr>
      <w:r>
        <w:rPr>
          <w:rFonts w:hint="eastAsia"/>
          <w:color w:val="000000" w:themeColor="text1"/>
          <w:kern w:val="0"/>
        </w:rPr>
        <w:t>由于截止</w:t>
      </w:r>
      <w:r>
        <w:rPr>
          <w:rFonts w:ascii="宋体" w:hAnsi="宋体" w:hint="eastAsia"/>
          <w:color w:val="000000" w:themeColor="text1"/>
          <w:kern w:val="0"/>
          <w:sz w:val="24"/>
          <w:szCs w:val="24"/>
        </w:rPr>
        <w:t>2018年11月02日的</w:t>
      </w:r>
      <w:r>
        <w:rPr>
          <w:rFonts w:ascii="宋体" w:hAnsi="宋体" w:cs="Arial" w:hint="eastAsia"/>
          <w:color w:val="000000" w:themeColor="text1"/>
          <w:kern w:val="0"/>
          <w:sz w:val="24"/>
          <w:szCs w:val="24"/>
        </w:rPr>
        <w:t>基金净资产中包含了备付金、应收利息和未能变现的金融资产等，将在划付本次清算金额（含费用）后对基金剩余财产进行后续清算，直至全部基金财产清算完毕。</w:t>
      </w:r>
    </w:p>
    <w:p w:rsidR="00E45AEB" w:rsidRPr="00F64285" w:rsidRDefault="00E45AEB" w:rsidP="00E45AEB">
      <w:pPr>
        <w:pStyle w:val="XBRLTitle2"/>
        <w:numPr>
          <w:ilvl w:val="0"/>
          <w:numId w:val="0"/>
        </w:numPr>
        <w:spacing w:before="156" w:after="156"/>
        <w:ind w:left="454" w:hanging="454"/>
      </w:pPr>
      <w:bookmarkStart w:id="185" w:name="_Toc495929389"/>
      <w:r w:rsidRPr="00F64285">
        <w:rPr>
          <w:rFonts w:hint="eastAsia"/>
          <w:szCs w:val="24"/>
        </w:rPr>
        <w:t>6</w:t>
      </w:r>
      <w:r w:rsidRPr="00F64285">
        <w:rPr>
          <w:rFonts w:hint="eastAsia"/>
          <w:szCs w:val="24"/>
        </w:rPr>
        <w:t>、</w:t>
      </w:r>
      <w:r w:rsidRPr="00F64285">
        <w:t>基金财产清算报告的告知安排</w:t>
      </w:r>
      <w:bookmarkEnd w:id="185"/>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86" w:name="_Toc405886539"/>
      <w:bookmarkStart w:id="187" w:name="_Toc405886540"/>
      <w:bookmarkStart w:id="188" w:name="_Toc405886541"/>
      <w:bookmarkStart w:id="189" w:name="_Toc405886542"/>
      <w:bookmarkStart w:id="190" w:name="_Toc405886543"/>
      <w:bookmarkStart w:id="191" w:name="_Toc405886544"/>
      <w:bookmarkStart w:id="192" w:name="_Toc405886545"/>
      <w:bookmarkStart w:id="193" w:name="_Toc405886546"/>
      <w:bookmarkStart w:id="194" w:name="_Toc405886547"/>
      <w:bookmarkStart w:id="195" w:name="_Toc405886548"/>
      <w:bookmarkStart w:id="196" w:name="_Toc405886549"/>
      <w:bookmarkStart w:id="197" w:name="_Toc405886550"/>
      <w:bookmarkStart w:id="198" w:name="_Toc405886551"/>
      <w:bookmarkStart w:id="199" w:name="_Toc405886552"/>
      <w:bookmarkStart w:id="200" w:name="_Toc405886553"/>
      <w:bookmarkStart w:id="201" w:name="_Toc405886554"/>
      <w:bookmarkStart w:id="202" w:name="_Toc405886555"/>
      <w:bookmarkStart w:id="203" w:name="_Toc405886556"/>
      <w:bookmarkStart w:id="204" w:name="_Toc405886557"/>
      <w:bookmarkStart w:id="205" w:name="_Toc405886558"/>
      <w:bookmarkStart w:id="206" w:name="_Toc405886559"/>
      <w:bookmarkStart w:id="207" w:name="_Toc405886560"/>
      <w:bookmarkStart w:id="208" w:name="_Toc405886561"/>
      <w:bookmarkStart w:id="209" w:name="_Toc405886562"/>
      <w:bookmarkStart w:id="210" w:name="_Toc405886563"/>
      <w:bookmarkStart w:id="211" w:name="_Toc405886564"/>
      <w:bookmarkStart w:id="212" w:name="_Toc405886565"/>
      <w:bookmarkStart w:id="213" w:name="_Toc405886566"/>
      <w:bookmarkStart w:id="214" w:name="_Toc405886567"/>
      <w:bookmarkStart w:id="215" w:name="_Toc405886568"/>
      <w:bookmarkStart w:id="216" w:name="_Toc405886569"/>
      <w:bookmarkStart w:id="217" w:name="_Toc405886570"/>
      <w:bookmarkStart w:id="218" w:name="_Toc405886571"/>
      <w:bookmarkStart w:id="219" w:name="_Toc405886572"/>
      <w:bookmarkStart w:id="220" w:name="_Toc405886573"/>
      <w:bookmarkStart w:id="221" w:name="_Toc405886574"/>
      <w:bookmarkStart w:id="222" w:name="_Toc405886575"/>
      <w:bookmarkStart w:id="223" w:name="_Toc405886576"/>
      <w:bookmarkStart w:id="224" w:name="_Toc405886577"/>
      <w:bookmarkStart w:id="225" w:name="_Toc405886578"/>
      <w:bookmarkStart w:id="226" w:name="_Toc405886579"/>
      <w:bookmarkStart w:id="227" w:name="_Toc405886580"/>
      <w:bookmarkStart w:id="228" w:name="_Toc405886581"/>
      <w:bookmarkStart w:id="229" w:name="_Toc405886582"/>
      <w:bookmarkStart w:id="230" w:name="_Toc405886583"/>
      <w:bookmarkStart w:id="231" w:name="_Toc405886584"/>
      <w:bookmarkStart w:id="232" w:name="_Toc405886585"/>
      <w:bookmarkStart w:id="233" w:name="_Toc405886586"/>
      <w:bookmarkStart w:id="234" w:name="_Toc405886587"/>
      <w:bookmarkStart w:id="235" w:name="_Toc405886588"/>
      <w:bookmarkStart w:id="236" w:name="_Toc405886589"/>
      <w:bookmarkStart w:id="237" w:name="_Toc405886590"/>
      <w:bookmarkStart w:id="238" w:name="_Toc405886591"/>
      <w:bookmarkStart w:id="239" w:name="_Toc405886592"/>
      <w:bookmarkStart w:id="240" w:name="_Toc405886593"/>
      <w:bookmarkStart w:id="241" w:name="_Toc405886594"/>
      <w:bookmarkStart w:id="242" w:name="_Toc405886595"/>
      <w:bookmarkStart w:id="243" w:name="_Toc405886596"/>
      <w:bookmarkStart w:id="244" w:name="_Toc405886597"/>
      <w:bookmarkStart w:id="245" w:name="_Toc405886598"/>
      <w:bookmarkStart w:id="246" w:name="_Toc405886599"/>
      <w:bookmarkStart w:id="247" w:name="_Toc405886600"/>
      <w:bookmarkStart w:id="248" w:name="_Toc405886601"/>
      <w:bookmarkStart w:id="249" w:name="_Toc405886602"/>
      <w:bookmarkStart w:id="250" w:name="_Toc405886603"/>
      <w:bookmarkStart w:id="251" w:name="_Toc405886604"/>
      <w:bookmarkStart w:id="252" w:name="_Toc405886605"/>
      <w:bookmarkStart w:id="253" w:name="_Toc405886606"/>
      <w:bookmarkStart w:id="254" w:name="_Toc405886607"/>
      <w:bookmarkStart w:id="255" w:name="_Toc405886608"/>
      <w:bookmarkStart w:id="256" w:name="_Toc405886609"/>
      <w:bookmarkStart w:id="257" w:name="_Toc405886610"/>
      <w:bookmarkStart w:id="258" w:name="_Toc405886611"/>
      <w:bookmarkStart w:id="259" w:name="_Toc405886612"/>
      <w:bookmarkStart w:id="260" w:name="_Toc405886613"/>
      <w:bookmarkStart w:id="261" w:name="_Toc405886614"/>
      <w:bookmarkStart w:id="262" w:name="_Toc405886615"/>
      <w:bookmarkStart w:id="263" w:name="_Toc405886616"/>
      <w:bookmarkStart w:id="264" w:name="_Toc405886617"/>
      <w:bookmarkStart w:id="265" w:name="_Toc405886618"/>
      <w:bookmarkStart w:id="266" w:name="_Toc405886619"/>
      <w:bookmarkStart w:id="267" w:name="_Toc405886620"/>
      <w:bookmarkStart w:id="268" w:name="_Toc405886621"/>
      <w:bookmarkStart w:id="269" w:name="_Toc405886622"/>
      <w:bookmarkStart w:id="270" w:name="_Toc405886623"/>
      <w:bookmarkStart w:id="271" w:name="_Toc405886624"/>
      <w:bookmarkStart w:id="272" w:name="_Toc405886625"/>
      <w:bookmarkStart w:id="273" w:name="_Toc405886626"/>
      <w:bookmarkStart w:id="274" w:name="_Toc405886627"/>
      <w:bookmarkStart w:id="275" w:name="_Toc405886628"/>
      <w:bookmarkStart w:id="276" w:name="_Toc405886639"/>
      <w:bookmarkStart w:id="277" w:name="_Toc405886644"/>
      <w:bookmarkStart w:id="278" w:name="_Toc405886654"/>
      <w:bookmarkStart w:id="279" w:name="_Toc405886674"/>
      <w:bookmarkStart w:id="280" w:name="_Toc405886675"/>
      <w:bookmarkStart w:id="281" w:name="_Toc405886676"/>
      <w:bookmarkStart w:id="282" w:name="_Toc405886685"/>
      <w:bookmarkStart w:id="283" w:name="_Toc405886699"/>
      <w:bookmarkStart w:id="284" w:name="_Toc405886704"/>
      <w:bookmarkStart w:id="285" w:name="_Toc405886705"/>
      <w:bookmarkStart w:id="286" w:name="_Toc405886712"/>
      <w:bookmarkStart w:id="287" w:name="_Toc405886713"/>
      <w:bookmarkStart w:id="288" w:name="_Toc405886714"/>
      <w:bookmarkStart w:id="289" w:name="_Toc405886727"/>
      <w:bookmarkStart w:id="290" w:name="_Toc405886728"/>
      <w:bookmarkStart w:id="291" w:name="_Toc405886735"/>
      <w:bookmarkStart w:id="292" w:name="_Toc405886736"/>
      <w:bookmarkStart w:id="293" w:name="_Toc405886747"/>
      <w:bookmarkStart w:id="294" w:name="_Toc405886757"/>
      <w:bookmarkStart w:id="295" w:name="_Toc405886767"/>
      <w:bookmarkStart w:id="296" w:name="_Toc405886777"/>
      <w:bookmarkStart w:id="297" w:name="_Toc405886787"/>
      <w:bookmarkStart w:id="298" w:name="_Toc405886796"/>
      <w:bookmarkStart w:id="299" w:name="_Toc405886797"/>
      <w:bookmarkStart w:id="300" w:name="_Toc405886798"/>
      <w:bookmarkStart w:id="301" w:name="_Toc405886819"/>
      <w:bookmarkStart w:id="302" w:name="_Toc405886854"/>
      <w:bookmarkStart w:id="303" w:name="_Toc405886855"/>
      <w:bookmarkStart w:id="304" w:name="_Toc405886856"/>
      <w:bookmarkStart w:id="305" w:name="_Toc405886864"/>
      <w:bookmarkStart w:id="306" w:name="_Toc405886865"/>
      <w:bookmarkStart w:id="307" w:name="_Toc405886882"/>
      <w:bookmarkStart w:id="308" w:name="_Toc405886883"/>
      <w:bookmarkStart w:id="309" w:name="_Toc405886892"/>
      <w:bookmarkStart w:id="310" w:name="_Toc405886893"/>
      <w:bookmarkStart w:id="311" w:name="_Toc405886894"/>
      <w:bookmarkStart w:id="312" w:name="_Toc405886896"/>
      <w:bookmarkStart w:id="313" w:name="_Toc405886903"/>
      <w:bookmarkStart w:id="314" w:name="_Toc405886905"/>
      <w:bookmarkStart w:id="315" w:name="_Toc405886942"/>
      <w:bookmarkStart w:id="316" w:name="_Toc405886943"/>
      <w:bookmarkStart w:id="317" w:name="_Toc405886944"/>
      <w:bookmarkStart w:id="318" w:name="_Toc405886945"/>
      <w:bookmarkStart w:id="319" w:name="_Toc405886946"/>
      <w:bookmarkStart w:id="320" w:name="_Toc405886947"/>
      <w:bookmarkStart w:id="321" w:name="_Toc405886953"/>
      <w:bookmarkStart w:id="322" w:name="_Toc405886959"/>
      <w:bookmarkStart w:id="323" w:name="_Toc405886991"/>
      <w:bookmarkStart w:id="324" w:name="_Toc405886992"/>
      <w:bookmarkStart w:id="325" w:name="_Toc405887007"/>
      <w:bookmarkStart w:id="326" w:name="_Toc405887008"/>
      <w:bookmarkStart w:id="327" w:name="_Toc405887019"/>
      <w:bookmarkStart w:id="328" w:name="_Toc405887024"/>
      <w:bookmarkStart w:id="329" w:name="_Toc405887029"/>
      <w:bookmarkStart w:id="330" w:name="_Toc405887030"/>
      <w:bookmarkStart w:id="331" w:name="_Toc405887039"/>
      <w:bookmarkStart w:id="332" w:name="_Toc405887043"/>
      <w:bookmarkStart w:id="333" w:name="_Toc405887051"/>
      <w:bookmarkStart w:id="334" w:name="_Toc405887055"/>
      <w:bookmarkStart w:id="335" w:name="_Toc405887059"/>
      <w:bookmarkStart w:id="336" w:name="_Toc405887060"/>
      <w:bookmarkStart w:id="337" w:name="_Toc405887061"/>
      <w:bookmarkStart w:id="338" w:name="_Toc405887062"/>
      <w:bookmarkStart w:id="339" w:name="_Toc405887063"/>
      <w:bookmarkStart w:id="340" w:name="_Toc405887091"/>
      <w:bookmarkStart w:id="341" w:name="_Toc405887092"/>
      <w:bookmarkStart w:id="342" w:name="_Toc405887093"/>
      <w:bookmarkStart w:id="343" w:name="_Toc405887096"/>
      <w:bookmarkStart w:id="344" w:name="_Toc405887099"/>
      <w:bookmarkStart w:id="345" w:name="_Toc405887102"/>
      <w:bookmarkStart w:id="346" w:name="_Toc405887105"/>
      <w:bookmarkStart w:id="347" w:name="_Toc405887108"/>
      <w:bookmarkStart w:id="348" w:name="_Toc405887112"/>
      <w:bookmarkStart w:id="349" w:name="_Toc405887113"/>
      <w:bookmarkStart w:id="350" w:name="_Toc405887120"/>
      <w:bookmarkStart w:id="351" w:name="_Toc405887130"/>
      <w:bookmarkStart w:id="352" w:name="_Toc405887131"/>
      <w:bookmarkStart w:id="353" w:name="_Toc405887132"/>
      <w:bookmarkStart w:id="354" w:name="_Toc405887138"/>
      <w:bookmarkStart w:id="355" w:name="_Toc405887149"/>
      <w:bookmarkStart w:id="356" w:name="_Toc405887150"/>
      <w:bookmarkStart w:id="357" w:name="_Toc405887157"/>
      <w:bookmarkStart w:id="358" w:name="_Toc405887158"/>
      <w:bookmarkStart w:id="359" w:name="_Toc405887164"/>
      <w:bookmarkStart w:id="360" w:name="_Toc247416688"/>
      <w:bookmarkStart w:id="361" w:name="_Toc495929390"/>
      <w:bookmarkStart w:id="362" w:name="m13_01"/>
      <w:bookmarkEnd w:id="17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F64285">
        <w:rPr>
          <w:rFonts w:hint="eastAsia"/>
        </w:rPr>
        <w:t>六、备查文件目录</w:t>
      </w:r>
      <w:bookmarkEnd w:id="360"/>
      <w:bookmarkEnd w:id="361"/>
    </w:p>
    <w:p w:rsidR="00E45AEB" w:rsidRPr="00F64285" w:rsidRDefault="00E45AEB" w:rsidP="00E45AEB">
      <w:pPr>
        <w:pStyle w:val="XBRLTitle2"/>
        <w:numPr>
          <w:ilvl w:val="0"/>
          <w:numId w:val="0"/>
        </w:numPr>
        <w:spacing w:before="156" w:after="156"/>
        <w:ind w:left="454" w:hanging="454"/>
      </w:pPr>
      <w:bookmarkStart w:id="363" w:name="_Toc495929391"/>
      <w:bookmarkStart w:id="364" w:name="m13_01_01_1733"/>
      <w:r w:rsidRPr="00F64285">
        <w:rPr>
          <w:rFonts w:hint="eastAsia"/>
        </w:rPr>
        <w:t>1</w:t>
      </w:r>
      <w:r w:rsidRPr="00F64285">
        <w:rPr>
          <w:rFonts w:hint="eastAsia"/>
        </w:rPr>
        <w:t>、备查文件目录</w:t>
      </w:r>
      <w:bookmarkEnd w:id="363"/>
    </w:p>
    <w:p w:rsidR="00E45AEB" w:rsidRPr="00E30F67"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1</w:t>
      </w:r>
      <w:r w:rsidRPr="00F64285">
        <w:rPr>
          <w:kern w:val="0"/>
          <w:sz w:val="24"/>
          <w:szCs w:val="24"/>
        </w:rPr>
        <w:t>）</w:t>
      </w:r>
      <w:r w:rsidR="00E30F67" w:rsidRPr="00E30F67">
        <w:rPr>
          <w:rFonts w:hint="eastAsia"/>
          <w:kern w:val="0"/>
          <w:sz w:val="24"/>
          <w:szCs w:val="24"/>
        </w:rPr>
        <w:t>鹏华兴盛灵活配置混合型证券投资基金</w:t>
      </w:r>
      <w:r w:rsidRPr="00F64285">
        <w:rPr>
          <w:kern w:val="0"/>
          <w:sz w:val="24"/>
          <w:szCs w:val="24"/>
        </w:rPr>
        <w:t>资产负债表及审计报告</w:t>
      </w:r>
      <w:r w:rsidRPr="00E30F67">
        <w:rPr>
          <w:rFonts w:hint="eastAsia"/>
          <w:kern w:val="0"/>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E30F67" w:rsidRPr="00E30F67">
        <w:rPr>
          <w:rFonts w:hint="eastAsia"/>
          <w:kern w:val="0"/>
          <w:sz w:val="24"/>
          <w:szCs w:val="24"/>
        </w:rPr>
        <w:t>鹏华兴盛灵活配置混合型证券投资基金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65" w:name="_Toc495929392"/>
      <w:r w:rsidRPr="00F64285">
        <w:rPr>
          <w:rFonts w:hint="eastAsia"/>
        </w:rPr>
        <w:t>2</w:t>
      </w:r>
      <w:r w:rsidRPr="00F64285">
        <w:rPr>
          <w:rFonts w:hint="eastAsia"/>
        </w:rPr>
        <w:t>、存放地点</w:t>
      </w:r>
      <w:bookmarkEnd w:id="365"/>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66" w:name="_Toc495929393"/>
      <w:bookmarkStart w:id="367" w:name="m13_01_03_1735"/>
      <w:bookmarkEnd w:id="364"/>
      <w:r w:rsidRPr="00F64285">
        <w:rPr>
          <w:rFonts w:hint="eastAsia"/>
        </w:rPr>
        <w:t>3</w:t>
      </w:r>
      <w:r w:rsidRPr="00F64285">
        <w:rPr>
          <w:rFonts w:hint="eastAsia"/>
        </w:rPr>
        <w:t>、查阅方式</w:t>
      </w:r>
      <w:bookmarkEnd w:id="366"/>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62"/>
    <w:bookmarkEnd w:id="367"/>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30F67" w:rsidP="00E45AEB">
      <w:pPr>
        <w:spacing w:line="360" w:lineRule="auto"/>
        <w:ind w:firstLine="480"/>
        <w:jc w:val="right"/>
        <w:rPr>
          <w:rFonts w:ascii="宋体" w:hAnsi="宋体"/>
          <w:sz w:val="24"/>
          <w:szCs w:val="24"/>
        </w:rPr>
      </w:pPr>
      <w:r w:rsidRPr="00E30F67">
        <w:rPr>
          <w:rFonts w:hint="eastAsia"/>
          <w:bCs/>
          <w:kern w:val="0"/>
          <w:sz w:val="24"/>
          <w:szCs w:val="24"/>
        </w:rPr>
        <w:t>鹏华兴盛灵活配置混合型证券投资基金</w:t>
      </w:r>
      <w:r w:rsidR="00E45AEB"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BA04BC">
        <w:rPr>
          <w:rFonts w:ascii="宋体" w:hAnsi="宋体"/>
          <w:sz w:val="24"/>
          <w:szCs w:val="24"/>
        </w:rPr>
        <w:t>18</w:t>
      </w:r>
      <w:r w:rsidR="00E45AEB" w:rsidRPr="00F64285">
        <w:rPr>
          <w:rFonts w:ascii="宋体" w:hAnsi="宋体" w:hint="eastAsia"/>
          <w:sz w:val="24"/>
          <w:szCs w:val="24"/>
        </w:rPr>
        <w:t>年</w:t>
      </w:r>
      <w:r w:rsidR="00FF10CC">
        <w:rPr>
          <w:rFonts w:ascii="宋体" w:hAnsi="宋体" w:hint="eastAsia"/>
          <w:sz w:val="24"/>
          <w:szCs w:val="24"/>
        </w:rPr>
        <w:t>12</w:t>
      </w:r>
      <w:r w:rsidR="00E45AEB" w:rsidRPr="00F64285">
        <w:rPr>
          <w:rFonts w:ascii="宋体" w:hAnsi="宋体" w:hint="eastAsia"/>
          <w:sz w:val="24"/>
          <w:szCs w:val="24"/>
        </w:rPr>
        <w:t>月</w:t>
      </w:r>
      <w:r w:rsidR="00FF10CC">
        <w:rPr>
          <w:rFonts w:ascii="宋体" w:hAnsi="宋体" w:hint="eastAsia"/>
          <w:sz w:val="24"/>
          <w:szCs w:val="24"/>
        </w:rPr>
        <w:t>21</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bookmarkStart w:id="368" w:name="_GoBack"/>
      <w:bookmarkEnd w:id="368"/>
    </w:p>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8B" w:rsidRDefault="0018168B">
      <w:r>
        <w:separator/>
      </w:r>
    </w:p>
  </w:endnote>
  <w:endnote w:type="continuationSeparator" w:id="1">
    <w:p w:rsidR="0018168B" w:rsidRDefault="00181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0B" w:rsidRDefault="00024642" w:rsidP="009B4BEF">
    <w:pPr>
      <w:pStyle w:val="a4"/>
      <w:framePr w:wrap="around" w:vAnchor="text" w:hAnchor="margin" w:xAlign="right" w:y="1"/>
      <w:rPr>
        <w:rStyle w:val="a7"/>
      </w:rPr>
    </w:pPr>
    <w:r>
      <w:rPr>
        <w:rStyle w:val="a7"/>
      </w:rPr>
      <w:fldChar w:fldCharType="begin"/>
    </w:r>
    <w:r w:rsidR="00EF090B">
      <w:rPr>
        <w:rStyle w:val="a7"/>
      </w:rPr>
      <w:instrText xml:space="preserve">PAGE  </w:instrText>
    </w:r>
    <w:r>
      <w:rPr>
        <w:rStyle w:val="a7"/>
      </w:rPr>
      <w:fldChar w:fldCharType="end"/>
    </w:r>
  </w:p>
  <w:p w:rsidR="00EF090B" w:rsidRDefault="00EF090B"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0B" w:rsidRDefault="00EF090B" w:rsidP="009B4BEF">
    <w:pPr>
      <w:pStyle w:val="a4"/>
      <w:framePr w:wrap="around" w:vAnchor="text" w:hAnchor="margin" w:xAlign="right" w:y="1"/>
      <w:rPr>
        <w:rStyle w:val="a7"/>
      </w:rPr>
    </w:pPr>
  </w:p>
  <w:p w:rsidR="00EF090B" w:rsidRDefault="00EF090B" w:rsidP="009B4BEF">
    <w:pPr>
      <w:pStyle w:val="a4"/>
      <w:ind w:right="360"/>
      <w:jc w:val="center"/>
    </w:pPr>
    <w:r>
      <w:rPr>
        <w:rFonts w:hint="eastAsia"/>
      </w:rPr>
      <w:t>第</w:t>
    </w:r>
    <w:r w:rsidR="00024642">
      <w:fldChar w:fldCharType="begin"/>
    </w:r>
    <w:r>
      <w:rPr>
        <w:rFonts w:hint="eastAsia"/>
      </w:rPr>
      <w:instrText>PAGE   \* MERGEFORMAT</w:instrText>
    </w:r>
    <w:r w:rsidR="00024642">
      <w:fldChar w:fldCharType="separate"/>
    </w:r>
    <w:r w:rsidR="008305B4">
      <w:rPr>
        <w:noProof/>
      </w:rPr>
      <w:t>3</w:t>
    </w:r>
    <w:r w:rsidR="00024642">
      <w:fldChar w:fldCharType="end"/>
    </w:r>
    <w:r>
      <w:rPr>
        <w:rFonts w:hint="eastAsia"/>
      </w:rPr>
      <w:t>页共</w:t>
    </w:r>
    <w:fldSimple w:instr=" NUMPAGES   \* MERGEFORMAT ">
      <w:r w:rsidR="008305B4">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8B" w:rsidRDefault="0018168B">
      <w:r>
        <w:separator/>
      </w:r>
    </w:p>
  </w:footnote>
  <w:footnote w:type="continuationSeparator" w:id="1">
    <w:p w:rsidR="0018168B" w:rsidRDefault="00181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0B" w:rsidRDefault="00E30F67" w:rsidP="009B4BEF">
    <w:pPr>
      <w:pStyle w:val="a3"/>
      <w:jc w:val="right"/>
    </w:pPr>
    <w:r>
      <w:rPr>
        <w:rFonts w:ascii="宋体" w:hAnsi="宋体" w:hint="eastAsia"/>
        <w:szCs w:val="24"/>
        <w:lang/>
      </w:rPr>
      <w:t>鹏华兴盛灵活配置混合型证券投资基金</w:t>
    </w:r>
    <w:r w:rsidR="00EF090B">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29D7738"/>
    <w:multiLevelType w:val="singleLevel"/>
    <w:tmpl w:val="74066D5E"/>
    <w:lvl w:ilvl="0">
      <w:start w:val="1"/>
      <w:numFmt w:val="lowerLetter"/>
      <w:lvlText w:val="(%1)"/>
      <w:lvlJc w:val="left"/>
      <w:pPr>
        <w:tabs>
          <w:tab w:val="num" w:pos="360"/>
        </w:tabs>
        <w:ind w:left="360" w:hanging="360"/>
      </w:pPr>
      <w:rPr>
        <w:rFonts w:ascii="Arial" w:eastAsia="Arial Unicode MS" w:hAnsi="Arial" w:hint="default"/>
        <w:color w:val="auto"/>
      </w:r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24642"/>
    <w:rsid w:val="0002651D"/>
    <w:rsid w:val="0002798D"/>
    <w:rsid w:val="0003284F"/>
    <w:rsid w:val="00040003"/>
    <w:rsid w:val="0004427F"/>
    <w:rsid w:val="00054628"/>
    <w:rsid w:val="000628A4"/>
    <w:rsid w:val="00071CF4"/>
    <w:rsid w:val="00080257"/>
    <w:rsid w:val="000B0BD6"/>
    <w:rsid w:val="000C4BF5"/>
    <w:rsid w:val="000E46F6"/>
    <w:rsid w:val="000F645F"/>
    <w:rsid w:val="00103465"/>
    <w:rsid w:val="00121830"/>
    <w:rsid w:val="001271F0"/>
    <w:rsid w:val="00142A8F"/>
    <w:rsid w:val="00144B84"/>
    <w:rsid w:val="00154A21"/>
    <w:rsid w:val="00157423"/>
    <w:rsid w:val="00163916"/>
    <w:rsid w:val="0018168B"/>
    <w:rsid w:val="001928AF"/>
    <w:rsid w:val="001A19BF"/>
    <w:rsid w:val="001A4480"/>
    <w:rsid w:val="001B129C"/>
    <w:rsid w:val="002021FD"/>
    <w:rsid w:val="00244C05"/>
    <w:rsid w:val="002616BF"/>
    <w:rsid w:val="002846BA"/>
    <w:rsid w:val="00292293"/>
    <w:rsid w:val="002A3F04"/>
    <w:rsid w:val="002C097E"/>
    <w:rsid w:val="00306315"/>
    <w:rsid w:val="003072A3"/>
    <w:rsid w:val="00335649"/>
    <w:rsid w:val="00341DA9"/>
    <w:rsid w:val="003567CB"/>
    <w:rsid w:val="0037297E"/>
    <w:rsid w:val="00397457"/>
    <w:rsid w:val="003B018C"/>
    <w:rsid w:val="003D1880"/>
    <w:rsid w:val="00432456"/>
    <w:rsid w:val="004578FE"/>
    <w:rsid w:val="00463BAB"/>
    <w:rsid w:val="00467FE5"/>
    <w:rsid w:val="00470C24"/>
    <w:rsid w:val="00477CFF"/>
    <w:rsid w:val="004A7A21"/>
    <w:rsid w:val="004C5AAA"/>
    <w:rsid w:val="004E07DE"/>
    <w:rsid w:val="004F6C60"/>
    <w:rsid w:val="00524887"/>
    <w:rsid w:val="00546883"/>
    <w:rsid w:val="00547D0F"/>
    <w:rsid w:val="005640B2"/>
    <w:rsid w:val="005806A0"/>
    <w:rsid w:val="00590325"/>
    <w:rsid w:val="005B2782"/>
    <w:rsid w:val="005C544D"/>
    <w:rsid w:val="005D00B6"/>
    <w:rsid w:val="005F11B7"/>
    <w:rsid w:val="0060342E"/>
    <w:rsid w:val="00614610"/>
    <w:rsid w:val="006248D6"/>
    <w:rsid w:val="00626C3A"/>
    <w:rsid w:val="006278A9"/>
    <w:rsid w:val="006339AA"/>
    <w:rsid w:val="00647AC2"/>
    <w:rsid w:val="006502D4"/>
    <w:rsid w:val="00671978"/>
    <w:rsid w:val="006B7150"/>
    <w:rsid w:val="006F21C7"/>
    <w:rsid w:val="00701528"/>
    <w:rsid w:val="0074135D"/>
    <w:rsid w:val="00744C8A"/>
    <w:rsid w:val="00751579"/>
    <w:rsid w:val="00762063"/>
    <w:rsid w:val="00777F02"/>
    <w:rsid w:val="00796F2C"/>
    <w:rsid w:val="007B035D"/>
    <w:rsid w:val="007B175E"/>
    <w:rsid w:val="007D0D1C"/>
    <w:rsid w:val="007D5026"/>
    <w:rsid w:val="007D557F"/>
    <w:rsid w:val="007F6EEC"/>
    <w:rsid w:val="00802064"/>
    <w:rsid w:val="0081201C"/>
    <w:rsid w:val="008305B4"/>
    <w:rsid w:val="008334AA"/>
    <w:rsid w:val="00845607"/>
    <w:rsid w:val="00847CF7"/>
    <w:rsid w:val="008735AA"/>
    <w:rsid w:val="00883FE9"/>
    <w:rsid w:val="00890559"/>
    <w:rsid w:val="008A2788"/>
    <w:rsid w:val="008C5BB0"/>
    <w:rsid w:val="009024EA"/>
    <w:rsid w:val="00902ABF"/>
    <w:rsid w:val="00913A11"/>
    <w:rsid w:val="009378E6"/>
    <w:rsid w:val="00975250"/>
    <w:rsid w:val="0098183B"/>
    <w:rsid w:val="00982F2A"/>
    <w:rsid w:val="009B4BEF"/>
    <w:rsid w:val="009B4DC2"/>
    <w:rsid w:val="009B5EE6"/>
    <w:rsid w:val="009B5F6F"/>
    <w:rsid w:val="009D0984"/>
    <w:rsid w:val="009E0D8F"/>
    <w:rsid w:val="00A01005"/>
    <w:rsid w:val="00A0564E"/>
    <w:rsid w:val="00A31699"/>
    <w:rsid w:val="00A41AA1"/>
    <w:rsid w:val="00A67A2D"/>
    <w:rsid w:val="00A87048"/>
    <w:rsid w:val="00AC5F3D"/>
    <w:rsid w:val="00AD26C4"/>
    <w:rsid w:val="00AD5B17"/>
    <w:rsid w:val="00B07079"/>
    <w:rsid w:val="00B27097"/>
    <w:rsid w:val="00B31252"/>
    <w:rsid w:val="00B5690C"/>
    <w:rsid w:val="00B64F13"/>
    <w:rsid w:val="00B7261E"/>
    <w:rsid w:val="00B74443"/>
    <w:rsid w:val="00B9222E"/>
    <w:rsid w:val="00BA04BC"/>
    <w:rsid w:val="00BA091F"/>
    <w:rsid w:val="00BA09F8"/>
    <w:rsid w:val="00BA6B2B"/>
    <w:rsid w:val="00BB0571"/>
    <w:rsid w:val="00BE2B06"/>
    <w:rsid w:val="00C03A02"/>
    <w:rsid w:val="00C254A8"/>
    <w:rsid w:val="00C420CC"/>
    <w:rsid w:val="00C517A3"/>
    <w:rsid w:val="00C51AEF"/>
    <w:rsid w:val="00C947C1"/>
    <w:rsid w:val="00CA0C48"/>
    <w:rsid w:val="00CB13AB"/>
    <w:rsid w:val="00CC0F0A"/>
    <w:rsid w:val="00CD005B"/>
    <w:rsid w:val="00CD44F8"/>
    <w:rsid w:val="00D367FA"/>
    <w:rsid w:val="00D5416A"/>
    <w:rsid w:val="00D56AA0"/>
    <w:rsid w:val="00D66AD9"/>
    <w:rsid w:val="00D93C18"/>
    <w:rsid w:val="00DA47EF"/>
    <w:rsid w:val="00DA6C34"/>
    <w:rsid w:val="00DB06D8"/>
    <w:rsid w:val="00DB2D95"/>
    <w:rsid w:val="00DB6A7C"/>
    <w:rsid w:val="00DB767F"/>
    <w:rsid w:val="00DD0602"/>
    <w:rsid w:val="00DD767B"/>
    <w:rsid w:val="00E13B29"/>
    <w:rsid w:val="00E30F67"/>
    <w:rsid w:val="00E45AEB"/>
    <w:rsid w:val="00E915A4"/>
    <w:rsid w:val="00EA11D8"/>
    <w:rsid w:val="00ED3B51"/>
    <w:rsid w:val="00ED5495"/>
    <w:rsid w:val="00EE5157"/>
    <w:rsid w:val="00EF090B"/>
    <w:rsid w:val="00F0072A"/>
    <w:rsid w:val="00F46A44"/>
    <w:rsid w:val="00F519A9"/>
    <w:rsid w:val="00F84C6F"/>
    <w:rsid w:val="00F9027E"/>
    <w:rsid w:val="00FA2527"/>
    <w:rsid w:val="00FB5799"/>
    <w:rsid w:val="00FF10CC"/>
    <w:rsid w:val="00FF5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103812397">
      <w:bodyDiv w:val="1"/>
      <w:marLeft w:val="0"/>
      <w:marRight w:val="0"/>
      <w:marTop w:val="0"/>
      <w:marBottom w:val="0"/>
      <w:divBdr>
        <w:top w:val="none" w:sz="0" w:space="0" w:color="auto"/>
        <w:left w:val="none" w:sz="0" w:space="0" w:color="auto"/>
        <w:bottom w:val="none" w:sz="0" w:space="0" w:color="auto"/>
        <w:right w:val="none" w:sz="0" w:space="0" w:color="auto"/>
      </w:divBdr>
    </w:div>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36648425">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313529559">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423309551">
      <w:bodyDiv w:val="1"/>
      <w:marLeft w:val="0"/>
      <w:marRight w:val="0"/>
      <w:marTop w:val="0"/>
      <w:marBottom w:val="0"/>
      <w:divBdr>
        <w:top w:val="none" w:sz="0" w:space="0" w:color="auto"/>
        <w:left w:val="none" w:sz="0" w:space="0" w:color="auto"/>
        <w:bottom w:val="none" w:sz="0" w:space="0" w:color="auto"/>
        <w:right w:val="none" w:sz="0" w:space="0" w:color="auto"/>
      </w:divBdr>
    </w:div>
    <w:div w:id="431782170">
      <w:bodyDiv w:val="1"/>
      <w:marLeft w:val="0"/>
      <w:marRight w:val="0"/>
      <w:marTop w:val="0"/>
      <w:marBottom w:val="0"/>
      <w:divBdr>
        <w:top w:val="none" w:sz="0" w:space="0" w:color="auto"/>
        <w:left w:val="none" w:sz="0" w:space="0" w:color="auto"/>
        <w:bottom w:val="none" w:sz="0" w:space="0" w:color="auto"/>
        <w:right w:val="none" w:sz="0" w:space="0" w:color="auto"/>
      </w:divBdr>
    </w:div>
    <w:div w:id="573319510">
      <w:bodyDiv w:val="1"/>
      <w:marLeft w:val="0"/>
      <w:marRight w:val="0"/>
      <w:marTop w:val="0"/>
      <w:marBottom w:val="0"/>
      <w:divBdr>
        <w:top w:val="none" w:sz="0" w:space="0" w:color="auto"/>
        <w:left w:val="none" w:sz="0" w:space="0" w:color="auto"/>
        <w:bottom w:val="none" w:sz="0" w:space="0" w:color="auto"/>
        <w:right w:val="none" w:sz="0" w:space="0" w:color="auto"/>
      </w:divBdr>
    </w:div>
    <w:div w:id="668286578">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246108137">
      <w:bodyDiv w:val="1"/>
      <w:marLeft w:val="0"/>
      <w:marRight w:val="0"/>
      <w:marTop w:val="0"/>
      <w:marBottom w:val="0"/>
      <w:divBdr>
        <w:top w:val="none" w:sz="0" w:space="0" w:color="auto"/>
        <w:left w:val="none" w:sz="0" w:space="0" w:color="auto"/>
        <w:bottom w:val="none" w:sz="0" w:space="0" w:color="auto"/>
        <w:right w:val="none" w:sz="0" w:space="0" w:color="auto"/>
      </w:divBdr>
    </w:div>
    <w:div w:id="1401902067">
      <w:bodyDiv w:val="1"/>
      <w:marLeft w:val="0"/>
      <w:marRight w:val="0"/>
      <w:marTop w:val="0"/>
      <w:marBottom w:val="0"/>
      <w:divBdr>
        <w:top w:val="none" w:sz="0" w:space="0" w:color="auto"/>
        <w:left w:val="none" w:sz="0" w:space="0" w:color="auto"/>
        <w:bottom w:val="none" w:sz="0" w:space="0" w:color="auto"/>
        <w:right w:val="none" w:sz="0" w:space="0" w:color="auto"/>
      </w:divBdr>
    </w:div>
    <w:div w:id="1457021066">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 w:id="21425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9186-0412-4FD0-BAE6-4AC24440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5941</Characters>
  <Application>Microsoft Office Word</Application>
  <DocSecurity>4</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2018-12-20T16:32:00Z</dcterms:created>
  <dcterms:modified xsi:type="dcterms:W3CDTF">2018-12-20T16:32:00Z</dcterms:modified>
</cp:coreProperties>
</file>