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6C" w:rsidRPr="00CE036C" w:rsidRDefault="00CE036C" w:rsidP="00CE036C">
      <w:pPr>
        <w:widowControl/>
        <w:wordWrap w:val="0"/>
        <w:spacing w:line="432" w:lineRule="auto"/>
        <w:jc w:val="center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关于增</w:t>
      </w:r>
      <w:r w:rsidRPr="00E30304"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加“</w:t>
      </w:r>
      <w:r w:rsidR="00E30304" w:rsidRPr="00E30304"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百度百盈</w:t>
      </w:r>
      <w:r w:rsidRPr="00E30304"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”为嘉实旗下</w:t>
      </w:r>
      <w:r w:rsidRPr="00CE036C"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基金代销机构</w:t>
      </w:r>
    </w:p>
    <w:p w:rsidR="00CE036C" w:rsidRPr="00CE036C" w:rsidRDefault="00CE036C" w:rsidP="00CE036C">
      <w:pPr>
        <w:widowControl/>
        <w:wordWrap w:val="0"/>
        <w:spacing w:line="432" w:lineRule="auto"/>
        <w:jc w:val="center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并开展定投业务及参加费率优惠的公告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根据嘉实基金管理有限公司与</w:t>
      </w:r>
      <w:r w:rsidR="00E43F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北京百度百盈基金销售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有限公司(以下简称</w:t>
      </w:r>
      <w:r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</w:t>
      </w:r>
      <w:r w:rsidR="00E30304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”）签署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的开放式基金代销协议，自</w:t>
      </w:r>
      <w:r w:rsidR="00370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370579"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</w:t>
      </w:r>
      <w:r w:rsidR="000E52FC"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E52FC"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AC1388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日起，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增加</w:t>
      </w:r>
      <w:r w:rsidR="00FA7CFE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为嘉实旗下开放式基金代销机构。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13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一、适用基金范围</w:t>
      </w:r>
    </w:p>
    <w:p w:rsidR="00CE036C" w:rsidRPr="00CE036C" w:rsidRDefault="00AA6919" w:rsidP="00CE036C">
      <w:pPr>
        <w:widowControl/>
        <w:wordWrap w:val="0"/>
        <w:spacing w:line="360" w:lineRule="auto"/>
        <w:ind w:firstLine="480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嘉实增强信用定期债券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嘉实中证500ETF联接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嘉实美国成长股票（QDII）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嘉实研究阿尔法股票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嘉实中证金边中期国债ETF联接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嘉实如意宝定期债券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嘉实丰益纯债定期债券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嘉实沪深300指数研究增强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嘉实丰益信用定期债券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嘉实丰益策略定期债券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嘉实合润双债两年期定期债券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嘉实新兴市场债券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嘉实绝对收益策略定期混合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嘉实活期宝货币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嘉实1个月理财债券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嘉实3个月理财债券A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嘉实对冲套利定期混合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嘉实泰和混合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嘉实医疗保健股票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嘉实新兴产业股票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嘉实新收益混合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嘉实快线货币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嘉实逆向策略股票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嘉实全球互联网股票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嘉实企业变革股票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嘉实先进制造股票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嘉实新消费股票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嘉实事件驱动股票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嘉实中证金融地产ETF联接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嘉实低价策略股票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嘉实环保低碳股票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嘉实腾讯自选股大数据策略股票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嘉实新常态混合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嘉实策略优选混合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嘉实主题增强混合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嘉实研究增强混合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嘉实成长增强混合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嘉实创新成长混合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嘉实丰益信用定期债券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嘉实沪港深精选股票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嘉实新优选混合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嘉实智能汽车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嘉实价值增强混合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嘉实新趋势混合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嘉实稳祥纯债债券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嘉实文体娱乐股票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嘉实安益混合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嘉实优势成长混合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嘉实物流产业股票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嘉实稳祥纯债债券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嘉实稳宏债券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嘉实现金宝货币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嘉实农业产业股票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嘉实6个月理财债券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嘉实定期宝6个月理财债券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嘉实新能源新材料股票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嘉实增益宝货币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嘉实新添华定期混合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嘉实丰和灵活配置混合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嘉实前沿科技沪港深股票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嘉实沪港深回报混合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嘉实富时中国A50ETF联接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嘉实现金添利货币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嘉实中小企业量化活力灵活配置混合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嘉实稳华纯债债券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嘉实新添泽定期混合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嘉实新添丰定期混合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嘉实领航资产配置混合（FOF）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嘉实润泽量化定期混合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嘉实价值精选股票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嘉实医药健康股票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嘉实核心优势股票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嘉实资源精选股票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A69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嘉实金融精选股票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嘉实新添荣定期混合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嘉实深证基本面120ETF</w:t>
      </w:r>
      <w:r w:rsidR="00F178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联接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嘉实中证金融地产ETF</w:t>
      </w:r>
      <w:r w:rsidR="00F178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联接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嘉实成长收益混合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嘉实增长混合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嘉实稳健混合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嘉实服务增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值行业混合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嘉实货币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嘉实超短债债券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嘉实主题混合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嘉实策略混合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嘉实海外中国股票混合(QDII)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嘉实研究精选混合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嘉实多元债券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嘉实量化阿尔法混合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嘉实回报混合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嘉实价值优势混合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嘉实稳固收益债券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嘉实主题新动力混合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嘉实领先成长混合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嘉实信用债券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嘉实周期优选混合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嘉实安心货币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嘉实中创400ETF联接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嘉实全球房地产（QDII）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嘉实优化红利混合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嘉实增强收益定期债券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嘉实理财宝7天债券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嘉实纯债债券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嘉实货币B</w:t>
      </w:r>
      <w:r w:rsid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C518D6" w:rsidRPr="00C51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嘉实优质企业混合</w:t>
      </w:r>
      <w:r w:rsidR="00B24B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E036C" w:rsidRPr="00CE036C" w:rsidRDefault="00CE036C" w:rsidP="00CE036C">
      <w:pPr>
        <w:widowControl/>
        <w:wordWrap w:val="0"/>
        <w:spacing w:line="360" w:lineRule="auto"/>
        <w:ind w:firstLine="413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楷体" w:eastAsia="楷体" w:hAnsi="楷体" w:cs="宋体" w:hint="eastAsia"/>
          <w:color w:val="000000"/>
          <w:kern w:val="0"/>
          <w:szCs w:val="21"/>
        </w:rPr>
        <w:t>注：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嘉实新兴市场债券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嘉实活期宝货币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嘉实新兴产业股票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嘉实快线货币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嘉实逆向策略股票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嘉实新常态混合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嘉实策略优选混合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嘉实主题增强混合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嘉实价值增强混合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嘉实新趋势混合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嘉实安益混合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嘉实现金宝货币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嘉实增益宝货币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嘉实现金添利货币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嘉实稳华纯债债券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嘉实货币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嘉实超短债债券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嘉实多元债券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嘉实信用债券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嘉实周期优选混合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嘉实安心货币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嘉实理财宝7天债券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嘉实纯债债券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嘉实货币B</w:t>
      </w:r>
      <w:r w:rsidRPr="004C071B">
        <w:rPr>
          <w:rFonts w:ascii="楷体" w:eastAsia="楷体" w:hAnsi="楷体" w:cs="宋体" w:hint="eastAsia"/>
          <w:color w:val="000000"/>
          <w:kern w:val="0"/>
          <w:szCs w:val="21"/>
        </w:rPr>
        <w:t>实施限制大额申购（含转换转入）业务，恢复正常申购业务时间以嘉实公告为准。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嘉实增强信用定期债券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嘉实如意宝定期债券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嘉实丰益纯债定期债券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嘉实丰益信用定期债券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嘉实丰益策略定期债券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嘉实合润双债两年期定期债券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嘉实绝对收益策略定期混合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嘉实对冲套利定期混合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嘉实丰益信用定期债券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嘉实定期宝6个月理财债券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嘉实新添华定期混合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嘉实新添泽定期混合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嘉实新添丰定期混合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嘉实润泽量化定期混合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嘉实新添荣定期混合</w:t>
      </w:r>
      <w:r w:rsidR="005C159B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="005C159B" w:rsidRPr="005C159B">
        <w:rPr>
          <w:rFonts w:ascii="楷体" w:eastAsia="楷体" w:hAnsi="楷体" w:cs="宋体" w:hint="eastAsia"/>
          <w:color w:val="000000"/>
          <w:kern w:val="0"/>
          <w:szCs w:val="21"/>
        </w:rPr>
        <w:t>嘉实增强收益定期债券</w:t>
      </w:r>
      <w:r w:rsidRPr="004C071B">
        <w:rPr>
          <w:rFonts w:ascii="楷体" w:eastAsia="楷体" w:hAnsi="楷体" w:cs="宋体" w:hint="eastAsia"/>
          <w:color w:val="000000"/>
          <w:kern w:val="0"/>
          <w:szCs w:val="21"/>
        </w:rPr>
        <w:t>以定期开放方式运作，正常申购和赎回业务时间以嘉实公告为准。</w:t>
      </w:r>
    </w:p>
    <w:p w:rsidR="003456E7" w:rsidRPr="00CE036C" w:rsidRDefault="003456E7" w:rsidP="003456E7">
      <w:pPr>
        <w:widowControl/>
        <w:wordWrap w:val="0"/>
        <w:spacing w:line="315" w:lineRule="atLeast"/>
        <w:ind w:firstLine="413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</w:p>
    <w:p w:rsidR="00CE036C" w:rsidRPr="00CE036C" w:rsidRDefault="00CE036C" w:rsidP="00CE036C">
      <w:pPr>
        <w:widowControl/>
        <w:wordWrap w:val="0"/>
        <w:spacing w:line="315" w:lineRule="atLeast"/>
        <w:ind w:firstLine="413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二、基金开户、认购、申购等业务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自201</w:t>
      </w:r>
      <w:r w:rsidR="006D7E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D7E49">
        <w:rPr>
          <w:rFonts w:ascii="宋体" w:eastAsia="宋体" w:hAnsi="宋体" w:cs="宋体"/>
          <w:color w:val="000000"/>
          <w:kern w:val="0"/>
          <w:sz w:val="24"/>
          <w:szCs w:val="24"/>
        </w:rPr>
        <w:t>12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AC1388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日起，投资者可通过</w:t>
      </w:r>
      <w:r w:rsidR="00FA7CFE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办理上述基金的开户、申购、认购等业务，具体的业务流程、办理时间和办理方式以</w:t>
      </w:r>
      <w:r w:rsidR="00FA7CFE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的规定为准。（特别说明除外）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13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三、定期定额投资业务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自201</w:t>
      </w:r>
      <w:r w:rsidR="00F91470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91470">
        <w:rPr>
          <w:rFonts w:ascii="宋体" w:eastAsia="宋体" w:hAnsi="宋体" w:cs="宋体"/>
          <w:color w:val="000000"/>
          <w:kern w:val="0"/>
          <w:sz w:val="24"/>
          <w:szCs w:val="24"/>
        </w:rPr>
        <w:t>12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AC1388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日起，投资者可通过</w:t>
      </w:r>
      <w:r w:rsidR="00FA7CFE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开办上述基金的定期定额投资业务，在办理“定期定额投资业务”的同时，仍然可以进行日常申购、赎回业务。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1、申请方式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（1）凡申请办理上述基金“定期定额投资业务”的投资者，须先开立嘉实基金管理有限公司开放式基金账户。（已开户者除外）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（2）已开立上述基金账户的投资者，应携带本人有效身份证件及相关业务凭证，到</w:t>
      </w:r>
      <w:r w:rsidR="00FA7CFE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的销售网点申请办理此项业务。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2、办理时间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“定期定额投资业务”申请办理时间，为开放式基金法定开放日9：30-15：00。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3、扣款日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投资者应与</w:t>
      </w:r>
      <w:r w:rsidR="00FA7CFE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约定每月固定扣款日期，该扣款日期视为基金合同中约定的申购申请日（T日</w:t>
      </w:r>
      <w:bookmarkStart w:id="0" w:name="_GoBack"/>
      <w:bookmarkEnd w:id="0"/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4、扣款金额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投资者应与</w:t>
      </w:r>
      <w:r w:rsidR="00FA7CFE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就上述基金申请开办“定期定额投资业务”约定每月固定扣款（申购）金额，每只基金每月</w:t>
      </w:r>
      <w:r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扣款金额为人民币</w:t>
      </w:r>
      <w:r w:rsidR="00F91470" w:rsidRPr="00FA7CFE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="00FA7CFE" w:rsidRPr="00FA7CFE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元起（含</w:t>
      </w:r>
      <w:r w:rsidR="009F19B3" w:rsidRPr="00FA7CFE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="008C6D10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Pr="00FA7C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元）。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5、扣款方式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（1）将按照投资者申请时所约定的每月固定扣款日、扣款金额扣款。若遇非基金申购开放日，则顺延至下一基金申购开放日；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（2）投资者须指定一个有效资金账户作为每月固定扣款账户。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6、交易确认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以每月实际扣款日（T日）的基金份额净值为基准计算申购份额。基金份额确认日为T+1日（QDII型基金为T+2日内</w:t>
      </w:r>
      <w:r w:rsidR="006355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，FOF型基金为T+</w:t>
      </w:r>
      <w:r w:rsidR="006355E0">
        <w:rPr>
          <w:rFonts w:ascii="宋体" w:eastAsia="宋体" w:hAnsi="宋体" w:cs="宋体"/>
          <w:color w:val="000000"/>
          <w:kern w:val="0"/>
          <w:sz w:val="24"/>
          <w:szCs w:val="24"/>
        </w:rPr>
        <w:t>3日内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），投资者可在T＋2日（QDII型基金为T+3日</w:t>
      </w:r>
      <w:r w:rsidR="006355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，FOF型基金为T+4日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）到</w:t>
      </w:r>
      <w:r w:rsidR="008C6D10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网点查询相应基金的申购确认情况。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7、“定期定额投资业务”的变更和终止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（1）投资者变更每月扣款金额、扣款日期、扣款帐户等信息，须携带本人有效身份证件及相关凭证到</w:t>
      </w:r>
      <w:r w:rsidR="008C6D10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申请办理业务变更手续；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（2）投资者终止“定期定额投资业务”，须携带本人有效身份证件及相关凭证到</w:t>
      </w:r>
      <w:r w:rsidR="008C6D10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申请办理业务终止手续；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（3）具体办理程序应遵循</w:t>
      </w:r>
      <w:r w:rsidR="008C6D10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的有关规定。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2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四、费率优惠</w:t>
      </w:r>
    </w:p>
    <w:p w:rsidR="00CE036C" w:rsidRPr="003456E7" w:rsidRDefault="00CE036C" w:rsidP="003456E7">
      <w:pPr>
        <w:widowControl/>
        <w:wordWrap w:val="0"/>
        <w:spacing w:line="360" w:lineRule="auto"/>
        <w:ind w:firstLine="424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自20</w:t>
      </w:r>
      <w:r w:rsidR="00F91470"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</w:t>
      </w:r>
      <w:r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91470"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AC1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日起，投资者通过</w:t>
      </w:r>
      <w:r w:rsidR="008C6D10"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网点申购（含定投）基金，其前端申购费率实行1折</w:t>
      </w:r>
      <w:r w:rsidR="009F19B3"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起</w:t>
      </w:r>
      <w:r w:rsidRPr="008C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优惠；原费率为固定费用的，则按其规定的固定费用执行，不再享有费率折扣。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优惠活动或业务规则如有变动，请以</w:t>
      </w:r>
      <w:r w:rsidR="008C6D10" w:rsidRPr="00E303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百度百盈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最新公告为准。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13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五、业务咨询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投资者可以通过以下途径咨询、了解有关基金详情：</w:t>
      </w:r>
    </w:p>
    <w:p w:rsidR="00CE036C" w:rsidRPr="008C6D10" w:rsidRDefault="00CE036C" w:rsidP="00CE036C">
      <w:pPr>
        <w:widowControl/>
        <w:wordWrap w:val="0"/>
        <w:spacing w:line="378" w:lineRule="atLeast"/>
        <w:ind w:hanging="390"/>
        <w:jc w:val="left"/>
        <w:rPr>
          <w:rFonts w:ascii="inherit" w:eastAsia="宋体" w:hAnsi="inherit" w:cs="宋体" w:hint="eastAsia"/>
          <w:b/>
          <w:color w:val="000000"/>
          <w:kern w:val="0"/>
          <w:szCs w:val="21"/>
        </w:rPr>
      </w:pPr>
      <w:r w:rsidRPr="00CE036C">
        <w:rPr>
          <w:rFonts w:ascii="Tahoma" w:eastAsia="宋体" w:hAnsi="Tahoma" w:cs="Tahoma"/>
          <w:color w:val="000000"/>
          <w:kern w:val="0"/>
          <w:szCs w:val="21"/>
        </w:rPr>
        <w:t xml:space="preserve">    </w:t>
      </w:r>
      <w:r w:rsidRPr="008C6D10">
        <w:rPr>
          <w:rFonts w:ascii="Tahoma" w:eastAsia="宋体" w:hAnsi="Tahoma" w:cs="Tahoma"/>
          <w:color w:val="000000"/>
          <w:kern w:val="0"/>
          <w:szCs w:val="21"/>
        </w:rPr>
        <w:t>1.</w:t>
      </w:r>
      <w:r w:rsidRPr="008C6D10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8C6D10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="00F91470" w:rsidRPr="008C6D1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北京百度百盈基金销售有限公司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428"/>
        <w:gridCol w:w="2977"/>
        <w:gridCol w:w="1595"/>
        <w:gridCol w:w="2000"/>
      </w:tblGrid>
      <w:tr w:rsidR="00CE036C" w:rsidRPr="008D2728" w:rsidTr="002C097D">
        <w:trPr>
          <w:trHeight w:val="54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65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8C6D10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北京市海淀区信息路甲9号奎科大厦</w:t>
            </w:r>
          </w:p>
        </w:tc>
      </w:tr>
      <w:tr w:rsidR="00CE036C" w:rsidRPr="008D2728" w:rsidTr="00D871F8">
        <w:trPr>
          <w:trHeight w:val="399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8C6D10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北京市海淀区上地十街10号1幢1层101</w:t>
            </w:r>
          </w:p>
        </w:tc>
      </w:tr>
      <w:tr w:rsidR="00CE036C" w:rsidRPr="008D2728" w:rsidTr="00361427">
        <w:trPr>
          <w:trHeight w:val="624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="008C6D10"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张旭阳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="008C6D10"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霍博华</w:t>
            </w:r>
          </w:p>
        </w:tc>
      </w:tr>
      <w:tr w:rsidR="00CE036C" w:rsidRPr="008D2728" w:rsidTr="00361427">
        <w:trPr>
          <w:trHeight w:val="624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8C6D10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010-61952703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CE036C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E036C" w:rsidRPr="008C6D10" w:rsidRDefault="008C6D10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010-61951007</w:t>
            </w:r>
          </w:p>
        </w:tc>
      </w:tr>
      <w:tr w:rsidR="001861A7" w:rsidRPr="00CE036C" w:rsidTr="00361427">
        <w:trPr>
          <w:trHeight w:val="624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61A7" w:rsidRPr="008C6D10" w:rsidRDefault="001861A7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61A7" w:rsidRPr="008C6D10" w:rsidRDefault="004B0630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6" w:history="1">
              <w:r w:rsidR="008C6D10" w:rsidRPr="008C6D10">
                <w:rPr>
                  <w:rFonts w:eastAsia="宋体" w:cs="宋体" w:hint="eastAsia"/>
                  <w:color w:val="000000"/>
                  <w:kern w:val="0"/>
                  <w:sz w:val="24"/>
                  <w:szCs w:val="24"/>
                </w:rPr>
                <w:t>www.baiyingfund.com</w:t>
              </w:r>
            </w:hyperlink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61A7" w:rsidRPr="008C6D10" w:rsidRDefault="001861A7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客服电话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61A7" w:rsidRPr="008C6D10" w:rsidRDefault="008C6D10" w:rsidP="008C6D10">
            <w:pPr>
              <w:widowControl/>
              <w:wordWrap w:val="0"/>
              <w:spacing w:line="360" w:lineRule="auto"/>
              <w:ind w:firstLine="42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D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95055</w:t>
            </w:r>
          </w:p>
        </w:tc>
      </w:tr>
    </w:tbl>
    <w:p w:rsidR="00CE036C" w:rsidRPr="00CE036C" w:rsidRDefault="00CE036C" w:rsidP="00CE036C">
      <w:pPr>
        <w:widowControl/>
        <w:wordWrap w:val="0"/>
        <w:spacing w:line="378" w:lineRule="atLeast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</w:p>
    <w:p w:rsidR="00CE036C" w:rsidRPr="00CE036C" w:rsidRDefault="00CE036C" w:rsidP="00CE036C">
      <w:pPr>
        <w:widowControl/>
        <w:wordWrap w:val="0"/>
        <w:spacing w:line="378" w:lineRule="atLeast"/>
        <w:ind w:firstLine="211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2.</w:t>
      </w:r>
      <w:r w:rsidRPr="00CE036C">
        <w:rPr>
          <w:rFonts w:ascii="Times New Roman" w:eastAsia="宋体" w:hAnsi="Times New Roman" w:cs="Times New Roman"/>
          <w:b/>
          <w:bCs/>
          <w:color w:val="000000"/>
          <w:kern w:val="0"/>
          <w:sz w:val="14"/>
          <w:szCs w:val="14"/>
        </w:rPr>
        <w:t>      </w:t>
      </w:r>
      <w:r w:rsidRPr="00CE036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嘉实基金管理有限公司</w:t>
      </w:r>
    </w:p>
    <w:p w:rsidR="00CE036C" w:rsidRPr="00CE036C" w:rsidRDefault="00CE036C" w:rsidP="00CE036C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客户服务电话：400-600-8800，网址：www.jsfund.cn 。</w:t>
      </w:r>
    </w:p>
    <w:p w:rsidR="00CE036C" w:rsidRPr="00CE036C" w:rsidRDefault="00CE036C" w:rsidP="008C6D10">
      <w:pPr>
        <w:widowControl/>
        <w:wordWrap w:val="0"/>
        <w:spacing w:line="360" w:lineRule="auto"/>
        <w:ind w:firstLine="424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  <w:r w:rsidRPr="00CE036C">
        <w:rPr>
          <w:rFonts w:ascii="inherit" w:eastAsia="宋体" w:hAnsi="inherit" w:cs="宋体"/>
          <w:color w:val="000000"/>
          <w:kern w:val="0"/>
          <w:szCs w:val="21"/>
        </w:rPr>
        <w:t>  </w:t>
      </w:r>
    </w:p>
    <w:p w:rsidR="00CE036C" w:rsidRPr="00CE036C" w:rsidRDefault="00CE036C" w:rsidP="00CE036C">
      <w:pPr>
        <w:widowControl/>
        <w:wordWrap w:val="0"/>
        <w:spacing w:line="315" w:lineRule="atLeast"/>
        <w:ind w:firstLine="424"/>
        <w:jc w:val="righ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嘉实基金管理有限公司</w:t>
      </w:r>
    </w:p>
    <w:p w:rsidR="00AD31C0" w:rsidRPr="008C6D10" w:rsidRDefault="00CE036C" w:rsidP="008C6D10">
      <w:pPr>
        <w:widowControl/>
        <w:wordWrap w:val="0"/>
        <w:spacing w:line="432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F914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914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AC1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Pr="00CE03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AD31C0" w:rsidRPr="008C6D10" w:rsidSect="004B0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E24" w:rsidRDefault="00035E24" w:rsidP="00035E24">
      <w:r>
        <w:separator/>
      </w:r>
    </w:p>
  </w:endnote>
  <w:endnote w:type="continuationSeparator" w:id="1">
    <w:p w:rsidR="00035E24" w:rsidRDefault="00035E24" w:rsidP="00035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E24" w:rsidRDefault="00035E24" w:rsidP="00035E24">
      <w:r>
        <w:separator/>
      </w:r>
    </w:p>
  </w:footnote>
  <w:footnote w:type="continuationSeparator" w:id="1">
    <w:p w:rsidR="00035E24" w:rsidRDefault="00035E24" w:rsidP="00035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36C"/>
    <w:rsid w:val="00035E24"/>
    <w:rsid w:val="00037AE4"/>
    <w:rsid w:val="00050592"/>
    <w:rsid w:val="00085F26"/>
    <w:rsid w:val="000A50B3"/>
    <w:rsid w:val="000E52FC"/>
    <w:rsid w:val="00122410"/>
    <w:rsid w:val="001861A7"/>
    <w:rsid w:val="00245DA3"/>
    <w:rsid w:val="002C097D"/>
    <w:rsid w:val="002E3489"/>
    <w:rsid w:val="003456E7"/>
    <w:rsid w:val="003472E4"/>
    <w:rsid w:val="00361427"/>
    <w:rsid w:val="00370579"/>
    <w:rsid w:val="00414388"/>
    <w:rsid w:val="004202E7"/>
    <w:rsid w:val="00462BF7"/>
    <w:rsid w:val="004847E4"/>
    <w:rsid w:val="004B0630"/>
    <w:rsid w:val="004C071B"/>
    <w:rsid w:val="004E6824"/>
    <w:rsid w:val="004F440A"/>
    <w:rsid w:val="005C159B"/>
    <w:rsid w:val="00606180"/>
    <w:rsid w:val="0061107F"/>
    <w:rsid w:val="006355E0"/>
    <w:rsid w:val="006A6E2E"/>
    <w:rsid w:val="006D7E49"/>
    <w:rsid w:val="006E508A"/>
    <w:rsid w:val="007932CB"/>
    <w:rsid w:val="008A7062"/>
    <w:rsid w:val="008C6D10"/>
    <w:rsid w:val="008D2728"/>
    <w:rsid w:val="00940A1A"/>
    <w:rsid w:val="009B37E5"/>
    <w:rsid w:val="009F19B3"/>
    <w:rsid w:val="00A53DC9"/>
    <w:rsid w:val="00AA6919"/>
    <w:rsid w:val="00AC1388"/>
    <w:rsid w:val="00AD31C0"/>
    <w:rsid w:val="00AE77D7"/>
    <w:rsid w:val="00B24B8A"/>
    <w:rsid w:val="00B2502D"/>
    <w:rsid w:val="00B37E8A"/>
    <w:rsid w:val="00B861B5"/>
    <w:rsid w:val="00BD4AF7"/>
    <w:rsid w:val="00BF64B9"/>
    <w:rsid w:val="00C4231E"/>
    <w:rsid w:val="00C518D6"/>
    <w:rsid w:val="00C7728D"/>
    <w:rsid w:val="00C906E2"/>
    <w:rsid w:val="00CE036C"/>
    <w:rsid w:val="00D0642C"/>
    <w:rsid w:val="00D871F8"/>
    <w:rsid w:val="00D93734"/>
    <w:rsid w:val="00DE0195"/>
    <w:rsid w:val="00E30304"/>
    <w:rsid w:val="00E41FA0"/>
    <w:rsid w:val="00E43FDE"/>
    <w:rsid w:val="00EF6F9F"/>
    <w:rsid w:val="00F1787A"/>
    <w:rsid w:val="00F524BC"/>
    <w:rsid w:val="00F91470"/>
    <w:rsid w:val="00FA7CFE"/>
    <w:rsid w:val="00FC4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D31C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D31C0"/>
  </w:style>
  <w:style w:type="character" w:styleId="a4">
    <w:name w:val="Hyperlink"/>
    <w:basedOn w:val="a0"/>
    <w:uiPriority w:val="99"/>
    <w:semiHidden/>
    <w:unhideWhenUsed/>
    <w:rsid w:val="008C6D10"/>
    <w:rPr>
      <w:color w:val="0563C1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35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35E2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35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35E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17101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012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7183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3874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4226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3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920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ying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4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刘茂华</dc:creator>
  <cp:lastModifiedBy>ZHONGM</cp:lastModifiedBy>
  <cp:revision>2</cp:revision>
  <dcterms:created xsi:type="dcterms:W3CDTF">2018-12-09T16:30:00Z</dcterms:created>
  <dcterms:modified xsi:type="dcterms:W3CDTF">2018-12-09T16:30:00Z</dcterms:modified>
</cp:coreProperties>
</file>