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531C52" w:rsidP="00CC5A26">
      <w:pPr>
        <w:spacing w:line="360" w:lineRule="auto"/>
        <w:jc w:val="center"/>
        <w:rPr>
          <w:rFonts w:eastAsiaTheme="minorEastAsia"/>
          <w:b/>
          <w:sz w:val="36"/>
          <w:szCs w:val="36"/>
        </w:rPr>
      </w:pPr>
      <w:r>
        <w:rPr>
          <w:rFonts w:eastAsiaTheme="minorEastAsia"/>
          <w:b/>
          <w:sz w:val="36"/>
          <w:szCs w:val="36"/>
        </w:rPr>
        <w:t>国泰上证</w:t>
      </w:r>
      <w:r>
        <w:rPr>
          <w:rFonts w:eastAsiaTheme="minorEastAsia"/>
          <w:b/>
          <w:sz w:val="36"/>
          <w:szCs w:val="36"/>
        </w:rPr>
        <w:t>5</w:t>
      </w:r>
      <w:r>
        <w:rPr>
          <w:rFonts w:eastAsiaTheme="minorEastAsia"/>
          <w:b/>
          <w:sz w:val="36"/>
          <w:szCs w:val="36"/>
        </w:rPr>
        <w:t>年期国债交易型开放式指数证券投资基金联接基金</w:t>
      </w:r>
      <w:r w:rsidR="002E7173">
        <w:rPr>
          <w:rFonts w:eastAsiaTheme="minorEastAsia" w:hint="eastAsia"/>
          <w:b/>
          <w:sz w:val="36"/>
          <w:szCs w:val="36"/>
        </w:rPr>
        <w:t>清算</w:t>
      </w:r>
      <w:r w:rsidR="001548F9" w:rsidRPr="00D42BE5">
        <w:rPr>
          <w:rFonts w:eastAsiaTheme="minorEastAsia"/>
          <w:b/>
          <w:sz w:val="36"/>
          <w:szCs w:val="36"/>
        </w:rPr>
        <w:t>报告</w:t>
      </w:r>
    </w:p>
    <w:p w:rsidR="001548F9" w:rsidRPr="00D42BE5" w:rsidRDefault="001548F9" w:rsidP="005B2B01">
      <w:pPr>
        <w:spacing w:line="360" w:lineRule="auto"/>
        <w:jc w:val="center"/>
        <w:rPr>
          <w:rFonts w:eastAsiaTheme="minorEastAsia"/>
          <w:b/>
          <w:sz w:val="36"/>
          <w:szCs w:val="36"/>
        </w:rPr>
      </w:pPr>
    </w:p>
    <w:p w:rsidR="001548F9" w:rsidRPr="00531C52" w:rsidRDefault="001548F9" w:rsidP="006D141C">
      <w:pPr>
        <w:spacing w:line="360" w:lineRule="auto"/>
        <w:jc w:val="center"/>
        <w:rPr>
          <w:b/>
          <w:color w:val="000000"/>
          <w:szCs w:val="21"/>
        </w:rPr>
      </w:pPr>
    </w:p>
    <w:p w:rsidR="001548F9" w:rsidRPr="000175AB"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E41C38"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基金管理人：国泰基金管理有限公司</w:t>
      </w: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531C52">
        <w:rPr>
          <w:rFonts w:eastAsiaTheme="minorEastAsia" w:hint="eastAsia"/>
          <w:b/>
          <w:color w:val="000000"/>
          <w:sz w:val="24"/>
        </w:rPr>
        <w:t>中国建设银行股份有限公司</w:t>
      </w:r>
    </w:p>
    <w:p w:rsidR="001548F9" w:rsidRPr="00AF0BE6" w:rsidRDefault="0040043A" w:rsidP="00067CB4">
      <w:pPr>
        <w:spacing w:line="360" w:lineRule="auto"/>
        <w:ind w:firstLineChars="900" w:firstLine="2168"/>
        <w:rPr>
          <w:rFonts w:eastAsiaTheme="minorEastAsia"/>
          <w:b/>
          <w:sz w:val="24"/>
        </w:rPr>
      </w:pPr>
      <w:r w:rsidRPr="00AF0BE6">
        <w:rPr>
          <w:rFonts w:eastAsiaTheme="minorEastAsia" w:hint="eastAsia"/>
          <w:b/>
          <w:sz w:val="24"/>
        </w:rPr>
        <w:t>公告</w:t>
      </w:r>
      <w:r w:rsidR="001548F9" w:rsidRPr="00AF0BE6">
        <w:rPr>
          <w:rFonts w:eastAsiaTheme="minorEastAsia"/>
          <w:b/>
          <w:sz w:val="24"/>
        </w:rPr>
        <w:t>日期：</w:t>
      </w:r>
      <w:r w:rsidRPr="00AF0BE6">
        <w:rPr>
          <w:rFonts w:eastAsiaTheme="minorEastAsia" w:hint="eastAsia"/>
          <w:b/>
          <w:sz w:val="24"/>
        </w:rPr>
        <w:t>201</w:t>
      </w:r>
      <w:r w:rsidR="00A47724">
        <w:rPr>
          <w:rFonts w:eastAsiaTheme="minorEastAsia"/>
          <w:b/>
          <w:sz w:val="24"/>
        </w:rPr>
        <w:t>8</w:t>
      </w:r>
      <w:r w:rsidRPr="00AF0BE6">
        <w:rPr>
          <w:rFonts w:eastAsiaTheme="minorEastAsia"/>
          <w:b/>
          <w:sz w:val="24"/>
        </w:rPr>
        <w:t>年</w:t>
      </w:r>
      <w:r w:rsidR="00BB50EF">
        <w:rPr>
          <w:rFonts w:eastAsiaTheme="minorEastAsia"/>
          <w:b/>
          <w:sz w:val="24"/>
        </w:rPr>
        <w:t>11</w:t>
      </w:r>
      <w:r w:rsidR="001548F9" w:rsidRPr="00AF0BE6">
        <w:rPr>
          <w:rFonts w:eastAsiaTheme="minorEastAsia"/>
          <w:b/>
          <w:sz w:val="24"/>
        </w:rPr>
        <w:t>月</w:t>
      </w:r>
      <w:r w:rsidR="00BB50EF">
        <w:rPr>
          <w:rFonts w:eastAsiaTheme="minorEastAsia"/>
          <w:b/>
          <w:sz w:val="24"/>
        </w:rPr>
        <w:t>30</w:t>
      </w:r>
      <w:r w:rsidR="001548F9" w:rsidRPr="00AF0BE6">
        <w:rPr>
          <w:rFonts w:eastAsiaTheme="minorEastAsia"/>
          <w:b/>
          <w:sz w:val="24"/>
        </w:rPr>
        <w:t>日</w:t>
      </w:r>
    </w:p>
    <w:p w:rsidR="001548F9" w:rsidRPr="0040043A" w:rsidRDefault="001548F9" w:rsidP="006D141C">
      <w:pPr>
        <w:widowControl/>
        <w:jc w:val="left"/>
        <w:rPr>
          <w:color w:val="000000"/>
          <w:szCs w:val="21"/>
        </w:rPr>
        <w:sectPr w:rsidR="001548F9" w:rsidRPr="0040043A">
          <w:headerReference w:type="default" r:id="rId8"/>
          <w:pgSz w:w="11926" w:h="15840"/>
          <w:pgMar w:top="1418" w:right="1418" w:bottom="851" w:left="1418" w:header="851" w:footer="992" w:gutter="0"/>
          <w:cols w:space="720"/>
        </w:sectPr>
      </w:pPr>
    </w:p>
    <w:p w:rsidR="002E3B41" w:rsidRPr="006F14B8" w:rsidRDefault="002E3B41" w:rsidP="00641421">
      <w:pPr>
        <w:pStyle w:val="1"/>
        <w:keepNext/>
        <w:keepLines/>
        <w:widowControl w:val="0"/>
        <w:spacing w:beforeLines="100" w:afterLines="100" w:line="360" w:lineRule="auto"/>
        <w:jc w:val="center"/>
        <w:rPr>
          <w:b/>
          <w:bCs/>
          <w:sz w:val="21"/>
          <w:szCs w:val="21"/>
          <w:lang w:val="en-US"/>
        </w:rPr>
      </w:pPr>
      <w:bookmarkStart w:id="0" w:name="_Toc225498243"/>
      <w:bookmarkStart w:id="1" w:name="_Toc529469794"/>
      <w:r w:rsidRPr="006F14B8">
        <w:rPr>
          <w:b/>
          <w:bCs/>
          <w:sz w:val="21"/>
          <w:szCs w:val="21"/>
          <w:lang w:val="en-US"/>
        </w:rPr>
        <w:lastRenderedPageBreak/>
        <w:t xml:space="preserve">1  </w:t>
      </w:r>
      <w:r w:rsidRPr="006F14B8">
        <w:rPr>
          <w:b/>
          <w:bCs/>
          <w:sz w:val="21"/>
          <w:szCs w:val="21"/>
          <w:lang w:val="en-US"/>
        </w:rPr>
        <w:t>重要提示及目录</w:t>
      </w:r>
      <w:bookmarkEnd w:id="0"/>
      <w:bookmarkEnd w:id="1"/>
    </w:p>
    <w:p w:rsidR="002E3B41" w:rsidRPr="006F14B8" w:rsidRDefault="002E3B41" w:rsidP="002E3B41">
      <w:pPr>
        <w:pStyle w:val="20"/>
        <w:spacing w:before="0" w:after="0"/>
        <w:rPr>
          <w:rFonts w:ascii="Times New Roman" w:hAnsi="Times New Roman"/>
          <w:kern w:val="0"/>
          <w:sz w:val="21"/>
          <w:szCs w:val="21"/>
        </w:rPr>
      </w:pPr>
      <w:bookmarkStart w:id="2" w:name="_Toc529469795"/>
      <w:r w:rsidRPr="006F14B8">
        <w:rPr>
          <w:rFonts w:ascii="Times New Roman" w:hAnsi="Times New Roman"/>
          <w:kern w:val="0"/>
          <w:sz w:val="21"/>
          <w:szCs w:val="21"/>
        </w:rPr>
        <w:t xml:space="preserve">1.1 </w:t>
      </w:r>
      <w:r w:rsidRPr="006F14B8">
        <w:rPr>
          <w:rFonts w:ascii="Times New Roman" w:hAnsi="Times New Roman"/>
          <w:kern w:val="0"/>
          <w:sz w:val="21"/>
          <w:szCs w:val="21"/>
        </w:rPr>
        <w:t>重要提示</w:t>
      </w:r>
      <w:bookmarkEnd w:id="2"/>
    </w:p>
    <w:p w:rsidR="00B2518D" w:rsidRPr="00A15FEB" w:rsidRDefault="00B2518D" w:rsidP="00B2518D">
      <w:pPr>
        <w:spacing w:line="360" w:lineRule="auto"/>
        <w:ind w:firstLineChars="200" w:firstLine="420"/>
        <w:rPr>
          <w:color w:val="000000"/>
          <w:szCs w:val="21"/>
        </w:rPr>
      </w:pPr>
      <w:r w:rsidRPr="00A15FEB">
        <w:rPr>
          <w:rFonts w:hint="eastAsia"/>
          <w:color w:val="000000"/>
          <w:szCs w:val="21"/>
        </w:rPr>
        <w:t>国泰上证</w:t>
      </w:r>
      <w:r w:rsidRPr="00A15FEB">
        <w:rPr>
          <w:rFonts w:hint="eastAsia"/>
          <w:color w:val="000000"/>
          <w:szCs w:val="21"/>
        </w:rPr>
        <w:t>5</w:t>
      </w:r>
      <w:r w:rsidRPr="00A15FEB">
        <w:rPr>
          <w:rFonts w:hint="eastAsia"/>
          <w:color w:val="000000"/>
          <w:szCs w:val="21"/>
        </w:rPr>
        <w:t>年期国债交易型开放式指数证券投资基金联接基金</w:t>
      </w:r>
      <w:r w:rsidRPr="00A15FEB">
        <w:rPr>
          <w:rFonts w:hint="eastAsia"/>
          <w:color w:val="000000"/>
          <w:szCs w:val="21"/>
        </w:rPr>
        <w:t>(</w:t>
      </w:r>
      <w:r w:rsidRPr="00A15FEB">
        <w:rPr>
          <w:rFonts w:hint="eastAsia"/>
          <w:color w:val="000000"/>
          <w:szCs w:val="21"/>
        </w:rPr>
        <w:t>以下简称“本基金”</w:t>
      </w:r>
      <w:r w:rsidRPr="00A15FEB">
        <w:rPr>
          <w:rFonts w:hint="eastAsia"/>
          <w:color w:val="000000"/>
          <w:szCs w:val="21"/>
        </w:rPr>
        <w:t>)</w:t>
      </w:r>
      <w:r w:rsidRPr="00A15FEB">
        <w:rPr>
          <w:rFonts w:hint="eastAsia"/>
          <w:color w:val="000000"/>
          <w:szCs w:val="21"/>
        </w:rPr>
        <w:t>经中国证券监督管理委员会</w:t>
      </w:r>
      <w:r w:rsidRPr="00A15FEB">
        <w:rPr>
          <w:rFonts w:hint="eastAsia"/>
          <w:color w:val="000000"/>
          <w:szCs w:val="21"/>
        </w:rPr>
        <w:t>(</w:t>
      </w:r>
      <w:r w:rsidRPr="00A15FEB">
        <w:rPr>
          <w:rFonts w:hint="eastAsia"/>
          <w:color w:val="000000"/>
          <w:szCs w:val="21"/>
        </w:rPr>
        <w:t>以下简称“中国证监会”</w:t>
      </w:r>
      <w:r w:rsidRPr="00A15FEB">
        <w:rPr>
          <w:rFonts w:hint="eastAsia"/>
          <w:color w:val="000000"/>
          <w:szCs w:val="21"/>
        </w:rPr>
        <w:t>)</w:t>
      </w:r>
      <w:r w:rsidRPr="00A15FEB">
        <w:rPr>
          <w:rFonts w:hint="eastAsia"/>
          <w:color w:val="000000"/>
          <w:szCs w:val="21"/>
        </w:rPr>
        <w:t>证监许可</w:t>
      </w:r>
      <w:r w:rsidRPr="00A15FEB">
        <w:rPr>
          <w:rFonts w:hint="eastAsia"/>
          <w:color w:val="000000"/>
          <w:szCs w:val="21"/>
        </w:rPr>
        <w:t>[201</w:t>
      </w:r>
      <w:r w:rsidRPr="00A15FEB">
        <w:rPr>
          <w:color w:val="000000"/>
          <w:szCs w:val="21"/>
        </w:rPr>
        <w:t>3</w:t>
      </w:r>
      <w:r w:rsidRPr="00A15FEB">
        <w:rPr>
          <w:rFonts w:hint="eastAsia"/>
          <w:color w:val="000000"/>
          <w:szCs w:val="21"/>
        </w:rPr>
        <w:t>]11</w:t>
      </w:r>
      <w:r w:rsidRPr="00A15FEB">
        <w:rPr>
          <w:rFonts w:hint="eastAsia"/>
          <w:color w:val="000000"/>
          <w:szCs w:val="21"/>
        </w:rPr>
        <w:t>号《关于核准上证</w:t>
      </w:r>
      <w:r w:rsidRPr="00A15FEB">
        <w:rPr>
          <w:rFonts w:hint="eastAsia"/>
          <w:color w:val="000000"/>
          <w:szCs w:val="21"/>
        </w:rPr>
        <w:t>5</w:t>
      </w:r>
      <w:r w:rsidRPr="00A15FEB">
        <w:rPr>
          <w:rFonts w:hint="eastAsia"/>
          <w:color w:val="000000"/>
          <w:szCs w:val="21"/>
        </w:rPr>
        <w:t>年期国债交易型开放式指数证券投资基金及联接基金募集的批复》核准，由国泰基金管理有限公司依照《中华人民共和国证券投资基金法》和《国泰上证</w:t>
      </w:r>
      <w:r w:rsidRPr="00A15FEB">
        <w:rPr>
          <w:rFonts w:hint="eastAsia"/>
          <w:color w:val="000000"/>
          <w:szCs w:val="21"/>
        </w:rPr>
        <w:t>5</w:t>
      </w:r>
      <w:r w:rsidRPr="00A15FEB">
        <w:rPr>
          <w:rFonts w:hint="eastAsia"/>
          <w:color w:val="000000"/>
          <w:szCs w:val="21"/>
        </w:rPr>
        <w:t>年期国债交易型开放式指数证券投资基金联接基金基金合同》负责公开募集。本基金首次设立募集不包括认购资金利息共募集人民币</w:t>
      </w:r>
      <w:r w:rsidRPr="00A15FEB">
        <w:rPr>
          <w:color w:val="000000"/>
          <w:szCs w:val="21"/>
        </w:rPr>
        <w:t>3,206,038,942.03</w:t>
      </w:r>
      <w:r w:rsidRPr="00A15FEB">
        <w:rPr>
          <w:rFonts w:hint="eastAsia"/>
          <w:color w:val="000000"/>
          <w:szCs w:val="21"/>
        </w:rPr>
        <w:t>元，业经普华永道中天会计师事务所有限公司予以验证。经向中国证监会备案，《国泰上证</w:t>
      </w:r>
      <w:r w:rsidRPr="00A15FEB">
        <w:rPr>
          <w:rFonts w:hint="eastAsia"/>
          <w:color w:val="000000"/>
          <w:szCs w:val="21"/>
        </w:rPr>
        <w:t>5</w:t>
      </w:r>
      <w:r w:rsidRPr="00A15FEB">
        <w:rPr>
          <w:rFonts w:hint="eastAsia"/>
          <w:color w:val="000000"/>
          <w:szCs w:val="21"/>
        </w:rPr>
        <w:t>年期国债交易型开放式指数证券投资基金联接基金基金合同》</w:t>
      </w:r>
      <w:r w:rsidR="00FD1688">
        <w:rPr>
          <w:rFonts w:hint="eastAsia"/>
          <w:color w:val="000000"/>
          <w:szCs w:val="21"/>
        </w:rPr>
        <w:t>（以下简称“《基金合同》”）</w:t>
      </w:r>
      <w:r w:rsidRPr="00A15FEB">
        <w:rPr>
          <w:rFonts w:hint="eastAsia"/>
          <w:color w:val="000000"/>
          <w:szCs w:val="21"/>
        </w:rPr>
        <w:t>于</w:t>
      </w:r>
      <w:r w:rsidRPr="00A15FEB">
        <w:rPr>
          <w:rFonts w:hint="eastAsia"/>
          <w:color w:val="000000"/>
          <w:szCs w:val="21"/>
        </w:rPr>
        <w:t>201</w:t>
      </w:r>
      <w:r w:rsidRPr="00A15FEB">
        <w:rPr>
          <w:color w:val="000000"/>
          <w:szCs w:val="21"/>
        </w:rPr>
        <w:t>3</w:t>
      </w:r>
      <w:r w:rsidRPr="00A15FEB">
        <w:rPr>
          <w:rFonts w:hint="eastAsia"/>
          <w:color w:val="000000"/>
          <w:szCs w:val="21"/>
        </w:rPr>
        <w:t>年</w:t>
      </w:r>
      <w:r w:rsidRPr="00A15FEB">
        <w:rPr>
          <w:rFonts w:hint="eastAsia"/>
          <w:color w:val="000000"/>
          <w:szCs w:val="21"/>
        </w:rPr>
        <w:t>3</w:t>
      </w:r>
      <w:r w:rsidRPr="00A15FEB">
        <w:rPr>
          <w:rFonts w:hint="eastAsia"/>
          <w:color w:val="000000"/>
          <w:szCs w:val="21"/>
        </w:rPr>
        <w:t>月</w:t>
      </w:r>
      <w:r w:rsidRPr="00A15FEB">
        <w:rPr>
          <w:rFonts w:hint="eastAsia"/>
          <w:color w:val="000000"/>
          <w:szCs w:val="21"/>
        </w:rPr>
        <w:t>7</w:t>
      </w:r>
      <w:r w:rsidRPr="00A15FEB">
        <w:rPr>
          <w:rFonts w:hint="eastAsia"/>
          <w:color w:val="000000"/>
          <w:szCs w:val="21"/>
        </w:rPr>
        <w:t>日正式生效，基金合同生效日的基金份额总额为</w:t>
      </w:r>
      <w:r w:rsidRPr="00A15FEB">
        <w:rPr>
          <w:color w:val="000000"/>
          <w:szCs w:val="21"/>
        </w:rPr>
        <w:t>3,206,309,191.14</w:t>
      </w:r>
      <w:r w:rsidRPr="00A15FEB">
        <w:rPr>
          <w:rFonts w:hint="eastAsia"/>
          <w:color w:val="000000"/>
          <w:szCs w:val="21"/>
        </w:rPr>
        <w:t>份基金份额，其中认购资金利息折合</w:t>
      </w:r>
      <w:r w:rsidRPr="00A15FEB">
        <w:rPr>
          <w:color w:val="000000"/>
          <w:szCs w:val="21"/>
        </w:rPr>
        <w:t>270,249.11</w:t>
      </w:r>
      <w:r w:rsidRPr="00A15FEB">
        <w:rPr>
          <w:rFonts w:hint="eastAsia"/>
          <w:color w:val="000000"/>
          <w:szCs w:val="21"/>
        </w:rPr>
        <w:t>份基金份额。本基金的基金管理人为国泰基金管理有限公司，基金托管人为中国建设银行股份有限公司。</w:t>
      </w:r>
    </w:p>
    <w:p w:rsidR="00B2518D" w:rsidRDefault="00B2518D" w:rsidP="00B2518D">
      <w:pPr>
        <w:spacing w:line="360" w:lineRule="auto"/>
        <w:ind w:firstLineChars="200" w:firstLine="420"/>
        <w:rPr>
          <w:color w:val="000000"/>
          <w:szCs w:val="21"/>
        </w:rPr>
      </w:pPr>
      <w:r w:rsidRPr="00641A84">
        <w:rPr>
          <w:rFonts w:hint="eastAsia"/>
          <w:color w:val="000000"/>
          <w:szCs w:val="21"/>
        </w:rPr>
        <w:t>根据市场</w:t>
      </w:r>
      <w:r w:rsidRPr="00641A84">
        <w:rPr>
          <w:color w:val="000000"/>
          <w:szCs w:val="21"/>
        </w:rPr>
        <w:t>环境变化</w:t>
      </w:r>
      <w:r w:rsidRPr="00641A84">
        <w:rPr>
          <w:rFonts w:hint="eastAsia"/>
          <w:color w:val="000000"/>
          <w:szCs w:val="21"/>
        </w:rPr>
        <w:t>，</w:t>
      </w:r>
      <w:r w:rsidRPr="00641A84">
        <w:rPr>
          <w:color w:val="000000"/>
          <w:szCs w:val="21"/>
        </w:rPr>
        <w:t>为维护基金份额持有人利益</w:t>
      </w:r>
      <w:r w:rsidRPr="00641A84">
        <w:rPr>
          <w:rFonts w:hint="eastAsia"/>
          <w:color w:val="000000"/>
          <w:szCs w:val="21"/>
        </w:rPr>
        <w:t>，</w:t>
      </w:r>
      <w:r w:rsidRPr="00641A84">
        <w:rPr>
          <w:color w:val="000000"/>
          <w:szCs w:val="21"/>
        </w:rPr>
        <w:t>基金管理人根据</w:t>
      </w:r>
      <w:r w:rsidRPr="00641A84">
        <w:rPr>
          <w:rFonts w:hint="eastAsia"/>
          <w:color w:val="000000"/>
          <w:szCs w:val="21"/>
        </w:rPr>
        <w:t>《中华人民共和国证券投资基金法》、《公开募集证券投资基金运作管理办法》和《基金合同》的有关规定，提议终止《基金合同》。本基金以通讯方式召开了基金份额持有人大会，审议《关于终止</w:t>
      </w:r>
      <w:r w:rsidRPr="00B2518D">
        <w:rPr>
          <w:rFonts w:hint="eastAsia"/>
          <w:color w:val="000000"/>
          <w:szCs w:val="21"/>
        </w:rPr>
        <w:t>国泰上证</w:t>
      </w:r>
      <w:r w:rsidRPr="00B2518D">
        <w:rPr>
          <w:rFonts w:hint="eastAsia"/>
          <w:color w:val="000000"/>
          <w:szCs w:val="21"/>
        </w:rPr>
        <w:t>5</w:t>
      </w:r>
      <w:r w:rsidRPr="00B2518D">
        <w:rPr>
          <w:rFonts w:hint="eastAsia"/>
          <w:color w:val="000000"/>
          <w:szCs w:val="21"/>
        </w:rPr>
        <w:t>年期国债交易型开放式指数证券投资基金联接基金</w:t>
      </w:r>
      <w:r w:rsidRPr="00641A84">
        <w:rPr>
          <w:rFonts w:hint="eastAsia"/>
          <w:color w:val="000000"/>
          <w:szCs w:val="21"/>
        </w:rPr>
        <w:t>基金合同有关事项的议案》。会议投票表决时间为</w:t>
      </w:r>
      <w:r w:rsidRPr="00641A84">
        <w:rPr>
          <w:rFonts w:hint="eastAsia"/>
          <w:color w:val="000000"/>
          <w:szCs w:val="21"/>
        </w:rPr>
        <w:t>2018</w:t>
      </w:r>
      <w:r w:rsidRPr="00641A84">
        <w:rPr>
          <w:rFonts w:hint="eastAsia"/>
          <w:color w:val="000000"/>
          <w:szCs w:val="21"/>
        </w:rPr>
        <w:t>年</w:t>
      </w:r>
      <w:r>
        <w:rPr>
          <w:rFonts w:hint="eastAsia"/>
          <w:color w:val="000000"/>
          <w:szCs w:val="21"/>
        </w:rPr>
        <w:t>9</w:t>
      </w:r>
      <w:r w:rsidRPr="00641A84">
        <w:rPr>
          <w:rFonts w:hint="eastAsia"/>
          <w:color w:val="000000"/>
          <w:szCs w:val="21"/>
        </w:rPr>
        <w:t>月</w:t>
      </w:r>
      <w:r>
        <w:rPr>
          <w:rFonts w:hint="eastAsia"/>
          <w:color w:val="000000"/>
          <w:szCs w:val="21"/>
        </w:rPr>
        <w:t>1</w:t>
      </w:r>
      <w:r w:rsidRPr="00641A84">
        <w:rPr>
          <w:rFonts w:hint="eastAsia"/>
          <w:color w:val="000000"/>
          <w:szCs w:val="21"/>
        </w:rPr>
        <w:t>7</w:t>
      </w:r>
      <w:r w:rsidRPr="00641A84">
        <w:rPr>
          <w:rFonts w:hint="eastAsia"/>
          <w:color w:val="000000"/>
          <w:szCs w:val="21"/>
        </w:rPr>
        <w:t>日起至</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15</w:t>
      </w:r>
      <w:r w:rsidRPr="00641A84">
        <w:rPr>
          <w:rFonts w:hint="eastAsia"/>
          <w:color w:val="000000"/>
          <w:szCs w:val="21"/>
        </w:rPr>
        <w:t>日</w:t>
      </w:r>
      <w:r w:rsidRPr="00641A84">
        <w:rPr>
          <w:rFonts w:hint="eastAsia"/>
          <w:color w:val="000000"/>
          <w:szCs w:val="21"/>
        </w:rPr>
        <w:t>17:00</w:t>
      </w:r>
      <w:r w:rsidRPr="00641A84">
        <w:rPr>
          <w:rFonts w:hint="eastAsia"/>
          <w:color w:val="000000"/>
          <w:szCs w:val="21"/>
        </w:rPr>
        <w:t>止。本次会议议案于</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16</w:t>
      </w:r>
      <w:r w:rsidRPr="00641A84">
        <w:rPr>
          <w:rFonts w:hint="eastAsia"/>
          <w:color w:val="000000"/>
          <w:szCs w:val="21"/>
        </w:rPr>
        <w:t>日表决通过，自该日起本次基金份额持有人大会决议生效。基金管理人于</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17</w:t>
      </w:r>
      <w:r w:rsidRPr="00641A84">
        <w:rPr>
          <w:rFonts w:hint="eastAsia"/>
          <w:color w:val="000000"/>
          <w:szCs w:val="21"/>
        </w:rPr>
        <w:t>日在《中国证券报》、《上海证券报》、《证券时报》和基金管理人网站刊登了《</w:t>
      </w:r>
      <w:r w:rsidRPr="00B2518D">
        <w:rPr>
          <w:rFonts w:hint="eastAsia"/>
          <w:color w:val="000000"/>
          <w:szCs w:val="21"/>
        </w:rPr>
        <w:t>国泰上证</w:t>
      </w:r>
      <w:r w:rsidRPr="00B2518D">
        <w:rPr>
          <w:rFonts w:hint="eastAsia"/>
          <w:color w:val="000000"/>
          <w:szCs w:val="21"/>
        </w:rPr>
        <w:t>5</w:t>
      </w:r>
      <w:r w:rsidRPr="00B2518D">
        <w:rPr>
          <w:rFonts w:hint="eastAsia"/>
          <w:color w:val="000000"/>
          <w:szCs w:val="21"/>
        </w:rPr>
        <w:t>年期国债交易型开放式指数证券投资基金联接基金基金份额持有人大会表决结果暨决议生效的公告</w:t>
      </w:r>
      <w:r w:rsidRPr="00641A84">
        <w:rPr>
          <w:rFonts w:hint="eastAsia"/>
          <w:color w:val="000000"/>
          <w:szCs w:val="21"/>
        </w:rPr>
        <w:t>》</w:t>
      </w:r>
      <w:r>
        <w:rPr>
          <w:rFonts w:hint="eastAsia"/>
          <w:color w:val="000000"/>
          <w:szCs w:val="21"/>
        </w:rPr>
        <w:t>。依据生效的基金份额持有人大会决议</w:t>
      </w:r>
      <w:r w:rsidRPr="00DF12D1">
        <w:rPr>
          <w:rFonts w:hint="eastAsia"/>
          <w:color w:val="000000"/>
          <w:szCs w:val="21"/>
        </w:rPr>
        <w:t>，本基金的最后运作日定为</w:t>
      </w:r>
      <w:r>
        <w:rPr>
          <w:rFonts w:hint="eastAsia"/>
          <w:color w:val="000000"/>
          <w:szCs w:val="21"/>
        </w:rPr>
        <w:t>2018</w:t>
      </w:r>
      <w:r>
        <w:rPr>
          <w:rFonts w:hint="eastAsia"/>
          <w:color w:val="000000"/>
          <w:szCs w:val="21"/>
        </w:rPr>
        <w:t>年</w:t>
      </w:r>
      <w:r>
        <w:rPr>
          <w:rFonts w:hint="eastAsia"/>
          <w:color w:val="000000"/>
          <w:szCs w:val="21"/>
        </w:rPr>
        <w:t>10</w:t>
      </w:r>
      <w:r>
        <w:rPr>
          <w:rFonts w:hint="eastAsia"/>
          <w:color w:val="000000"/>
          <w:szCs w:val="21"/>
        </w:rPr>
        <w:t>月</w:t>
      </w:r>
      <w:r>
        <w:rPr>
          <w:rFonts w:hint="eastAsia"/>
          <w:color w:val="000000"/>
          <w:szCs w:val="21"/>
        </w:rPr>
        <w:t>16</w:t>
      </w:r>
      <w:r>
        <w:rPr>
          <w:rFonts w:hint="eastAsia"/>
          <w:color w:val="000000"/>
          <w:szCs w:val="21"/>
        </w:rPr>
        <w:t>日</w:t>
      </w:r>
      <w:r w:rsidRPr="00DF12D1">
        <w:rPr>
          <w:rFonts w:hint="eastAsia"/>
          <w:color w:val="000000"/>
          <w:szCs w:val="21"/>
        </w:rPr>
        <w:t>，并</w:t>
      </w:r>
      <w:r w:rsidRPr="00DF12D1">
        <w:rPr>
          <w:color w:val="000000"/>
          <w:szCs w:val="21"/>
        </w:rPr>
        <w:t>于</w:t>
      </w:r>
      <w:r>
        <w:rPr>
          <w:color w:val="000000"/>
          <w:szCs w:val="21"/>
        </w:rPr>
        <w:t>2018</w:t>
      </w:r>
      <w:r>
        <w:rPr>
          <w:color w:val="000000"/>
          <w:szCs w:val="21"/>
        </w:rPr>
        <w:t>年</w:t>
      </w:r>
      <w:r>
        <w:rPr>
          <w:color w:val="000000"/>
          <w:szCs w:val="21"/>
        </w:rPr>
        <w:t>10</w:t>
      </w:r>
      <w:r>
        <w:rPr>
          <w:color w:val="000000"/>
          <w:szCs w:val="21"/>
        </w:rPr>
        <w:t>月</w:t>
      </w:r>
      <w:r>
        <w:rPr>
          <w:color w:val="000000"/>
          <w:szCs w:val="21"/>
        </w:rPr>
        <w:t>17</w:t>
      </w:r>
      <w:r>
        <w:rPr>
          <w:color w:val="000000"/>
          <w:szCs w:val="21"/>
        </w:rPr>
        <w:t>日</w:t>
      </w:r>
      <w:r w:rsidRPr="00DF12D1">
        <w:rPr>
          <w:color w:val="000000"/>
          <w:szCs w:val="21"/>
        </w:rPr>
        <w:t>进入财产清算期</w:t>
      </w:r>
      <w:r w:rsidRPr="00DF12D1">
        <w:rPr>
          <w:rFonts w:hint="eastAsia"/>
          <w:color w:val="000000"/>
          <w:szCs w:val="21"/>
        </w:rPr>
        <w:t>。</w:t>
      </w:r>
    </w:p>
    <w:p w:rsidR="00B2518D" w:rsidRPr="006C06BB" w:rsidRDefault="00B2518D" w:rsidP="00B2518D">
      <w:pPr>
        <w:spacing w:line="360" w:lineRule="auto"/>
        <w:ind w:firstLineChars="200" w:firstLine="420"/>
        <w:rPr>
          <w:szCs w:val="21"/>
        </w:rPr>
      </w:pPr>
      <w:r w:rsidRPr="006F14B8">
        <w:rPr>
          <w:rFonts w:hint="eastAsia"/>
          <w:color w:val="000000"/>
          <w:szCs w:val="21"/>
        </w:rPr>
        <w:t>本基金清算期为</w:t>
      </w:r>
      <w:r>
        <w:rPr>
          <w:color w:val="000000"/>
          <w:szCs w:val="21"/>
        </w:rPr>
        <w:t>2018</w:t>
      </w:r>
      <w:r>
        <w:rPr>
          <w:color w:val="000000"/>
          <w:szCs w:val="21"/>
        </w:rPr>
        <w:t>年</w:t>
      </w:r>
      <w:r>
        <w:rPr>
          <w:color w:val="000000"/>
          <w:szCs w:val="21"/>
        </w:rPr>
        <w:t>10</w:t>
      </w:r>
      <w:r>
        <w:rPr>
          <w:color w:val="000000"/>
          <w:szCs w:val="21"/>
        </w:rPr>
        <w:t>月</w:t>
      </w:r>
      <w:r>
        <w:rPr>
          <w:color w:val="000000"/>
          <w:szCs w:val="21"/>
        </w:rPr>
        <w:t>17</w:t>
      </w:r>
      <w:r>
        <w:rPr>
          <w:color w:val="000000"/>
          <w:szCs w:val="21"/>
        </w:rPr>
        <w:t>日</w:t>
      </w:r>
      <w:r w:rsidRPr="006F14B8">
        <w:rPr>
          <w:rFonts w:hint="eastAsia"/>
          <w:color w:val="000000"/>
          <w:szCs w:val="21"/>
        </w:rPr>
        <w:t>到</w:t>
      </w:r>
      <w:r>
        <w:rPr>
          <w:color w:val="000000"/>
          <w:szCs w:val="21"/>
        </w:rPr>
        <w:t>2018</w:t>
      </w:r>
      <w:r>
        <w:rPr>
          <w:color w:val="000000"/>
          <w:szCs w:val="21"/>
        </w:rPr>
        <w:t>年</w:t>
      </w:r>
      <w:r>
        <w:rPr>
          <w:color w:val="000000"/>
          <w:szCs w:val="21"/>
        </w:rPr>
        <w:t>11</w:t>
      </w:r>
      <w:r>
        <w:rPr>
          <w:color w:val="000000"/>
          <w:szCs w:val="21"/>
        </w:rPr>
        <w:t>月</w:t>
      </w:r>
      <w:r>
        <w:rPr>
          <w:color w:val="000000"/>
          <w:szCs w:val="21"/>
        </w:rPr>
        <w:t>8</w:t>
      </w:r>
      <w:r>
        <w:rPr>
          <w:color w:val="000000"/>
          <w:szCs w:val="21"/>
        </w:rPr>
        <w:t>日</w:t>
      </w:r>
      <w:r w:rsidRPr="006F14B8">
        <w:rPr>
          <w:rFonts w:hint="eastAsia"/>
          <w:color w:val="000000"/>
          <w:szCs w:val="21"/>
        </w:rPr>
        <w:t>。由基金管理人国泰基金管理有限公司、基金托管人</w:t>
      </w:r>
      <w:r>
        <w:rPr>
          <w:rFonts w:hint="eastAsia"/>
          <w:color w:val="000000"/>
          <w:szCs w:val="21"/>
        </w:rPr>
        <w:t>中国建设银行股份有限公司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Pr>
          <w:color w:val="000000" w:themeColor="text1"/>
          <w:szCs w:val="21"/>
        </w:rPr>
        <w:t>2018</w:t>
      </w:r>
      <w:r>
        <w:rPr>
          <w:color w:val="000000" w:themeColor="text1"/>
          <w:szCs w:val="21"/>
        </w:rPr>
        <w:t>年</w:t>
      </w:r>
      <w:r>
        <w:rPr>
          <w:color w:val="000000" w:themeColor="text1"/>
          <w:szCs w:val="21"/>
        </w:rPr>
        <w:t>10</w:t>
      </w:r>
      <w:r>
        <w:rPr>
          <w:color w:val="000000" w:themeColor="text1"/>
          <w:szCs w:val="21"/>
        </w:rPr>
        <w:t>月</w:t>
      </w:r>
      <w:r>
        <w:rPr>
          <w:color w:val="000000" w:themeColor="text1"/>
          <w:szCs w:val="21"/>
        </w:rPr>
        <w:t>17</w:t>
      </w:r>
      <w:r>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3B0EE4" w:rsidRDefault="002E3B41">
      <w:pPr>
        <w:pStyle w:val="20"/>
        <w:spacing w:before="0" w:after="0"/>
        <w:rPr>
          <w:color w:val="000000"/>
          <w:kern w:val="0"/>
          <w:szCs w:val="21"/>
        </w:rPr>
      </w:pPr>
      <w:r w:rsidRPr="00D42BE5">
        <w:rPr>
          <w:szCs w:val="21"/>
        </w:rPr>
        <w:br w:type="page"/>
      </w:r>
      <w:bookmarkStart w:id="3" w:name="_Toc529469796"/>
      <w:r w:rsidR="00BE362C">
        <w:rPr>
          <w:rFonts w:ascii="Times New Roman" w:hAnsi="Times New Roman"/>
          <w:kern w:val="0"/>
          <w:sz w:val="21"/>
          <w:szCs w:val="21"/>
        </w:rPr>
        <w:lastRenderedPageBreak/>
        <w:t xml:space="preserve">1.2 </w:t>
      </w:r>
      <w:r w:rsidR="00BE362C">
        <w:rPr>
          <w:rFonts w:ascii="Times New Roman" w:hAnsi="Times New Roman" w:hint="eastAsia"/>
          <w:kern w:val="0"/>
          <w:sz w:val="21"/>
          <w:szCs w:val="21"/>
        </w:rPr>
        <w:t>目录</w:t>
      </w:r>
      <w:bookmarkEnd w:id="3"/>
    </w:p>
    <w:p w:rsidR="002E3B41" w:rsidRPr="00D42BE5" w:rsidRDefault="002E3B41" w:rsidP="002E3B41">
      <w:pPr>
        <w:autoSpaceDE w:val="0"/>
        <w:autoSpaceDN w:val="0"/>
        <w:adjustRightInd w:val="0"/>
        <w:spacing w:before="30" w:line="288" w:lineRule="auto"/>
        <w:ind w:left="15"/>
        <w:jc w:val="left"/>
        <w:rPr>
          <w:b/>
          <w:color w:val="000000"/>
          <w:kern w:val="0"/>
          <w:szCs w:val="21"/>
        </w:rPr>
      </w:pPr>
    </w:p>
    <w:p w:rsidR="00C1726F" w:rsidRDefault="00906CE6">
      <w:pPr>
        <w:pStyle w:val="11"/>
        <w:rPr>
          <w:rFonts w:asciiTheme="minorHAnsi" w:eastAsiaTheme="minorEastAsia" w:hAnsiTheme="minorHAnsi" w:cstheme="minorBidi"/>
          <w:noProof/>
          <w:szCs w:val="22"/>
        </w:rPr>
      </w:pPr>
      <w:r w:rsidRPr="00D42BE5">
        <w:rPr>
          <w:szCs w:val="21"/>
        </w:rPr>
        <w:fldChar w:fldCharType="begin"/>
      </w:r>
      <w:r w:rsidR="002E3B41" w:rsidRPr="00D42BE5">
        <w:rPr>
          <w:szCs w:val="21"/>
        </w:rPr>
        <w:instrText xml:space="preserve"> TOC \o "1-3" \h \z \u </w:instrText>
      </w:r>
      <w:r w:rsidRPr="00D42BE5">
        <w:rPr>
          <w:szCs w:val="21"/>
        </w:rPr>
        <w:fldChar w:fldCharType="separate"/>
      </w:r>
      <w:hyperlink w:anchor="_Toc529469794" w:history="1">
        <w:r w:rsidR="00C1726F" w:rsidRPr="0023046B">
          <w:rPr>
            <w:rStyle w:val="a8"/>
            <w:b/>
            <w:bCs/>
            <w:noProof/>
          </w:rPr>
          <w:t xml:space="preserve">1  </w:t>
        </w:r>
        <w:r w:rsidR="00C1726F" w:rsidRPr="0023046B">
          <w:rPr>
            <w:rStyle w:val="a8"/>
            <w:b/>
            <w:bCs/>
            <w:noProof/>
          </w:rPr>
          <w:t>重要提示及目录</w:t>
        </w:r>
        <w:r w:rsidR="00C1726F">
          <w:rPr>
            <w:noProof/>
            <w:webHidden/>
          </w:rPr>
          <w:tab/>
        </w:r>
        <w:r>
          <w:rPr>
            <w:noProof/>
            <w:webHidden/>
          </w:rPr>
          <w:fldChar w:fldCharType="begin"/>
        </w:r>
        <w:r w:rsidR="00C1726F">
          <w:rPr>
            <w:noProof/>
            <w:webHidden/>
          </w:rPr>
          <w:instrText xml:space="preserve"> PAGEREF _Toc529469794 \h </w:instrText>
        </w:r>
        <w:r>
          <w:rPr>
            <w:noProof/>
            <w:webHidden/>
          </w:rPr>
        </w:r>
        <w:r>
          <w:rPr>
            <w:noProof/>
            <w:webHidden/>
          </w:rPr>
          <w:fldChar w:fldCharType="separate"/>
        </w:r>
        <w:r w:rsidR="00C1726F">
          <w:rPr>
            <w:noProof/>
            <w:webHidden/>
          </w:rPr>
          <w:t>2</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795" w:history="1">
        <w:r w:rsidR="00C1726F" w:rsidRPr="0023046B">
          <w:rPr>
            <w:rStyle w:val="a8"/>
            <w:noProof/>
          </w:rPr>
          <w:t xml:space="preserve">1.1 </w:t>
        </w:r>
        <w:r w:rsidR="00C1726F" w:rsidRPr="0023046B">
          <w:rPr>
            <w:rStyle w:val="a8"/>
            <w:noProof/>
          </w:rPr>
          <w:t>重要提示</w:t>
        </w:r>
        <w:r w:rsidR="00C1726F">
          <w:rPr>
            <w:noProof/>
            <w:webHidden/>
          </w:rPr>
          <w:tab/>
        </w:r>
        <w:r>
          <w:rPr>
            <w:noProof/>
            <w:webHidden/>
          </w:rPr>
          <w:fldChar w:fldCharType="begin"/>
        </w:r>
        <w:r w:rsidR="00C1726F">
          <w:rPr>
            <w:noProof/>
            <w:webHidden/>
          </w:rPr>
          <w:instrText xml:space="preserve"> PAGEREF _Toc529469795 \h </w:instrText>
        </w:r>
        <w:r>
          <w:rPr>
            <w:noProof/>
            <w:webHidden/>
          </w:rPr>
        </w:r>
        <w:r>
          <w:rPr>
            <w:noProof/>
            <w:webHidden/>
          </w:rPr>
          <w:fldChar w:fldCharType="separate"/>
        </w:r>
        <w:r w:rsidR="00C1726F">
          <w:rPr>
            <w:noProof/>
            <w:webHidden/>
          </w:rPr>
          <w:t>2</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796" w:history="1">
        <w:r w:rsidR="00C1726F" w:rsidRPr="0023046B">
          <w:rPr>
            <w:rStyle w:val="a8"/>
            <w:noProof/>
          </w:rPr>
          <w:t xml:space="preserve">1.2 </w:t>
        </w:r>
        <w:r w:rsidR="00C1726F" w:rsidRPr="0023046B">
          <w:rPr>
            <w:rStyle w:val="a8"/>
            <w:noProof/>
          </w:rPr>
          <w:t>目录</w:t>
        </w:r>
        <w:r w:rsidR="00C1726F">
          <w:rPr>
            <w:noProof/>
            <w:webHidden/>
          </w:rPr>
          <w:tab/>
        </w:r>
        <w:r>
          <w:rPr>
            <w:noProof/>
            <w:webHidden/>
          </w:rPr>
          <w:fldChar w:fldCharType="begin"/>
        </w:r>
        <w:r w:rsidR="00C1726F">
          <w:rPr>
            <w:noProof/>
            <w:webHidden/>
          </w:rPr>
          <w:instrText xml:space="preserve"> PAGEREF _Toc529469796 \h </w:instrText>
        </w:r>
        <w:r>
          <w:rPr>
            <w:noProof/>
            <w:webHidden/>
          </w:rPr>
        </w:r>
        <w:r>
          <w:rPr>
            <w:noProof/>
            <w:webHidden/>
          </w:rPr>
          <w:fldChar w:fldCharType="separate"/>
        </w:r>
        <w:r w:rsidR="00C1726F">
          <w:rPr>
            <w:noProof/>
            <w:webHidden/>
          </w:rPr>
          <w:t>3</w:t>
        </w:r>
        <w:r>
          <w:rPr>
            <w:noProof/>
            <w:webHidden/>
          </w:rPr>
          <w:fldChar w:fldCharType="end"/>
        </w:r>
      </w:hyperlink>
    </w:p>
    <w:p w:rsidR="00C1726F" w:rsidRDefault="00906CE6">
      <w:pPr>
        <w:pStyle w:val="11"/>
        <w:rPr>
          <w:rFonts w:asciiTheme="minorHAnsi" w:eastAsiaTheme="minorEastAsia" w:hAnsiTheme="minorHAnsi" w:cstheme="minorBidi"/>
          <w:noProof/>
          <w:szCs w:val="22"/>
        </w:rPr>
      </w:pPr>
      <w:hyperlink w:anchor="_Toc529469797" w:history="1">
        <w:r w:rsidR="00C1726F" w:rsidRPr="0023046B">
          <w:rPr>
            <w:rStyle w:val="a8"/>
            <w:b/>
            <w:bCs/>
            <w:noProof/>
          </w:rPr>
          <w:t xml:space="preserve">2  </w:t>
        </w:r>
        <w:r w:rsidR="00C1726F" w:rsidRPr="0023046B">
          <w:rPr>
            <w:rStyle w:val="a8"/>
            <w:b/>
            <w:bCs/>
            <w:noProof/>
          </w:rPr>
          <w:t>基金概况</w:t>
        </w:r>
        <w:r w:rsidR="00C1726F">
          <w:rPr>
            <w:noProof/>
            <w:webHidden/>
          </w:rPr>
          <w:tab/>
        </w:r>
        <w:r>
          <w:rPr>
            <w:noProof/>
            <w:webHidden/>
          </w:rPr>
          <w:fldChar w:fldCharType="begin"/>
        </w:r>
        <w:r w:rsidR="00C1726F">
          <w:rPr>
            <w:noProof/>
            <w:webHidden/>
          </w:rPr>
          <w:instrText xml:space="preserve"> PAGEREF _Toc529469797 \h </w:instrText>
        </w:r>
        <w:r>
          <w:rPr>
            <w:noProof/>
            <w:webHidden/>
          </w:rPr>
        </w:r>
        <w:r>
          <w:rPr>
            <w:noProof/>
            <w:webHidden/>
          </w:rPr>
          <w:fldChar w:fldCharType="separate"/>
        </w:r>
        <w:r w:rsidR="00C1726F">
          <w:rPr>
            <w:noProof/>
            <w:webHidden/>
          </w:rPr>
          <w:t>4</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798" w:history="1">
        <w:r w:rsidR="00C1726F" w:rsidRPr="0023046B">
          <w:rPr>
            <w:rStyle w:val="a8"/>
            <w:noProof/>
          </w:rPr>
          <w:t>2.1</w:t>
        </w:r>
        <w:r w:rsidR="00C1726F" w:rsidRPr="0023046B">
          <w:rPr>
            <w:rStyle w:val="a8"/>
            <w:noProof/>
          </w:rPr>
          <w:t>基金基本情况</w:t>
        </w:r>
        <w:r w:rsidR="00C1726F">
          <w:rPr>
            <w:noProof/>
            <w:webHidden/>
          </w:rPr>
          <w:tab/>
        </w:r>
        <w:r>
          <w:rPr>
            <w:noProof/>
            <w:webHidden/>
          </w:rPr>
          <w:fldChar w:fldCharType="begin"/>
        </w:r>
        <w:r w:rsidR="00C1726F">
          <w:rPr>
            <w:noProof/>
            <w:webHidden/>
          </w:rPr>
          <w:instrText xml:space="preserve"> PAGEREF _Toc529469798 \h </w:instrText>
        </w:r>
        <w:r>
          <w:rPr>
            <w:noProof/>
            <w:webHidden/>
          </w:rPr>
        </w:r>
        <w:r>
          <w:rPr>
            <w:noProof/>
            <w:webHidden/>
          </w:rPr>
          <w:fldChar w:fldCharType="separate"/>
        </w:r>
        <w:r w:rsidR="00C1726F">
          <w:rPr>
            <w:noProof/>
            <w:webHidden/>
          </w:rPr>
          <w:t>4</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799" w:history="1">
        <w:r w:rsidR="00C1726F" w:rsidRPr="0023046B">
          <w:rPr>
            <w:rStyle w:val="a8"/>
            <w:noProof/>
          </w:rPr>
          <w:t xml:space="preserve">2.2 </w:t>
        </w:r>
        <w:r w:rsidR="00C1726F" w:rsidRPr="0023046B">
          <w:rPr>
            <w:rStyle w:val="a8"/>
            <w:noProof/>
          </w:rPr>
          <w:t>基金产品说明</w:t>
        </w:r>
        <w:r w:rsidR="00C1726F">
          <w:rPr>
            <w:noProof/>
            <w:webHidden/>
          </w:rPr>
          <w:tab/>
        </w:r>
        <w:r>
          <w:rPr>
            <w:noProof/>
            <w:webHidden/>
          </w:rPr>
          <w:fldChar w:fldCharType="begin"/>
        </w:r>
        <w:r w:rsidR="00C1726F">
          <w:rPr>
            <w:noProof/>
            <w:webHidden/>
          </w:rPr>
          <w:instrText xml:space="preserve"> PAGEREF _Toc529469799 \h </w:instrText>
        </w:r>
        <w:r>
          <w:rPr>
            <w:noProof/>
            <w:webHidden/>
          </w:rPr>
        </w:r>
        <w:r>
          <w:rPr>
            <w:noProof/>
            <w:webHidden/>
          </w:rPr>
          <w:fldChar w:fldCharType="separate"/>
        </w:r>
        <w:r w:rsidR="00C1726F">
          <w:rPr>
            <w:noProof/>
            <w:webHidden/>
          </w:rPr>
          <w:t>4</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0" w:history="1">
        <w:r w:rsidR="00C1726F" w:rsidRPr="0023046B">
          <w:rPr>
            <w:rStyle w:val="a8"/>
            <w:noProof/>
          </w:rPr>
          <w:t xml:space="preserve">2.3 </w:t>
        </w:r>
        <w:r w:rsidR="00C1726F" w:rsidRPr="0023046B">
          <w:rPr>
            <w:rStyle w:val="a8"/>
            <w:noProof/>
          </w:rPr>
          <w:t>基金管理人和基金托管人</w:t>
        </w:r>
        <w:r w:rsidR="00C1726F">
          <w:rPr>
            <w:noProof/>
            <w:webHidden/>
          </w:rPr>
          <w:tab/>
        </w:r>
        <w:r>
          <w:rPr>
            <w:noProof/>
            <w:webHidden/>
          </w:rPr>
          <w:fldChar w:fldCharType="begin"/>
        </w:r>
        <w:r w:rsidR="00C1726F">
          <w:rPr>
            <w:noProof/>
            <w:webHidden/>
          </w:rPr>
          <w:instrText xml:space="preserve"> PAGEREF _Toc529469800 \h </w:instrText>
        </w:r>
        <w:r>
          <w:rPr>
            <w:noProof/>
            <w:webHidden/>
          </w:rPr>
        </w:r>
        <w:r>
          <w:rPr>
            <w:noProof/>
            <w:webHidden/>
          </w:rPr>
          <w:fldChar w:fldCharType="separate"/>
        </w:r>
        <w:r w:rsidR="00C1726F">
          <w:rPr>
            <w:noProof/>
            <w:webHidden/>
          </w:rPr>
          <w:t>5</w:t>
        </w:r>
        <w:r>
          <w:rPr>
            <w:noProof/>
            <w:webHidden/>
          </w:rPr>
          <w:fldChar w:fldCharType="end"/>
        </w:r>
      </w:hyperlink>
    </w:p>
    <w:p w:rsidR="00C1726F" w:rsidRDefault="00906CE6">
      <w:pPr>
        <w:pStyle w:val="11"/>
        <w:rPr>
          <w:rFonts w:asciiTheme="minorHAnsi" w:eastAsiaTheme="minorEastAsia" w:hAnsiTheme="minorHAnsi" w:cstheme="minorBidi"/>
          <w:noProof/>
          <w:szCs w:val="22"/>
        </w:rPr>
      </w:pPr>
      <w:hyperlink w:anchor="_Toc529469801" w:history="1">
        <w:r w:rsidR="00C1726F" w:rsidRPr="0023046B">
          <w:rPr>
            <w:rStyle w:val="a8"/>
            <w:b/>
            <w:bCs/>
            <w:noProof/>
          </w:rPr>
          <w:t xml:space="preserve">3  </w:t>
        </w:r>
        <w:r w:rsidR="00C1726F" w:rsidRPr="0023046B">
          <w:rPr>
            <w:rStyle w:val="a8"/>
            <w:b/>
            <w:bCs/>
            <w:noProof/>
          </w:rPr>
          <w:t>基金最后运作日财务会计报告（经审计）</w:t>
        </w:r>
        <w:r w:rsidR="00C1726F">
          <w:rPr>
            <w:noProof/>
            <w:webHidden/>
          </w:rPr>
          <w:tab/>
        </w:r>
        <w:r>
          <w:rPr>
            <w:noProof/>
            <w:webHidden/>
          </w:rPr>
          <w:fldChar w:fldCharType="begin"/>
        </w:r>
        <w:r w:rsidR="00C1726F">
          <w:rPr>
            <w:noProof/>
            <w:webHidden/>
          </w:rPr>
          <w:instrText xml:space="preserve"> PAGEREF _Toc529469801 \h </w:instrText>
        </w:r>
        <w:r>
          <w:rPr>
            <w:noProof/>
            <w:webHidden/>
          </w:rPr>
        </w:r>
        <w:r>
          <w:rPr>
            <w:noProof/>
            <w:webHidden/>
          </w:rPr>
          <w:fldChar w:fldCharType="separate"/>
        </w:r>
        <w:r w:rsidR="00C1726F">
          <w:rPr>
            <w:noProof/>
            <w:webHidden/>
          </w:rPr>
          <w:t>5</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2" w:history="1">
        <w:r w:rsidR="00C1726F" w:rsidRPr="0023046B">
          <w:rPr>
            <w:rStyle w:val="a8"/>
            <w:noProof/>
          </w:rPr>
          <w:t xml:space="preserve">3.1 </w:t>
        </w:r>
        <w:r w:rsidR="00C1726F" w:rsidRPr="0023046B">
          <w:rPr>
            <w:rStyle w:val="a8"/>
            <w:noProof/>
          </w:rPr>
          <w:t>资产负债表</w:t>
        </w:r>
        <w:r w:rsidR="00C1726F">
          <w:rPr>
            <w:noProof/>
            <w:webHidden/>
          </w:rPr>
          <w:tab/>
        </w:r>
        <w:r>
          <w:rPr>
            <w:noProof/>
            <w:webHidden/>
          </w:rPr>
          <w:fldChar w:fldCharType="begin"/>
        </w:r>
        <w:r w:rsidR="00C1726F">
          <w:rPr>
            <w:noProof/>
            <w:webHidden/>
          </w:rPr>
          <w:instrText xml:space="preserve"> PAGEREF _Toc529469802 \h </w:instrText>
        </w:r>
        <w:r>
          <w:rPr>
            <w:noProof/>
            <w:webHidden/>
          </w:rPr>
        </w:r>
        <w:r>
          <w:rPr>
            <w:noProof/>
            <w:webHidden/>
          </w:rPr>
          <w:fldChar w:fldCharType="separate"/>
        </w:r>
        <w:r w:rsidR="00C1726F">
          <w:rPr>
            <w:noProof/>
            <w:webHidden/>
          </w:rPr>
          <w:t>5</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3" w:history="1">
        <w:r w:rsidR="00C1726F" w:rsidRPr="0023046B">
          <w:rPr>
            <w:rStyle w:val="a8"/>
            <w:noProof/>
          </w:rPr>
          <w:t xml:space="preserve">3.2 </w:t>
        </w:r>
        <w:r w:rsidR="00C1726F" w:rsidRPr="0023046B">
          <w:rPr>
            <w:rStyle w:val="a8"/>
            <w:noProof/>
          </w:rPr>
          <w:t>利润表</w:t>
        </w:r>
        <w:r w:rsidR="00C1726F">
          <w:rPr>
            <w:noProof/>
            <w:webHidden/>
          </w:rPr>
          <w:tab/>
        </w:r>
        <w:r>
          <w:rPr>
            <w:noProof/>
            <w:webHidden/>
          </w:rPr>
          <w:fldChar w:fldCharType="begin"/>
        </w:r>
        <w:r w:rsidR="00C1726F">
          <w:rPr>
            <w:noProof/>
            <w:webHidden/>
          </w:rPr>
          <w:instrText xml:space="preserve"> PAGEREF _Toc529469803 \h </w:instrText>
        </w:r>
        <w:r>
          <w:rPr>
            <w:noProof/>
            <w:webHidden/>
          </w:rPr>
        </w:r>
        <w:r>
          <w:rPr>
            <w:noProof/>
            <w:webHidden/>
          </w:rPr>
          <w:fldChar w:fldCharType="separate"/>
        </w:r>
        <w:r w:rsidR="00C1726F">
          <w:rPr>
            <w:noProof/>
            <w:webHidden/>
          </w:rPr>
          <w:t>7</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4" w:history="1">
        <w:r w:rsidR="00C1726F" w:rsidRPr="0023046B">
          <w:rPr>
            <w:rStyle w:val="a8"/>
            <w:noProof/>
          </w:rPr>
          <w:t xml:space="preserve">3.3 </w:t>
        </w:r>
        <w:r w:rsidR="00C1726F" w:rsidRPr="0023046B">
          <w:rPr>
            <w:rStyle w:val="a8"/>
            <w:noProof/>
          </w:rPr>
          <w:t>所有者权益（基金净值）变动表</w:t>
        </w:r>
        <w:r w:rsidR="00C1726F">
          <w:rPr>
            <w:noProof/>
            <w:webHidden/>
          </w:rPr>
          <w:tab/>
        </w:r>
        <w:r>
          <w:rPr>
            <w:noProof/>
            <w:webHidden/>
          </w:rPr>
          <w:fldChar w:fldCharType="begin"/>
        </w:r>
        <w:r w:rsidR="00C1726F">
          <w:rPr>
            <w:noProof/>
            <w:webHidden/>
          </w:rPr>
          <w:instrText xml:space="preserve"> PAGEREF _Toc529469804 \h </w:instrText>
        </w:r>
        <w:r>
          <w:rPr>
            <w:noProof/>
            <w:webHidden/>
          </w:rPr>
        </w:r>
        <w:r>
          <w:rPr>
            <w:noProof/>
            <w:webHidden/>
          </w:rPr>
          <w:fldChar w:fldCharType="separate"/>
        </w:r>
        <w:r w:rsidR="00C1726F">
          <w:rPr>
            <w:noProof/>
            <w:webHidden/>
          </w:rPr>
          <w:t>8</w:t>
        </w:r>
        <w:r>
          <w:rPr>
            <w:noProof/>
            <w:webHidden/>
          </w:rPr>
          <w:fldChar w:fldCharType="end"/>
        </w:r>
      </w:hyperlink>
    </w:p>
    <w:p w:rsidR="00C1726F" w:rsidRDefault="00906CE6">
      <w:pPr>
        <w:pStyle w:val="11"/>
        <w:rPr>
          <w:rFonts w:asciiTheme="minorHAnsi" w:eastAsiaTheme="minorEastAsia" w:hAnsiTheme="minorHAnsi" w:cstheme="minorBidi"/>
          <w:noProof/>
          <w:szCs w:val="22"/>
        </w:rPr>
      </w:pPr>
      <w:hyperlink w:anchor="_Toc529469805" w:history="1">
        <w:r w:rsidR="00C1726F" w:rsidRPr="0023046B">
          <w:rPr>
            <w:rStyle w:val="a8"/>
            <w:b/>
            <w:bCs/>
            <w:noProof/>
          </w:rPr>
          <w:t xml:space="preserve">4  </w:t>
        </w:r>
        <w:r w:rsidR="00C1726F" w:rsidRPr="0023046B">
          <w:rPr>
            <w:rStyle w:val="a8"/>
            <w:b/>
            <w:bCs/>
            <w:noProof/>
          </w:rPr>
          <w:t>清盘事项说明</w:t>
        </w:r>
        <w:r w:rsidR="00C1726F">
          <w:rPr>
            <w:noProof/>
            <w:webHidden/>
          </w:rPr>
          <w:tab/>
        </w:r>
        <w:r>
          <w:rPr>
            <w:noProof/>
            <w:webHidden/>
          </w:rPr>
          <w:fldChar w:fldCharType="begin"/>
        </w:r>
        <w:r w:rsidR="00C1726F">
          <w:rPr>
            <w:noProof/>
            <w:webHidden/>
          </w:rPr>
          <w:instrText xml:space="preserve"> PAGEREF _Toc529469805 \h </w:instrText>
        </w:r>
        <w:r>
          <w:rPr>
            <w:noProof/>
            <w:webHidden/>
          </w:rPr>
        </w:r>
        <w:r>
          <w:rPr>
            <w:noProof/>
            <w:webHidden/>
          </w:rPr>
          <w:fldChar w:fldCharType="separate"/>
        </w:r>
        <w:r w:rsidR="00C1726F">
          <w:rPr>
            <w:noProof/>
            <w:webHidden/>
          </w:rPr>
          <w:t>9</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6" w:history="1">
        <w:r w:rsidR="00C1726F" w:rsidRPr="0023046B">
          <w:rPr>
            <w:rStyle w:val="a8"/>
            <w:noProof/>
          </w:rPr>
          <w:t xml:space="preserve">4.1 </w:t>
        </w:r>
        <w:r w:rsidR="00C1726F" w:rsidRPr="0023046B">
          <w:rPr>
            <w:rStyle w:val="a8"/>
            <w:noProof/>
          </w:rPr>
          <w:t>基金基本情况</w:t>
        </w:r>
        <w:r w:rsidR="00C1726F">
          <w:rPr>
            <w:noProof/>
            <w:webHidden/>
          </w:rPr>
          <w:tab/>
        </w:r>
        <w:r>
          <w:rPr>
            <w:noProof/>
            <w:webHidden/>
          </w:rPr>
          <w:fldChar w:fldCharType="begin"/>
        </w:r>
        <w:r w:rsidR="00C1726F">
          <w:rPr>
            <w:noProof/>
            <w:webHidden/>
          </w:rPr>
          <w:instrText xml:space="preserve"> PAGEREF _Toc529469806 \h </w:instrText>
        </w:r>
        <w:r>
          <w:rPr>
            <w:noProof/>
            <w:webHidden/>
          </w:rPr>
        </w:r>
        <w:r>
          <w:rPr>
            <w:noProof/>
            <w:webHidden/>
          </w:rPr>
          <w:fldChar w:fldCharType="separate"/>
        </w:r>
        <w:r w:rsidR="00C1726F">
          <w:rPr>
            <w:noProof/>
            <w:webHidden/>
          </w:rPr>
          <w:t>9</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7" w:history="1">
        <w:r w:rsidR="00C1726F" w:rsidRPr="0023046B">
          <w:rPr>
            <w:rStyle w:val="a8"/>
            <w:noProof/>
          </w:rPr>
          <w:t xml:space="preserve">4.2 </w:t>
        </w:r>
        <w:r w:rsidR="00C1726F" w:rsidRPr="0023046B">
          <w:rPr>
            <w:rStyle w:val="a8"/>
            <w:noProof/>
          </w:rPr>
          <w:t>清算原因</w:t>
        </w:r>
        <w:r w:rsidR="00C1726F">
          <w:rPr>
            <w:noProof/>
            <w:webHidden/>
          </w:rPr>
          <w:tab/>
        </w:r>
        <w:r>
          <w:rPr>
            <w:noProof/>
            <w:webHidden/>
          </w:rPr>
          <w:fldChar w:fldCharType="begin"/>
        </w:r>
        <w:r w:rsidR="00C1726F">
          <w:rPr>
            <w:noProof/>
            <w:webHidden/>
          </w:rPr>
          <w:instrText xml:space="preserve"> PAGEREF _Toc529469807 \h </w:instrText>
        </w:r>
        <w:r>
          <w:rPr>
            <w:noProof/>
            <w:webHidden/>
          </w:rPr>
        </w:r>
        <w:r>
          <w:rPr>
            <w:noProof/>
            <w:webHidden/>
          </w:rPr>
          <w:fldChar w:fldCharType="separate"/>
        </w:r>
        <w:r w:rsidR="00C1726F">
          <w:rPr>
            <w:noProof/>
            <w:webHidden/>
          </w:rPr>
          <w:t>10</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8" w:history="1">
        <w:r w:rsidR="00C1726F" w:rsidRPr="0023046B">
          <w:rPr>
            <w:rStyle w:val="a8"/>
            <w:noProof/>
          </w:rPr>
          <w:t xml:space="preserve">4.3 </w:t>
        </w:r>
        <w:r w:rsidR="00C1726F" w:rsidRPr="0023046B">
          <w:rPr>
            <w:rStyle w:val="a8"/>
            <w:noProof/>
          </w:rPr>
          <w:t>清算起始日</w:t>
        </w:r>
        <w:r w:rsidR="00C1726F">
          <w:rPr>
            <w:noProof/>
            <w:webHidden/>
          </w:rPr>
          <w:tab/>
        </w:r>
        <w:r>
          <w:rPr>
            <w:noProof/>
            <w:webHidden/>
          </w:rPr>
          <w:fldChar w:fldCharType="begin"/>
        </w:r>
        <w:r w:rsidR="00C1726F">
          <w:rPr>
            <w:noProof/>
            <w:webHidden/>
          </w:rPr>
          <w:instrText xml:space="preserve"> PAGEREF _Toc529469808 \h </w:instrText>
        </w:r>
        <w:r>
          <w:rPr>
            <w:noProof/>
            <w:webHidden/>
          </w:rPr>
        </w:r>
        <w:r>
          <w:rPr>
            <w:noProof/>
            <w:webHidden/>
          </w:rPr>
          <w:fldChar w:fldCharType="separate"/>
        </w:r>
        <w:r w:rsidR="00C1726F">
          <w:rPr>
            <w:noProof/>
            <w:webHidden/>
          </w:rPr>
          <w:t>10</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09" w:history="1">
        <w:r w:rsidR="00C1726F" w:rsidRPr="0023046B">
          <w:rPr>
            <w:rStyle w:val="a8"/>
            <w:noProof/>
          </w:rPr>
          <w:t xml:space="preserve">4.4 </w:t>
        </w:r>
        <w:r w:rsidR="00C1726F" w:rsidRPr="0023046B">
          <w:rPr>
            <w:rStyle w:val="a8"/>
            <w:noProof/>
          </w:rPr>
          <w:t>清算报表编制基础</w:t>
        </w:r>
        <w:r w:rsidR="00C1726F">
          <w:rPr>
            <w:noProof/>
            <w:webHidden/>
          </w:rPr>
          <w:tab/>
        </w:r>
        <w:r>
          <w:rPr>
            <w:noProof/>
            <w:webHidden/>
          </w:rPr>
          <w:fldChar w:fldCharType="begin"/>
        </w:r>
        <w:r w:rsidR="00C1726F">
          <w:rPr>
            <w:noProof/>
            <w:webHidden/>
          </w:rPr>
          <w:instrText xml:space="preserve"> PAGEREF _Toc529469809 \h </w:instrText>
        </w:r>
        <w:r>
          <w:rPr>
            <w:noProof/>
            <w:webHidden/>
          </w:rPr>
        </w:r>
        <w:r>
          <w:rPr>
            <w:noProof/>
            <w:webHidden/>
          </w:rPr>
          <w:fldChar w:fldCharType="separate"/>
        </w:r>
        <w:r w:rsidR="00C1726F">
          <w:rPr>
            <w:noProof/>
            <w:webHidden/>
          </w:rPr>
          <w:t>11</w:t>
        </w:r>
        <w:r>
          <w:rPr>
            <w:noProof/>
            <w:webHidden/>
          </w:rPr>
          <w:fldChar w:fldCharType="end"/>
        </w:r>
      </w:hyperlink>
    </w:p>
    <w:p w:rsidR="00C1726F" w:rsidRDefault="00906CE6">
      <w:pPr>
        <w:pStyle w:val="11"/>
        <w:rPr>
          <w:rFonts w:asciiTheme="minorHAnsi" w:eastAsiaTheme="minorEastAsia" w:hAnsiTheme="minorHAnsi" w:cstheme="minorBidi"/>
          <w:noProof/>
          <w:szCs w:val="22"/>
        </w:rPr>
      </w:pPr>
      <w:hyperlink w:anchor="_Toc529469810" w:history="1">
        <w:r w:rsidR="00C1726F" w:rsidRPr="0023046B">
          <w:rPr>
            <w:rStyle w:val="a8"/>
            <w:b/>
            <w:noProof/>
          </w:rPr>
          <w:t>5</w:t>
        </w:r>
        <w:r w:rsidR="00C1726F" w:rsidRPr="0023046B">
          <w:rPr>
            <w:rStyle w:val="a8"/>
            <w:b/>
            <w:bCs/>
            <w:noProof/>
          </w:rPr>
          <w:t>清算情况</w:t>
        </w:r>
        <w:r w:rsidR="00C1726F">
          <w:rPr>
            <w:noProof/>
            <w:webHidden/>
          </w:rPr>
          <w:tab/>
        </w:r>
        <w:r>
          <w:rPr>
            <w:noProof/>
            <w:webHidden/>
          </w:rPr>
          <w:fldChar w:fldCharType="begin"/>
        </w:r>
        <w:r w:rsidR="00C1726F">
          <w:rPr>
            <w:noProof/>
            <w:webHidden/>
          </w:rPr>
          <w:instrText xml:space="preserve"> PAGEREF _Toc529469810 \h </w:instrText>
        </w:r>
        <w:r>
          <w:rPr>
            <w:noProof/>
            <w:webHidden/>
          </w:rPr>
        </w:r>
        <w:r>
          <w:rPr>
            <w:noProof/>
            <w:webHidden/>
          </w:rPr>
          <w:fldChar w:fldCharType="separate"/>
        </w:r>
        <w:r w:rsidR="00C1726F">
          <w:rPr>
            <w:noProof/>
            <w:webHidden/>
          </w:rPr>
          <w:t>11</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1" w:history="1">
        <w:r w:rsidR="00C1726F" w:rsidRPr="0023046B">
          <w:rPr>
            <w:rStyle w:val="a8"/>
            <w:noProof/>
          </w:rPr>
          <w:t xml:space="preserve">5.1 </w:t>
        </w:r>
        <w:r w:rsidR="00C1726F" w:rsidRPr="0023046B">
          <w:rPr>
            <w:rStyle w:val="a8"/>
            <w:noProof/>
          </w:rPr>
          <w:t>清算费用</w:t>
        </w:r>
        <w:r w:rsidR="00C1726F">
          <w:rPr>
            <w:noProof/>
            <w:webHidden/>
          </w:rPr>
          <w:tab/>
        </w:r>
        <w:r>
          <w:rPr>
            <w:noProof/>
            <w:webHidden/>
          </w:rPr>
          <w:fldChar w:fldCharType="begin"/>
        </w:r>
        <w:r w:rsidR="00C1726F">
          <w:rPr>
            <w:noProof/>
            <w:webHidden/>
          </w:rPr>
          <w:instrText xml:space="preserve"> PAGEREF _Toc529469811 \h </w:instrText>
        </w:r>
        <w:r>
          <w:rPr>
            <w:noProof/>
            <w:webHidden/>
          </w:rPr>
        </w:r>
        <w:r>
          <w:rPr>
            <w:noProof/>
            <w:webHidden/>
          </w:rPr>
          <w:fldChar w:fldCharType="separate"/>
        </w:r>
        <w:r w:rsidR="00C1726F">
          <w:rPr>
            <w:noProof/>
            <w:webHidden/>
          </w:rPr>
          <w:t>11</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2" w:history="1">
        <w:r w:rsidR="00C1726F" w:rsidRPr="0023046B">
          <w:rPr>
            <w:rStyle w:val="a8"/>
            <w:noProof/>
          </w:rPr>
          <w:t xml:space="preserve">5.2 </w:t>
        </w:r>
        <w:r w:rsidR="00C1726F" w:rsidRPr="0023046B">
          <w:rPr>
            <w:rStyle w:val="a8"/>
            <w:noProof/>
          </w:rPr>
          <w:t>资产处置情况</w:t>
        </w:r>
        <w:r w:rsidR="00C1726F">
          <w:rPr>
            <w:noProof/>
            <w:webHidden/>
          </w:rPr>
          <w:tab/>
        </w:r>
        <w:r>
          <w:rPr>
            <w:noProof/>
            <w:webHidden/>
          </w:rPr>
          <w:fldChar w:fldCharType="begin"/>
        </w:r>
        <w:r w:rsidR="00C1726F">
          <w:rPr>
            <w:noProof/>
            <w:webHidden/>
          </w:rPr>
          <w:instrText xml:space="preserve"> PAGEREF _Toc529469812 \h </w:instrText>
        </w:r>
        <w:r>
          <w:rPr>
            <w:noProof/>
            <w:webHidden/>
          </w:rPr>
        </w:r>
        <w:r>
          <w:rPr>
            <w:noProof/>
            <w:webHidden/>
          </w:rPr>
          <w:fldChar w:fldCharType="separate"/>
        </w:r>
        <w:r w:rsidR="00C1726F">
          <w:rPr>
            <w:noProof/>
            <w:webHidden/>
          </w:rPr>
          <w:t>11</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3" w:history="1">
        <w:r w:rsidR="00C1726F" w:rsidRPr="0023046B">
          <w:rPr>
            <w:rStyle w:val="a8"/>
            <w:noProof/>
          </w:rPr>
          <w:t xml:space="preserve">5.3 </w:t>
        </w:r>
        <w:r w:rsidR="00C1726F" w:rsidRPr="0023046B">
          <w:rPr>
            <w:rStyle w:val="a8"/>
            <w:noProof/>
          </w:rPr>
          <w:t>负债清偿情况</w:t>
        </w:r>
        <w:r w:rsidR="00C1726F">
          <w:rPr>
            <w:noProof/>
            <w:webHidden/>
          </w:rPr>
          <w:tab/>
        </w:r>
        <w:r>
          <w:rPr>
            <w:noProof/>
            <w:webHidden/>
          </w:rPr>
          <w:fldChar w:fldCharType="begin"/>
        </w:r>
        <w:r w:rsidR="00C1726F">
          <w:rPr>
            <w:noProof/>
            <w:webHidden/>
          </w:rPr>
          <w:instrText xml:space="preserve"> PAGEREF _Toc529469813 \h </w:instrText>
        </w:r>
        <w:r>
          <w:rPr>
            <w:noProof/>
            <w:webHidden/>
          </w:rPr>
        </w:r>
        <w:r>
          <w:rPr>
            <w:noProof/>
            <w:webHidden/>
          </w:rPr>
          <w:fldChar w:fldCharType="separate"/>
        </w:r>
        <w:r w:rsidR="00C1726F">
          <w:rPr>
            <w:noProof/>
            <w:webHidden/>
          </w:rPr>
          <w:t>11</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4" w:history="1">
        <w:r w:rsidR="00C1726F" w:rsidRPr="0023046B">
          <w:rPr>
            <w:rStyle w:val="a8"/>
            <w:noProof/>
          </w:rPr>
          <w:t xml:space="preserve">5.4 </w:t>
        </w:r>
        <w:r w:rsidR="00C1726F" w:rsidRPr="0023046B">
          <w:rPr>
            <w:rStyle w:val="a8"/>
            <w:noProof/>
          </w:rPr>
          <w:t>清算期间的清算损益情况</w:t>
        </w:r>
        <w:r w:rsidR="00C1726F">
          <w:rPr>
            <w:noProof/>
            <w:webHidden/>
          </w:rPr>
          <w:tab/>
        </w:r>
        <w:r>
          <w:rPr>
            <w:noProof/>
            <w:webHidden/>
          </w:rPr>
          <w:fldChar w:fldCharType="begin"/>
        </w:r>
        <w:r w:rsidR="00C1726F">
          <w:rPr>
            <w:noProof/>
            <w:webHidden/>
          </w:rPr>
          <w:instrText xml:space="preserve"> PAGEREF _Toc529469814 \h </w:instrText>
        </w:r>
        <w:r>
          <w:rPr>
            <w:noProof/>
            <w:webHidden/>
          </w:rPr>
        </w:r>
        <w:r>
          <w:rPr>
            <w:noProof/>
            <w:webHidden/>
          </w:rPr>
          <w:fldChar w:fldCharType="separate"/>
        </w:r>
        <w:r w:rsidR="00C1726F">
          <w:rPr>
            <w:noProof/>
            <w:webHidden/>
          </w:rPr>
          <w:t>12</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5" w:history="1">
        <w:r w:rsidR="00C1726F" w:rsidRPr="0023046B">
          <w:rPr>
            <w:rStyle w:val="a8"/>
            <w:noProof/>
          </w:rPr>
          <w:t xml:space="preserve">5.5 </w:t>
        </w:r>
        <w:r w:rsidR="00C1726F" w:rsidRPr="0023046B">
          <w:rPr>
            <w:rStyle w:val="a8"/>
            <w:noProof/>
          </w:rPr>
          <w:t>资产处置及负债清偿后的剩余财产分配情况</w:t>
        </w:r>
        <w:r w:rsidR="00C1726F">
          <w:rPr>
            <w:noProof/>
            <w:webHidden/>
          </w:rPr>
          <w:tab/>
        </w:r>
        <w:r>
          <w:rPr>
            <w:noProof/>
            <w:webHidden/>
          </w:rPr>
          <w:fldChar w:fldCharType="begin"/>
        </w:r>
        <w:r w:rsidR="00C1726F">
          <w:rPr>
            <w:noProof/>
            <w:webHidden/>
          </w:rPr>
          <w:instrText xml:space="preserve"> PAGEREF _Toc529469815 \h </w:instrText>
        </w:r>
        <w:r>
          <w:rPr>
            <w:noProof/>
            <w:webHidden/>
          </w:rPr>
        </w:r>
        <w:r>
          <w:rPr>
            <w:noProof/>
            <w:webHidden/>
          </w:rPr>
          <w:fldChar w:fldCharType="separate"/>
        </w:r>
        <w:r w:rsidR="00C1726F">
          <w:rPr>
            <w:noProof/>
            <w:webHidden/>
          </w:rPr>
          <w:t>13</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6" w:history="1">
        <w:r w:rsidR="00C1726F" w:rsidRPr="0023046B">
          <w:rPr>
            <w:rStyle w:val="a8"/>
            <w:noProof/>
          </w:rPr>
          <w:t xml:space="preserve">5.6 </w:t>
        </w:r>
        <w:r w:rsidR="00C1726F" w:rsidRPr="0023046B">
          <w:rPr>
            <w:rStyle w:val="a8"/>
            <w:noProof/>
          </w:rPr>
          <w:t>基金财产清算报告的告知安排</w:t>
        </w:r>
        <w:r w:rsidR="00C1726F">
          <w:rPr>
            <w:noProof/>
            <w:webHidden/>
          </w:rPr>
          <w:tab/>
        </w:r>
        <w:r>
          <w:rPr>
            <w:noProof/>
            <w:webHidden/>
          </w:rPr>
          <w:fldChar w:fldCharType="begin"/>
        </w:r>
        <w:r w:rsidR="00C1726F">
          <w:rPr>
            <w:noProof/>
            <w:webHidden/>
          </w:rPr>
          <w:instrText xml:space="preserve"> PAGEREF _Toc529469816 \h </w:instrText>
        </w:r>
        <w:r>
          <w:rPr>
            <w:noProof/>
            <w:webHidden/>
          </w:rPr>
        </w:r>
        <w:r>
          <w:rPr>
            <w:noProof/>
            <w:webHidden/>
          </w:rPr>
          <w:fldChar w:fldCharType="separate"/>
        </w:r>
        <w:r w:rsidR="00C1726F">
          <w:rPr>
            <w:noProof/>
            <w:webHidden/>
          </w:rPr>
          <w:t>13</w:t>
        </w:r>
        <w:r>
          <w:rPr>
            <w:noProof/>
            <w:webHidden/>
          </w:rPr>
          <w:fldChar w:fldCharType="end"/>
        </w:r>
      </w:hyperlink>
    </w:p>
    <w:p w:rsidR="00C1726F" w:rsidRDefault="00906CE6">
      <w:pPr>
        <w:pStyle w:val="11"/>
        <w:rPr>
          <w:rFonts w:asciiTheme="minorHAnsi" w:eastAsiaTheme="minorEastAsia" w:hAnsiTheme="minorHAnsi" w:cstheme="minorBidi"/>
          <w:noProof/>
          <w:szCs w:val="22"/>
        </w:rPr>
      </w:pPr>
      <w:hyperlink w:anchor="_Toc529469817" w:history="1">
        <w:r w:rsidR="00C1726F" w:rsidRPr="0023046B">
          <w:rPr>
            <w:rStyle w:val="a8"/>
            <w:b/>
            <w:bCs/>
            <w:noProof/>
          </w:rPr>
          <w:t xml:space="preserve">6  </w:t>
        </w:r>
        <w:r w:rsidR="00C1726F" w:rsidRPr="0023046B">
          <w:rPr>
            <w:rStyle w:val="a8"/>
            <w:b/>
            <w:bCs/>
            <w:noProof/>
          </w:rPr>
          <w:t>备查文件目录</w:t>
        </w:r>
        <w:r w:rsidR="00C1726F">
          <w:rPr>
            <w:noProof/>
            <w:webHidden/>
          </w:rPr>
          <w:tab/>
        </w:r>
        <w:r>
          <w:rPr>
            <w:noProof/>
            <w:webHidden/>
          </w:rPr>
          <w:fldChar w:fldCharType="begin"/>
        </w:r>
        <w:r w:rsidR="00C1726F">
          <w:rPr>
            <w:noProof/>
            <w:webHidden/>
          </w:rPr>
          <w:instrText xml:space="preserve"> PAGEREF _Toc529469817 \h </w:instrText>
        </w:r>
        <w:r>
          <w:rPr>
            <w:noProof/>
            <w:webHidden/>
          </w:rPr>
        </w:r>
        <w:r>
          <w:rPr>
            <w:noProof/>
            <w:webHidden/>
          </w:rPr>
          <w:fldChar w:fldCharType="separate"/>
        </w:r>
        <w:r w:rsidR="00C1726F">
          <w:rPr>
            <w:noProof/>
            <w:webHidden/>
          </w:rPr>
          <w:t>13</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8" w:history="1">
        <w:r w:rsidR="00C1726F" w:rsidRPr="0023046B">
          <w:rPr>
            <w:rStyle w:val="a8"/>
            <w:noProof/>
          </w:rPr>
          <w:t xml:space="preserve">6.1 </w:t>
        </w:r>
        <w:r w:rsidR="00C1726F" w:rsidRPr="0023046B">
          <w:rPr>
            <w:rStyle w:val="a8"/>
            <w:noProof/>
          </w:rPr>
          <w:t>备查文件目录</w:t>
        </w:r>
        <w:r w:rsidR="00C1726F">
          <w:rPr>
            <w:noProof/>
            <w:webHidden/>
          </w:rPr>
          <w:tab/>
        </w:r>
        <w:r>
          <w:rPr>
            <w:noProof/>
            <w:webHidden/>
          </w:rPr>
          <w:fldChar w:fldCharType="begin"/>
        </w:r>
        <w:r w:rsidR="00C1726F">
          <w:rPr>
            <w:noProof/>
            <w:webHidden/>
          </w:rPr>
          <w:instrText xml:space="preserve"> PAGEREF _Toc529469818 \h </w:instrText>
        </w:r>
        <w:r>
          <w:rPr>
            <w:noProof/>
            <w:webHidden/>
          </w:rPr>
        </w:r>
        <w:r>
          <w:rPr>
            <w:noProof/>
            <w:webHidden/>
          </w:rPr>
          <w:fldChar w:fldCharType="separate"/>
        </w:r>
        <w:r w:rsidR="00C1726F">
          <w:rPr>
            <w:noProof/>
            <w:webHidden/>
          </w:rPr>
          <w:t>13</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19" w:history="1">
        <w:r w:rsidR="00C1726F" w:rsidRPr="0023046B">
          <w:rPr>
            <w:rStyle w:val="a8"/>
            <w:noProof/>
          </w:rPr>
          <w:t xml:space="preserve">6.2 </w:t>
        </w:r>
        <w:r w:rsidR="00C1726F" w:rsidRPr="0023046B">
          <w:rPr>
            <w:rStyle w:val="a8"/>
            <w:noProof/>
          </w:rPr>
          <w:t>存放地点</w:t>
        </w:r>
        <w:r w:rsidR="00C1726F">
          <w:rPr>
            <w:noProof/>
            <w:webHidden/>
          </w:rPr>
          <w:tab/>
        </w:r>
        <w:r>
          <w:rPr>
            <w:noProof/>
            <w:webHidden/>
          </w:rPr>
          <w:fldChar w:fldCharType="begin"/>
        </w:r>
        <w:r w:rsidR="00C1726F">
          <w:rPr>
            <w:noProof/>
            <w:webHidden/>
          </w:rPr>
          <w:instrText xml:space="preserve"> PAGEREF _Toc529469819 \h </w:instrText>
        </w:r>
        <w:r>
          <w:rPr>
            <w:noProof/>
            <w:webHidden/>
          </w:rPr>
        </w:r>
        <w:r>
          <w:rPr>
            <w:noProof/>
            <w:webHidden/>
          </w:rPr>
          <w:fldChar w:fldCharType="separate"/>
        </w:r>
        <w:r w:rsidR="00C1726F">
          <w:rPr>
            <w:noProof/>
            <w:webHidden/>
          </w:rPr>
          <w:t>13</w:t>
        </w:r>
        <w:r>
          <w:rPr>
            <w:noProof/>
            <w:webHidden/>
          </w:rPr>
          <w:fldChar w:fldCharType="end"/>
        </w:r>
      </w:hyperlink>
    </w:p>
    <w:p w:rsidR="00C1726F" w:rsidRDefault="00906CE6">
      <w:pPr>
        <w:pStyle w:val="22"/>
        <w:rPr>
          <w:rFonts w:asciiTheme="minorHAnsi" w:eastAsiaTheme="minorEastAsia" w:hAnsiTheme="minorHAnsi" w:cstheme="minorBidi"/>
          <w:noProof/>
          <w:kern w:val="2"/>
          <w:szCs w:val="22"/>
        </w:rPr>
      </w:pPr>
      <w:hyperlink w:anchor="_Toc529469820" w:history="1">
        <w:r w:rsidR="00C1726F" w:rsidRPr="0023046B">
          <w:rPr>
            <w:rStyle w:val="a8"/>
            <w:noProof/>
          </w:rPr>
          <w:t xml:space="preserve">6.3 </w:t>
        </w:r>
        <w:r w:rsidR="00C1726F" w:rsidRPr="0023046B">
          <w:rPr>
            <w:rStyle w:val="a8"/>
            <w:noProof/>
          </w:rPr>
          <w:t>查阅方式</w:t>
        </w:r>
        <w:r w:rsidR="00C1726F">
          <w:rPr>
            <w:noProof/>
            <w:webHidden/>
          </w:rPr>
          <w:tab/>
        </w:r>
        <w:r>
          <w:rPr>
            <w:noProof/>
            <w:webHidden/>
          </w:rPr>
          <w:fldChar w:fldCharType="begin"/>
        </w:r>
        <w:r w:rsidR="00C1726F">
          <w:rPr>
            <w:noProof/>
            <w:webHidden/>
          </w:rPr>
          <w:instrText xml:space="preserve"> PAGEREF _Toc529469820 \h </w:instrText>
        </w:r>
        <w:r>
          <w:rPr>
            <w:noProof/>
            <w:webHidden/>
          </w:rPr>
        </w:r>
        <w:r>
          <w:rPr>
            <w:noProof/>
            <w:webHidden/>
          </w:rPr>
          <w:fldChar w:fldCharType="separate"/>
        </w:r>
        <w:r w:rsidR="00C1726F">
          <w:rPr>
            <w:noProof/>
            <w:webHidden/>
          </w:rPr>
          <w:t>13</w:t>
        </w:r>
        <w:r>
          <w:rPr>
            <w:noProof/>
            <w:webHidden/>
          </w:rPr>
          <w:fldChar w:fldCharType="end"/>
        </w:r>
      </w:hyperlink>
    </w:p>
    <w:p w:rsidR="002E3B41" w:rsidRPr="00D42BE5" w:rsidRDefault="00906CE6" w:rsidP="002E3B41">
      <w:pPr>
        <w:autoSpaceDE w:val="0"/>
        <w:autoSpaceDN w:val="0"/>
        <w:adjustRightInd w:val="0"/>
        <w:spacing w:before="29" w:line="360" w:lineRule="auto"/>
        <w:ind w:left="15"/>
        <w:jc w:val="center"/>
        <w:rPr>
          <w:b/>
          <w:color w:val="000000"/>
          <w:kern w:val="0"/>
          <w:szCs w:val="21"/>
        </w:rPr>
      </w:pPr>
      <w:r w:rsidRPr="00D42BE5">
        <w:rPr>
          <w:szCs w:val="21"/>
        </w:rPr>
        <w:fldChar w:fldCharType="end"/>
      </w: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1548F9" w:rsidRPr="006F14B8" w:rsidRDefault="00540E2A" w:rsidP="00641421">
      <w:pPr>
        <w:pStyle w:val="1"/>
        <w:keepNext/>
        <w:keepLines/>
        <w:widowControl w:val="0"/>
        <w:spacing w:beforeLines="100" w:afterLines="100" w:line="360" w:lineRule="auto"/>
        <w:jc w:val="center"/>
        <w:rPr>
          <w:sz w:val="21"/>
          <w:szCs w:val="21"/>
          <w:lang w:val="en-US"/>
        </w:rPr>
      </w:pPr>
      <w:bookmarkStart w:id="4" w:name="_Toc225498244"/>
      <w:bookmarkStart w:id="5" w:name="_Toc529469797"/>
      <w:r w:rsidRPr="006F14B8">
        <w:rPr>
          <w:b/>
          <w:bCs/>
          <w:sz w:val="21"/>
          <w:szCs w:val="21"/>
          <w:lang w:val="en-US"/>
        </w:rPr>
        <w:t xml:space="preserve">2  </w:t>
      </w:r>
      <w:r w:rsidRPr="006F14B8">
        <w:rPr>
          <w:b/>
          <w:bCs/>
          <w:sz w:val="21"/>
          <w:szCs w:val="21"/>
          <w:lang w:val="en-US"/>
        </w:rPr>
        <w:t>基金</w:t>
      </w:r>
      <w:bookmarkEnd w:id="4"/>
      <w:r w:rsidR="00D10054" w:rsidRPr="006F14B8">
        <w:rPr>
          <w:rFonts w:hint="eastAsia"/>
          <w:b/>
          <w:bCs/>
          <w:sz w:val="21"/>
          <w:szCs w:val="21"/>
          <w:lang w:val="en-US"/>
        </w:rPr>
        <w:t>概况</w:t>
      </w:r>
      <w:bookmarkEnd w:id="5"/>
    </w:p>
    <w:p w:rsidR="001548F9" w:rsidRPr="006F14B8" w:rsidRDefault="001548F9" w:rsidP="004C1748">
      <w:pPr>
        <w:pStyle w:val="20"/>
        <w:spacing w:before="0" w:after="0"/>
        <w:rPr>
          <w:rFonts w:ascii="Times New Roman" w:hAnsi="Times New Roman"/>
          <w:color w:val="000000"/>
          <w:sz w:val="21"/>
          <w:szCs w:val="21"/>
        </w:rPr>
      </w:pPr>
      <w:bookmarkStart w:id="6" w:name="_Toc390421229"/>
      <w:bookmarkStart w:id="7" w:name="_Toc529469798"/>
      <w:r w:rsidRPr="006F14B8">
        <w:rPr>
          <w:rFonts w:ascii="Times New Roman" w:hAnsi="Times New Roman"/>
          <w:kern w:val="0"/>
          <w:sz w:val="21"/>
          <w:szCs w:val="21"/>
        </w:rPr>
        <w:t>2.1</w:t>
      </w:r>
      <w:r w:rsidRPr="006F14B8">
        <w:rPr>
          <w:rFonts w:ascii="Times New Roman" w:hAnsi="Times New Roman"/>
          <w:color w:val="000000"/>
          <w:sz w:val="21"/>
          <w:szCs w:val="21"/>
        </w:rPr>
        <w:t>基金基本情况</w:t>
      </w:r>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2D48A3" w:rsidRDefault="00531C52">
            <w:pPr>
              <w:rPr>
                <w:sz w:val="24"/>
                <w:szCs w:val="21"/>
                <w:lang w:val="en-GB"/>
              </w:rPr>
            </w:pPr>
            <w:r>
              <w:rPr>
                <w:szCs w:val="21"/>
              </w:rPr>
              <w:t>国泰上证</w:t>
            </w:r>
            <w:r>
              <w:rPr>
                <w:szCs w:val="21"/>
              </w:rPr>
              <w:t>5</w:t>
            </w:r>
            <w:r>
              <w:rPr>
                <w:szCs w:val="21"/>
              </w:rPr>
              <w:t>年期国债交易型开放式指数证券投资基金联接基金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2D48A3" w:rsidRDefault="00F879BD">
            <w:pPr>
              <w:rPr>
                <w:sz w:val="24"/>
                <w:szCs w:val="21"/>
                <w:lang w:val="en-GB"/>
              </w:rPr>
            </w:pPr>
            <w:r w:rsidRPr="00E52559">
              <w:rPr>
                <w:szCs w:val="21"/>
              </w:rPr>
              <w:t>国泰上证</w:t>
            </w:r>
            <w:r w:rsidRPr="00E52559">
              <w:rPr>
                <w:szCs w:val="21"/>
              </w:rPr>
              <w:t>5</w:t>
            </w:r>
            <w:r w:rsidRPr="00E52559">
              <w:rPr>
                <w:szCs w:val="21"/>
              </w:rPr>
              <w:t>年期国债</w:t>
            </w:r>
            <w:r w:rsidRPr="00E52559">
              <w:rPr>
                <w:szCs w:val="21"/>
              </w:rPr>
              <w:t>ETF</w:t>
            </w:r>
            <w:r w:rsidRPr="00E52559">
              <w:rPr>
                <w:szCs w:val="21"/>
              </w:rPr>
              <w:t>联接</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基金代码</w:t>
            </w:r>
          </w:p>
        </w:tc>
        <w:tc>
          <w:tcPr>
            <w:tcW w:w="5217" w:type="dxa"/>
            <w:vAlign w:val="center"/>
          </w:tcPr>
          <w:p w:rsidR="002D48A3" w:rsidRDefault="00F879BD">
            <w:pPr>
              <w:rPr>
                <w:sz w:val="24"/>
                <w:szCs w:val="21"/>
                <w:lang w:val="en-GB"/>
              </w:rPr>
            </w:pPr>
            <w:r w:rsidRPr="00E52559">
              <w:rPr>
                <w:szCs w:val="21"/>
              </w:rPr>
              <w:t>国泰上证</w:t>
            </w:r>
            <w:r w:rsidRPr="00E52559">
              <w:rPr>
                <w:szCs w:val="21"/>
              </w:rPr>
              <w:t>5</w:t>
            </w:r>
            <w:r w:rsidRPr="00E52559">
              <w:rPr>
                <w:szCs w:val="21"/>
              </w:rPr>
              <w:t>年期国债</w:t>
            </w:r>
            <w:r w:rsidRPr="00E52559">
              <w:rPr>
                <w:szCs w:val="21"/>
              </w:rPr>
              <w:t>ETF</w:t>
            </w:r>
            <w:r w:rsidRPr="00E52559">
              <w:rPr>
                <w:szCs w:val="21"/>
              </w:rPr>
              <w:t>联接</w:t>
            </w:r>
            <w:r w:rsidR="00D30755" w:rsidRPr="00D30755">
              <w:rPr>
                <w:szCs w:val="21"/>
              </w:rPr>
              <w:t>A</w:t>
            </w:r>
            <w:r w:rsidR="00D30755" w:rsidRPr="00D30755">
              <w:rPr>
                <w:rFonts w:hint="eastAsia"/>
                <w:szCs w:val="21"/>
              </w:rPr>
              <w:t>：</w:t>
            </w:r>
            <w:r w:rsidR="00D30755" w:rsidRPr="00D30755">
              <w:rPr>
                <w:szCs w:val="21"/>
              </w:rPr>
              <w:t>020035</w:t>
            </w:r>
          </w:p>
          <w:p w:rsidR="002D48A3" w:rsidRDefault="00F879BD">
            <w:pPr>
              <w:rPr>
                <w:sz w:val="24"/>
                <w:szCs w:val="21"/>
                <w:lang w:val="en-GB"/>
              </w:rPr>
            </w:pPr>
            <w:r w:rsidRPr="00E52559">
              <w:rPr>
                <w:szCs w:val="21"/>
              </w:rPr>
              <w:t>国泰上证</w:t>
            </w:r>
            <w:r w:rsidRPr="00E52559">
              <w:rPr>
                <w:szCs w:val="21"/>
              </w:rPr>
              <w:t>5</w:t>
            </w:r>
            <w:r w:rsidRPr="00E52559">
              <w:rPr>
                <w:szCs w:val="21"/>
              </w:rPr>
              <w:t>年期国债</w:t>
            </w:r>
            <w:r w:rsidRPr="00E52559">
              <w:rPr>
                <w:szCs w:val="21"/>
              </w:rPr>
              <w:t>ETF</w:t>
            </w:r>
            <w:r w:rsidRPr="00E52559">
              <w:rPr>
                <w:szCs w:val="21"/>
              </w:rPr>
              <w:t>联接</w:t>
            </w:r>
            <w:r w:rsidR="00D30755" w:rsidRPr="00D30755">
              <w:rPr>
                <w:szCs w:val="21"/>
              </w:rPr>
              <w:t>C</w:t>
            </w:r>
            <w:r w:rsidR="00D30755" w:rsidRPr="00D30755">
              <w:rPr>
                <w:rFonts w:hint="eastAsia"/>
                <w:szCs w:val="21"/>
              </w:rPr>
              <w:t>：</w:t>
            </w:r>
            <w:r w:rsidR="00D30755" w:rsidRPr="00D30755">
              <w:rPr>
                <w:szCs w:val="21"/>
              </w:rPr>
              <w:t>020036</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2D48A3" w:rsidRDefault="00CC5A26">
            <w:pPr>
              <w:rPr>
                <w:sz w:val="24"/>
                <w:szCs w:val="21"/>
                <w:lang w:val="en-GB"/>
              </w:rPr>
            </w:pPr>
            <w:r w:rsidRPr="006F14B8">
              <w:rPr>
                <w:szCs w:val="21"/>
              </w:rPr>
              <w:t>契约型开放式</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基金合同生效日</w:t>
            </w:r>
          </w:p>
        </w:tc>
        <w:tc>
          <w:tcPr>
            <w:tcW w:w="5217" w:type="dxa"/>
            <w:vAlign w:val="center"/>
          </w:tcPr>
          <w:p w:rsidR="002D48A3" w:rsidRDefault="00F879BD">
            <w:pPr>
              <w:rPr>
                <w:sz w:val="24"/>
                <w:szCs w:val="21"/>
                <w:lang w:val="en-GB"/>
              </w:rPr>
            </w:pPr>
            <w:r w:rsidRPr="00E52559">
              <w:rPr>
                <w:szCs w:val="21"/>
              </w:rPr>
              <w:t>2013</w:t>
            </w:r>
            <w:r w:rsidRPr="00E52559">
              <w:rPr>
                <w:szCs w:val="21"/>
              </w:rPr>
              <w:t>年</w:t>
            </w:r>
            <w:r w:rsidRPr="00E52559">
              <w:rPr>
                <w:szCs w:val="21"/>
              </w:rPr>
              <w:t>3</w:t>
            </w:r>
            <w:r w:rsidRPr="00E52559">
              <w:rPr>
                <w:szCs w:val="21"/>
              </w:rPr>
              <w:t>月</w:t>
            </w:r>
            <w:r w:rsidRPr="00E52559">
              <w:rPr>
                <w:szCs w:val="21"/>
              </w:rPr>
              <w:t>7</w:t>
            </w:r>
            <w:r w:rsidRPr="00E52559">
              <w:rPr>
                <w:szCs w:val="21"/>
              </w:rPr>
              <w:t>日</w:t>
            </w:r>
          </w:p>
        </w:tc>
      </w:tr>
      <w:tr w:rsidR="000175AB" w:rsidRPr="006F14B8" w:rsidTr="00AC12EE">
        <w:trPr>
          <w:jc w:val="center"/>
        </w:trPr>
        <w:tc>
          <w:tcPr>
            <w:tcW w:w="3555" w:type="dxa"/>
          </w:tcPr>
          <w:p w:rsidR="000175AB" w:rsidRPr="006F14B8" w:rsidRDefault="000175AB">
            <w:pPr>
              <w:rPr>
                <w:color w:val="000000"/>
                <w:kern w:val="0"/>
                <w:szCs w:val="21"/>
              </w:rPr>
            </w:pPr>
            <w:r w:rsidRPr="006F14B8">
              <w:rPr>
                <w:szCs w:val="21"/>
              </w:rPr>
              <w:t>基金管理人</w:t>
            </w:r>
          </w:p>
        </w:tc>
        <w:tc>
          <w:tcPr>
            <w:tcW w:w="5217" w:type="dxa"/>
            <w:vAlign w:val="center"/>
          </w:tcPr>
          <w:p w:rsidR="002D48A3" w:rsidRDefault="000175AB">
            <w:pPr>
              <w:rPr>
                <w:sz w:val="24"/>
                <w:szCs w:val="21"/>
                <w:lang w:val="en-GB"/>
              </w:rPr>
            </w:pPr>
            <w:r w:rsidRPr="006F14B8">
              <w:rPr>
                <w:szCs w:val="21"/>
              </w:rPr>
              <w:t>国泰基金管理有限公司</w:t>
            </w:r>
          </w:p>
        </w:tc>
      </w:tr>
      <w:tr w:rsidR="000175AB" w:rsidRPr="000175AB" w:rsidTr="00AC12EE">
        <w:trPr>
          <w:jc w:val="center"/>
        </w:trPr>
        <w:tc>
          <w:tcPr>
            <w:tcW w:w="3555" w:type="dxa"/>
          </w:tcPr>
          <w:p w:rsidR="000175AB" w:rsidRPr="006F14B8" w:rsidRDefault="000175AB">
            <w:pPr>
              <w:rPr>
                <w:color w:val="000000"/>
                <w:kern w:val="0"/>
                <w:szCs w:val="21"/>
              </w:rPr>
            </w:pPr>
            <w:r w:rsidRPr="006F14B8">
              <w:rPr>
                <w:szCs w:val="21"/>
              </w:rPr>
              <w:t>基金托管人</w:t>
            </w:r>
          </w:p>
        </w:tc>
        <w:tc>
          <w:tcPr>
            <w:tcW w:w="5217" w:type="dxa"/>
            <w:vAlign w:val="center"/>
          </w:tcPr>
          <w:p w:rsidR="002D48A3" w:rsidRDefault="00531C52">
            <w:pPr>
              <w:rPr>
                <w:sz w:val="24"/>
                <w:szCs w:val="21"/>
                <w:lang w:val="en-GB"/>
              </w:rPr>
            </w:pPr>
            <w:r>
              <w:rPr>
                <w:color w:val="000000"/>
                <w:kern w:val="0"/>
                <w:szCs w:val="21"/>
              </w:rPr>
              <w:t>中国建设银行股份有限公司</w:t>
            </w:r>
          </w:p>
        </w:tc>
      </w:tr>
      <w:tr w:rsidR="000175AB" w:rsidRPr="006F14B8" w:rsidTr="00AC12EE">
        <w:trPr>
          <w:jc w:val="center"/>
        </w:trPr>
        <w:tc>
          <w:tcPr>
            <w:tcW w:w="3555" w:type="dxa"/>
          </w:tcPr>
          <w:p w:rsidR="00A06FF9" w:rsidRDefault="00531C52">
            <w:pPr>
              <w:rPr>
                <w:color w:val="000000"/>
                <w:kern w:val="0"/>
                <w:szCs w:val="21"/>
              </w:rPr>
            </w:pPr>
            <w:r>
              <w:rPr>
                <w:rFonts w:hint="eastAsia"/>
                <w:szCs w:val="21"/>
              </w:rPr>
              <w:t>2018</w:t>
            </w:r>
            <w:r>
              <w:rPr>
                <w:rFonts w:hint="eastAsia"/>
                <w:szCs w:val="21"/>
              </w:rPr>
              <w:t>年</w:t>
            </w:r>
            <w:r>
              <w:rPr>
                <w:rFonts w:hint="eastAsia"/>
                <w:szCs w:val="21"/>
              </w:rPr>
              <w:t>10</w:t>
            </w:r>
            <w:r>
              <w:rPr>
                <w:rFonts w:hint="eastAsia"/>
                <w:szCs w:val="21"/>
              </w:rPr>
              <w:t>月</w:t>
            </w:r>
            <w:r>
              <w:rPr>
                <w:rFonts w:hint="eastAsia"/>
                <w:szCs w:val="21"/>
              </w:rPr>
              <w:t>16</w:t>
            </w:r>
            <w:r>
              <w:rPr>
                <w:rFonts w:hint="eastAsia"/>
                <w:szCs w:val="21"/>
              </w:rPr>
              <w:t>日</w:t>
            </w:r>
            <w:r w:rsidR="000175AB" w:rsidRPr="006F14B8">
              <w:rPr>
                <w:szCs w:val="21"/>
              </w:rPr>
              <w:t>基金份额总额</w:t>
            </w:r>
          </w:p>
        </w:tc>
        <w:tc>
          <w:tcPr>
            <w:tcW w:w="5217" w:type="dxa"/>
            <w:vAlign w:val="center"/>
          </w:tcPr>
          <w:p w:rsidR="002D48A3" w:rsidRDefault="00F879BD">
            <w:pPr>
              <w:rPr>
                <w:sz w:val="24"/>
                <w:szCs w:val="21"/>
                <w:lang w:val="en-GB"/>
              </w:rPr>
            </w:pPr>
            <w:r w:rsidRPr="00F879BD">
              <w:rPr>
                <w:szCs w:val="21"/>
              </w:rPr>
              <w:t>8,534,643.87</w:t>
            </w:r>
            <w:r w:rsidR="000175AB" w:rsidRPr="006F14B8">
              <w:rPr>
                <w:szCs w:val="21"/>
              </w:rPr>
              <w:t>份</w:t>
            </w:r>
          </w:p>
        </w:tc>
      </w:tr>
    </w:tbl>
    <w:p w:rsidR="00F879BD" w:rsidRPr="00E52559" w:rsidRDefault="00F879BD" w:rsidP="00F879BD">
      <w:pPr>
        <w:spacing w:line="360" w:lineRule="auto"/>
        <w:rPr>
          <w:b/>
          <w:szCs w:val="21"/>
        </w:rPr>
      </w:pPr>
      <w:smartTag w:uri="urn:schemas-microsoft-com:office:smarttags" w:element="chsdate">
        <w:smartTagPr>
          <w:attr w:name="Year" w:val="1899"/>
          <w:attr w:name="Month" w:val="12"/>
          <w:attr w:name="Day" w:val="30"/>
          <w:attr w:name="IsLunarDate" w:val="False"/>
          <w:attr w:name="IsROCDate" w:val="False"/>
        </w:smartTagPr>
        <w:r w:rsidRPr="00E52559">
          <w:rPr>
            <w:b/>
            <w:szCs w:val="21"/>
          </w:rPr>
          <w:t xml:space="preserve">2.1.1 </w:t>
        </w:r>
      </w:smartTag>
      <w:r w:rsidRPr="00E52559">
        <w:rPr>
          <w:b/>
          <w:szCs w:val="21"/>
        </w:rPr>
        <w:t>目标基金基本情况</w:t>
      </w:r>
    </w:p>
    <w:tbl>
      <w:tblPr>
        <w:tblW w:w="0" w:type="auto"/>
        <w:tblInd w:w="250" w:type="dxa"/>
        <w:tblLayout w:type="fixed"/>
        <w:tblLook w:val="0000"/>
      </w:tblPr>
      <w:tblGrid>
        <w:gridCol w:w="3544"/>
        <w:gridCol w:w="5245"/>
      </w:tblGrid>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基金名称</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上证</w:t>
            </w:r>
            <w:r w:rsidRPr="00E52559">
              <w:rPr>
                <w:szCs w:val="21"/>
              </w:rPr>
              <w:t>5</w:t>
            </w:r>
            <w:r w:rsidRPr="00E52559">
              <w:rPr>
                <w:szCs w:val="21"/>
              </w:rPr>
              <w:t>年期国债交易型开放式指数证券投资基金</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基金主代码</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511010</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基金运作方式</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交易型开放式</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基金合同生效日</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2013</w:t>
            </w:r>
            <w:r w:rsidRPr="00E52559">
              <w:rPr>
                <w:szCs w:val="21"/>
              </w:rPr>
              <w:t>年</w:t>
            </w:r>
            <w:r w:rsidRPr="00E52559">
              <w:rPr>
                <w:szCs w:val="21"/>
              </w:rPr>
              <w:t>3</w:t>
            </w:r>
            <w:r w:rsidRPr="00E52559">
              <w:rPr>
                <w:szCs w:val="21"/>
              </w:rPr>
              <w:t>月</w:t>
            </w:r>
            <w:r w:rsidRPr="00E52559">
              <w:rPr>
                <w:szCs w:val="21"/>
              </w:rPr>
              <w:t>5</w:t>
            </w:r>
            <w:r w:rsidRPr="00E52559">
              <w:rPr>
                <w:szCs w:val="21"/>
              </w:rPr>
              <w:t>日</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基金份额上市的证券交易所</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上海证券交易所</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上市日期</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2013</w:t>
            </w:r>
            <w:r w:rsidRPr="00E52559">
              <w:rPr>
                <w:szCs w:val="21"/>
              </w:rPr>
              <w:t>年</w:t>
            </w:r>
            <w:r w:rsidRPr="00E52559">
              <w:rPr>
                <w:szCs w:val="21"/>
              </w:rPr>
              <w:t>3</w:t>
            </w:r>
            <w:r w:rsidRPr="00E52559">
              <w:rPr>
                <w:szCs w:val="21"/>
              </w:rPr>
              <w:t>月</w:t>
            </w:r>
            <w:r w:rsidRPr="00E52559">
              <w:rPr>
                <w:szCs w:val="21"/>
              </w:rPr>
              <w:t>25</w:t>
            </w:r>
            <w:r w:rsidRPr="00E52559">
              <w:rPr>
                <w:szCs w:val="21"/>
              </w:rPr>
              <w:t>日</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基金管理人名称</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国泰基金管理有限公司</w:t>
            </w:r>
          </w:p>
        </w:tc>
      </w:tr>
      <w:tr w:rsidR="00F879BD" w:rsidRPr="00E52559" w:rsidTr="00F879BD">
        <w:tc>
          <w:tcPr>
            <w:tcW w:w="3544"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基金托管人名称</w:t>
            </w:r>
          </w:p>
        </w:tc>
        <w:tc>
          <w:tcPr>
            <w:tcW w:w="5245"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中国建设银行股份有限公司</w:t>
            </w:r>
          </w:p>
        </w:tc>
      </w:tr>
    </w:tbl>
    <w:p w:rsidR="001548F9" w:rsidRPr="006F14B8" w:rsidRDefault="001548F9" w:rsidP="004C1748">
      <w:pPr>
        <w:pStyle w:val="20"/>
        <w:spacing w:before="0" w:after="0"/>
        <w:jc w:val="left"/>
        <w:rPr>
          <w:rFonts w:ascii="Times New Roman" w:hAnsi="Times New Roman"/>
          <w:color w:val="000000"/>
          <w:sz w:val="21"/>
          <w:szCs w:val="21"/>
        </w:rPr>
      </w:pPr>
      <w:bookmarkStart w:id="8" w:name="_Toc390421230"/>
      <w:bookmarkStart w:id="9" w:name="_Toc529469799"/>
      <w:r w:rsidRPr="006F14B8">
        <w:rPr>
          <w:rFonts w:ascii="Times New Roman" w:hAnsi="Times New Roman"/>
          <w:kern w:val="0"/>
          <w:sz w:val="21"/>
          <w:szCs w:val="21"/>
        </w:rPr>
        <w:t xml:space="preserve">2.2 </w:t>
      </w:r>
      <w:r w:rsidRPr="006F14B8">
        <w:rPr>
          <w:rFonts w:ascii="Times New Roman" w:hAnsi="Times New Roman"/>
          <w:color w:val="000000"/>
          <w:sz w:val="21"/>
          <w:szCs w:val="21"/>
        </w:rPr>
        <w:t>基金产品说明</w:t>
      </w:r>
      <w:bookmarkEnd w:id="8"/>
      <w:bookmarkEnd w:id="9"/>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投资目标</w:t>
            </w:r>
          </w:p>
        </w:tc>
        <w:tc>
          <w:tcPr>
            <w:tcW w:w="6908" w:type="dxa"/>
            <w:vAlign w:val="bottom"/>
          </w:tcPr>
          <w:p w:rsidR="00CC5A26" w:rsidRPr="006F14B8" w:rsidRDefault="00F879BD" w:rsidP="00CC5A26">
            <w:pPr>
              <w:rPr>
                <w:szCs w:val="21"/>
              </w:rPr>
            </w:pPr>
            <w:r w:rsidRPr="00E52559">
              <w:rPr>
                <w:szCs w:val="21"/>
              </w:rPr>
              <w:t>通过主要投资于目标</w:t>
            </w:r>
            <w:r w:rsidRPr="00E52559">
              <w:rPr>
                <w:szCs w:val="21"/>
              </w:rPr>
              <w:t>ETF</w:t>
            </w:r>
            <w:r w:rsidRPr="00E52559">
              <w:rPr>
                <w:szCs w:val="21"/>
              </w:rPr>
              <w:t>，紧密跟踪标的指数，追求跟踪偏离度和跟踪误差的最小化。</w:t>
            </w:r>
          </w:p>
        </w:tc>
      </w:tr>
      <w:tr w:rsidR="00CC5A26" w:rsidRPr="006F14B8" w:rsidTr="00CC5A26">
        <w:trPr>
          <w:jc w:val="center"/>
        </w:trPr>
        <w:tc>
          <w:tcPr>
            <w:tcW w:w="1931" w:type="dxa"/>
            <w:vAlign w:val="center"/>
          </w:tcPr>
          <w:p w:rsidR="00CC5A26" w:rsidRPr="00065805" w:rsidRDefault="00686205" w:rsidP="00CC5A26">
            <w:pPr>
              <w:rPr>
                <w:szCs w:val="21"/>
                <w:highlight w:val="yellow"/>
              </w:rPr>
            </w:pPr>
            <w:r w:rsidRPr="00686205">
              <w:rPr>
                <w:rFonts w:hint="eastAsia"/>
                <w:szCs w:val="21"/>
              </w:rPr>
              <w:t>投资策略</w:t>
            </w:r>
          </w:p>
        </w:tc>
        <w:tc>
          <w:tcPr>
            <w:tcW w:w="6908" w:type="dxa"/>
            <w:vAlign w:val="bottom"/>
          </w:tcPr>
          <w:p w:rsidR="00F879BD" w:rsidRDefault="00F879BD" w:rsidP="00F879BD">
            <w:pPr>
              <w:rPr>
                <w:szCs w:val="21"/>
              </w:rPr>
            </w:pPr>
            <w:r>
              <w:rPr>
                <w:szCs w:val="21"/>
              </w:rPr>
              <w:t>本基金为目标</w:t>
            </w:r>
            <w:r>
              <w:rPr>
                <w:szCs w:val="21"/>
              </w:rPr>
              <w:t>ETF</w:t>
            </w:r>
            <w:r>
              <w:rPr>
                <w:szCs w:val="21"/>
              </w:rPr>
              <w:t>的联接基金，以目标</w:t>
            </w:r>
            <w:r>
              <w:rPr>
                <w:szCs w:val="21"/>
              </w:rPr>
              <w:t>ETF</w:t>
            </w:r>
            <w:r>
              <w:rPr>
                <w:szCs w:val="21"/>
              </w:rPr>
              <w:t>作为其主要投资标的，方便特定的客户群通过本基金投资目标</w:t>
            </w:r>
            <w:r>
              <w:rPr>
                <w:szCs w:val="21"/>
              </w:rPr>
              <w:t>ETF</w:t>
            </w:r>
            <w:r>
              <w:rPr>
                <w:szCs w:val="21"/>
              </w:rPr>
              <w:t>。本基金并不参与目标</w:t>
            </w:r>
            <w:r>
              <w:rPr>
                <w:szCs w:val="21"/>
              </w:rPr>
              <w:t>ETF</w:t>
            </w:r>
            <w:r>
              <w:rPr>
                <w:szCs w:val="21"/>
              </w:rPr>
              <w:t>的管理。</w:t>
            </w:r>
          </w:p>
          <w:p w:rsidR="00927EF4" w:rsidRDefault="00F879BD">
            <w:pPr>
              <w:rPr>
                <w:szCs w:val="21"/>
                <w:highlight w:val="yellow"/>
              </w:rPr>
            </w:pPr>
            <w:r w:rsidRPr="00E52559">
              <w:rPr>
                <w:szCs w:val="21"/>
              </w:rPr>
              <w:t>在投资运作过程中，本基金将在综合考虑合规、风险、效率、成本等因素的基础上，决定采用一级市场申购赎回的方式或二级市场买卖的方式投资于目标</w:t>
            </w:r>
            <w:r w:rsidRPr="00E52559">
              <w:rPr>
                <w:szCs w:val="21"/>
              </w:rPr>
              <w:t>ETF</w:t>
            </w:r>
            <w:r w:rsidRPr="00E52559">
              <w:rPr>
                <w:szCs w:val="21"/>
              </w:rPr>
              <w:t>。本基金投资于目标</w:t>
            </w:r>
            <w:r w:rsidRPr="00E52559">
              <w:rPr>
                <w:szCs w:val="21"/>
              </w:rPr>
              <w:t>ETF</w:t>
            </w:r>
            <w:r w:rsidRPr="00E52559">
              <w:rPr>
                <w:szCs w:val="21"/>
              </w:rPr>
              <w:t>的方式以申购和赎回为主，但在目标</w:t>
            </w:r>
            <w:r w:rsidRPr="00E52559">
              <w:rPr>
                <w:szCs w:val="21"/>
              </w:rPr>
              <w:t>ETF</w:t>
            </w:r>
            <w:r w:rsidRPr="00E52559">
              <w:rPr>
                <w:szCs w:val="21"/>
              </w:rPr>
              <w:t>二级市场流动性较好的情况下，为了更好地实现本基金的投资目标，减小与业绩比较基准的跟踪偏离度和跟踪误差，也可以通过二级市场交易买卖目标</w:t>
            </w:r>
            <w:r w:rsidRPr="00E52559">
              <w:rPr>
                <w:szCs w:val="21"/>
              </w:rPr>
              <w:t>ETF</w:t>
            </w:r>
            <w:r w:rsidRPr="00E52559">
              <w:rPr>
                <w:szCs w:val="21"/>
              </w:rPr>
              <w:t>。在正常市场情况下，本基金与业绩比较基准的日均跟踪偏离度的绝对值不超过</w:t>
            </w:r>
            <w:r w:rsidRPr="00E52559">
              <w:rPr>
                <w:szCs w:val="21"/>
              </w:rPr>
              <w:t>0.3%</w:t>
            </w:r>
            <w:r w:rsidRPr="00E52559">
              <w:rPr>
                <w:szCs w:val="21"/>
              </w:rPr>
              <w:t>，年跟踪误差不超过</w:t>
            </w:r>
            <w:r w:rsidRPr="00E52559">
              <w:rPr>
                <w:szCs w:val="21"/>
              </w:rPr>
              <w:t>4%</w:t>
            </w:r>
            <w:r w:rsidRPr="00E52559">
              <w:rPr>
                <w:szCs w:val="21"/>
              </w:rPr>
              <w:t>。如因指数编制规则调整或其他因素导致跟踪偏离度和跟踪误差超过上述范围，基金管理人应采取合理措施避免跟踪偏离度、跟踪误差进一步扩大。</w:t>
            </w:r>
          </w:p>
        </w:tc>
      </w:tr>
      <w:tr w:rsidR="00F879BD" w:rsidRPr="006F14B8" w:rsidTr="00CC5A26">
        <w:trPr>
          <w:jc w:val="center"/>
        </w:trPr>
        <w:tc>
          <w:tcPr>
            <w:tcW w:w="1931" w:type="dxa"/>
            <w:vAlign w:val="center"/>
          </w:tcPr>
          <w:p w:rsidR="00F879BD" w:rsidRPr="006F14B8" w:rsidRDefault="00F879BD" w:rsidP="00CC5A26">
            <w:pPr>
              <w:rPr>
                <w:szCs w:val="21"/>
              </w:rPr>
            </w:pPr>
            <w:r w:rsidRPr="006F14B8">
              <w:rPr>
                <w:szCs w:val="21"/>
              </w:rPr>
              <w:t>业绩比较基准</w:t>
            </w:r>
          </w:p>
        </w:tc>
        <w:tc>
          <w:tcPr>
            <w:tcW w:w="6908" w:type="dxa"/>
            <w:vAlign w:val="bottom"/>
          </w:tcPr>
          <w:p w:rsidR="00F879BD" w:rsidRPr="006F14B8" w:rsidRDefault="00F879BD" w:rsidP="00FD1688">
            <w:pPr>
              <w:rPr>
                <w:szCs w:val="21"/>
              </w:rPr>
            </w:pPr>
            <w:r>
              <w:rPr>
                <w:szCs w:val="21"/>
              </w:rPr>
              <w:t>上证</w:t>
            </w:r>
            <w:r>
              <w:rPr>
                <w:szCs w:val="21"/>
              </w:rPr>
              <w:t>5</w:t>
            </w:r>
            <w:r>
              <w:rPr>
                <w:szCs w:val="21"/>
              </w:rPr>
              <w:t>年期国债指数收益率</w:t>
            </w:r>
            <w:r>
              <w:rPr>
                <w:szCs w:val="21"/>
              </w:rPr>
              <w:t>×95%+</w:t>
            </w:r>
            <w:r>
              <w:rPr>
                <w:szCs w:val="21"/>
              </w:rPr>
              <w:t>银行活期存款利率</w:t>
            </w:r>
            <w:r>
              <w:rPr>
                <w:szCs w:val="21"/>
              </w:rPr>
              <w:t>(</w:t>
            </w:r>
            <w:r>
              <w:rPr>
                <w:szCs w:val="21"/>
              </w:rPr>
              <w:t>税后</w:t>
            </w:r>
            <w:r>
              <w:rPr>
                <w:szCs w:val="21"/>
              </w:rPr>
              <w:t>)×5%</w:t>
            </w:r>
          </w:p>
        </w:tc>
      </w:tr>
      <w:tr w:rsidR="00F879BD" w:rsidRPr="006F14B8" w:rsidTr="00CC5A26">
        <w:trPr>
          <w:jc w:val="center"/>
        </w:trPr>
        <w:tc>
          <w:tcPr>
            <w:tcW w:w="1931" w:type="dxa"/>
            <w:vAlign w:val="center"/>
          </w:tcPr>
          <w:p w:rsidR="00F879BD" w:rsidRPr="006F14B8" w:rsidRDefault="00F879BD" w:rsidP="00CC5A26">
            <w:pPr>
              <w:rPr>
                <w:szCs w:val="21"/>
              </w:rPr>
            </w:pPr>
            <w:r w:rsidRPr="006F14B8">
              <w:rPr>
                <w:szCs w:val="21"/>
              </w:rPr>
              <w:t>风险收益特征</w:t>
            </w:r>
          </w:p>
        </w:tc>
        <w:tc>
          <w:tcPr>
            <w:tcW w:w="6908" w:type="dxa"/>
            <w:vAlign w:val="bottom"/>
          </w:tcPr>
          <w:p w:rsidR="00F879BD" w:rsidRPr="006F14B8" w:rsidRDefault="00F879BD" w:rsidP="00CC5A26">
            <w:pPr>
              <w:rPr>
                <w:szCs w:val="21"/>
              </w:rPr>
            </w:pPr>
            <w:r w:rsidRPr="00E52559">
              <w:rPr>
                <w:szCs w:val="21"/>
              </w:rPr>
              <w:t>本基金属于债券基金，其预期收益及风险水平低于股票基金、混合基金，高于货币市场基金。本基金属于国债指数基金，是债券基金中投资风险较低的品种。属于低风险、低收益的开放式基金。</w:t>
            </w:r>
          </w:p>
        </w:tc>
      </w:tr>
    </w:tbl>
    <w:p w:rsidR="00F879BD" w:rsidRPr="00E52559" w:rsidRDefault="00F879BD" w:rsidP="00F879BD">
      <w:pPr>
        <w:spacing w:line="360" w:lineRule="auto"/>
        <w:rPr>
          <w:b/>
          <w:szCs w:val="21"/>
        </w:rPr>
      </w:pPr>
      <w:r w:rsidRPr="00E52559">
        <w:rPr>
          <w:b/>
          <w:szCs w:val="21"/>
        </w:rPr>
        <w:t>2.2.1</w:t>
      </w:r>
      <w:r w:rsidRPr="00E52559">
        <w:rPr>
          <w:b/>
          <w:szCs w:val="21"/>
        </w:rPr>
        <w:t>目标基金产品说明</w:t>
      </w:r>
    </w:p>
    <w:tbl>
      <w:tblPr>
        <w:tblW w:w="0" w:type="auto"/>
        <w:tblInd w:w="250" w:type="dxa"/>
        <w:tblLayout w:type="fixed"/>
        <w:tblLook w:val="0000"/>
      </w:tblPr>
      <w:tblGrid>
        <w:gridCol w:w="2983"/>
        <w:gridCol w:w="5806"/>
      </w:tblGrid>
      <w:tr w:rsidR="00F879BD" w:rsidRPr="00E52559" w:rsidTr="00F879BD">
        <w:tc>
          <w:tcPr>
            <w:tcW w:w="2983"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投资目标</w:t>
            </w:r>
          </w:p>
        </w:tc>
        <w:tc>
          <w:tcPr>
            <w:tcW w:w="5806"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紧密跟踪标的指数，追求跟踪偏离度和跟踪误差的最小化。</w:t>
            </w:r>
          </w:p>
        </w:tc>
      </w:tr>
      <w:tr w:rsidR="00F879BD" w:rsidRPr="00E52559" w:rsidTr="00F879BD">
        <w:tc>
          <w:tcPr>
            <w:tcW w:w="2983"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投资策略</w:t>
            </w:r>
          </w:p>
        </w:tc>
        <w:tc>
          <w:tcPr>
            <w:tcW w:w="5806"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本基金为指数基金，采用优化抽样复制法。通过对标的指数中各成份国债的历史数据和流动性分析，选取流动性较好的国债构建组合，对标的指数的久期等指标进行跟踪，达到复制标的指数、降低交易成本的目的。在正常市场情况下，本基金的风险控制目标是追求日均跟踪偏离度的绝对值不超过</w:t>
            </w:r>
            <w:r w:rsidRPr="00E52559">
              <w:rPr>
                <w:szCs w:val="21"/>
              </w:rPr>
              <w:t>0.2%</w:t>
            </w:r>
            <w:r w:rsidRPr="00E52559">
              <w:rPr>
                <w:szCs w:val="21"/>
              </w:rPr>
              <w:t>，年化跟踪误差不超过</w:t>
            </w:r>
            <w:r w:rsidRPr="00E52559">
              <w:rPr>
                <w:szCs w:val="21"/>
              </w:rPr>
              <w:t>2%</w:t>
            </w:r>
            <w:r w:rsidRPr="00E52559">
              <w:rPr>
                <w:szCs w:val="21"/>
              </w:rPr>
              <w:t>。如因标的指数编制规则调整等其他原因，导致基金跟踪偏离度和跟踪误差超过了上述范围，基金管理人应采取合理措施，避免跟踪偏离度和跟踪误差的进一步扩大。</w:t>
            </w:r>
          </w:p>
        </w:tc>
      </w:tr>
      <w:tr w:rsidR="00F879BD" w:rsidRPr="00E52559" w:rsidTr="00F879BD">
        <w:tc>
          <w:tcPr>
            <w:tcW w:w="2983"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业绩比较基准</w:t>
            </w:r>
          </w:p>
        </w:tc>
        <w:tc>
          <w:tcPr>
            <w:tcW w:w="5806"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本基金的业绩比较基准为标的指数收益率，即上证</w:t>
            </w:r>
            <w:r w:rsidRPr="00E52559">
              <w:rPr>
                <w:szCs w:val="21"/>
              </w:rPr>
              <w:t>5</w:t>
            </w:r>
            <w:r w:rsidRPr="00E52559">
              <w:rPr>
                <w:szCs w:val="21"/>
              </w:rPr>
              <w:t>年期国债指数收益率。</w:t>
            </w:r>
          </w:p>
        </w:tc>
      </w:tr>
      <w:tr w:rsidR="00F879BD" w:rsidRPr="00E52559" w:rsidTr="00F879BD">
        <w:tc>
          <w:tcPr>
            <w:tcW w:w="2983" w:type="dxa"/>
            <w:tcBorders>
              <w:top w:val="single" w:sz="8" w:space="0" w:color="000000"/>
              <w:left w:val="single" w:sz="8" w:space="0" w:color="000000"/>
              <w:bottom w:val="single" w:sz="8" w:space="0" w:color="000000"/>
              <w:right w:val="single" w:sz="8" w:space="0" w:color="000000"/>
            </w:tcBorders>
            <w:vAlign w:val="center"/>
          </w:tcPr>
          <w:p w:rsidR="00F8414D" w:rsidRDefault="00D30755">
            <w:pPr>
              <w:rPr>
                <w:szCs w:val="21"/>
              </w:rPr>
            </w:pPr>
            <w:r w:rsidRPr="00D30755">
              <w:rPr>
                <w:rFonts w:hint="eastAsia"/>
                <w:szCs w:val="21"/>
              </w:rPr>
              <w:t>风险收益特征</w:t>
            </w:r>
          </w:p>
        </w:tc>
        <w:tc>
          <w:tcPr>
            <w:tcW w:w="5806" w:type="dxa"/>
            <w:tcBorders>
              <w:top w:val="single" w:sz="8" w:space="0" w:color="000000"/>
              <w:left w:val="single" w:sz="8" w:space="0" w:color="000000"/>
              <w:bottom w:val="single" w:sz="8" w:space="0" w:color="000000"/>
              <w:right w:val="single" w:sz="8" w:space="0" w:color="000000"/>
            </w:tcBorders>
            <w:vAlign w:val="center"/>
          </w:tcPr>
          <w:p w:rsidR="00F8414D" w:rsidRDefault="00F879BD">
            <w:pPr>
              <w:rPr>
                <w:szCs w:val="21"/>
              </w:rPr>
            </w:pPr>
            <w:r w:rsidRPr="00E52559">
              <w:rPr>
                <w:szCs w:val="21"/>
              </w:rPr>
              <w:t>本基金属于债券基金，其预期收益及风险水平低于股票基金、混合基金，高于货币市场基金。本基金属于国债指数基金，是债券基金中投资风险较低的品种。本基金采用优化抽样复制策略，跟踪上证</w:t>
            </w:r>
            <w:r w:rsidRPr="00E52559">
              <w:rPr>
                <w:szCs w:val="21"/>
              </w:rPr>
              <w:t xml:space="preserve">5 </w:t>
            </w:r>
            <w:r w:rsidRPr="00E52559">
              <w:rPr>
                <w:szCs w:val="21"/>
              </w:rPr>
              <w:t>年期国债指数，其风险收益特征与标的指数所表征的市场组合的风险收益特征相似。</w:t>
            </w:r>
          </w:p>
        </w:tc>
      </w:tr>
    </w:tbl>
    <w:p w:rsidR="001548F9" w:rsidRPr="006F14B8" w:rsidRDefault="001548F9" w:rsidP="004C1748">
      <w:pPr>
        <w:pStyle w:val="20"/>
        <w:spacing w:before="0" w:after="0"/>
        <w:jc w:val="left"/>
        <w:rPr>
          <w:rFonts w:ascii="Times New Roman" w:hAnsi="Times New Roman"/>
          <w:kern w:val="0"/>
          <w:sz w:val="21"/>
          <w:szCs w:val="21"/>
        </w:rPr>
      </w:pPr>
      <w:bookmarkStart w:id="10" w:name="_Toc225498247"/>
      <w:bookmarkStart w:id="11" w:name="_Toc390421231"/>
      <w:bookmarkStart w:id="12" w:name="_Toc529469800"/>
      <w:r w:rsidRPr="006F14B8">
        <w:rPr>
          <w:rFonts w:ascii="Times New Roman" w:hAnsi="Times New Roman"/>
          <w:kern w:val="0"/>
          <w:sz w:val="21"/>
          <w:szCs w:val="21"/>
        </w:rPr>
        <w:t xml:space="preserve">2.3 </w:t>
      </w:r>
      <w:r w:rsidRPr="006F14B8">
        <w:rPr>
          <w:rFonts w:ascii="Times New Roman" w:hAnsi="Times New Roman"/>
          <w:kern w:val="0"/>
          <w:sz w:val="21"/>
          <w:szCs w:val="21"/>
        </w:rPr>
        <w:t>基金管理人和基金托管人</w:t>
      </w:r>
      <w:bookmarkEnd w:id="10"/>
      <w:bookmarkEnd w:id="11"/>
      <w:bookmarkEnd w:id="12"/>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18"/>
        <w:gridCol w:w="1371"/>
        <w:gridCol w:w="3060"/>
        <w:gridCol w:w="3240"/>
      </w:tblGrid>
      <w:tr w:rsidR="00582A99" w:rsidRPr="007715BA" w:rsidTr="008C70DC">
        <w:tc>
          <w:tcPr>
            <w:tcW w:w="2489" w:type="dxa"/>
            <w:gridSpan w:val="2"/>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项目</w:t>
            </w:r>
          </w:p>
        </w:tc>
        <w:tc>
          <w:tcPr>
            <w:tcW w:w="3060" w:type="dxa"/>
            <w:vAlign w:val="center"/>
          </w:tcPr>
          <w:p w:rsidR="00582A99" w:rsidRPr="007715BA" w:rsidRDefault="00582A99" w:rsidP="00C94909">
            <w:pPr>
              <w:jc w:val="center"/>
              <w:rPr>
                <w:color w:val="000000"/>
                <w:szCs w:val="21"/>
              </w:rPr>
            </w:pPr>
            <w:r w:rsidRPr="007715BA">
              <w:rPr>
                <w:color w:val="000000"/>
                <w:szCs w:val="21"/>
              </w:rPr>
              <w:t>基金管理人</w:t>
            </w:r>
          </w:p>
        </w:tc>
        <w:tc>
          <w:tcPr>
            <w:tcW w:w="3240" w:type="dxa"/>
            <w:vAlign w:val="center"/>
          </w:tcPr>
          <w:p w:rsidR="00582A99" w:rsidRPr="007715BA" w:rsidRDefault="00582A99" w:rsidP="00C94909">
            <w:pPr>
              <w:jc w:val="center"/>
              <w:rPr>
                <w:color w:val="000000"/>
                <w:szCs w:val="21"/>
              </w:rPr>
            </w:pPr>
            <w:r w:rsidRPr="007715BA">
              <w:rPr>
                <w:color w:val="000000"/>
                <w:szCs w:val="21"/>
              </w:rPr>
              <w:t>基金托管人</w:t>
            </w:r>
          </w:p>
        </w:tc>
      </w:tr>
      <w:tr w:rsidR="00582A99" w:rsidRPr="007715BA" w:rsidTr="008C70DC">
        <w:tc>
          <w:tcPr>
            <w:tcW w:w="2489" w:type="dxa"/>
            <w:gridSpan w:val="2"/>
            <w:vAlign w:val="center"/>
          </w:tcPr>
          <w:p w:rsidR="009B475A" w:rsidRDefault="00582A99">
            <w:pPr>
              <w:autoSpaceDE w:val="0"/>
              <w:autoSpaceDN w:val="0"/>
              <w:adjustRightInd w:val="0"/>
              <w:spacing w:before="29" w:line="288" w:lineRule="auto"/>
              <w:ind w:left="15"/>
              <w:jc w:val="center"/>
              <w:rPr>
                <w:color w:val="000000"/>
                <w:kern w:val="0"/>
                <w:szCs w:val="21"/>
              </w:rPr>
            </w:pPr>
            <w:r w:rsidRPr="007715BA">
              <w:rPr>
                <w:color w:val="000000"/>
                <w:kern w:val="0"/>
                <w:szCs w:val="21"/>
              </w:rPr>
              <w:t>名称</w:t>
            </w:r>
          </w:p>
        </w:tc>
        <w:tc>
          <w:tcPr>
            <w:tcW w:w="3060" w:type="dxa"/>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国泰基金管理有限公司</w:t>
            </w:r>
          </w:p>
        </w:tc>
        <w:tc>
          <w:tcPr>
            <w:tcW w:w="3240" w:type="dxa"/>
            <w:vAlign w:val="center"/>
          </w:tcPr>
          <w:p w:rsidR="00582A99" w:rsidRPr="007715BA" w:rsidRDefault="00531C52" w:rsidP="00C94909">
            <w:pPr>
              <w:autoSpaceDE w:val="0"/>
              <w:autoSpaceDN w:val="0"/>
              <w:adjustRightInd w:val="0"/>
              <w:spacing w:before="29" w:line="288" w:lineRule="auto"/>
              <w:ind w:left="15"/>
              <w:jc w:val="center"/>
              <w:rPr>
                <w:color w:val="000000"/>
                <w:kern w:val="0"/>
                <w:szCs w:val="21"/>
              </w:rPr>
            </w:pPr>
            <w:r>
              <w:rPr>
                <w:color w:val="000000"/>
                <w:kern w:val="0"/>
                <w:szCs w:val="21"/>
              </w:rPr>
              <w:t>中国建设银行股份有限公司</w:t>
            </w:r>
          </w:p>
        </w:tc>
      </w:tr>
      <w:tr w:rsidR="008C70DC" w:rsidRPr="007715BA" w:rsidTr="00AA1CFA">
        <w:tc>
          <w:tcPr>
            <w:tcW w:w="1118" w:type="dxa"/>
            <w:vMerge w:val="restart"/>
            <w:vAlign w:val="center"/>
          </w:tcPr>
          <w:p w:rsidR="008C70DC" w:rsidRPr="007715BA" w:rsidRDefault="008C70DC" w:rsidP="00C94909">
            <w:pPr>
              <w:autoSpaceDE w:val="0"/>
              <w:autoSpaceDN w:val="0"/>
              <w:adjustRightInd w:val="0"/>
              <w:spacing w:before="29" w:line="360" w:lineRule="auto"/>
              <w:ind w:left="15"/>
              <w:rPr>
                <w:color w:val="000000"/>
                <w:kern w:val="0"/>
                <w:szCs w:val="21"/>
              </w:rPr>
            </w:pPr>
            <w:r w:rsidRPr="007715BA">
              <w:rPr>
                <w:color w:val="000000"/>
                <w:szCs w:val="21"/>
              </w:rPr>
              <w:t>信息披露负责人</w:t>
            </w:r>
          </w:p>
        </w:tc>
        <w:tc>
          <w:tcPr>
            <w:tcW w:w="1371" w:type="dxa"/>
            <w:vAlign w:val="center"/>
          </w:tcPr>
          <w:p w:rsidR="008C70DC" w:rsidRPr="007715BA" w:rsidRDefault="008C70DC" w:rsidP="00C94909">
            <w:pPr>
              <w:jc w:val="center"/>
              <w:rPr>
                <w:color w:val="000000"/>
                <w:szCs w:val="21"/>
              </w:rPr>
            </w:pPr>
            <w:r w:rsidRPr="007715BA">
              <w:rPr>
                <w:color w:val="000000"/>
                <w:szCs w:val="21"/>
              </w:rPr>
              <w:t>姓名</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李永梅</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田青</w:t>
            </w:r>
          </w:p>
        </w:tc>
      </w:tr>
      <w:tr w:rsidR="008C70DC" w:rsidRPr="007715BA" w:rsidTr="00AA1CFA">
        <w:tc>
          <w:tcPr>
            <w:tcW w:w="1118" w:type="dxa"/>
            <w:vMerge/>
            <w:vAlign w:val="center"/>
          </w:tcPr>
          <w:p w:rsidR="008C70DC" w:rsidRPr="007715BA" w:rsidRDefault="008C70DC" w:rsidP="00C94909">
            <w:pPr>
              <w:widowControl/>
              <w:jc w:val="left"/>
              <w:rPr>
                <w:color w:val="000000"/>
                <w:kern w:val="0"/>
                <w:szCs w:val="21"/>
              </w:rPr>
            </w:pPr>
          </w:p>
        </w:tc>
        <w:tc>
          <w:tcPr>
            <w:tcW w:w="1371" w:type="dxa"/>
            <w:vAlign w:val="center"/>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szCs w:val="21"/>
              </w:rPr>
              <w:t>联系电话</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021-31081600</w:t>
            </w:r>
            <w:r w:rsidRPr="007715BA">
              <w:rPr>
                <w:color w:val="000000"/>
                <w:kern w:val="0"/>
                <w:szCs w:val="21"/>
              </w:rPr>
              <w:t>转</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010-67595096</w:t>
            </w:r>
          </w:p>
        </w:tc>
      </w:tr>
      <w:tr w:rsidR="008C70DC" w:rsidRPr="007715BA" w:rsidTr="00AA1CFA">
        <w:tc>
          <w:tcPr>
            <w:tcW w:w="1118" w:type="dxa"/>
            <w:vMerge/>
            <w:vAlign w:val="center"/>
          </w:tcPr>
          <w:p w:rsidR="008C70DC" w:rsidRPr="007715BA" w:rsidRDefault="008C70DC" w:rsidP="00C94909">
            <w:pPr>
              <w:widowControl/>
              <w:jc w:val="left"/>
              <w:rPr>
                <w:color w:val="000000"/>
                <w:kern w:val="0"/>
                <w:szCs w:val="21"/>
              </w:rPr>
            </w:pPr>
          </w:p>
        </w:tc>
        <w:tc>
          <w:tcPr>
            <w:tcW w:w="1371" w:type="dxa"/>
            <w:vAlign w:val="center"/>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szCs w:val="21"/>
              </w:rPr>
              <w:t>电子邮箱</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xinxipilu@gtfund.com</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tianqing1.zh@ccb.com</w:t>
            </w:r>
          </w:p>
        </w:tc>
      </w:tr>
      <w:tr w:rsidR="008C70DC" w:rsidRPr="007715BA" w:rsidTr="008C70DC">
        <w:tc>
          <w:tcPr>
            <w:tcW w:w="2489" w:type="dxa"/>
            <w:gridSpan w:val="2"/>
            <w:vAlign w:val="center"/>
          </w:tcPr>
          <w:p w:rsidR="008C70DC" w:rsidRPr="007715BA" w:rsidRDefault="008C70DC" w:rsidP="00C94909">
            <w:pPr>
              <w:rPr>
                <w:color w:val="000000"/>
                <w:szCs w:val="21"/>
              </w:rPr>
            </w:pPr>
            <w:r w:rsidRPr="007715BA">
              <w:rPr>
                <w:color w:val="000000"/>
                <w:szCs w:val="21"/>
              </w:rPr>
              <w:t>客户服务电话</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w:t>
            </w:r>
            <w:r w:rsidRPr="007715BA">
              <w:rPr>
                <w:color w:val="000000"/>
                <w:kern w:val="0"/>
                <w:szCs w:val="21"/>
              </w:rPr>
              <w:t>021</w:t>
            </w:r>
            <w:r w:rsidRPr="007715BA">
              <w:rPr>
                <w:color w:val="000000"/>
                <w:kern w:val="0"/>
                <w:szCs w:val="21"/>
              </w:rPr>
              <w:t>）</w:t>
            </w:r>
            <w:r w:rsidRPr="007715BA">
              <w:rPr>
                <w:color w:val="000000"/>
                <w:kern w:val="0"/>
                <w:szCs w:val="21"/>
              </w:rPr>
              <w:t>31089000</w:t>
            </w:r>
            <w:r w:rsidRPr="007715BA">
              <w:rPr>
                <w:color w:val="000000"/>
                <w:kern w:val="0"/>
                <w:szCs w:val="21"/>
              </w:rPr>
              <w:t>，</w:t>
            </w:r>
            <w:r w:rsidRPr="007715BA">
              <w:rPr>
                <w:color w:val="000000"/>
                <w:kern w:val="0"/>
                <w:szCs w:val="21"/>
              </w:rPr>
              <w:t>400-888-8688</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010-67595096</w:t>
            </w:r>
          </w:p>
        </w:tc>
      </w:tr>
      <w:tr w:rsidR="008C70DC" w:rsidRPr="007715BA" w:rsidTr="00AA1CFA">
        <w:tc>
          <w:tcPr>
            <w:tcW w:w="2489" w:type="dxa"/>
            <w:gridSpan w:val="2"/>
            <w:vAlign w:val="center"/>
          </w:tcPr>
          <w:p w:rsidR="008C70DC" w:rsidRPr="007715BA" w:rsidRDefault="008C70DC" w:rsidP="00C94909">
            <w:pPr>
              <w:rPr>
                <w:color w:val="000000"/>
                <w:szCs w:val="21"/>
              </w:rPr>
            </w:pPr>
            <w:r w:rsidRPr="007715BA">
              <w:rPr>
                <w:color w:val="000000"/>
                <w:szCs w:val="21"/>
              </w:rPr>
              <w:t>传真</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021-31081800</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010-66275853</w:t>
            </w:r>
          </w:p>
        </w:tc>
      </w:tr>
      <w:tr w:rsidR="008C70DC" w:rsidRPr="007715BA" w:rsidTr="00AA1CFA">
        <w:tc>
          <w:tcPr>
            <w:tcW w:w="2489" w:type="dxa"/>
            <w:gridSpan w:val="2"/>
            <w:vAlign w:val="center"/>
          </w:tcPr>
          <w:p w:rsidR="008C70DC" w:rsidRPr="007715BA" w:rsidRDefault="008C70DC" w:rsidP="00C94909">
            <w:pPr>
              <w:rPr>
                <w:color w:val="000000"/>
                <w:szCs w:val="21"/>
              </w:rPr>
            </w:pPr>
            <w:r w:rsidRPr="007715BA">
              <w:rPr>
                <w:color w:val="000000"/>
                <w:szCs w:val="21"/>
              </w:rPr>
              <w:t>注册地址</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CE460D">
              <w:rPr>
                <w:rFonts w:hint="eastAsia"/>
                <w:color w:val="000000"/>
                <w:kern w:val="0"/>
                <w:szCs w:val="21"/>
              </w:rPr>
              <w:t>中国（上海）自由贸易试验区浦东大道</w:t>
            </w:r>
            <w:r w:rsidRPr="00CE460D">
              <w:rPr>
                <w:rFonts w:hint="eastAsia"/>
                <w:color w:val="000000"/>
                <w:kern w:val="0"/>
                <w:szCs w:val="21"/>
              </w:rPr>
              <w:t>1200</w:t>
            </w:r>
            <w:r w:rsidRPr="00CE460D">
              <w:rPr>
                <w:rFonts w:hint="eastAsia"/>
                <w:color w:val="000000"/>
                <w:kern w:val="0"/>
                <w:szCs w:val="21"/>
              </w:rPr>
              <w:t>号</w:t>
            </w:r>
            <w:r w:rsidRPr="00CE460D">
              <w:rPr>
                <w:rFonts w:hint="eastAsia"/>
                <w:color w:val="000000"/>
                <w:kern w:val="0"/>
                <w:szCs w:val="21"/>
              </w:rPr>
              <w:t>2</w:t>
            </w:r>
            <w:r w:rsidRPr="00CE460D">
              <w:rPr>
                <w:rFonts w:hint="eastAsia"/>
                <w:color w:val="000000"/>
                <w:kern w:val="0"/>
                <w:szCs w:val="21"/>
              </w:rPr>
              <w:t>层</w:t>
            </w:r>
            <w:r w:rsidRPr="00CE460D">
              <w:rPr>
                <w:rFonts w:hint="eastAsia"/>
                <w:color w:val="000000"/>
                <w:kern w:val="0"/>
                <w:szCs w:val="21"/>
              </w:rPr>
              <w:t>225</w:t>
            </w:r>
            <w:r w:rsidRPr="00CE460D">
              <w:rPr>
                <w:rFonts w:hint="eastAsia"/>
                <w:color w:val="000000"/>
                <w:kern w:val="0"/>
                <w:szCs w:val="21"/>
              </w:rPr>
              <w:t>室</w:t>
            </w:r>
          </w:p>
        </w:tc>
        <w:tc>
          <w:tcPr>
            <w:tcW w:w="3240" w:type="dxa"/>
            <w:vAlign w:val="center"/>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北京市西城区金融大街</w:t>
            </w:r>
            <w:r w:rsidRPr="00E52559">
              <w:rPr>
                <w:kern w:val="0"/>
                <w:szCs w:val="21"/>
              </w:rPr>
              <w:t xml:space="preserve">25 </w:t>
            </w:r>
            <w:r w:rsidRPr="00E52559">
              <w:rPr>
                <w:kern w:val="0"/>
                <w:szCs w:val="21"/>
              </w:rPr>
              <w:t>号</w:t>
            </w:r>
          </w:p>
        </w:tc>
      </w:tr>
      <w:tr w:rsidR="008C70DC" w:rsidRPr="007715BA" w:rsidTr="00AA1CFA">
        <w:tc>
          <w:tcPr>
            <w:tcW w:w="2489" w:type="dxa"/>
            <w:gridSpan w:val="2"/>
            <w:vAlign w:val="center"/>
          </w:tcPr>
          <w:p w:rsidR="008C70DC" w:rsidRPr="007715BA" w:rsidRDefault="008C70DC" w:rsidP="00C94909">
            <w:pPr>
              <w:rPr>
                <w:color w:val="000000"/>
                <w:szCs w:val="21"/>
              </w:rPr>
            </w:pPr>
            <w:r w:rsidRPr="007715BA">
              <w:rPr>
                <w:color w:val="000000"/>
                <w:szCs w:val="21"/>
              </w:rPr>
              <w:t>办公地址</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上海市虹口区公平路</w:t>
            </w:r>
            <w:r w:rsidRPr="007715BA">
              <w:rPr>
                <w:color w:val="000000"/>
                <w:kern w:val="0"/>
                <w:szCs w:val="21"/>
              </w:rPr>
              <w:t>18</w:t>
            </w:r>
            <w:r w:rsidRPr="007715BA">
              <w:rPr>
                <w:color w:val="000000"/>
                <w:kern w:val="0"/>
                <w:szCs w:val="21"/>
              </w:rPr>
              <w:t>号</w:t>
            </w:r>
            <w:r w:rsidRPr="007715BA">
              <w:rPr>
                <w:color w:val="000000"/>
                <w:kern w:val="0"/>
                <w:szCs w:val="21"/>
              </w:rPr>
              <w:t>8</w:t>
            </w:r>
            <w:r w:rsidRPr="007715BA">
              <w:rPr>
                <w:color w:val="000000"/>
                <w:kern w:val="0"/>
                <w:szCs w:val="21"/>
              </w:rPr>
              <w:t>号楼嘉昱大厦</w:t>
            </w:r>
            <w:r w:rsidRPr="007715BA">
              <w:rPr>
                <w:color w:val="000000"/>
                <w:kern w:val="0"/>
                <w:szCs w:val="21"/>
              </w:rPr>
              <w:t>16</w:t>
            </w:r>
            <w:r w:rsidRPr="007715BA">
              <w:rPr>
                <w:color w:val="000000"/>
                <w:kern w:val="0"/>
                <w:szCs w:val="21"/>
              </w:rPr>
              <w:t>层</w:t>
            </w:r>
            <w:r w:rsidRPr="007715BA">
              <w:rPr>
                <w:color w:val="000000"/>
                <w:kern w:val="0"/>
                <w:szCs w:val="21"/>
              </w:rPr>
              <w:t>-19</w:t>
            </w:r>
            <w:r w:rsidRPr="007715BA">
              <w:rPr>
                <w:color w:val="000000"/>
                <w:kern w:val="0"/>
                <w:szCs w:val="21"/>
              </w:rPr>
              <w:t>层</w:t>
            </w:r>
          </w:p>
        </w:tc>
        <w:tc>
          <w:tcPr>
            <w:tcW w:w="3240" w:type="dxa"/>
            <w:vAlign w:val="center"/>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北京市西城区闹市口大街</w:t>
            </w:r>
            <w:r w:rsidRPr="00E52559">
              <w:rPr>
                <w:kern w:val="0"/>
                <w:szCs w:val="21"/>
              </w:rPr>
              <w:t xml:space="preserve">1 </w:t>
            </w:r>
            <w:r w:rsidRPr="00E52559">
              <w:rPr>
                <w:kern w:val="0"/>
                <w:szCs w:val="21"/>
              </w:rPr>
              <w:t>号院</w:t>
            </w:r>
            <w:r w:rsidRPr="00E52559">
              <w:rPr>
                <w:kern w:val="0"/>
                <w:szCs w:val="21"/>
              </w:rPr>
              <w:t xml:space="preserve">1 </w:t>
            </w:r>
            <w:r w:rsidRPr="00E52559">
              <w:rPr>
                <w:kern w:val="0"/>
                <w:szCs w:val="21"/>
              </w:rPr>
              <w:t>号楼</w:t>
            </w:r>
          </w:p>
        </w:tc>
      </w:tr>
      <w:tr w:rsidR="008C70DC" w:rsidRPr="007715BA" w:rsidTr="008C70DC">
        <w:tc>
          <w:tcPr>
            <w:tcW w:w="2489" w:type="dxa"/>
            <w:gridSpan w:val="2"/>
            <w:vAlign w:val="center"/>
          </w:tcPr>
          <w:p w:rsidR="008C70DC" w:rsidRPr="007715BA" w:rsidRDefault="008C70DC" w:rsidP="00C94909">
            <w:pPr>
              <w:rPr>
                <w:color w:val="000000"/>
                <w:szCs w:val="21"/>
              </w:rPr>
            </w:pPr>
            <w:r w:rsidRPr="007715BA">
              <w:rPr>
                <w:color w:val="000000"/>
                <w:szCs w:val="21"/>
              </w:rPr>
              <w:t>邮政编码</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200082</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100033</w:t>
            </w:r>
          </w:p>
        </w:tc>
      </w:tr>
      <w:tr w:rsidR="008C70DC" w:rsidRPr="007715BA" w:rsidTr="008C70DC">
        <w:tc>
          <w:tcPr>
            <w:tcW w:w="2489" w:type="dxa"/>
            <w:gridSpan w:val="2"/>
            <w:vAlign w:val="center"/>
          </w:tcPr>
          <w:p w:rsidR="008C70DC" w:rsidRPr="007715BA" w:rsidRDefault="008C70DC" w:rsidP="00C94909">
            <w:pPr>
              <w:rPr>
                <w:color w:val="000000"/>
                <w:szCs w:val="21"/>
              </w:rPr>
            </w:pPr>
            <w:r w:rsidRPr="007715BA">
              <w:rPr>
                <w:color w:val="000000"/>
                <w:szCs w:val="21"/>
              </w:rPr>
              <w:t>法定代表人</w:t>
            </w:r>
          </w:p>
        </w:tc>
        <w:tc>
          <w:tcPr>
            <w:tcW w:w="3060" w:type="dxa"/>
            <w:vAlign w:val="bottom"/>
          </w:tcPr>
          <w:p w:rsidR="008C70DC" w:rsidRPr="007715BA" w:rsidRDefault="008C70DC"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陈勇胜</w:t>
            </w:r>
          </w:p>
        </w:tc>
        <w:tc>
          <w:tcPr>
            <w:tcW w:w="3240" w:type="dxa"/>
            <w:vAlign w:val="bottom"/>
          </w:tcPr>
          <w:p w:rsidR="008C70DC" w:rsidRPr="007715BA" w:rsidRDefault="008C70DC" w:rsidP="00175C8F">
            <w:pPr>
              <w:autoSpaceDE w:val="0"/>
              <w:autoSpaceDN w:val="0"/>
              <w:adjustRightInd w:val="0"/>
              <w:spacing w:before="29" w:line="288" w:lineRule="auto"/>
              <w:ind w:left="15"/>
              <w:jc w:val="center"/>
              <w:rPr>
                <w:color w:val="000000"/>
                <w:kern w:val="0"/>
                <w:szCs w:val="21"/>
              </w:rPr>
            </w:pPr>
            <w:r w:rsidRPr="00E52559">
              <w:rPr>
                <w:kern w:val="0"/>
                <w:szCs w:val="21"/>
              </w:rPr>
              <w:t>田国立</w:t>
            </w:r>
          </w:p>
        </w:tc>
      </w:tr>
    </w:tbl>
    <w:p w:rsidR="001548F9" w:rsidRPr="006F14B8" w:rsidRDefault="0094378D" w:rsidP="00641421">
      <w:pPr>
        <w:pStyle w:val="1"/>
        <w:keepNext/>
        <w:keepLines/>
        <w:widowControl w:val="0"/>
        <w:spacing w:beforeLines="100" w:afterLines="100" w:line="360" w:lineRule="auto"/>
        <w:jc w:val="center"/>
        <w:rPr>
          <w:b/>
          <w:bCs/>
          <w:sz w:val="21"/>
          <w:szCs w:val="21"/>
          <w:lang w:val="en-US"/>
        </w:rPr>
      </w:pPr>
      <w:bookmarkStart w:id="13" w:name="_Toc529469801"/>
      <w:r w:rsidRPr="006F14B8">
        <w:rPr>
          <w:rFonts w:hint="eastAsia"/>
          <w:b/>
          <w:bCs/>
          <w:sz w:val="21"/>
          <w:szCs w:val="21"/>
          <w:lang w:val="en-US"/>
        </w:rPr>
        <w:t>3</w:t>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13"/>
    </w:p>
    <w:p w:rsidR="001548F9" w:rsidRPr="006F14B8" w:rsidRDefault="0094378D" w:rsidP="004C1748">
      <w:pPr>
        <w:pStyle w:val="20"/>
        <w:spacing w:before="0" w:after="0"/>
        <w:rPr>
          <w:rFonts w:ascii="Times New Roman" w:hAnsi="Times New Roman"/>
          <w:kern w:val="0"/>
          <w:sz w:val="21"/>
          <w:szCs w:val="21"/>
        </w:rPr>
      </w:pPr>
      <w:bookmarkStart w:id="14" w:name="_Toc225498268"/>
      <w:bookmarkStart w:id="15" w:name="_Toc390421250"/>
      <w:bookmarkStart w:id="16" w:name="_Toc529469802"/>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.1 </w:t>
      </w:r>
      <w:r w:rsidR="001548F9" w:rsidRPr="006F14B8">
        <w:rPr>
          <w:rFonts w:ascii="Times New Roman" w:hAnsi="Times New Roman"/>
          <w:kern w:val="0"/>
          <w:sz w:val="21"/>
          <w:szCs w:val="21"/>
        </w:rPr>
        <w:t>资产负债表</w:t>
      </w:r>
      <w:bookmarkEnd w:id="14"/>
      <w:bookmarkEnd w:id="15"/>
      <w:bookmarkEnd w:id="16"/>
    </w:p>
    <w:p w:rsidR="00677B43" w:rsidRPr="006F14B8" w:rsidRDefault="001548F9" w:rsidP="004C1748">
      <w:pPr>
        <w:spacing w:line="360" w:lineRule="auto"/>
        <w:rPr>
          <w:color w:val="000000"/>
          <w:szCs w:val="21"/>
        </w:rPr>
      </w:pPr>
      <w:r w:rsidRPr="006F14B8">
        <w:rPr>
          <w:color w:val="000000"/>
          <w:szCs w:val="21"/>
        </w:rPr>
        <w:t>会计主体：</w:t>
      </w:r>
      <w:r w:rsidR="00531C52">
        <w:rPr>
          <w:color w:val="000000"/>
          <w:szCs w:val="21"/>
        </w:rPr>
        <w:t>国泰上证</w:t>
      </w:r>
      <w:r w:rsidR="00531C52">
        <w:rPr>
          <w:color w:val="000000"/>
          <w:szCs w:val="21"/>
        </w:rPr>
        <w:t>5</w:t>
      </w:r>
      <w:r w:rsidR="00531C52">
        <w:rPr>
          <w:color w:val="000000"/>
          <w:szCs w:val="21"/>
        </w:rPr>
        <w:t>年期国债交易型开放式指数证券投资基金联接基金</w:t>
      </w:r>
    </w:p>
    <w:p w:rsidR="001548F9" w:rsidRPr="006F14B8" w:rsidRDefault="001548F9" w:rsidP="004C1748">
      <w:pPr>
        <w:spacing w:line="360" w:lineRule="auto"/>
        <w:rPr>
          <w:color w:val="000000"/>
          <w:szCs w:val="21"/>
        </w:rPr>
      </w:pPr>
      <w:r w:rsidRPr="006F14B8">
        <w:rPr>
          <w:color w:val="000000"/>
          <w:szCs w:val="21"/>
        </w:rPr>
        <w:t>报告截止日：</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16</w:t>
      </w:r>
      <w:r w:rsidR="00531C52">
        <w:rPr>
          <w:color w:val="000000"/>
          <w:szCs w:val="21"/>
        </w:rPr>
        <w:t>日</w:t>
      </w:r>
      <w:r w:rsidR="001539A1">
        <w:rPr>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6"/>
        <w:gridCol w:w="2955"/>
        <w:gridCol w:w="2955"/>
      </w:tblGrid>
      <w:tr w:rsidR="00CE5129" w:rsidRPr="006F14B8" w:rsidTr="00CE5129">
        <w:tc>
          <w:tcPr>
            <w:tcW w:w="1818" w:type="pct"/>
            <w:vAlign w:val="center"/>
          </w:tcPr>
          <w:p w:rsidR="00CE5129" w:rsidRPr="006F14B8" w:rsidRDefault="00CE5129"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CE5129" w:rsidRPr="006F14B8" w:rsidRDefault="00531C52"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10</w:t>
            </w:r>
            <w:r>
              <w:rPr>
                <w:rFonts w:ascii="Times New Roman" w:hAnsi="Times New Roman"/>
                <w:b/>
                <w:color w:val="000000"/>
                <w:kern w:val="2"/>
                <w:sz w:val="21"/>
                <w:szCs w:val="21"/>
              </w:rPr>
              <w:t>月</w:t>
            </w:r>
            <w:r>
              <w:rPr>
                <w:rFonts w:ascii="Times New Roman" w:hAnsi="Times New Roman"/>
                <w:b/>
                <w:color w:val="000000"/>
                <w:kern w:val="2"/>
                <w:sz w:val="21"/>
                <w:szCs w:val="21"/>
              </w:rPr>
              <w:t>16</w:t>
            </w:r>
            <w:r>
              <w:rPr>
                <w:rFonts w:ascii="Times New Roman" w:hAnsi="Times New Roman"/>
                <w:b/>
                <w:color w:val="000000"/>
                <w:kern w:val="2"/>
                <w:sz w:val="21"/>
                <w:szCs w:val="21"/>
              </w:rPr>
              <w:t>日</w:t>
            </w:r>
          </w:p>
          <w:p w:rsidR="00CE5129" w:rsidRPr="006F14B8" w:rsidRDefault="004C5E03" w:rsidP="0094378D">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CE5129"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CE5129" w:rsidRPr="006F14B8">
              <w:rPr>
                <w:rFonts w:ascii="Times New Roman" w:hAnsi="Times New Roman"/>
                <w:b/>
                <w:color w:val="000000"/>
                <w:sz w:val="21"/>
                <w:szCs w:val="21"/>
              </w:rPr>
              <w:t>年</w:t>
            </w:r>
            <w:r w:rsidR="00CE5129" w:rsidRPr="006F14B8">
              <w:rPr>
                <w:rFonts w:ascii="Times New Roman" w:hAnsi="Times New Roman"/>
                <w:b/>
                <w:color w:val="000000"/>
                <w:sz w:val="21"/>
                <w:szCs w:val="21"/>
              </w:rPr>
              <w:t>12</w:t>
            </w:r>
            <w:r w:rsidR="00CE5129" w:rsidRPr="006F14B8">
              <w:rPr>
                <w:rFonts w:ascii="Times New Roman" w:hAnsi="Times New Roman"/>
                <w:b/>
                <w:color w:val="000000"/>
                <w:sz w:val="21"/>
                <w:szCs w:val="21"/>
              </w:rPr>
              <w:t>月</w:t>
            </w:r>
            <w:r w:rsidR="00CE5129" w:rsidRPr="006F14B8">
              <w:rPr>
                <w:rFonts w:ascii="Times New Roman" w:hAnsi="Times New Roman"/>
                <w:b/>
                <w:color w:val="000000"/>
                <w:sz w:val="21"/>
                <w:szCs w:val="21"/>
              </w:rPr>
              <w:t>31</w:t>
            </w:r>
            <w:r w:rsidR="00CE5129" w:rsidRPr="006F14B8">
              <w:rPr>
                <w:rFonts w:ascii="Times New Roman" w:hAnsi="Times New Roman"/>
                <w:b/>
                <w:color w:val="000000"/>
                <w:sz w:val="21"/>
                <w:szCs w:val="21"/>
              </w:rPr>
              <w:t>日</w:t>
            </w:r>
          </w:p>
        </w:tc>
      </w:tr>
      <w:tr w:rsidR="00677B43" w:rsidRPr="006F14B8" w:rsidTr="00CE5129">
        <w:tc>
          <w:tcPr>
            <w:tcW w:w="1818" w:type="pct"/>
            <w:vAlign w:val="center"/>
          </w:tcPr>
          <w:p w:rsidR="00677B43" w:rsidRPr="006F14B8" w:rsidRDefault="00677B43" w:rsidP="00F73D0C">
            <w:pPr>
              <w:rPr>
                <w:b/>
                <w:color w:val="000000"/>
                <w:szCs w:val="21"/>
              </w:rPr>
            </w:pPr>
            <w:r w:rsidRPr="006F14B8">
              <w:rPr>
                <w:b/>
                <w:color w:val="000000"/>
                <w:szCs w:val="21"/>
              </w:rPr>
              <w:t>资产：</w:t>
            </w:r>
          </w:p>
        </w:tc>
        <w:tc>
          <w:tcPr>
            <w:tcW w:w="1591" w:type="pct"/>
            <w:vAlign w:val="bottom"/>
          </w:tcPr>
          <w:p w:rsidR="00677B43" w:rsidRPr="006F14B8" w:rsidRDefault="008B0C6B">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Cs w:val="21"/>
              </w:rPr>
            </w:pPr>
            <w:r w:rsidRPr="006F14B8">
              <w:rPr>
                <w:color w:val="000000"/>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银行存款</w:t>
            </w:r>
          </w:p>
        </w:tc>
        <w:tc>
          <w:tcPr>
            <w:tcW w:w="1591" w:type="pct"/>
            <w:vAlign w:val="bottom"/>
          </w:tcPr>
          <w:p w:rsidR="00823A9D" w:rsidRPr="00E7315A" w:rsidRDefault="00823A9D" w:rsidP="00DB368A">
            <w:pPr>
              <w:ind w:firstLineChars="200" w:firstLine="440"/>
              <w:jc w:val="right"/>
              <w:rPr>
                <w:color w:val="000000"/>
                <w:sz w:val="22"/>
                <w:szCs w:val="22"/>
              </w:rPr>
            </w:pPr>
            <w:r>
              <w:rPr>
                <w:rFonts w:hint="eastAsia"/>
                <w:color w:val="000000"/>
                <w:sz w:val="22"/>
                <w:szCs w:val="22"/>
              </w:rPr>
              <w:t>15,218.19</w:t>
            </w:r>
          </w:p>
        </w:tc>
        <w:tc>
          <w:tcPr>
            <w:tcW w:w="1591" w:type="pct"/>
            <w:vAlign w:val="center"/>
          </w:tcPr>
          <w:p w:rsidR="00823A9D" w:rsidRPr="006F14B8" w:rsidRDefault="00823A9D" w:rsidP="00191DAC">
            <w:pPr>
              <w:jc w:val="right"/>
              <w:rPr>
                <w:color w:val="000000"/>
                <w:sz w:val="22"/>
                <w:szCs w:val="22"/>
              </w:rPr>
            </w:pPr>
            <w:r w:rsidRPr="00E52559">
              <w:rPr>
                <w:szCs w:val="21"/>
              </w:rPr>
              <w:t>1,048,778.20</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结算备付金</w:t>
            </w:r>
          </w:p>
        </w:tc>
        <w:tc>
          <w:tcPr>
            <w:tcW w:w="1591" w:type="pct"/>
            <w:vAlign w:val="bottom"/>
          </w:tcPr>
          <w:p w:rsidR="00823A9D" w:rsidRPr="00E7315A" w:rsidRDefault="00823A9D" w:rsidP="00DB368A">
            <w:pPr>
              <w:ind w:firstLineChars="200" w:firstLine="440"/>
              <w:jc w:val="right"/>
              <w:rPr>
                <w:color w:val="000000"/>
                <w:sz w:val="22"/>
                <w:szCs w:val="22"/>
              </w:rPr>
            </w:pPr>
            <w:r>
              <w:rPr>
                <w:rFonts w:hint="eastAsia"/>
                <w:color w:val="000000"/>
                <w:sz w:val="22"/>
                <w:szCs w:val="22"/>
              </w:rPr>
              <w:t>2,105.42</w:t>
            </w:r>
          </w:p>
        </w:tc>
        <w:tc>
          <w:tcPr>
            <w:tcW w:w="1591" w:type="pct"/>
            <w:vAlign w:val="center"/>
          </w:tcPr>
          <w:p w:rsidR="00823A9D" w:rsidRPr="006F14B8" w:rsidRDefault="00823A9D" w:rsidP="00191DAC">
            <w:pPr>
              <w:jc w:val="right"/>
              <w:rPr>
                <w:color w:val="000000"/>
                <w:sz w:val="22"/>
                <w:szCs w:val="22"/>
              </w:rPr>
            </w:pPr>
            <w:r w:rsidRPr="00E52559">
              <w:rPr>
                <w:szCs w:val="21"/>
              </w:rPr>
              <w:t>21,550.31</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存出保证金</w:t>
            </w:r>
          </w:p>
        </w:tc>
        <w:tc>
          <w:tcPr>
            <w:tcW w:w="1591" w:type="pct"/>
            <w:vAlign w:val="bottom"/>
          </w:tcPr>
          <w:p w:rsidR="00823A9D" w:rsidRPr="00E7315A" w:rsidRDefault="00823A9D" w:rsidP="00C87528">
            <w:pPr>
              <w:jc w:val="right"/>
              <w:rPr>
                <w:color w:val="000000"/>
                <w:sz w:val="22"/>
                <w:szCs w:val="22"/>
              </w:rPr>
            </w:pPr>
            <w:r>
              <w:rPr>
                <w:rFonts w:hint="eastAsia"/>
                <w:color w:val="000000"/>
                <w:sz w:val="22"/>
                <w:szCs w:val="22"/>
              </w:rPr>
              <w:t>1,947.37</w:t>
            </w:r>
          </w:p>
        </w:tc>
        <w:tc>
          <w:tcPr>
            <w:tcW w:w="1591" w:type="pct"/>
            <w:vAlign w:val="center"/>
          </w:tcPr>
          <w:p w:rsidR="00823A9D" w:rsidRPr="006F14B8" w:rsidRDefault="00823A9D" w:rsidP="00191DAC">
            <w:pPr>
              <w:jc w:val="right"/>
              <w:rPr>
                <w:color w:val="000000"/>
                <w:sz w:val="22"/>
                <w:szCs w:val="22"/>
              </w:rPr>
            </w:pPr>
            <w:r w:rsidRPr="00E52559">
              <w:rPr>
                <w:szCs w:val="21"/>
              </w:rPr>
              <w:t>1,354.89</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交易性金融资产</w:t>
            </w:r>
          </w:p>
        </w:tc>
        <w:tc>
          <w:tcPr>
            <w:tcW w:w="1591" w:type="pct"/>
            <w:vAlign w:val="bottom"/>
          </w:tcPr>
          <w:p w:rsidR="00823A9D" w:rsidRDefault="00823A9D">
            <w:pPr>
              <w:jc w:val="right"/>
              <w:rPr>
                <w:rFonts w:ascii="宋体" w:hAnsi="宋体" w:cs="宋体"/>
                <w:color w:val="000000"/>
                <w:sz w:val="22"/>
                <w:szCs w:val="22"/>
              </w:rPr>
            </w:pPr>
            <w:r>
              <w:rPr>
                <w:rFonts w:hint="eastAsia"/>
                <w:color w:val="000000"/>
                <w:sz w:val="22"/>
                <w:szCs w:val="22"/>
              </w:rPr>
              <w:t>8,453,329.34</w:t>
            </w:r>
          </w:p>
        </w:tc>
        <w:tc>
          <w:tcPr>
            <w:tcW w:w="1591" w:type="pct"/>
            <w:vAlign w:val="center"/>
          </w:tcPr>
          <w:p w:rsidR="00823A9D" w:rsidRPr="006F14B8" w:rsidRDefault="00823A9D" w:rsidP="00191DAC">
            <w:pPr>
              <w:jc w:val="right"/>
              <w:rPr>
                <w:color w:val="000000"/>
                <w:sz w:val="22"/>
                <w:szCs w:val="22"/>
              </w:rPr>
            </w:pPr>
            <w:r w:rsidRPr="00E52559">
              <w:rPr>
                <w:szCs w:val="21"/>
              </w:rPr>
              <w:t>8,364,387.10</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其中：股票投资</w:t>
            </w:r>
          </w:p>
        </w:tc>
        <w:tc>
          <w:tcPr>
            <w:tcW w:w="1591" w:type="pct"/>
            <w:vAlign w:val="bottom"/>
          </w:tcPr>
          <w:p w:rsidR="00823A9D" w:rsidRPr="00E7315A" w:rsidRDefault="00823A9D" w:rsidP="00DB368A">
            <w:pPr>
              <w:ind w:firstLineChars="200" w:firstLine="440"/>
              <w:jc w:val="right"/>
              <w:rPr>
                <w:color w:val="000000"/>
                <w:sz w:val="22"/>
                <w:szCs w:val="22"/>
              </w:rPr>
            </w:pPr>
            <w:r>
              <w:rPr>
                <w:rFonts w:hint="eastAsia"/>
                <w:color w:val="000000"/>
                <w:sz w:val="22"/>
                <w:szCs w:val="22"/>
              </w:rPr>
              <w:t>-</w:t>
            </w:r>
          </w:p>
        </w:tc>
        <w:tc>
          <w:tcPr>
            <w:tcW w:w="1591" w:type="pct"/>
            <w:vAlign w:val="center"/>
          </w:tcPr>
          <w:p w:rsidR="00823A9D" w:rsidRPr="00E7315A" w:rsidRDefault="00823A9D" w:rsidP="00191DAC">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1591" w:type="pct"/>
            <w:vAlign w:val="bottom"/>
          </w:tcPr>
          <w:p w:rsidR="00823A9D" w:rsidRPr="00E7315A" w:rsidRDefault="00823A9D" w:rsidP="00DF2AAC">
            <w:pPr>
              <w:jc w:val="right"/>
              <w:rPr>
                <w:color w:val="000000"/>
                <w:sz w:val="22"/>
                <w:szCs w:val="22"/>
              </w:rPr>
            </w:pPr>
            <w:r>
              <w:rPr>
                <w:rFonts w:hint="eastAsia"/>
                <w:color w:val="000000"/>
                <w:sz w:val="22"/>
                <w:szCs w:val="22"/>
              </w:rPr>
              <w:t>7,900,414.34</w:t>
            </w:r>
          </w:p>
        </w:tc>
        <w:tc>
          <w:tcPr>
            <w:tcW w:w="1591" w:type="pct"/>
            <w:vAlign w:val="center"/>
          </w:tcPr>
          <w:p w:rsidR="00823A9D" w:rsidRPr="006F14B8" w:rsidRDefault="00823A9D" w:rsidP="00191DAC">
            <w:pPr>
              <w:jc w:val="right"/>
              <w:rPr>
                <w:color w:val="000000"/>
                <w:sz w:val="22"/>
                <w:szCs w:val="22"/>
              </w:rPr>
            </w:pPr>
            <w:r w:rsidRPr="00E52559">
              <w:rPr>
                <w:szCs w:val="21"/>
              </w:rPr>
              <w:t>7,885,155.10</w:t>
            </w:r>
          </w:p>
        </w:tc>
      </w:tr>
      <w:tr w:rsidR="00823A9D" w:rsidRPr="006F14B8" w:rsidTr="00037B23">
        <w:tc>
          <w:tcPr>
            <w:tcW w:w="1818" w:type="pct"/>
            <w:vAlign w:val="center"/>
          </w:tcPr>
          <w:p w:rsidR="00823A9D" w:rsidRPr="006F14B8" w:rsidRDefault="00823A9D" w:rsidP="005B2B01">
            <w:pPr>
              <w:ind w:firstLineChars="300" w:firstLine="630"/>
              <w:rPr>
                <w:color w:val="000000"/>
                <w:szCs w:val="21"/>
              </w:rPr>
            </w:pPr>
            <w:r w:rsidRPr="006F14B8">
              <w:rPr>
                <w:color w:val="000000"/>
                <w:szCs w:val="21"/>
              </w:rPr>
              <w:t>债券投资</w:t>
            </w:r>
          </w:p>
        </w:tc>
        <w:tc>
          <w:tcPr>
            <w:tcW w:w="1591" w:type="pct"/>
            <w:vAlign w:val="bottom"/>
          </w:tcPr>
          <w:p w:rsidR="00823A9D" w:rsidRPr="00E7315A" w:rsidRDefault="00823A9D" w:rsidP="00DF2AAC">
            <w:pPr>
              <w:jc w:val="right"/>
              <w:rPr>
                <w:color w:val="000000"/>
                <w:sz w:val="22"/>
                <w:szCs w:val="22"/>
              </w:rPr>
            </w:pPr>
            <w:r>
              <w:rPr>
                <w:rFonts w:hint="eastAsia"/>
                <w:color w:val="000000"/>
                <w:sz w:val="22"/>
                <w:szCs w:val="22"/>
              </w:rPr>
              <w:t>552,915.00</w:t>
            </w:r>
          </w:p>
        </w:tc>
        <w:tc>
          <w:tcPr>
            <w:tcW w:w="1591" w:type="pct"/>
            <w:vAlign w:val="center"/>
          </w:tcPr>
          <w:p w:rsidR="00823A9D" w:rsidRPr="00E7315A" w:rsidRDefault="00823A9D" w:rsidP="00175C8F">
            <w:pPr>
              <w:jc w:val="right"/>
              <w:rPr>
                <w:color w:val="000000"/>
                <w:sz w:val="22"/>
                <w:szCs w:val="22"/>
              </w:rPr>
            </w:pPr>
            <w:r w:rsidRPr="00E52559">
              <w:rPr>
                <w:szCs w:val="21"/>
              </w:rPr>
              <w:t>479,232.00</w:t>
            </w:r>
          </w:p>
        </w:tc>
      </w:tr>
      <w:tr w:rsidR="00823A9D" w:rsidRPr="006F14B8" w:rsidTr="00037B23">
        <w:tc>
          <w:tcPr>
            <w:tcW w:w="1818" w:type="pct"/>
            <w:vAlign w:val="center"/>
          </w:tcPr>
          <w:p w:rsidR="00823A9D" w:rsidRPr="006F14B8" w:rsidRDefault="00823A9D" w:rsidP="005B2B01">
            <w:pPr>
              <w:ind w:firstLineChars="300" w:firstLine="630"/>
              <w:rPr>
                <w:color w:val="000000"/>
                <w:szCs w:val="21"/>
              </w:rPr>
            </w:pPr>
            <w:r w:rsidRPr="006F14B8">
              <w:rPr>
                <w:color w:val="000000"/>
                <w:szCs w:val="21"/>
              </w:rPr>
              <w:t>资产支持证券投资</w:t>
            </w:r>
          </w:p>
        </w:tc>
        <w:tc>
          <w:tcPr>
            <w:tcW w:w="1591" w:type="pct"/>
            <w:vAlign w:val="bottom"/>
          </w:tcPr>
          <w:p w:rsidR="00A15FEB" w:rsidRDefault="00823A9D">
            <w:pPr>
              <w:jc w:val="right"/>
              <w:rPr>
                <w:color w:val="000000"/>
                <w:sz w:val="22"/>
                <w:szCs w:val="22"/>
              </w:rPr>
            </w:pPr>
            <w:r>
              <w:rPr>
                <w:rFonts w:hint="eastAsia"/>
                <w:color w:val="000000"/>
                <w:sz w:val="22"/>
                <w:szCs w:val="22"/>
              </w:rPr>
              <w:t>-</w:t>
            </w:r>
          </w:p>
        </w:tc>
        <w:tc>
          <w:tcPr>
            <w:tcW w:w="1591" w:type="pct"/>
            <w:vAlign w:val="center"/>
          </w:tcPr>
          <w:p w:rsidR="00823A9D" w:rsidRPr="00E7315A" w:rsidRDefault="00823A9D" w:rsidP="00175C8F">
            <w:pPr>
              <w:jc w:val="right"/>
              <w:rPr>
                <w:color w:val="000000"/>
                <w:sz w:val="22"/>
                <w:szCs w:val="22"/>
              </w:rPr>
            </w:pPr>
            <w:r w:rsidRPr="00E52559">
              <w:rPr>
                <w:szCs w:val="21"/>
              </w:rPr>
              <w:t>-</w:t>
            </w:r>
          </w:p>
        </w:tc>
      </w:tr>
      <w:tr w:rsidR="00823A9D" w:rsidRPr="006F14B8" w:rsidTr="00CF2EE6">
        <w:trPr>
          <w:trHeight w:val="70"/>
        </w:trPr>
        <w:tc>
          <w:tcPr>
            <w:tcW w:w="1818" w:type="pct"/>
            <w:vAlign w:val="center"/>
          </w:tcPr>
          <w:p w:rsidR="00823A9D" w:rsidRPr="006F14B8" w:rsidRDefault="00E11A39" w:rsidP="00CF2EE6">
            <w:pPr>
              <w:ind w:firstLineChars="300" w:firstLine="630"/>
              <w:rPr>
                <w:rFonts w:eastAsiaTheme="minorEastAsia"/>
                <w:color w:val="000000"/>
                <w:szCs w:val="21"/>
              </w:rPr>
            </w:pPr>
            <w:r>
              <w:rPr>
                <w:rFonts w:hint="eastAsia"/>
              </w:rPr>
              <w:t>贵金属</w:t>
            </w:r>
            <w:r w:rsidR="00823A9D" w:rsidRPr="006F14B8">
              <w:t>投资</w:t>
            </w:r>
          </w:p>
        </w:tc>
        <w:tc>
          <w:tcPr>
            <w:tcW w:w="1591" w:type="pct"/>
            <w:vAlign w:val="bottom"/>
          </w:tcPr>
          <w:p w:rsidR="00823A9D" w:rsidRDefault="00823A9D" w:rsidP="00CF2EE6">
            <w:pPr>
              <w:jc w:val="right"/>
              <w:rPr>
                <w:color w:val="000000"/>
                <w:sz w:val="22"/>
                <w:szCs w:val="22"/>
              </w:rPr>
            </w:pPr>
            <w:r>
              <w:rPr>
                <w:rFonts w:hint="eastAsia"/>
                <w:color w:val="000000"/>
                <w:sz w:val="22"/>
                <w:szCs w:val="22"/>
              </w:rPr>
              <w:t>-</w:t>
            </w:r>
          </w:p>
        </w:tc>
        <w:tc>
          <w:tcPr>
            <w:tcW w:w="1591" w:type="pct"/>
            <w:vAlign w:val="center"/>
          </w:tcPr>
          <w:p w:rsidR="00823A9D" w:rsidRDefault="00823A9D" w:rsidP="00CF2EE6">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衍生金融资产</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买入返售金融资产</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应收证券清算款</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应收利息</w:t>
            </w:r>
          </w:p>
        </w:tc>
        <w:tc>
          <w:tcPr>
            <w:tcW w:w="1591" w:type="pct"/>
            <w:vAlign w:val="bottom"/>
          </w:tcPr>
          <w:p w:rsidR="00823A9D" w:rsidRPr="00E7315A" w:rsidRDefault="00823A9D" w:rsidP="008B0C6B">
            <w:pPr>
              <w:jc w:val="right"/>
              <w:rPr>
                <w:color w:val="000000"/>
                <w:sz w:val="22"/>
                <w:szCs w:val="22"/>
              </w:rPr>
            </w:pPr>
            <w:r w:rsidRPr="00823A9D">
              <w:rPr>
                <w:color w:val="000000"/>
                <w:sz w:val="22"/>
                <w:szCs w:val="22"/>
              </w:rPr>
              <w:t>12</w:t>
            </w:r>
            <w:r>
              <w:rPr>
                <w:rFonts w:hint="eastAsia"/>
                <w:color w:val="000000"/>
                <w:sz w:val="22"/>
                <w:szCs w:val="22"/>
              </w:rPr>
              <w:t>,</w:t>
            </w:r>
            <w:r w:rsidRPr="00823A9D">
              <w:rPr>
                <w:color w:val="000000"/>
                <w:sz w:val="22"/>
                <w:szCs w:val="22"/>
              </w:rPr>
              <w:t>166.72</w:t>
            </w:r>
          </w:p>
        </w:tc>
        <w:tc>
          <w:tcPr>
            <w:tcW w:w="1591" w:type="pct"/>
            <w:vAlign w:val="center"/>
          </w:tcPr>
          <w:p w:rsidR="00823A9D" w:rsidRPr="00E7315A" w:rsidRDefault="00823A9D" w:rsidP="00175C8F">
            <w:pPr>
              <w:jc w:val="right"/>
              <w:rPr>
                <w:color w:val="000000"/>
                <w:sz w:val="22"/>
                <w:szCs w:val="22"/>
              </w:rPr>
            </w:pPr>
            <w:r w:rsidRPr="00E52559">
              <w:rPr>
                <w:szCs w:val="21"/>
              </w:rPr>
              <w:t>10,864.89</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应收股利</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E7315A" w:rsidRDefault="00823A9D" w:rsidP="00175C8F">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应收申购款</w:t>
            </w:r>
          </w:p>
        </w:tc>
        <w:tc>
          <w:tcPr>
            <w:tcW w:w="1591" w:type="pct"/>
            <w:vAlign w:val="bottom"/>
          </w:tcPr>
          <w:p w:rsidR="00823A9D" w:rsidRPr="00E7315A" w:rsidRDefault="00823A9D" w:rsidP="00C504E0">
            <w:pPr>
              <w:ind w:firstLineChars="200" w:firstLine="440"/>
              <w:jc w:val="right"/>
              <w:rPr>
                <w:color w:val="000000"/>
                <w:sz w:val="22"/>
                <w:szCs w:val="22"/>
              </w:rPr>
            </w:pPr>
            <w:r w:rsidRPr="00645BCD">
              <w:rPr>
                <w:color w:val="000000"/>
                <w:sz w:val="22"/>
                <w:szCs w:val="22"/>
              </w:rPr>
              <w:t>-</w:t>
            </w:r>
          </w:p>
        </w:tc>
        <w:tc>
          <w:tcPr>
            <w:tcW w:w="1591" w:type="pct"/>
            <w:vAlign w:val="center"/>
          </w:tcPr>
          <w:p w:rsidR="00823A9D" w:rsidRPr="00E7315A" w:rsidRDefault="00823A9D" w:rsidP="00175C8F">
            <w:pPr>
              <w:jc w:val="right"/>
              <w:rPr>
                <w:color w:val="000000"/>
                <w:sz w:val="22"/>
                <w:szCs w:val="22"/>
              </w:rPr>
            </w:pPr>
            <w:r w:rsidRPr="00E52559">
              <w:rPr>
                <w:szCs w:val="21"/>
              </w:rPr>
              <w:t>286,189.00</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递延所得税资产</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其他资产</w:t>
            </w:r>
          </w:p>
        </w:tc>
        <w:tc>
          <w:tcPr>
            <w:tcW w:w="1591" w:type="pct"/>
            <w:vAlign w:val="bottom"/>
          </w:tcPr>
          <w:p w:rsidR="00823A9D" w:rsidRPr="00E7315A" w:rsidRDefault="00823A9D" w:rsidP="00DF2AAC">
            <w:pPr>
              <w:jc w:val="right"/>
              <w:rPr>
                <w:color w:val="000000"/>
                <w:sz w:val="22"/>
                <w:szCs w:val="22"/>
              </w:rPr>
            </w:pPr>
            <w:r w:rsidRPr="00645BCD">
              <w:rPr>
                <w:color w:val="000000"/>
                <w:sz w:val="22"/>
                <w:szCs w:val="22"/>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823A9D" w:rsidTr="00AA1CFA">
        <w:tc>
          <w:tcPr>
            <w:tcW w:w="1818" w:type="pct"/>
            <w:vAlign w:val="center"/>
          </w:tcPr>
          <w:p w:rsidR="00823A9D" w:rsidRPr="006F14B8" w:rsidRDefault="00823A9D" w:rsidP="00F73D0C">
            <w:pPr>
              <w:rPr>
                <w:b/>
                <w:color w:val="000000"/>
                <w:szCs w:val="21"/>
              </w:rPr>
            </w:pPr>
            <w:r w:rsidRPr="006F14B8">
              <w:rPr>
                <w:b/>
                <w:color w:val="000000"/>
                <w:szCs w:val="21"/>
              </w:rPr>
              <w:t>资产总计</w:t>
            </w:r>
          </w:p>
        </w:tc>
        <w:tc>
          <w:tcPr>
            <w:tcW w:w="1591" w:type="pct"/>
            <w:vAlign w:val="bottom"/>
          </w:tcPr>
          <w:p w:rsidR="00823A9D" w:rsidRDefault="00823A9D">
            <w:pPr>
              <w:jc w:val="right"/>
              <w:rPr>
                <w:rFonts w:ascii="宋体" w:hAnsi="宋体" w:cs="宋体"/>
                <w:b/>
                <w:color w:val="000000"/>
                <w:sz w:val="22"/>
                <w:szCs w:val="22"/>
              </w:rPr>
            </w:pPr>
            <w:r w:rsidRPr="00823A9D">
              <w:rPr>
                <w:b/>
                <w:color w:val="000000"/>
                <w:sz w:val="22"/>
                <w:szCs w:val="22"/>
              </w:rPr>
              <w:t>8</w:t>
            </w:r>
            <w:r>
              <w:rPr>
                <w:rFonts w:hint="eastAsia"/>
                <w:b/>
                <w:color w:val="000000"/>
                <w:sz w:val="22"/>
                <w:szCs w:val="22"/>
              </w:rPr>
              <w:t>,</w:t>
            </w:r>
            <w:r w:rsidRPr="00823A9D">
              <w:rPr>
                <w:b/>
                <w:color w:val="000000"/>
                <w:sz w:val="22"/>
                <w:szCs w:val="22"/>
              </w:rPr>
              <w:t>484</w:t>
            </w:r>
            <w:r>
              <w:rPr>
                <w:rFonts w:hint="eastAsia"/>
                <w:b/>
                <w:color w:val="000000"/>
                <w:sz w:val="22"/>
                <w:szCs w:val="22"/>
              </w:rPr>
              <w:t>,</w:t>
            </w:r>
            <w:r w:rsidRPr="00823A9D">
              <w:rPr>
                <w:b/>
                <w:color w:val="000000"/>
                <w:sz w:val="22"/>
                <w:szCs w:val="22"/>
              </w:rPr>
              <w:t>767.04</w:t>
            </w:r>
          </w:p>
        </w:tc>
        <w:tc>
          <w:tcPr>
            <w:tcW w:w="1591" w:type="pct"/>
            <w:vAlign w:val="center"/>
          </w:tcPr>
          <w:p w:rsidR="00823A9D" w:rsidRPr="00823A9D" w:rsidRDefault="00825013" w:rsidP="00191DAC">
            <w:pPr>
              <w:jc w:val="right"/>
              <w:rPr>
                <w:b/>
                <w:color w:val="000000"/>
                <w:sz w:val="22"/>
                <w:szCs w:val="22"/>
              </w:rPr>
            </w:pPr>
            <w:r w:rsidRPr="00825013">
              <w:rPr>
                <w:b/>
                <w:szCs w:val="21"/>
              </w:rPr>
              <w:t>9,733,124.39</w:t>
            </w:r>
          </w:p>
        </w:tc>
      </w:tr>
      <w:tr w:rsidR="008A5F02" w:rsidRPr="006F14B8" w:rsidTr="00CE5129">
        <w:tc>
          <w:tcPr>
            <w:tcW w:w="1818" w:type="pct"/>
            <w:vAlign w:val="center"/>
          </w:tcPr>
          <w:p w:rsidR="008A5F02" w:rsidRPr="006F14B8" w:rsidRDefault="008A5F02"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1591" w:type="pct"/>
            <w:vAlign w:val="center"/>
          </w:tcPr>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8A5F02" w:rsidRPr="006F14B8" w:rsidRDefault="00531C52"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2018</w:t>
            </w:r>
            <w:r>
              <w:rPr>
                <w:rFonts w:ascii="Times New Roman" w:hAnsi="Times New Roman"/>
                <w:b/>
                <w:color w:val="000000"/>
                <w:kern w:val="2"/>
                <w:sz w:val="21"/>
                <w:szCs w:val="21"/>
              </w:rPr>
              <w:t>年</w:t>
            </w:r>
            <w:r>
              <w:rPr>
                <w:rFonts w:ascii="Times New Roman" w:hAnsi="Times New Roman"/>
                <w:b/>
                <w:color w:val="000000"/>
                <w:kern w:val="2"/>
                <w:sz w:val="21"/>
                <w:szCs w:val="21"/>
              </w:rPr>
              <w:t>10</w:t>
            </w:r>
            <w:r>
              <w:rPr>
                <w:rFonts w:ascii="Times New Roman" w:hAnsi="Times New Roman"/>
                <w:b/>
                <w:color w:val="000000"/>
                <w:kern w:val="2"/>
                <w:sz w:val="21"/>
                <w:szCs w:val="21"/>
              </w:rPr>
              <w:t>月</w:t>
            </w:r>
            <w:r>
              <w:rPr>
                <w:rFonts w:ascii="Times New Roman" w:hAnsi="Times New Roman"/>
                <w:b/>
                <w:color w:val="000000"/>
                <w:kern w:val="2"/>
                <w:sz w:val="21"/>
                <w:szCs w:val="21"/>
              </w:rPr>
              <w:t>16</w:t>
            </w:r>
            <w:r>
              <w:rPr>
                <w:rFonts w:ascii="Times New Roman" w:hAnsi="Times New Roman"/>
                <w:b/>
                <w:color w:val="000000"/>
                <w:kern w:val="2"/>
                <w:sz w:val="21"/>
                <w:szCs w:val="21"/>
              </w:rPr>
              <w:t>日</w:t>
            </w:r>
          </w:p>
          <w:p w:rsidR="008A5F02" w:rsidRPr="006F14B8" w:rsidRDefault="004C5E03" w:rsidP="00C87528">
            <w:pPr>
              <w:pStyle w:val="af6"/>
              <w:spacing w:before="0" w:beforeAutospacing="0" w:after="0" w:afterAutospacing="0"/>
              <w:jc w:val="center"/>
              <w:rPr>
                <w:rFonts w:ascii="Times New Roman" w:hAnsi="Times New Roman"/>
                <w:b/>
                <w:color w:val="000000"/>
                <w:sz w:val="21"/>
                <w:szCs w:val="21"/>
              </w:rPr>
            </w:pPr>
            <w:r>
              <w:rPr>
                <w:rFonts w:ascii="Times New Roman" w:hAnsi="Times New Roman" w:hint="eastAsia"/>
                <w:b/>
                <w:color w:val="000000"/>
                <w:sz w:val="21"/>
                <w:szCs w:val="21"/>
              </w:rPr>
              <w:t>（</w:t>
            </w:r>
            <w:r w:rsidR="008A5F02" w:rsidRPr="006F14B8">
              <w:rPr>
                <w:rFonts w:ascii="Times New Roman" w:hAnsi="Times New Roman" w:hint="eastAsia"/>
                <w:b/>
                <w:color w:val="000000"/>
                <w:sz w:val="21"/>
                <w:szCs w:val="21"/>
              </w:rPr>
              <w:t>基金最后运作日</w:t>
            </w:r>
            <w:r>
              <w:rPr>
                <w:rFonts w:ascii="Times New Roman" w:hAnsi="Times New Roman" w:hint="eastAsia"/>
                <w:b/>
                <w:color w:val="000000"/>
                <w:sz w:val="21"/>
                <w:szCs w:val="21"/>
              </w:rPr>
              <w:t>）</w:t>
            </w:r>
          </w:p>
        </w:tc>
        <w:tc>
          <w:tcPr>
            <w:tcW w:w="1591" w:type="pct"/>
            <w:vAlign w:val="center"/>
          </w:tcPr>
          <w:p w:rsidR="008A5F02" w:rsidRPr="006F14B8" w:rsidRDefault="008A5F02">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A06FF9" w:rsidRDefault="00D8112A" w:rsidP="00CF2EE6">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008A5F02" w:rsidRPr="006F14B8">
              <w:rPr>
                <w:rFonts w:ascii="Times New Roman" w:hAnsi="Times New Roman"/>
                <w:b/>
                <w:color w:val="000000"/>
                <w:sz w:val="21"/>
                <w:szCs w:val="21"/>
              </w:rPr>
              <w:t>年</w:t>
            </w:r>
            <w:r w:rsidR="008A5F02" w:rsidRPr="006F14B8">
              <w:rPr>
                <w:rFonts w:ascii="Times New Roman" w:hAnsi="Times New Roman"/>
                <w:b/>
                <w:color w:val="000000"/>
                <w:sz w:val="21"/>
                <w:szCs w:val="21"/>
              </w:rPr>
              <w:t>12</w:t>
            </w:r>
            <w:r w:rsidR="008A5F02" w:rsidRPr="006F14B8">
              <w:rPr>
                <w:rFonts w:ascii="Times New Roman" w:hAnsi="Times New Roman"/>
                <w:b/>
                <w:color w:val="000000"/>
                <w:sz w:val="21"/>
                <w:szCs w:val="21"/>
              </w:rPr>
              <w:t>月</w:t>
            </w:r>
            <w:r w:rsidR="008A5F02" w:rsidRPr="006F14B8">
              <w:rPr>
                <w:rFonts w:ascii="Times New Roman" w:hAnsi="Times New Roman"/>
                <w:b/>
                <w:color w:val="000000"/>
                <w:sz w:val="21"/>
                <w:szCs w:val="21"/>
              </w:rPr>
              <w:t>31</w:t>
            </w:r>
            <w:r w:rsidR="008A5F02" w:rsidRPr="006F14B8">
              <w:rPr>
                <w:rFonts w:ascii="Times New Roman" w:hAnsi="Times New Roman"/>
                <w:b/>
                <w:color w:val="000000"/>
                <w:sz w:val="21"/>
                <w:szCs w:val="21"/>
              </w:rPr>
              <w:t>日</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负债：</w:t>
            </w:r>
          </w:p>
        </w:tc>
        <w:tc>
          <w:tcPr>
            <w:tcW w:w="1591" w:type="pct"/>
            <w:vAlign w:val="bottom"/>
          </w:tcPr>
          <w:p w:rsidR="008A5F02" w:rsidRPr="006F14B8" w:rsidRDefault="008A5F02">
            <w:pPr>
              <w:jc w:val="right"/>
              <w:rPr>
                <w:b/>
                <w:color w:val="000000"/>
                <w:szCs w:val="21"/>
              </w:rPr>
            </w:pPr>
            <w:r w:rsidRPr="006F14B8">
              <w:rPr>
                <w:rFonts w:hint="eastAsia"/>
                <w:b/>
                <w:color w:val="000000"/>
                <w:szCs w:val="21"/>
              </w:rPr>
              <w:t>-</w:t>
            </w:r>
          </w:p>
        </w:tc>
        <w:tc>
          <w:tcPr>
            <w:tcW w:w="1591" w:type="pct"/>
            <w:vAlign w:val="bottom"/>
          </w:tcPr>
          <w:p w:rsidR="008A5F02" w:rsidRPr="006F14B8" w:rsidRDefault="008A5F02" w:rsidP="00191DAC">
            <w:pPr>
              <w:jc w:val="right"/>
              <w:rPr>
                <w:b/>
                <w:color w:val="000000"/>
                <w:szCs w:val="21"/>
              </w:rPr>
            </w:pPr>
            <w:r w:rsidRPr="006F14B8">
              <w:rPr>
                <w:b/>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短期借款</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交易性金融负债</w:t>
            </w:r>
          </w:p>
        </w:tc>
        <w:tc>
          <w:tcPr>
            <w:tcW w:w="1591" w:type="pct"/>
            <w:vAlign w:val="bottom"/>
          </w:tcPr>
          <w:p w:rsidR="008A5F02" w:rsidRPr="00E7315A" w:rsidRDefault="00645BCD">
            <w:pPr>
              <w:jc w:val="right"/>
              <w:rPr>
                <w:color w:val="000000"/>
                <w:sz w:val="22"/>
                <w:szCs w:val="22"/>
              </w:rPr>
            </w:pPr>
            <w:r w:rsidRPr="00645BCD">
              <w:rPr>
                <w:color w:val="000000"/>
                <w:sz w:val="22"/>
                <w:szCs w:val="22"/>
              </w:rPr>
              <w:t>-</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衍生金融负债</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卖出回购金融资产款</w:t>
            </w:r>
          </w:p>
        </w:tc>
        <w:tc>
          <w:tcPr>
            <w:tcW w:w="1591" w:type="pct"/>
            <w:vAlign w:val="bottom"/>
          </w:tcPr>
          <w:p w:rsidR="00DA46DB" w:rsidRDefault="00645BCD" w:rsidP="00C504E0">
            <w:pPr>
              <w:ind w:firstLineChars="200" w:firstLine="440"/>
              <w:jc w:val="right"/>
              <w:rPr>
                <w:color w:val="000000"/>
                <w:sz w:val="22"/>
                <w:szCs w:val="22"/>
              </w:rPr>
            </w:pPr>
            <w:r w:rsidRPr="00645BCD">
              <w:rPr>
                <w:color w:val="000000"/>
                <w:sz w:val="22"/>
                <w:szCs w:val="22"/>
              </w:rPr>
              <w:t>-</w:t>
            </w:r>
          </w:p>
        </w:tc>
        <w:tc>
          <w:tcPr>
            <w:tcW w:w="1591" w:type="pct"/>
            <w:vAlign w:val="bottom"/>
          </w:tcPr>
          <w:p w:rsidR="008A5F02" w:rsidRPr="00E7315A" w:rsidRDefault="00645BCD" w:rsidP="00191DAC">
            <w:pPr>
              <w:jc w:val="right"/>
              <w:rPr>
                <w:color w:val="000000"/>
                <w:sz w:val="22"/>
                <w:szCs w:val="22"/>
              </w:rPr>
            </w:pPr>
            <w:r w:rsidRPr="00645BCD">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应付证券清算款</w:t>
            </w:r>
          </w:p>
        </w:tc>
        <w:tc>
          <w:tcPr>
            <w:tcW w:w="1591" w:type="pct"/>
            <w:vAlign w:val="bottom"/>
          </w:tcPr>
          <w:p w:rsidR="008A5F02" w:rsidRPr="00E7315A" w:rsidRDefault="00645BCD" w:rsidP="00DF2AAC">
            <w:pPr>
              <w:jc w:val="right"/>
              <w:rPr>
                <w:color w:val="000000"/>
                <w:sz w:val="22"/>
                <w:szCs w:val="22"/>
              </w:rPr>
            </w:pPr>
            <w:r w:rsidRPr="00645BCD">
              <w:rPr>
                <w:color w:val="000000"/>
                <w:sz w:val="22"/>
                <w:szCs w:val="22"/>
              </w:rPr>
              <w:t>-</w:t>
            </w:r>
          </w:p>
        </w:tc>
        <w:tc>
          <w:tcPr>
            <w:tcW w:w="1591" w:type="pct"/>
            <w:vAlign w:val="bottom"/>
          </w:tcPr>
          <w:p w:rsidR="008A5F02" w:rsidRPr="00E7315A" w:rsidRDefault="001F294E" w:rsidP="00191DAC">
            <w:pPr>
              <w:jc w:val="right"/>
              <w:rPr>
                <w:color w:val="000000"/>
                <w:sz w:val="22"/>
                <w:szCs w:val="22"/>
              </w:rPr>
            </w:pPr>
            <w:r>
              <w:rPr>
                <w:rFonts w:hint="eastAsia"/>
                <w:color w:val="000000"/>
                <w:sz w:val="22"/>
                <w:szCs w:val="22"/>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应付赎回款</w:t>
            </w:r>
          </w:p>
        </w:tc>
        <w:tc>
          <w:tcPr>
            <w:tcW w:w="1591" w:type="pct"/>
            <w:vAlign w:val="bottom"/>
          </w:tcPr>
          <w:p w:rsidR="00823A9D" w:rsidRPr="00E7315A" w:rsidRDefault="00823A9D">
            <w:pPr>
              <w:jc w:val="right"/>
              <w:rPr>
                <w:color w:val="000000"/>
                <w:sz w:val="22"/>
                <w:szCs w:val="22"/>
              </w:rPr>
            </w:pPr>
            <w:r>
              <w:rPr>
                <w:rFonts w:hint="eastAsia"/>
                <w:color w:val="000000"/>
                <w:sz w:val="22"/>
                <w:szCs w:val="22"/>
              </w:rPr>
              <w:t>173,906.69</w:t>
            </w:r>
          </w:p>
        </w:tc>
        <w:tc>
          <w:tcPr>
            <w:tcW w:w="1591" w:type="pct"/>
            <w:vAlign w:val="center"/>
          </w:tcPr>
          <w:p w:rsidR="00823A9D" w:rsidRPr="00E7315A" w:rsidRDefault="00823A9D" w:rsidP="00175C8F">
            <w:pPr>
              <w:jc w:val="right"/>
              <w:rPr>
                <w:color w:val="000000"/>
                <w:sz w:val="22"/>
                <w:szCs w:val="22"/>
              </w:rPr>
            </w:pPr>
            <w:r w:rsidRPr="00E52559">
              <w:rPr>
                <w:szCs w:val="21"/>
              </w:rPr>
              <w:t>405,</w:t>
            </w:r>
            <w:bookmarkStart w:id="17" w:name="_GoBack"/>
            <w:r w:rsidRPr="00E52559">
              <w:rPr>
                <w:szCs w:val="21"/>
              </w:rPr>
              <w:t>08</w:t>
            </w:r>
            <w:bookmarkEnd w:id="17"/>
            <w:r w:rsidRPr="00E52559">
              <w:rPr>
                <w:szCs w:val="21"/>
              </w:rPr>
              <w:t>7.49</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应付管理人报酬</w:t>
            </w:r>
          </w:p>
        </w:tc>
        <w:tc>
          <w:tcPr>
            <w:tcW w:w="1591" w:type="pct"/>
            <w:vAlign w:val="bottom"/>
          </w:tcPr>
          <w:p w:rsidR="00823A9D" w:rsidRPr="00E7315A" w:rsidRDefault="00823A9D">
            <w:pPr>
              <w:jc w:val="right"/>
              <w:rPr>
                <w:color w:val="000000"/>
                <w:sz w:val="22"/>
                <w:szCs w:val="22"/>
              </w:rPr>
            </w:pPr>
            <w:r>
              <w:rPr>
                <w:rFonts w:hint="eastAsia"/>
                <w:color w:val="000000"/>
                <w:sz w:val="22"/>
                <w:szCs w:val="22"/>
              </w:rPr>
              <w:t>76.09</w:t>
            </w:r>
          </w:p>
        </w:tc>
        <w:tc>
          <w:tcPr>
            <w:tcW w:w="1591" w:type="pct"/>
            <w:vAlign w:val="center"/>
          </w:tcPr>
          <w:p w:rsidR="00823A9D" w:rsidRPr="00E7315A" w:rsidRDefault="00823A9D" w:rsidP="00175C8F">
            <w:pPr>
              <w:jc w:val="right"/>
              <w:rPr>
                <w:color w:val="000000"/>
                <w:sz w:val="22"/>
                <w:szCs w:val="22"/>
              </w:rPr>
            </w:pPr>
            <w:r w:rsidRPr="00E52559">
              <w:rPr>
                <w:szCs w:val="21"/>
              </w:rPr>
              <w:t>228.75</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应付托管费</w:t>
            </w:r>
          </w:p>
        </w:tc>
        <w:tc>
          <w:tcPr>
            <w:tcW w:w="1591" w:type="pct"/>
            <w:vAlign w:val="bottom"/>
          </w:tcPr>
          <w:p w:rsidR="00823A9D" w:rsidRPr="00E7315A" w:rsidRDefault="00823A9D">
            <w:pPr>
              <w:jc w:val="right"/>
              <w:rPr>
                <w:color w:val="000000"/>
                <w:sz w:val="22"/>
                <w:szCs w:val="22"/>
              </w:rPr>
            </w:pPr>
            <w:r>
              <w:rPr>
                <w:rFonts w:hint="eastAsia"/>
                <w:color w:val="000000"/>
                <w:sz w:val="22"/>
                <w:szCs w:val="22"/>
              </w:rPr>
              <w:t>25.32</w:t>
            </w:r>
          </w:p>
        </w:tc>
        <w:tc>
          <w:tcPr>
            <w:tcW w:w="1591" w:type="pct"/>
            <w:vAlign w:val="center"/>
          </w:tcPr>
          <w:p w:rsidR="00823A9D" w:rsidRPr="00E7315A" w:rsidRDefault="00823A9D" w:rsidP="00175C8F">
            <w:pPr>
              <w:jc w:val="right"/>
              <w:rPr>
                <w:color w:val="000000"/>
                <w:sz w:val="22"/>
                <w:szCs w:val="22"/>
              </w:rPr>
            </w:pPr>
            <w:r w:rsidRPr="00E52559">
              <w:rPr>
                <w:szCs w:val="21"/>
              </w:rPr>
              <w:t>76.29</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应付销售服务费</w:t>
            </w:r>
          </w:p>
        </w:tc>
        <w:tc>
          <w:tcPr>
            <w:tcW w:w="1591" w:type="pct"/>
            <w:vAlign w:val="bottom"/>
          </w:tcPr>
          <w:p w:rsidR="00823A9D" w:rsidRPr="00E7315A" w:rsidRDefault="00823A9D" w:rsidP="00DF2AAC">
            <w:pPr>
              <w:jc w:val="right"/>
              <w:rPr>
                <w:color w:val="000000"/>
                <w:sz w:val="22"/>
                <w:szCs w:val="22"/>
              </w:rPr>
            </w:pPr>
            <w:r>
              <w:rPr>
                <w:rFonts w:hint="eastAsia"/>
                <w:color w:val="000000"/>
                <w:sz w:val="22"/>
                <w:szCs w:val="22"/>
              </w:rPr>
              <w:t>462.29</w:t>
            </w:r>
          </w:p>
        </w:tc>
        <w:tc>
          <w:tcPr>
            <w:tcW w:w="1591" w:type="pct"/>
            <w:vAlign w:val="center"/>
          </w:tcPr>
          <w:p w:rsidR="00823A9D" w:rsidRPr="00E7315A" w:rsidRDefault="00823A9D" w:rsidP="00175C8F">
            <w:pPr>
              <w:jc w:val="right"/>
              <w:rPr>
                <w:color w:val="000000"/>
                <w:sz w:val="22"/>
                <w:szCs w:val="22"/>
              </w:rPr>
            </w:pPr>
            <w:r w:rsidRPr="00E52559">
              <w:rPr>
                <w:szCs w:val="21"/>
              </w:rPr>
              <w:t>778.66</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应付交易费用</w:t>
            </w:r>
          </w:p>
        </w:tc>
        <w:tc>
          <w:tcPr>
            <w:tcW w:w="1591" w:type="pct"/>
            <w:vAlign w:val="bottom"/>
          </w:tcPr>
          <w:p w:rsidR="00A15FEB" w:rsidRDefault="00823A9D">
            <w:pPr>
              <w:jc w:val="right"/>
              <w:rPr>
                <w:color w:val="000000"/>
                <w:sz w:val="22"/>
                <w:szCs w:val="22"/>
              </w:rPr>
            </w:pPr>
            <w:r w:rsidRPr="00E52559">
              <w:rPr>
                <w:szCs w:val="21"/>
              </w:rPr>
              <w:t>-</w:t>
            </w:r>
          </w:p>
        </w:tc>
        <w:tc>
          <w:tcPr>
            <w:tcW w:w="1591" w:type="pct"/>
            <w:vAlign w:val="center"/>
          </w:tcPr>
          <w:p w:rsidR="00823A9D" w:rsidRPr="00E7315A" w:rsidRDefault="00823A9D" w:rsidP="00175C8F">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应交税费</w:t>
            </w:r>
          </w:p>
        </w:tc>
        <w:tc>
          <w:tcPr>
            <w:tcW w:w="1591" w:type="pct"/>
            <w:vAlign w:val="bottom"/>
          </w:tcPr>
          <w:p w:rsidR="00823A9D" w:rsidRPr="00E7315A" w:rsidRDefault="00823A9D" w:rsidP="00DF2AAC">
            <w:pPr>
              <w:jc w:val="right"/>
              <w:rPr>
                <w:color w:val="000000"/>
                <w:sz w:val="22"/>
                <w:szCs w:val="22"/>
              </w:rPr>
            </w:pPr>
            <w:r>
              <w:rPr>
                <w:rFonts w:hint="eastAsia"/>
                <w:color w:val="000000"/>
                <w:sz w:val="22"/>
                <w:szCs w:val="22"/>
              </w:rPr>
              <w:t>175.59</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应付利息</w:t>
            </w:r>
          </w:p>
        </w:tc>
        <w:tc>
          <w:tcPr>
            <w:tcW w:w="1591" w:type="pct"/>
            <w:vAlign w:val="center"/>
          </w:tcPr>
          <w:p w:rsidR="00823A9D" w:rsidRPr="00E7315A" w:rsidRDefault="00823A9D" w:rsidP="00DF2AAC">
            <w:pPr>
              <w:jc w:val="right"/>
              <w:rPr>
                <w:color w:val="000000"/>
                <w:sz w:val="22"/>
                <w:szCs w:val="22"/>
              </w:rPr>
            </w:pPr>
            <w:r w:rsidRPr="00E52559">
              <w:rPr>
                <w:szCs w:val="21"/>
              </w:rPr>
              <w:t>-</w:t>
            </w:r>
          </w:p>
        </w:tc>
        <w:tc>
          <w:tcPr>
            <w:tcW w:w="1591" w:type="pct"/>
            <w:vAlign w:val="center"/>
          </w:tcPr>
          <w:p w:rsidR="00823A9D" w:rsidRPr="00E7315A" w:rsidRDefault="00823A9D" w:rsidP="00175C8F">
            <w:pPr>
              <w:jc w:val="right"/>
              <w:rPr>
                <w:color w:val="000000"/>
                <w:sz w:val="22"/>
                <w:szCs w:val="22"/>
              </w:rPr>
            </w:pPr>
            <w:r w:rsidRPr="00E52559">
              <w:rPr>
                <w:szCs w:val="21"/>
              </w:rPr>
              <w:t>-</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应付利润</w:t>
            </w:r>
          </w:p>
        </w:tc>
        <w:tc>
          <w:tcPr>
            <w:tcW w:w="1591" w:type="pct"/>
            <w:vAlign w:val="center"/>
          </w:tcPr>
          <w:p w:rsidR="00823A9D" w:rsidRPr="00E7315A" w:rsidRDefault="00823A9D" w:rsidP="00DF2AAC">
            <w:pPr>
              <w:jc w:val="right"/>
              <w:rPr>
                <w:color w:val="000000"/>
                <w:sz w:val="22"/>
                <w:szCs w:val="22"/>
              </w:rPr>
            </w:pPr>
            <w:r w:rsidRPr="00E52559">
              <w:rPr>
                <w:szCs w:val="21"/>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AA1CFA">
        <w:tc>
          <w:tcPr>
            <w:tcW w:w="1818" w:type="pct"/>
            <w:vAlign w:val="center"/>
          </w:tcPr>
          <w:p w:rsidR="00823A9D" w:rsidRPr="006F14B8" w:rsidRDefault="00823A9D" w:rsidP="00F73D0C">
            <w:pPr>
              <w:rPr>
                <w:color w:val="000000"/>
                <w:szCs w:val="21"/>
              </w:rPr>
            </w:pPr>
            <w:r w:rsidRPr="006F14B8">
              <w:rPr>
                <w:color w:val="000000"/>
                <w:szCs w:val="21"/>
              </w:rPr>
              <w:t>递延所得税负债</w:t>
            </w:r>
          </w:p>
        </w:tc>
        <w:tc>
          <w:tcPr>
            <w:tcW w:w="1591" w:type="pct"/>
            <w:vAlign w:val="center"/>
          </w:tcPr>
          <w:p w:rsidR="00823A9D" w:rsidRPr="00E7315A" w:rsidRDefault="00823A9D" w:rsidP="00DF2AAC">
            <w:pPr>
              <w:jc w:val="right"/>
              <w:rPr>
                <w:color w:val="000000"/>
                <w:sz w:val="22"/>
                <w:szCs w:val="22"/>
              </w:rPr>
            </w:pPr>
            <w:r w:rsidRPr="00E52559">
              <w:rPr>
                <w:szCs w:val="21"/>
              </w:rPr>
              <w:t>-</w:t>
            </w:r>
          </w:p>
        </w:tc>
        <w:tc>
          <w:tcPr>
            <w:tcW w:w="1591" w:type="pct"/>
            <w:vAlign w:val="center"/>
          </w:tcPr>
          <w:p w:rsidR="00823A9D" w:rsidRPr="006F14B8" w:rsidRDefault="00823A9D" w:rsidP="00191DAC">
            <w:pPr>
              <w:jc w:val="right"/>
              <w:rPr>
                <w:color w:val="000000"/>
                <w:sz w:val="22"/>
                <w:szCs w:val="22"/>
              </w:rPr>
            </w:pPr>
            <w:r w:rsidRPr="00E52559">
              <w:rPr>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其他负债</w:t>
            </w:r>
          </w:p>
        </w:tc>
        <w:tc>
          <w:tcPr>
            <w:tcW w:w="1591" w:type="pct"/>
            <w:vAlign w:val="bottom"/>
          </w:tcPr>
          <w:p w:rsidR="00823A9D" w:rsidRDefault="00823A9D">
            <w:pPr>
              <w:jc w:val="right"/>
              <w:rPr>
                <w:color w:val="000000"/>
                <w:sz w:val="22"/>
                <w:szCs w:val="22"/>
              </w:rPr>
            </w:pPr>
            <w:r>
              <w:rPr>
                <w:rFonts w:hint="eastAsia"/>
                <w:color w:val="000000"/>
                <w:sz w:val="22"/>
                <w:szCs w:val="22"/>
              </w:rPr>
              <w:t>36,022.47</w:t>
            </w:r>
          </w:p>
        </w:tc>
        <w:tc>
          <w:tcPr>
            <w:tcW w:w="1591" w:type="pct"/>
            <w:vAlign w:val="center"/>
          </w:tcPr>
          <w:p w:rsidR="00823A9D" w:rsidRPr="00E7315A" w:rsidRDefault="00823A9D" w:rsidP="00175C8F">
            <w:pPr>
              <w:jc w:val="right"/>
              <w:rPr>
                <w:color w:val="000000"/>
                <w:sz w:val="22"/>
                <w:szCs w:val="22"/>
              </w:rPr>
            </w:pPr>
            <w:r w:rsidRPr="00E52559">
              <w:rPr>
                <w:szCs w:val="21"/>
              </w:rPr>
              <w:t>20,011.76</w:t>
            </w:r>
          </w:p>
        </w:tc>
      </w:tr>
      <w:tr w:rsidR="00823A9D" w:rsidRPr="006F14B8" w:rsidTr="00037B23">
        <w:tc>
          <w:tcPr>
            <w:tcW w:w="1818" w:type="pct"/>
            <w:vAlign w:val="center"/>
          </w:tcPr>
          <w:p w:rsidR="00823A9D" w:rsidRPr="006F14B8" w:rsidRDefault="00823A9D"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1591" w:type="pct"/>
            <w:vAlign w:val="bottom"/>
          </w:tcPr>
          <w:p w:rsidR="00823A9D" w:rsidRPr="00823A9D" w:rsidRDefault="00825013">
            <w:pPr>
              <w:jc w:val="right"/>
              <w:rPr>
                <w:rFonts w:ascii="宋体" w:hAnsi="宋体" w:cs="宋体"/>
                <w:b/>
                <w:color w:val="000000"/>
                <w:sz w:val="22"/>
                <w:szCs w:val="22"/>
              </w:rPr>
            </w:pPr>
            <w:r w:rsidRPr="00825013">
              <w:rPr>
                <w:b/>
                <w:color w:val="000000"/>
                <w:sz w:val="22"/>
                <w:szCs w:val="22"/>
              </w:rPr>
              <w:t>210,668.45</w:t>
            </w:r>
          </w:p>
        </w:tc>
        <w:tc>
          <w:tcPr>
            <w:tcW w:w="1591" w:type="pct"/>
            <w:vAlign w:val="center"/>
          </w:tcPr>
          <w:p w:rsidR="00823A9D" w:rsidRPr="00823A9D" w:rsidRDefault="00825013" w:rsidP="00175C8F">
            <w:pPr>
              <w:jc w:val="right"/>
              <w:rPr>
                <w:b/>
                <w:color w:val="000000"/>
                <w:szCs w:val="21"/>
              </w:rPr>
            </w:pPr>
            <w:r w:rsidRPr="00825013">
              <w:rPr>
                <w:b/>
                <w:szCs w:val="21"/>
              </w:rPr>
              <w:t>426,182.95</w:t>
            </w:r>
          </w:p>
        </w:tc>
      </w:tr>
      <w:tr w:rsidR="00823A9D" w:rsidRPr="006F14B8" w:rsidTr="00AA1CFA">
        <w:tc>
          <w:tcPr>
            <w:tcW w:w="1818" w:type="pct"/>
            <w:vAlign w:val="center"/>
          </w:tcPr>
          <w:p w:rsidR="00823A9D" w:rsidRPr="006F14B8" w:rsidRDefault="00823A9D" w:rsidP="00F73D0C">
            <w:pPr>
              <w:rPr>
                <w:b/>
                <w:color w:val="000000"/>
                <w:szCs w:val="21"/>
              </w:rPr>
            </w:pPr>
            <w:r w:rsidRPr="006F14B8">
              <w:rPr>
                <w:b/>
                <w:color w:val="000000"/>
                <w:szCs w:val="21"/>
              </w:rPr>
              <w:t>所有者权益：</w:t>
            </w:r>
          </w:p>
        </w:tc>
        <w:tc>
          <w:tcPr>
            <w:tcW w:w="1591" w:type="pct"/>
            <w:vAlign w:val="bottom"/>
          </w:tcPr>
          <w:p w:rsidR="00823A9D" w:rsidRPr="006F14B8" w:rsidRDefault="00823A9D" w:rsidP="00DF2AAC">
            <w:pPr>
              <w:jc w:val="right"/>
              <w:rPr>
                <w:b/>
                <w:color w:val="000000"/>
                <w:szCs w:val="21"/>
              </w:rPr>
            </w:pPr>
            <w:r w:rsidRPr="006F14B8">
              <w:rPr>
                <w:rFonts w:hint="eastAsia"/>
                <w:b/>
                <w:color w:val="000000"/>
                <w:szCs w:val="21"/>
              </w:rPr>
              <w:t>-</w:t>
            </w:r>
          </w:p>
        </w:tc>
        <w:tc>
          <w:tcPr>
            <w:tcW w:w="1591" w:type="pct"/>
            <w:vAlign w:val="center"/>
          </w:tcPr>
          <w:p w:rsidR="00823A9D" w:rsidRPr="006F14B8" w:rsidRDefault="00823A9D" w:rsidP="00191DAC">
            <w:pPr>
              <w:jc w:val="right"/>
              <w:rPr>
                <w:color w:val="000000"/>
                <w:sz w:val="22"/>
                <w:szCs w:val="22"/>
              </w:rPr>
            </w:pPr>
            <w:r w:rsidRPr="00E52559">
              <w:rPr>
                <w:b/>
                <w:szCs w:val="21"/>
              </w:rPr>
              <w:t>-</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实收基金</w:t>
            </w:r>
          </w:p>
        </w:tc>
        <w:tc>
          <w:tcPr>
            <w:tcW w:w="1591" w:type="pct"/>
            <w:vAlign w:val="bottom"/>
          </w:tcPr>
          <w:p w:rsidR="00823A9D" w:rsidRPr="00E7315A" w:rsidRDefault="00823A9D">
            <w:pPr>
              <w:jc w:val="right"/>
              <w:rPr>
                <w:color w:val="000000"/>
                <w:sz w:val="22"/>
                <w:szCs w:val="22"/>
              </w:rPr>
            </w:pPr>
            <w:r>
              <w:rPr>
                <w:rFonts w:hint="eastAsia"/>
                <w:color w:val="000000"/>
                <w:sz w:val="22"/>
                <w:szCs w:val="22"/>
              </w:rPr>
              <w:t>8,534,643.87</w:t>
            </w:r>
          </w:p>
        </w:tc>
        <w:tc>
          <w:tcPr>
            <w:tcW w:w="1591" w:type="pct"/>
            <w:vAlign w:val="center"/>
          </w:tcPr>
          <w:p w:rsidR="00823A9D" w:rsidRPr="00E7315A" w:rsidRDefault="00823A9D" w:rsidP="00175C8F">
            <w:pPr>
              <w:jc w:val="right"/>
              <w:rPr>
                <w:color w:val="000000"/>
                <w:sz w:val="22"/>
                <w:szCs w:val="22"/>
              </w:rPr>
            </w:pPr>
            <w:r w:rsidRPr="00E52559">
              <w:rPr>
                <w:szCs w:val="21"/>
              </w:rPr>
              <w:t>9,835,976.27</w:t>
            </w:r>
          </w:p>
        </w:tc>
      </w:tr>
      <w:tr w:rsidR="00823A9D" w:rsidRPr="006F14B8" w:rsidTr="00037B23">
        <w:tc>
          <w:tcPr>
            <w:tcW w:w="1818" w:type="pct"/>
            <w:vAlign w:val="center"/>
          </w:tcPr>
          <w:p w:rsidR="00823A9D" w:rsidRPr="006F14B8" w:rsidRDefault="00823A9D" w:rsidP="00F73D0C">
            <w:pPr>
              <w:rPr>
                <w:color w:val="000000"/>
                <w:szCs w:val="21"/>
              </w:rPr>
            </w:pPr>
            <w:r w:rsidRPr="006F14B8">
              <w:rPr>
                <w:color w:val="000000"/>
                <w:szCs w:val="21"/>
              </w:rPr>
              <w:t>未分配利润</w:t>
            </w:r>
          </w:p>
        </w:tc>
        <w:tc>
          <w:tcPr>
            <w:tcW w:w="1591" w:type="pct"/>
            <w:vAlign w:val="bottom"/>
          </w:tcPr>
          <w:p w:rsidR="00823A9D" w:rsidRPr="00E7315A" w:rsidRDefault="00823A9D">
            <w:pPr>
              <w:jc w:val="right"/>
              <w:rPr>
                <w:color w:val="000000"/>
                <w:sz w:val="22"/>
                <w:szCs w:val="22"/>
              </w:rPr>
            </w:pPr>
            <w:r>
              <w:rPr>
                <w:rFonts w:hint="eastAsia"/>
                <w:color w:val="000000"/>
                <w:sz w:val="22"/>
                <w:szCs w:val="22"/>
              </w:rPr>
              <w:t>-260,545.28</w:t>
            </w:r>
          </w:p>
        </w:tc>
        <w:tc>
          <w:tcPr>
            <w:tcW w:w="1591" w:type="pct"/>
            <w:vAlign w:val="center"/>
          </w:tcPr>
          <w:p w:rsidR="00823A9D" w:rsidRPr="00E7315A" w:rsidRDefault="00823A9D" w:rsidP="00175C8F">
            <w:pPr>
              <w:jc w:val="right"/>
              <w:rPr>
                <w:color w:val="000000"/>
                <w:sz w:val="22"/>
                <w:szCs w:val="22"/>
              </w:rPr>
            </w:pPr>
            <w:r w:rsidRPr="00E52559">
              <w:rPr>
                <w:szCs w:val="21"/>
              </w:rPr>
              <w:t>-529,034.83</w:t>
            </w:r>
          </w:p>
        </w:tc>
      </w:tr>
      <w:tr w:rsidR="00823A9D" w:rsidRPr="006F14B8" w:rsidTr="00037B23">
        <w:tc>
          <w:tcPr>
            <w:tcW w:w="1818" w:type="pct"/>
            <w:vAlign w:val="center"/>
          </w:tcPr>
          <w:p w:rsidR="00823A9D" w:rsidRPr="006F14B8" w:rsidRDefault="00823A9D" w:rsidP="00F73D0C">
            <w:pPr>
              <w:rPr>
                <w:b/>
                <w:color w:val="000000"/>
                <w:szCs w:val="21"/>
              </w:rPr>
            </w:pPr>
            <w:r w:rsidRPr="006F14B8">
              <w:rPr>
                <w:b/>
                <w:color w:val="000000"/>
                <w:szCs w:val="21"/>
              </w:rPr>
              <w:t>所有者权益合计</w:t>
            </w:r>
          </w:p>
        </w:tc>
        <w:tc>
          <w:tcPr>
            <w:tcW w:w="1591" w:type="pct"/>
            <w:vAlign w:val="bottom"/>
          </w:tcPr>
          <w:p w:rsidR="00823A9D" w:rsidRPr="00823A9D" w:rsidRDefault="00825013">
            <w:pPr>
              <w:jc w:val="right"/>
              <w:rPr>
                <w:rFonts w:ascii="宋体" w:hAnsi="宋体" w:cs="宋体"/>
                <w:b/>
                <w:color w:val="000000"/>
                <w:sz w:val="22"/>
                <w:szCs w:val="22"/>
              </w:rPr>
            </w:pPr>
            <w:r w:rsidRPr="00825013">
              <w:rPr>
                <w:b/>
                <w:color w:val="000000"/>
                <w:sz w:val="22"/>
                <w:szCs w:val="22"/>
              </w:rPr>
              <w:t>8,274,098.59</w:t>
            </w:r>
          </w:p>
        </w:tc>
        <w:tc>
          <w:tcPr>
            <w:tcW w:w="1591" w:type="pct"/>
            <w:vAlign w:val="center"/>
          </w:tcPr>
          <w:p w:rsidR="00823A9D" w:rsidRPr="00823A9D" w:rsidRDefault="00825013" w:rsidP="00175C8F">
            <w:pPr>
              <w:jc w:val="right"/>
              <w:rPr>
                <w:b/>
                <w:color w:val="000000"/>
                <w:szCs w:val="21"/>
              </w:rPr>
            </w:pPr>
            <w:r w:rsidRPr="00825013">
              <w:rPr>
                <w:b/>
                <w:szCs w:val="21"/>
              </w:rPr>
              <w:t>9,306,941.44</w:t>
            </w:r>
          </w:p>
        </w:tc>
      </w:tr>
      <w:tr w:rsidR="00823A9D" w:rsidRPr="006F14B8" w:rsidTr="00037B23">
        <w:tc>
          <w:tcPr>
            <w:tcW w:w="1818" w:type="pct"/>
            <w:vAlign w:val="center"/>
          </w:tcPr>
          <w:p w:rsidR="00823A9D" w:rsidRPr="006F14B8" w:rsidRDefault="00823A9D" w:rsidP="00F73D0C">
            <w:pPr>
              <w:rPr>
                <w:b/>
                <w:color w:val="000000"/>
                <w:szCs w:val="21"/>
              </w:rPr>
            </w:pPr>
            <w:r w:rsidRPr="006F14B8">
              <w:rPr>
                <w:b/>
                <w:color w:val="000000"/>
                <w:szCs w:val="21"/>
              </w:rPr>
              <w:t>负债和所有者权益总计</w:t>
            </w:r>
          </w:p>
        </w:tc>
        <w:tc>
          <w:tcPr>
            <w:tcW w:w="1591" w:type="pct"/>
            <w:vAlign w:val="bottom"/>
          </w:tcPr>
          <w:p w:rsidR="00823A9D" w:rsidRPr="006F14B8" w:rsidRDefault="00823A9D" w:rsidP="00C87528">
            <w:pPr>
              <w:jc w:val="right"/>
              <w:rPr>
                <w:rFonts w:ascii="宋体" w:hAnsi="宋体" w:cs="宋体"/>
                <w:b/>
                <w:color w:val="000000"/>
                <w:sz w:val="22"/>
                <w:szCs w:val="22"/>
              </w:rPr>
            </w:pPr>
            <w:r w:rsidRPr="00823A9D">
              <w:rPr>
                <w:b/>
                <w:color w:val="000000"/>
                <w:sz w:val="22"/>
                <w:szCs w:val="22"/>
              </w:rPr>
              <w:t>8</w:t>
            </w:r>
            <w:r>
              <w:rPr>
                <w:rFonts w:hint="eastAsia"/>
                <w:b/>
                <w:color w:val="000000"/>
                <w:sz w:val="22"/>
                <w:szCs w:val="22"/>
              </w:rPr>
              <w:t>,</w:t>
            </w:r>
            <w:r w:rsidRPr="00823A9D">
              <w:rPr>
                <w:b/>
                <w:color w:val="000000"/>
                <w:sz w:val="22"/>
                <w:szCs w:val="22"/>
              </w:rPr>
              <w:t>484</w:t>
            </w:r>
            <w:r>
              <w:rPr>
                <w:rFonts w:hint="eastAsia"/>
                <w:b/>
                <w:color w:val="000000"/>
                <w:sz w:val="22"/>
                <w:szCs w:val="22"/>
              </w:rPr>
              <w:t>,</w:t>
            </w:r>
            <w:r w:rsidRPr="00823A9D">
              <w:rPr>
                <w:b/>
                <w:color w:val="000000"/>
                <w:sz w:val="22"/>
                <w:szCs w:val="22"/>
              </w:rPr>
              <w:t>767.04</w:t>
            </w:r>
          </w:p>
        </w:tc>
        <w:tc>
          <w:tcPr>
            <w:tcW w:w="1591" w:type="pct"/>
            <w:vAlign w:val="center"/>
          </w:tcPr>
          <w:p w:rsidR="00823A9D" w:rsidRPr="00823A9D" w:rsidRDefault="00825013" w:rsidP="00175C8F">
            <w:pPr>
              <w:jc w:val="right"/>
              <w:rPr>
                <w:b/>
                <w:color w:val="000000"/>
                <w:szCs w:val="21"/>
              </w:rPr>
            </w:pPr>
            <w:r w:rsidRPr="00825013">
              <w:rPr>
                <w:b/>
                <w:szCs w:val="21"/>
              </w:rPr>
              <w:t>9,733,124.39</w:t>
            </w:r>
          </w:p>
        </w:tc>
      </w:tr>
    </w:tbl>
    <w:p w:rsidR="009B475A" w:rsidRDefault="001548F9">
      <w:pPr>
        <w:tabs>
          <w:tab w:val="left" w:pos="426"/>
        </w:tabs>
        <w:spacing w:line="360" w:lineRule="auto"/>
        <w:rPr>
          <w:kern w:val="0"/>
          <w:szCs w:val="21"/>
        </w:rPr>
      </w:pPr>
      <w:r w:rsidRPr="006F14B8">
        <w:rPr>
          <w:kern w:val="0"/>
          <w:szCs w:val="21"/>
        </w:rPr>
        <w:t>注：报告截止日</w:t>
      </w:r>
      <w:r w:rsidR="00531C52">
        <w:rPr>
          <w:kern w:val="0"/>
          <w:szCs w:val="21"/>
        </w:rPr>
        <w:t>2018</w:t>
      </w:r>
      <w:r w:rsidR="00531C52">
        <w:rPr>
          <w:kern w:val="0"/>
          <w:szCs w:val="21"/>
        </w:rPr>
        <w:t>年</w:t>
      </w:r>
      <w:r w:rsidR="00531C52">
        <w:rPr>
          <w:kern w:val="0"/>
          <w:szCs w:val="21"/>
        </w:rPr>
        <w:t>10</w:t>
      </w:r>
      <w:r w:rsidR="00531C52">
        <w:rPr>
          <w:kern w:val="0"/>
          <w:szCs w:val="21"/>
        </w:rPr>
        <w:t>月</w:t>
      </w:r>
      <w:r w:rsidR="00531C52">
        <w:rPr>
          <w:kern w:val="0"/>
          <w:szCs w:val="21"/>
        </w:rPr>
        <w:t>16</w:t>
      </w:r>
      <w:r w:rsidR="00531C52">
        <w:rPr>
          <w:kern w:val="0"/>
          <w:szCs w:val="21"/>
        </w:rPr>
        <w:t>日</w:t>
      </w:r>
      <w:r w:rsidR="001539A1">
        <w:rPr>
          <w:kern w:val="0"/>
          <w:szCs w:val="21"/>
        </w:rPr>
        <w:t>（基金最后运作日）</w:t>
      </w:r>
      <w:r w:rsidRPr="006F14B8">
        <w:rPr>
          <w:kern w:val="0"/>
          <w:szCs w:val="21"/>
        </w:rPr>
        <w:t>，</w:t>
      </w:r>
      <w:r w:rsidR="00765065" w:rsidRPr="00E52559">
        <w:rPr>
          <w:szCs w:val="21"/>
        </w:rPr>
        <w:t>国泰上证</w:t>
      </w:r>
      <w:r w:rsidR="00765065" w:rsidRPr="00E52559">
        <w:rPr>
          <w:szCs w:val="21"/>
        </w:rPr>
        <w:t>5</w:t>
      </w:r>
      <w:r w:rsidR="00765065" w:rsidRPr="00E52559">
        <w:rPr>
          <w:szCs w:val="21"/>
        </w:rPr>
        <w:t>年期国债</w:t>
      </w:r>
      <w:r w:rsidR="00765065" w:rsidRPr="00E52559">
        <w:rPr>
          <w:szCs w:val="21"/>
        </w:rPr>
        <w:t>ETF</w:t>
      </w:r>
      <w:r w:rsidR="00765065" w:rsidRPr="00E52559">
        <w:rPr>
          <w:szCs w:val="21"/>
        </w:rPr>
        <w:t>联接</w:t>
      </w:r>
      <w:r w:rsidR="00E13D1F" w:rsidRPr="00C56D9D">
        <w:rPr>
          <w:color w:val="000000"/>
          <w:kern w:val="0"/>
          <w:szCs w:val="21"/>
        </w:rPr>
        <w:t>A</w:t>
      </w:r>
      <w:r w:rsidR="00E13D1F" w:rsidRPr="00C56D9D">
        <w:rPr>
          <w:color w:val="000000"/>
          <w:kern w:val="0"/>
          <w:szCs w:val="21"/>
        </w:rPr>
        <w:t>基金份额净值</w:t>
      </w:r>
      <w:r w:rsidR="00823A9D">
        <w:rPr>
          <w:rFonts w:hint="eastAsia"/>
          <w:color w:val="000000"/>
          <w:kern w:val="0"/>
          <w:szCs w:val="21"/>
        </w:rPr>
        <w:t>0.96</w:t>
      </w:r>
      <w:r w:rsidR="00F329E6">
        <w:rPr>
          <w:rFonts w:hint="eastAsia"/>
          <w:color w:val="000000"/>
          <w:kern w:val="0"/>
          <w:szCs w:val="21"/>
        </w:rPr>
        <w:t>0</w:t>
      </w:r>
      <w:r w:rsidR="00E13D1F" w:rsidRPr="00C56D9D">
        <w:rPr>
          <w:color w:val="000000"/>
          <w:kern w:val="0"/>
          <w:szCs w:val="21"/>
        </w:rPr>
        <w:t>元，</w:t>
      </w:r>
      <w:r w:rsidR="00765065" w:rsidRPr="00E52559">
        <w:rPr>
          <w:szCs w:val="21"/>
        </w:rPr>
        <w:t>国泰上证</w:t>
      </w:r>
      <w:r w:rsidR="00765065" w:rsidRPr="00E52559">
        <w:rPr>
          <w:szCs w:val="21"/>
        </w:rPr>
        <w:t>5</w:t>
      </w:r>
      <w:r w:rsidR="00765065" w:rsidRPr="00E52559">
        <w:rPr>
          <w:szCs w:val="21"/>
        </w:rPr>
        <w:t>年期国债</w:t>
      </w:r>
      <w:r w:rsidR="00765065" w:rsidRPr="00E52559">
        <w:rPr>
          <w:szCs w:val="21"/>
        </w:rPr>
        <w:t>ETF</w:t>
      </w:r>
      <w:r w:rsidR="00765065" w:rsidRPr="00E52559">
        <w:rPr>
          <w:szCs w:val="21"/>
        </w:rPr>
        <w:t>联接</w:t>
      </w:r>
      <w:r w:rsidR="00E13D1F" w:rsidRPr="00C56D9D">
        <w:rPr>
          <w:color w:val="000000"/>
          <w:kern w:val="0"/>
          <w:szCs w:val="21"/>
        </w:rPr>
        <w:t>C</w:t>
      </w:r>
      <w:r w:rsidR="00E13D1F" w:rsidRPr="00C56D9D">
        <w:rPr>
          <w:color w:val="000000"/>
          <w:kern w:val="0"/>
          <w:szCs w:val="21"/>
        </w:rPr>
        <w:t>基金份额净值</w:t>
      </w:r>
      <w:r w:rsidR="00823A9D" w:rsidRPr="00823A9D">
        <w:rPr>
          <w:color w:val="000000"/>
          <w:kern w:val="0"/>
          <w:szCs w:val="21"/>
        </w:rPr>
        <w:t>0.98</w:t>
      </w:r>
      <w:r w:rsidR="00F329E6">
        <w:rPr>
          <w:rFonts w:hint="eastAsia"/>
          <w:color w:val="000000"/>
          <w:kern w:val="0"/>
          <w:szCs w:val="21"/>
        </w:rPr>
        <w:t>1</w:t>
      </w:r>
      <w:r w:rsidR="00E13D1F" w:rsidRPr="00C56D9D">
        <w:rPr>
          <w:color w:val="000000"/>
          <w:kern w:val="0"/>
          <w:szCs w:val="21"/>
        </w:rPr>
        <w:t>元；基金份额总额</w:t>
      </w:r>
      <w:r w:rsidR="00F329E6" w:rsidRPr="00F329E6">
        <w:rPr>
          <w:color w:val="000000"/>
          <w:kern w:val="0"/>
          <w:szCs w:val="21"/>
        </w:rPr>
        <w:t>8,534,643.87</w:t>
      </w:r>
      <w:r w:rsidR="00E13D1F" w:rsidRPr="00C56D9D">
        <w:rPr>
          <w:color w:val="000000"/>
          <w:kern w:val="0"/>
          <w:szCs w:val="21"/>
        </w:rPr>
        <w:t>份，</w:t>
      </w:r>
      <w:r w:rsidR="00765065" w:rsidRPr="00E52559">
        <w:rPr>
          <w:szCs w:val="21"/>
        </w:rPr>
        <w:t>国泰上证</w:t>
      </w:r>
      <w:r w:rsidR="00765065" w:rsidRPr="00E52559">
        <w:rPr>
          <w:szCs w:val="21"/>
        </w:rPr>
        <w:t>5</w:t>
      </w:r>
      <w:r w:rsidR="00765065" w:rsidRPr="00E52559">
        <w:rPr>
          <w:szCs w:val="21"/>
        </w:rPr>
        <w:t>年期国债</w:t>
      </w:r>
      <w:r w:rsidR="00765065" w:rsidRPr="00E52559">
        <w:rPr>
          <w:szCs w:val="21"/>
        </w:rPr>
        <w:t>ETF</w:t>
      </w:r>
      <w:r w:rsidR="00765065" w:rsidRPr="00E52559">
        <w:rPr>
          <w:szCs w:val="21"/>
        </w:rPr>
        <w:t>联接</w:t>
      </w:r>
      <w:r w:rsidR="00E13D1F" w:rsidRPr="00C56D9D">
        <w:rPr>
          <w:color w:val="000000"/>
          <w:kern w:val="0"/>
          <w:szCs w:val="21"/>
        </w:rPr>
        <w:t>A</w:t>
      </w:r>
      <w:r w:rsidR="00E13D1F" w:rsidRPr="00C56D9D">
        <w:rPr>
          <w:color w:val="000000"/>
          <w:kern w:val="0"/>
          <w:szCs w:val="21"/>
        </w:rPr>
        <w:t>基金的份额总额</w:t>
      </w:r>
      <w:r w:rsidR="00F329E6" w:rsidRPr="00F329E6">
        <w:rPr>
          <w:color w:val="000000"/>
          <w:kern w:val="0"/>
          <w:szCs w:val="21"/>
        </w:rPr>
        <w:t>4,702,604.58</w:t>
      </w:r>
      <w:r w:rsidR="00E13D1F" w:rsidRPr="00C56D9D">
        <w:rPr>
          <w:color w:val="000000"/>
          <w:kern w:val="0"/>
          <w:szCs w:val="21"/>
        </w:rPr>
        <w:t>份，</w:t>
      </w:r>
      <w:r w:rsidR="00765065" w:rsidRPr="00E52559">
        <w:rPr>
          <w:szCs w:val="21"/>
        </w:rPr>
        <w:t>国泰上证</w:t>
      </w:r>
      <w:r w:rsidR="00765065" w:rsidRPr="00E52559">
        <w:rPr>
          <w:szCs w:val="21"/>
        </w:rPr>
        <w:t>5</w:t>
      </w:r>
      <w:r w:rsidR="00765065" w:rsidRPr="00E52559">
        <w:rPr>
          <w:szCs w:val="21"/>
        </w:rPr>
        <w:t>年期国债</w:t>
      </w:r>
      <w:r w:rsidR="00765065" w:rsidRPr="00E52559">
        <w:rPr>
          <w:szCs w:val="21"/>
        </w:rPr>
        <w:t>ETF</w:t>
      </w:r>
      <w:r w:rsidR="00765065" w:rsidRPr="00E52559">
        <w:rPr>
          <w:szCs w:val="21"/>
        </w:rPr>
        <w:t>联接</w:t>
      </w:r>
      <w:r w:rsidR="00E13D1F" w:rsidRPr="00C56D9D">
        <w:rPr>
          <w:color w:val="000000"/>
          <w:kern w:val="0"/>
          <w:szCs w:val="21"/>
        </w:rPr>
        <w:t>C</w:t>
      </w:r>
      <w:r w:rsidR="00E13D1F" w:rsidRPr="00C56D9D">
        <w:rPr>
          <w:color w:val="000000"/>
          <w:kern w:val="0"/>
          <w:szCs w:val="21"/>
        </w:rPr>
        <w:t>基金的份额总额</w:t>
      </w:r>
      <w:r w:rsidR="00F329E6" w:rsidRPr="00F329E6">
        <w:rPr>
          <w:color w:val="000000"/>
          <w:kern w:val="0"/>
          <w:szCs w:val="21"/>
        </w:rPr>
        <w:t>3,832,039.29</w:t>
      </w:r>
      <w:r w:rsidR="00E13D1F" w:rsidRPr="00C56D9D">
        <w:rPr>
          <w:color w:val="000000"/>
          <w:kern w:val="0"/>
          <w:szCs w:val="21"/>
        </w:rPr>
        <w:t>份。</w:t>
      </w:r>
    </w:p>
    <w:p w:rsidR="001548F9" w:rsidRPr="006F14B8" w:rsidRDefault="0030612F" w:rsidP="004C1748">
      <w:pPr>
        <w:pStyle w:val="20"/>
        <w:spacing w:before="0" w:after="0"/>
        <w:rPr>
          <w:rFonts w:ascii="Times New Roman" w:hAnsi="Times New Roman"/>
          <w:kern w:val="0"/>
          <w:sz w:val="21"/>
          <w:szCs w:val="21"/>
        </w:rPr>
      </w:pPr>
      <w:bookmarkStart w:id="18" w:name="_Toc225498269"/>
      <w:bookmarkStart w:id="19" w:name="_Toc390421251"/>
      <w:bookmarkStart w:id="20" w:name="_Toc529469803"/>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.2 </w:t>
      </w:r>
      <w:r w:rsidR="001548F9" w:rsidRPr="006F14B8">
        <w:rPr>
          <w:rFonts w:ascii="Times New Roman" w:hAnsi="Times New Roman"/>
          <w:kern w:val="0"/>
          <w:sz w:val="21"/>
          <w:szCs w:val="21"/>
        </w:rPr>
        <w:t>利润表</w:t>
      </w:r>
      <w:bookmarkEnd w:id="18"/>
      <w:bookmarkEnd w:id="19"/>
      <w:bookmarkEnd w:id="20"/>
    </w:p>
    <w:p w:rsidR="001548F9" w:rsidRPr="006F14B8" w:rsidRDefault="001548F9" w:rsidP="004C1748">
      <w:pPr>
        <w:spacing w:line="360" w:lineRule="auto"/>
        <w:rPr>
          <w:kern w:val="0"/>
          <w:szCs w:val="21"/>
        </w:rPr>
      </w:pPr>
      <w:r w:rsidRPr="006F14B8">
        <w:rPr>
          <w:color w:val="000000"/>
          <w:szCs w:val="21"/>
        </w:rPr>
        <w:t>会计主体：</w:t>
      </w:r>
      <w:r w:rsidR="00531C52">
        <w:rPr>
          <w:color w:val="000000"/>
          <w:szCs w:val="21"/>
        </w:rPr>
        <w:t>国泰上证</w:t>
      </w:r>
      <w:r w:rsidR="00531C52">
        <w:rPr>
          <w:color w:val="000000"/>
          <w:szCs w:val="21"/>
        </w:rPr>
        <w:t>5</w:t>
      </w:r>
      <w:r w:rsidR="00531C52">
        <w:rPr>
          <w:color w:val="000000"/>
          <w:szCs w:val="21"/>
        </w:rPr>
        <w:t>年期国债交易型开放式指数证券投资基金联接基金</w:t>
      </w:r>
    </w:p>
    <w:p w:rsidR="001548F9" w:rsidRPr="006F14B8" w:rsidRDefault="001548F9" w:rsidP="004C1748">
      <w:pPr>
        <w:spacing w:line="360" w:lineRule="auto"/>
        <w:rPr>
          <w:color w:val="000000"/>
          <w:kern w:val="0"/>
          <w:szCs w:val="21"/>
        </w:rPr>
      </w:pPr>
      <w:r w:rsidRPr="006F14B8">
        <w:rPr>
          <w:color w:val="000000"/>
          <w:szCs w:val="21"/>
        </w:rPr>
        <w:t>本报告期：</w:t>
      </w:r>
      <w:r w:rsidR="00CE460D" w:rsidRPr="006F14B8">
        <w:rPr>
          <w:kern w:val="0"/>
          <w:szCs w:val="21"/>
        </w:rPr>
        <w:t>201</w:t>
      </w:r>
      <w:r w:rsidR="00CE460D">
        <w:rPr>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16</w:t>
      </w:r>
      <w:r w:rsidR="00531C52">
        <w:rPr>
          <w:color w:val="000000"/>
          <w:szCs w:val="21"/>
        </w:rPr>
        <w:t>日</w:t>
      </w:r>
      <w:r w:rsidR="001539A1">
        <w:rPr>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8"/>
        <w:gridCol w:w="2755"/>
        <w:gridCol w:w="2673"/>
      </w:tblGrid>
      <w:tr w:rsidR="00CE5129" w:rsidRPr="006F14B8" w:rsidTr="0091161B">
        <w:tc>
          <w:tcPr>
            <w:tcW w:w="2077" w:type="pct"/>
            <w:vAlign w:val="center"/>
          </w:tcPr>
          <w:p w:rsidR="00CE5129" w:rsidRPr="006F14B8" w:rsidRDefault="00CE5129">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1483"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A06FF9" w:rsidRDefault="00D8112A">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Pr>
                <w:rFonts w:ascii="Times New Roman" w:hAnsi="Times New Roman" w:hint="eastAsia"/>
                <w:b/>
                <w:sz w:val="21"/>
                <w:szCs w:val="21"/>
              </w:rPr>
              <w:t>8</w:t>
            </w:r>
            <w:r w:rsidR="00CE5129" w:rsidRPr="006F14B8">
              <w:rPr>
                <w:rFonts w:ascii="Times New Roman" w:hAnsi="Times New Roman"/>
                <w:b/>
                <w:sz w:val="21"/>
                <w:szCs w:val="21"/>
              </w:rPr>
              <w:t>年</w:t>
            </w:r>
            <w:r w:rsidR="00CE5129" w:rsidRPr="006F14B8">
              <w:rPr>
                <w:rFonts w:ascii="Times New Roman" w:hAnsi="Times New Roman"/>
                <w:b/>
                <w:sz w:val="21"/>
                <w:szCs w:val="21"/>
              </w:rPr>
              <w:t>1</w:t>
            </w:r>
            <w:r w:rsidR="00CE5129" w:rsidRPr="006F14B8">
              <w:rPr>
                <w:rFonts w:ascii="Times New Roman" w:hAnsi="Times New Roman"/>
                <w:b/>
                <w:sz w:val="21"/>
                <w:szCs w:val="21"/>
              </w:rPr>
              <w:t>月</w:t>
            </w:r>
            <w:r w:rsidR="00CE5129" w:rsidRPr="006F14B8">
              <w:rPr>
                <w:rFonts w:ascii="Times New Roman" w:hAnsi="Times New Roman"/>
                <w:b/>
                <w:sz w:val="21"/>
                <w:szCs w:val="21"/>
              </w:rPr>
              <w:t>1</w:t>
            </w:r>
            <w:r w:rsidR="00CE5129" w:rsidRPr="006F14B8">
              <w:rPr>
                <w:rFonts w:ascii="Times New Roman" w:hAnsi="Times New Roman"/>
                <w:b/>
                <w:sz w:val="21"/>
                <w:szCs w:val="21"/>
              </w:rPr>
              <w:t>日至</w:t>
            </w:r>
            <w:r w:rsidR="00531C52">
              <w:rPr>
                <w:rFonts w:ascii="Times New Roman" w:hAnsi="Times New Roman"/>
                <w:b/>
                <w:sz w:val="21"/>
                <w:szCs w:val="21"/>
              </w:rPr>
              <w:t>2018</w:t>
            </w:r>
            <w:r w:rsidR="00531C52">
              <w:rPr>
                <w:rFonts w:ascii="Times New Roman" w:hAnsi="Times New Roman"/>
                <w:b/>
                <w:sz w:val="21"/>
                <w:szCs w:val="21"/>
              </w:rPr>
              <w:t>年</w:t>
            </w:r>
            <w:r w:rsidR="00531C52">
              <w:rPr>
                <w:rFonts w:ascii="Times New Roman" w:hAnsi="Times New Roman"/>
                <w:b/>
                <w:sz w:val="21"/>
                <w:szCs w:val="21"/>
              </w:rPr>
              <w:t>10</w:t>
            </w:r>
            <w:r w:rsidR="00531C52">
              <w:rPr>
                <w:rFonts w:ascii="Times New Roman" w:hAnsi="Times New Roman"/>
                <w:b/>
                <w:sz w:val="21"/>
                <w:szCs w:val="21"/>
              </w:rPr>
              <w:t>月</w:t>
            </w:r>
            <w:r w:rsidR="00531C52">
              <w:rPr>
                <w:rFonts w:ascii="Times New Roman" w:hAnsi="Times New Roman"/>
                <w:b/>
                <w:sz w:val="21"/>
                <w:szCs w:val="21"/>
              </w:rPr>
              <w:t>16</w:t>
            </w:r>
            <w:r w:rsidR="00531C52">
              <w:rPr>
                <w:rFonts w:ascii="Times New Roman" w:hAnsi="Times New Roman"/>
                <w:b/>
                <w:sz w:val="21"/>
                <w:szCs w:val="21"/>
              </w:rPr>
              <w:t>日</w:t>
            </w:r>
            <w:r w:rsidR="001539A1">
              <w:rPr>
                <w:rFonts w:ascii="Times New Roman" w:hAnsi="Times New Roman"/>
                <w:b/>
                <w:sz w:val="21"/>
                <w:szCs w:val="21"/>
              </w:rPr>
              <w:t>（基金最后运作日）</w:t>
            </w:r>
            <w:r w:rsidR="00CE5129" w:rsidRPr="006F14B8">
              <w:rPr>
                <w:rFonts w:ascii="Times New Roman" w:hAnsi="Times New Roman" w:hint="eastAsia"/>
                <w:b/>
                <w:sz w:val="21"/>
                <w:szCs w:val="21"/>
              </w:rPr>
              <w:t>止期间</w:t>
            </w:r>
          </w:p>
        </w:tc>
        <w:tc>
          <w:tcPr>
            <w:tcW w:w="1439"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上年度可比期间</w:t>
            </w:r>
          </w:p>
          <w:p w:rsidR="00A06FF9" w:rsidRDefault="00D8112A">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hint="eastAsia"/>
                <w:b/>
                <w:color w:val="000000"/>
                <w:sz w:val="21"/>
                <w:szCs w:val="21"/>
              </w:rPr>
              <w:t>201</w:t>
            </w:r>
            <w:r>
              <w:rPr>
                <w:rFonts w:ascii="Times New Roman" w:hAnsi="Times New Roman" w:hint="eastAsia"/>
                <w:b/>
                <w:color w:val="000000"/>
                <w:sz w:val="21"/>
                <w:szCs w:val="21"/>
              </w:rPr>
              <w:t>7</w:t>
            </w:r>
            <w:r w:rsidR="00CE5129" w:rsidRPr="006F14B8">
              <w:rPr>
                <w:rFonts w:ascii="Times New Roman" w:hAnsi="Times New Roman" w:hint="eastAsia"/>
                <w:b/>
                <w:color w:val="000000"/>
                <w:sz w:val="21"/>
                <w:szCs w:val="21"/>
              </w:rPr>
              <w:t>年度</w:t>
            </w:r>
          </w:p>
        </w:tc>
      </w:tr>
      <w:tr w:rsidR="00AA1CFA" w:rsidRPr="006F14B8" w:rsidTr="0091161B">
        <w:tc>
          <w:tcPr>
            <w:tcW w:w="2077" w:type="pct"/>
            <w:vAlign w:val="center"/>
          </w:tcPr>
          <w:p w:rsidR="00AA1CFA" w:rsidRPr="006F14B8" w:rsidRDefault="00AA1CFA" w:rsidP="00C57F58">
            <w:pPr>
              <w:rPr>
                <w:b/>
                <w:color w:val="000000"/>
                <w:szCs w:val="21"/>
              </w:rPr>
            </w:pPr>
            <w:r w:rsidRPr="006F14B8">
              <w:rPr>
                <w:b/>
                <w:color w:val="000000"/>
                <w:szCs w:val="21"/>
              </w:rPr>
              <w:t>一、收入</w:t>
            </w:r>
          </w:p>
        </w:tc>
        <w:tc>
          <w:tcPr>
            <w:tcW w:w="1483" w:type="pct"/>
            <w:vAlign w:val="bottom"/>
          </w:tcPr>
          <w:p w:rsidR="00A15FEB" w:rsidRDefault="00825013">
            <w:pPr>
              <w:jc w:val="right"/>
              <w:rPr>
                <w:b/>
                <w:szCs w:val="21"/>
              </w:rPr>
            </w:pPr>
            <w:r w:rsidRPr="00825013">
              <w:rPr>
                <w:b/>
                <w:color w:val="000000"/>
                <w:sz w:val="22"/>
                <w:szCs w:val="22"/>
              </w:rPr>
              <w:t xml:space="preserve">  331,826.53</w:t>
            </w:r>
          </w:p>
        </w:tc>
        <w:tc>
          <w:tcPr>
            <w:tcW w:w="1439" w:type="pct"/>
            <w:vAlign w:val="center"/>
          </w:tcPr>
          <w:p w:rsidR="00AA1CFA" w:rsidRPr="00025D55" w:rsidRDefault="00AA1CFA" w:rsidP="00B556A8">
            <w:pPr>
              <w:jc w:val="right"/>
              <w:rPr>
                <w:b/>
                <w:color w:val="000000"/>
                <w:sz w:val="22"/>
                <w:szCs w:val="22"/>
              </w:rPr>
            </w:pPr>
            <w:r w:rsidRPr="00D13127">
              <w:rPr>
                <w:b/>
                <w:szCs w:val="21"/>
              </w:rPr>
              <w:t>-103,237.70</w:t>
            </w:r>
          </w:p>
        </w:tc>
      </w:tr>
      <w:tr w:rsidR="00AA1CFA" w:rsidRPr="006F14B8" w:rsidTr="0091161B">
        <w:tc>
          <w:tcPr>
            <w:tcW w:w="2077" w:type="pct"/>
            <w:vAlign w:val="center"/>
          </w:tcPr>
          <w:p w:rsidR="00AA1CFA" w:rsidRPr="006F14B8" w:rsidRDefault="00AA1CFA" w:rsidP="00C57F58">
            <w:pPr>
              <w:rPr>
                <w:color w:val="000000"/>
                <w:szCs w:val="21"/>
              </w:rPr>
            </w:pPr>
            <w:r w:rsidRPr="006F14B8">
              <w:rPr>
                <w:color w:val="000000"/>
                <w:szCs w:val="21"/>
              </w:rPr>
              <w:t>1.</w:t>
            </w:r>
            <w:r w:rsidRPr="006F14B8">
              <w:rPr>
                <w:color w:val="000000"/>
                <w:szCs w:val="21"/>
              </w:rPr>
              <w:t>利息收入</w:t>
            </w:r>
          </w:p>
        </w:tc>
        <w:tc>
          <w:tcPr>
            <w:tcW w:w="1483" w:type="pct"/>
            <w:vAlign w:val="bottom"/>
          </w:tcPr>
          <w:p w:rsidR="00A15FEB" w:rsidRDefault="00AA1CFA">
            <w:pPr>
              <w:jc w:val="right"/>
              <w:rPr>
                <w:rFonts w:ascii="宋体" w:hAnsi="宋体" w:cs="宋体"/>
                <w:color w:val="000000"/>
                <w:sz w:val="22"/>
                <w:szCs w:val="22"/>
              </w:rPr>
            </w:pPr>
            <w:r>
              <w:rPr>
                <w:rFonts w:hint="eastAsia"/>
                <w:color w:val="000000"/>
                <w:sz w:val="22"/>
                <w:szCs w:val="22"/>
              </w:rPr>
              <w:t xml:space="preserve">     14,810.64</w:t>
            </w:r>
          </w:p>
        </w:tc>
        <w:tc>
          <w:tcPr>
            <w:tcW w:w="1439" w:type="pct"/>
            <w:vAlign w:val="center"/>
          </w:tcPr>
          <w:p w:rsidR="00AA1CFA" w:rsidRPr="00B556A8" w:rsidRDefault="00AA1CFA" w:rsidP="00B556A8">
            <w:pPr>
              <w:jc w:val="right"/>
              <w:rPr>
                <w:color w:val="000000"/>
                <w:sz w:val="22"/>
                <w:szCs w:val="22"/>
              </w:rPr>
            </w:pPr>
            <w:r w:rsidRPr="00D13127">
              <w:rPr>
                <w:szCs w:val="21"/>
              </w:rPr>
              <w:t>11,330.41</w:t>
            </w:r>
          </w:p>
        </w:tc>
      </w:tr>
      <w:tr w:rsidR="00AA1CFA" w:rsidRPr="006F14B8" w:rsidTr="0091161B">
        <w:tc>
          <w:tcPr>
            <w:tcW w:w="2077" w:type="pct"/>
            <w:vAlign w:val="center"/>
          </w:tcPr>
          <w:p w:rsidR="00AA1CFA" w:rsidRPr="006F14B8" w:rsidRDefault="00AA1CFA" w:rsidP="00C57F58">
            <w:pPr>
              <w:rPr>
                <w:color w:val="000000"/>
                <w:szCs w:val="21"/>
              </w:rPr>
            </w:pPr>
            <w:r w:rsidRPr="006F14B8">
              <w:rPr>
                <w:color w:val="000000"/>
                <w:szCs w:val="21"/>
              </w:rPr>
              <w:t>其中：存款利息收入</w:t>
            </w:r>
          </w:p>
        </w:tc>
        <w:tc>
          <w:tcPr>
            <w:tcW w:w="1483" w:type="pct"/>
            <w:vAlign w:val="bottom"/>
          </w:tcPr>
          <w:p w:rsidR="00A15FEB" w:rsidRDefault="00AA1CFA">
            <w:pPr>
              <w:jc w:val="right"/>
              <w:rPr>
                <w:rFonts w:ascii="宋体" w:hAnsi="宋体" w:cs="宋体"/>
                <w:color w:val="000000"/>
                <w:sz w:val="22"/>
                <w:szCs w:val="22"/>
              </w:rPr>
            </w:pPr>
            <w:r>
              <w:rPr>
                <w:rFonts w:hint="eastAsia"/>
                <w:color w:val="000000"/>
                <w:sz w:val="22"/>
                <w:szCs w:val="22"/>
              </w:rPr>
              <w:t xml:space="preserve">      5,520.62</w:t>
            </w:r>
          </w:p>
        </w:tc>
        <w:tc>
          <w:tcPr>
            <w:tcW w:w="1439" w:type="pct"/>
            <w:vAlign w:val="center"/>
          </w:tcPr>
          <w:p w:rsidR="00AA1CFA" w:rsidRPr="00B556A8" w:rsidRDefault="00AA1CFA" w:rsidP="00B556A8">
            <w:pPr>
              <w:jc w:val="right"/>
              <w:rPr>
                <w:color w:val="000000"/>
                <w:sz w:val="22"/>
                <w:szCs w:val="22"/>
              </w:rPr>
            </w:pPr>
            <w:r w:rsidRPr="00D13127">
              <w:rPr>
                <w:szCs w:val="21"/>
              </w:rPr>
              <w:t>5,450.35</w:t>
            </w:r>
          </w:p>
        </w:tc>
      </w:tr>
      <w:tr w:rsidR="00AA1CFA" w:rsidRPr="006F14B8" w:rsidTr="0091161B">
        <w:tc>
          <w:tcPr>
            <w:tcW w:w="2077" w:type="pct"/>
            <w:vAlign w:val="center"/>
          </w:tcPr>
          <w:p w:rsidR="00AA1CFA" w:rsidRPr="006F14B8" w:rsidRDefault="00AA1CFA" w:rsidP="00C57F58">
            <w:pPr>
              <w:ind w:firstLineChars="250" w:firstLine="525"/>
              <w:rPr>
                <w:color w:val="000000"/>
                <w:szCs w:val="21"/>
              </w:rPr>
            </w:pPr>
            <w:r w:rsidRPr="006F14B8">
              <w:rPr>
                <w:color w:val="000000"/>
                <w:szCs w:val="21"/>
              </w:rPr>
              <w:t>债券利息收入</w:t>
            </w:r>
          </w:p>
        </w:tc>
        <w:tc>
          <w:tcPr>
            <w:tcW w:w="1483" w:type="pct"/>
            <w:vAlign w:val="bottom"/>
          </w:tcPr>
          <w:p w:rsidR="00A15FEB" w:rsidRDefault="00AA1CFA">
            <w:pPr>
              <w:jc w:val="right"/>
              <w:rPr>
                <w:rFonts w:ascii="宋体" w:hAnsi="宋体" w:cs="宋体"/>
                <w:color w:val="000000"/>
                <w:sz w:val="22"/>
                <w:szCs w:val="22"/>
              </w:rPr>
            </w:pPr>
            <w:r>
              <w:rPr>
                <w:rFonts w:hint="eastAsia"/>
                <w:color w:val="000000"/>
                <w:sz w:val="22"/>
                <w:szCs w:val="22"/>
              </w:rPr>
              <w:t xml:space="preserve">      9,290.02</w:t>
            </w:r>
          </w:p>
        </w:tc>
        <w:tc>
          <w:tcPr>
            <w:tcW w:w="1439" w:type="pct"/>
            <w:vAlign w:val="center"/>
          </w:tcPr>
          <w:p w:rsidR="00AA1CFA" w:rsidRPr="00B556A8" w:rsidRDefault="00AA1CFA" w:rsidP="00B556A8">
            <w:pPr>
              <w:jc w:val="right"/>
              <w:rPr>
                <w:color w:val="000000"/>
                <w:sz w:val="22"/>
                <w:szCs w:val="22"/>
              </w:rPr>
            </w:pPr>
            <w:r w:rsidRPr="00D13127">
              <w:rPr>
                <w:szCs w:val="21"/>
              </w:rPr>
              <w:t>5,880.06</w:t>
            </w:r>
          </w:p>
        </w:tc>
      </w:tr>
      <w:tr w:rsidR="00823A9D" w:rsidRPr="006F14B8" w:rsidTr="0091161B">
        <w:tc>
          <w:tcPr>
            <w:tcW w:w="2077" w:type="pct"/>
            <w:vAlign w:val="center"/>
          </w:tcPr>
          <w:p w:rsidR="00823A9D" w:rsidRPr="006F14B8" w:rsidRDefault="00823A9D" w:rsidP="00C57F58">
            <w:pPr>
              <w:ind w:firstLineChars="250" w:firstLine="525"/>
              <w:rPr>
                <w:color w:val="000000"/>
                <w:szCs w:val="21"/>
              </w:rPr>
            </w:pPr>
            <w:r w:rsidRPr="006F14B8">
              <w:rPr>
                <w:color w:val="000000"/>
                <w:szCs w:val="21"/>
              </w:rPr>
              <w:t>资产支持证券利息收入</w:t>
            </w:r>
          </w:p>
        </w:tc>
        <w:tc>
          <w:tcPr>
            <w:tcW w:w="1483" w:type="pct"/>
            <w:vAlign w:val="bottom"/>
          </w:tcPr>
          <w:p w:rsidR="00823A9D" w:rsidRDefault="00823A9D">
            <w:pPr>
              <w:jc w:val="right"/>
              <w:rPr>
                <w:rFonts w:ascii="宋体" w:hAnsi="宋体" w:cs="宋体"/>
                <w:color w:val="000000"/>
                <w:sz w:val="22"/>
                <w:szCs w:val="22"/>
              </w:rPr>
            </w:pPr>
            <w:r>
              <w:rPr>
                <w:rFonts w:hint="eastAsia"/>
                <w:color w:val="000000"/>
                <w:sz w:val="22"/>
                <w:szCs w:val="22"/>
              </w:rPr>
              <w:t>-</w:t>
            </w:r>
          </w:p>
        </w:tc>
        <w:tc>
          <w:tcPr>
            <w:tcW w:w="1439" w:type="pct"/>
            <w:vAlign w:val="center"/>
          </w:tcPr>
          <w:p w:rsidR="00823A9D" w:rsidRPr="00B556A8" w:rsidRDefault="00823A9D" w:rsidP="00B556A8">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ind w:firstLineChars="250" w:firstLine="525"/>
              <w:rPr>
                <w:color w:val="000000"/>
                <w:szCs w:val="21"/>
              </w:rPr>
            </w:pPr>
            <w:r w:rsidRPr="006F14B8">
              <w:rPr>
                <w:color w:val="000000"/>
                <w:szCs w:val="21"/>
              </w:rPr>
              <w:t>买入返售金融资产收入</w:t>
            </w:r>
          </w:p>
        </w:tc>
        <w:tc>
          <w:tcPr>
            <w:tcW w:w="1483" w:type="pct"/>
            <w:vAlign w:val="bottom"/>
          </w:tcPr>
          <w:p w:rsidR="00823A9D" w:rsidRDefault="00AA1CFA">
            <w:pPr>
              <w:jc w:val="right"/>
              <w:rPr>
                <w:rFonts w:ascii="宋体" w:hAnsi="宋体" w:cs="宋体"/>
                <w:color w:val="000000"/>
                <w:sz w:val="22"/>
                <w:szCs w:val="22"/>
              </w:rPr>
            </w:pPr>
            <w:r>
              <w:rPr>
                <w:rFonts w:hint="eastAsia"/>
                <w:color w:val="000000"/>
                <w:sz w:val="22"/>
                <w:szCs w:val="22"/>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ind w:firstLineChars="250" w:firstLine="525"/>
              <w:rPr>
                <w:color w:val="000000"/>
                <w:szCs w:val="21"/>
              </w:rPr>
            </w:pPr>
            <w:r w:rsidRPr="006F14B8">
              <w:rPr>
                <w:color w:val="000000"/>
                <w:szCs w:val="21"/>
              </w:rPr>
              <w:t>其他利息收入</w:t>
            </w:r>
          </w:p>
        </w:tc>
        <w:tc>
          <w:tcPr>
            <w:tcW w:w="1483" w:type="pct"/>
            <w:vAlign w:val="bottom"/>
          </w:tcPr>
          <w:p w:rsidR="00823A9D" w:rsidRDefault="00823A9D">
            <w:pPr>
              <w:jc w:val="right"/>
              <w:rPr>
                <w:rFonts w:ascii="宋体" w:hAnsi="宋体" w:cs="宋体"/>
                <w:color w:val="000000"/>
                <w:sz w:val="22"/>
                <w:szCs w:val="22"/>
              </w:rPr>
            </w:pPr>
            <w:r w:rsidRPr="006F14B8">
              <w:rPr>
                <w:color w:val="000000"/>
                <w:sz w:val="22"/>
                <w:szCs w:val="22"/>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AA1CFA" w:rsidRPr="006F14B8" w:rsidTr="0091161B">
        <w:tc>
          <w:tcPr>
            <w:tcW w:w="2077" w:type="pct"/>
            <w:vAlign w:val="center"/>
          </w:tcPr>
          <w:p w:rsidR="00AA1CFA" w:rsidRPr="006F14B8" w:rsidRDefault="00AA1CFA"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1483" w:type="pct"/>
            <w:vAlign w:val="bottom"/>
          </w:tcPr>
          <w:p w:rsidR="00A15FEB" w:rsidRDefault="00AA1CFA">
            <w:pPr>
              <w:jc w:val="right"/>
              <w:rPr>
                <w:rFonts w:ascii="宋体" w:hAnsi="宋体" w:cs="宋体"/>
                <w:color w:val="000000"/>
                <w:sz w:val="22"/>
                <w:szCs w:val="22"/>
              </w:rPr>
            </w:pPr>
            <w:r>
              <w:rPr>
                <w:rFonts w:hint="eastAsia"/>
                <w:color w:val="000000"/>
                <w:sz w:val="22"/>
                <w:szCs w:val="22"/>
              </w:rPr>
              <w:t xml:space="preserve">     75,039.78</w:t>
            </w:r>
          </w:p>
        </w:tc>
        <w:tc>
          <w:tcPr>
            <w:tcW w:w="1439" w:type="pct"/>
            <w:vAlign w:val="center"/>
          </w:tcPr>
          <w:p w:rsidR="00AA1CFA" w:rsidRPr="006F14B8" w:rsidRDefault="00AA1CFA" w:rsidP="00D3317D">
            <w:pPr>
              <w:jc w:val="right"/>
              <w:rPr>
                <w:color w:val="000000"/>
                <w:sz w:val="22"/>
                <w:szCs w:val="22"/>
              </w:rPr>
            </w:pPr>
            <w:r w:rsidRPr="00D13127">
              <w:rPr>
                <w:szCs w:val="21"/>
              </w:rPr>
              <w:t>-21,584.45</w:t>
            </w:r>
          </w:p>
        </w:tc>
      </w:tr>
      <w:tr w:rsidR="00AA1CFA" w:rsidRPr="006F14B8" w:rsidTr="0091161B">
        <w:tc>
          <w:tcPr>
            <w:tcW w:w="2077" w:type="pct"/>
            <w:vAlign w:val="center"/>
          </w:tcPr>
          <w:p w:rsidR="00AA1CFA" w:rsidRPr="006F14B8" w:rsidRDefault="00AA1CFA" w:rsidP="00C57F58">
            <w:pPr>
              <w:rPr>
                <w:color w:val="000000"/>
                <w:szCs w:val="21"/>
              </w:rPr>
            </w:pPr>
            <w:r w:rsidRPr="006F14B8">
              <w:rPr>
                <w:color w:val="000000"/>
                <w:szCs w:val="21"/>
              </w:rPr>
              <w:t>其中：股票投资收益</w:t>
            </w:r>
          </w:p>
        </w:tc>
        <w:tc>
          <w:tcPr>
            <w:tcW w:w="1483" w:type="pct"/>
            <w:vAlign w:val="bottom"/>
          </w:tcPr>
          <w:p w:rsidR="00AA1CFA" w:rsidRPr="006F14B8" w:rsidRDefault="00F329E6" w:rsidP="00175C8F">
            <w:pPr>
              <w:jc w:val="right"/>
              <w:rPr>
                <w:color w:val="000000"/>
                <w:sz w:val="22"/>
                <w:szCs w:val="22"/>
              </w:rPr>
            </w:pPr>
            <w:r w:rsidRPr="00D13127">
              <w:rPr>
                <w:szCs w:val="21"/>
              </w:rPr>
              <w:t>-</w:t>
            </w:r>
          </w:p>
        </w:tc>
        <w:tc>
          <w:tcPr>
            <w:tcW w:w="1439" w:type="pct"/>
            <w:vAlign w:val="center"/>
          </w:tcPr>
          <w:p w:rsidR="00AA1CFA" w:rsidRPr="006F14B8" w:rsidRDefault="00AA1CFA" w:rsidP="00D3317D">
            <w:pPr>
              <w:jc w:val="right"/>
              <w:rPr>
                <w:color w:val="000000"/>
                <w:sz w:val="22"/>
                <w:szCs w:val="22"/>
              </w:rPr>
            </w:pPr>
            <w:r w:rsidRPr="00D13127">
              <w:rPr>
                <w:szCs w:val="21"/>
              </w:rPr>
              <w:t>-</w:t>
            </w:r>
          </w:p>
        </w:tc>
      </w:tr>
      <w:tr w:rsidR="00AA1CFA" w:rsidRPr="006F14B8" w:rsidTr="0091161B">
        <w:tc>
          <w:tcPr>
            <w:tcW w:w="2077" w:type="pct"/>
            <w:vAlign w:val="center"/>
          </w:tcPr>
          <w:p w:rsidR="00AA1CFA" w:rsidRPr="006F14B8" w:rsidRDefault="00AA1CFA" w:rsidP="00C57F58">
            <w:pPr>
              <w:ind w:firstLineChars="300" w:firstLine="630"/>
              <w:rPr>
                <w:color w:val="000000"/>
                <w:szCs w:val="21"/>
              </w:rPr>
            </w:pPr>
            <w:r w:rsidRPr="006F14B8">
              <w:rPr>
                <w:color w:val="000000"/>
                <w:szCs w:val="21"/>
              </w:rPr>
              <w:t>基金投资收益</w:t>
            </w:r>
          </w:p>
        </w:tc>
        <w:tc>
          <w:tcPr>
            <w:tcW w:w="1483" w:type="pct"/>
            <w:vAlign w:val="bottom"/>
          </w:tcPr>
          <w:p w:rsidR="00AA1CFA" w:rsidRPr="006F14B8" w:rsidRDefault="00AA1CFA" w:rsidP="00175C8F">
            <w:pPr>
              <w:jc w:val="right"/>
              <w:rPr>
                <w:color w:val="000000"/>
                <w:sz w:val="22"/>
                <w:szCs w:val="22"/>
              </w:rPr>
            </w:pPr>
            <w:r w:rsidRPr="00AA1CFA">
              <w:rPr>
                <w:color w:val="000000"/>
                <w:sz w:val="22"/>
                <w:szCs w:val="22"/>
              </w:rPr>
              <w:t>74</w:t>
            </w:r>
            <w:r>
              <w:rPr>
                <w:rFonts w:hint="eastAsia"/>
                <w:color w:val="000000"/>
                <w:sz w:val="22"/>
                <w:szCs w:val="22"/>
              </w:rPr>
              <w:t>,</w:t>
            </w:r>
            <w:r w:rsidRPr="00AA1CFA">
              <w:rPr>
                <w:color w:val="000000"/>
                <w:sz w:val="22"/>
                <w:szCs w:val="22"/>
              </w:rPr>
              <w:t>271.78</w:t>
            </w:r>
          </w:p>
        </w:tc>
        <w:tc>
          <w:tcPr>
            <w:tcW w:w="1439" w:type="pct"/>
            <w:vAlign w:val="center"/>
          </w:tcPr>
          <w:p w:rsidR="00AA1CFA" w:rsidRPr="006F14B8" w:rsidRDefault="00AA1CFA" w:rsidP="00D3317D">
            <w:pPr>
              <w:jc w:val="right"/>
              <w:rPr>
                <w:color w:val="000000"/>
                <w:sz w:val="22"/>
                <w:szCs w:val="22"/>
              </w:rPr>
            </w:pPr>
            <w:r w:rsidRPr="00D13127">
              <w:rPr>
                <w:szCs w:val="21"/>
              </w:rPr>
              <w:t>-22,849.45</w:t>
            </w:r>
          </w:p>
        </w:tc>
      </w:tr>
      <w:tr w:rsidR="00AA1CFA" w:rsidRPr="006F14B8" w:rsidTr="0091161B">
        <w:tc>
          <w:tcPr>
            <w:tcW w:w="2077" w:type="pct"/>
            <w:vAlign w:val="center"/>
          </w:tcPr>
          <w:p w:rsidR="00AA1CFA" w:rsidRPr="006F14B8" w:rsidRDefault="00AA1CFA" w:rsidP="00C57F58">
            <w:pPr>
              <w:ind w:firstLineChars="300" w:firstLine="630"/>
              <w:rPr>
                <w:color w:val="000000"/>
                <w:szCs w:val="21"/>
              </w:rPr>
            </w:pPr>
            <w:r w:rsidRPr="006F14B8">
              <w:rPr>
                <w:color w:val="000000"/>
                <w:szCs w:val="21"/>
              </w:rPr>
              <w:t>债券投资收益</w:t>
            </w:r>
          </w:p>
        </w:tc>
        <w:tc>
          <w:tcPr>
            <w:tcW w:w="1483" w:type="pct"/>
            <w:vAlign w:val="bottom"/>
          </w:tcPr>
          <w:p w:rsidR="00A15FEB" w:rsidRDefault="00AA1CFA">
            <w:pPr>
              <w:jc w:val="right"/>
              <w:rPr>
                <w:rFonts w:ascii="宋体" w:hAnsi="宋体" w:cs="宋体"/>
                <w:color w:val="000000"/>
                <w:sz w:val="22"/>
                <w:szCs w:val="22"/>
              </w:rPr>
            </w:pPr>
            <w:r>
              <w:rPr>
                <w:rFonts w:hint="eastAsia"/>
                <w:color w:val="000000"/>
                <w:sz w:val="22"/>
                <w:szCs w:val="22"/>
              </w:rPr>
              <w:t xml:space="preserve">  768.00</w:t>
            </w:r>
          </w:p>
        </w:tc>
        <w:tc>
          <w:tcPr>
            <w:tcW w:w="1439" w:type="pct"/>
            <w:vAlign w:val="center"/>
          </w:tcPr>
          <w:p w:rsidR="00AA1CFA" w:rsidRPr="00B556A8" w:rsidRDefault="00AA1CFA" w:rsidP="00B556A8">
            <w:pPr>
              <w:jc w:val="right"/>
              <w:rPr>
                <w:color w:val="000000"/>
                <w:sz w:val="22"/>
                <w:szCs w:val="22"/>
              </w:rPr>
            </w:pPr>
            <w:r w:rsidRPr="00D13127">
              <w:rPr>
                <w:szCs w:val="21"/>
              </w:rPr>
              <w:t>1,265.00</w:t>
            </w:r>
          </w:p>
        </w:tc>
      </w:tr>
      <w:tr w:rsidR="00823A9D" w:rsidRPr="006F14B8" w:rsidTr="0091161B">
        <w:tc>
          <w:tcPr>
            <w:tcW w:w="2077" w:type="pct"/>
            <w:vAlign w:val="center"/>
          </w:tcPr>
          <w:p w:rsidR="00823A9D" w:rsidRPr="006F14B8" w:rsidRDefault="00823A9D" w:rsidP="00C57F58">
            <w:pPr>
              <w:ind w:firstLineChars="300" w:firstLine="630"/>
              <w:rPr>
                <w:color w:val="000000"/>
                <w:szCs w:val="21"/>
              </w:rPr>
            </w:pPr>
            <w:r w:rsidRPr="006F14B8">
              <w:rPr>
                <w:color w:val="000000"/>
                <w:szCs w:val="21"/>
              </w:rPr>
              <w:t>资产支持证券投资收益</w:t>
            </w:r>
          </w:p>
        </w:tc>
        <w:tc>
          <w:tcPr>
            <w:tcW w:w="1483" w:type="pct"/>
            <w:vAlign w:val="bottom"/>
          </w:tcPr>
          <w:p w:rsidR="00823A9D" w:rsidRDefault="00823A9D" w:rsidP="00175C8F">
            <w:pPr>
              <w:jc w:val="right"/>
              <w:rPr>
                <w:rFonts w:ascii="宋体" w:hAnsi="宋体" w:cs="宋体"/>
                <w:color w:val="000000"/>
                <w:sz w:val="22"/>
                <w:szCs w:val="22"/>
              </w:rPr>
            </w:pPr>
            <w:r>
              <w:rPr>
                <w:rFonts w:hint="eastAsia"/>
                <w:color w:val="000000"/>
                <w:sz w:val="22"/>
                <w:szCs w:val="22"/>
              </w:rPr>
              <w:t>-</w:t>
            </w:r>
          </w:p>
        </w:tc>
        <w:tc>
          <w:tcPr>
            <w:tcW w:w="1439" w:type="pct"/>
            <w:vAlign w:val="center"/>
          </w:tcPr>
          <w:p w:rsidR="00823A9D" w:rsidRPr="00B556A8" w:rsidRDefault="00823A9D" w:rsidP="00B556A8">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spacing w:line="360" w:lineRule="auto"/>
              <w:ind w:firstLineChars="300" w:firstLine="630"/>
              <w:rPr>
                <w:rFonts w:eastAsiaTheme="minorEastAsia"/>
                <w:color w:val="000000"/>
                <w:szCs w:val="21"/>
              </w:rPr>
            </w:pPr>
            <w:r w:rsidRPr="006F14B8">
              <w:t>贵金属投资收益</w:t>
            </w:r>
          </w:p>
        </w:tc>
        <w:tc>
          <w:tcPr>
            <w:tcW w:w="1483" w:type="pct"/>
            <w:vAlign w:val="center"/>
          </w:tcPr>
          <w:p w:rsidR="00823A9D" w:rsidRPr="006F14B8" w:rsidRDefault="00823A9D" w:rsidP="00997072">
            <w:pPr>
              <w:spacing w:line="360" w:lineRule="auto"/>
              <w:jc w:val="right"/>
              <w:rPr>
                <w:rFonts w:eastAsiaTheme="minorEastAsia"/>
                <w:color w:val="000000"/>
                <w:szCs w:val="21"/>
              </w:rPr>
            </w:pPr>
            <w:r w:rsidRPr="006F14B8">
              <w:rPr>
                <w:rFonts w:eastAsiaTheme="minorEastAsia" w:hint="eastAsia"/>
                <w:color w:val="000000"/>
                <w:szCs w:val="21"/>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ind w:firstLineChars="300" w:firstLine="630"/>
              <w:rPr>
                <w:color w:val="000000"/>
                <w:szCs w:val="21"/>
              </w:rPr>
            </w:pPr>
            <w:r w:rsidRPr="006F14B8">
              <w:rPr>
                <w:color w:val="000000"/>
                <w:szCs w:val="21"/>
              </w:rPr>
              <w:t>衍生工具收益</w:t>
            </w:r>
          </w:p>
        </w:tc>
        <w:tc>
          <w:tcPr>
            <w:tcW w:w="1483" w:type="pct"/>
            <w:vAlign w:val="bottom"/>
          </w:tcPr>
          <w:p w:rsidR="00823A9D" w:rsidRPr="006F14B8" w:rsidRDefault="00823A9D">
            <w:pPr>
              <w:jc w:val="right"/>
              <w:rPr>
                <w:color w:val="000000"/>
                <w:szCs w:val="21"/>
              </w:rPr>
            </w:pPr>
            <w:r w:rsidRPr="006F14B8">
              <w:rPr>
                <w:rFonts w:hint="eastAsia"/>
                <w:color w:val="000000"/>
                <w:szCs w:val="21"/>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ind w:firstLineChars="300" w:firstLine="630"/>
              <w:rPr>
                <w:color w:val="000000"/>
                <w:szCs w:val="21"/>
              </w:rPr>
            </w:pPr>
            <w:r w:rsidRPr="006F14B8">
              <w:rPr>
                <w:color w:val="000000"/>
                <w:szCs w:val="21"/>
              </w:rPr>
              <w:t>股利收益</w:t>
            </w:r>
          </w:p>
        </w:tc>
        <w:tc>
          <w:tcPr>
            <w:tcW w:w="1483" w:type="pct"/>
            <w:vAlign w:val="bottom"/>
          </w:tcPr>
          <w:p w:rsidR="00823A9D" w:rsidRPr="006F14B8" w:rsidRDefault="00AA1CFA">
            <w:pPr>
              <w:jc w:val="right"/>
              <w:rPr>
                <w:rFonts w:ascii="宋体" w:hAnsi="宋体" w:cs="宋体"/>
                <w:color w:val="000000"/>
                <w:sz w:val="22"/>
                <w:szCs w:val="22"/>
              </w:rPr>
            </w:pPr>
            <w:r w:rsidRPr="006F14B8">
              <w:rPr>
                <w:rFonts w:hint="eastAsia"/>
                <w:color w:val="000000"/>
                <w:szCs w:val="21"/>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1483" w:type="pct"/>
            <w:vAlign w:val="bottom"/>
          </w:tcPr>
          <w:p w:rsidR="00823A9D" w:rsidRDefault="00AA1CFA">
            <w:pPr>
              <w:jc w:val="right"/>
              <w:rPr>
                <w:color w:val="000000"/>
                <w:sz w:val="22"/>
                <w:szCs w:val="22"/>
              </w:rPr>
            </w:pPr>
            <w:r w:rsidRPr="00AA1CFA">
              <w:rPr>
                <w:color w:val="000000"/>
                <w:sz w:val="22"/>
                <w:szCs w:val="22"/>
              </w:rPr>
              <w:t>191</w:t>
            </w:r>
            <w:r>
              <w:rPr>
                <w:rFonts w:hint="eastAsia"/>
                <w:color w:val="000000"/>
                <w:sz w:val="22"/>
                <w:szCs w:val="22"/>
              </w:rPr>
              <w:t>,</w:t>
            </w:r>
            <w:r w:rsidRPr="00AA1CFA">
              <w:rPr>
                <w:color w:val="000000"/>
                <w:sz w:val="22"/>
                <w:szCs w:val="22"/>
              </w:rPr>
              <w:t>410.54</w:t>
            </w:r>
          </w:p>
        </w:tc>
        <w:tc>
          <w:tcPr>
            <w:tcW w:w="1439" w:type="pct"/>
            <w:vAlign w:val="center"/>
          </w:tcPr>
          <w:p w:rsidR="00823A9D" w:rsidRPr="006F14B8" w:rsidRDefault="00823A9D" w:rsidP="00D3317D">
            <w:pPr>
              <w:jc w:val="right"/>
              <w:rPr>
                <w:color w:val="000000"/>
                <w:sz w:val="22"/>
                <w:szCs w:val="22"/>
              </w:rPr>
            </w:pPr>
            <w:r w:rsidRPr="00D13127">
              <w:rPr>
                <w:szCs w:val="21"/>
              </w:rPr>
              <w:t>-125,507.64</w:t>
            </w:r>
          </w:p>
        </w:tc>
      </w:tr>
      <w:tr w:rsidR="00823A9D" w:rsidRPr="006F14B8" w:rsidTr="0091161B">
        <w:tc>
          <w:tcPr>
            <w:tcW w:w="2077" w:type="pct"/>
            <w:vAlign w:val="center"/>
          </w:tcPr>
          <w:p w:rsidR="00823A9D" w:rsidRPr="006F14B8" w:rsidRDefault="00823A9D"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sidRPr="006F14B8">
              <w:rPr>
                <w:rFonts w:ascii="Times New Roman" w:hAnsi="Times New Roman"/>
                <w:color w:val="000000"/>
                <w:sz w:val="21"/>
                <w:szCs w:val="21"/>
              </w:rPr>
              <w:t>汇兑收益（损失以</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号填列）</w:t>
            </w:r>
          </w:p>
        </w:tc>
        <w:tc>
          <w:tcPr>
            <w:tcW w:w="1483" w:type="pct"/>
            <w:vAlign w:val="bottom"/>
          </w:tcPr>
          <w:p w:rsidR="00823A9D" w:rsidRPr="006F14B8" w:rsidRDefault="00823A9D">
            <w:pPr>
              <w:jc w:val="right"/>
              <w:rPr>
                <w:color w:val="000000"/>
                <w:szCs w:val="21"/>
              </w:rPr>
            </w:pPr>
            <w:r w:rsidRPr="006F14B8">
              <w:rPr>
                <w:rFonts w:hint="eastAsia"/>
                <w:color w:val="000000"/>
                <w:szCs w:val="21"/>
              </w:rPr>
              <w:t>-</w:t>
            </w:r>
          </w:p>
        </w:tc>
        <w:tc>
          <w:tcPr>
            <w:tcW w:w="1439" w:type="pct"/>
            <w:vAlign w:val="center"/>
          </w:tcPr>
          <w:p w:rsidR="00823A9D" w:rsidRPr="006F14B8" w:rsidRDefault="00823A9D" w:rsidP="00D3317D">
            <w:pPr>
              <w:jc w:val="right"/>
              <w:rPr>
                <w:color w:val="000000"/>
                <w:sz w:val="22"/>
                <w:szCs w:val="22"/>
              </w:rPr>
            </w:pPr>
            <w:r w:rsidRPr="00D13127">
              <w:rPr>
                <w:szCs w:val="21"/>
              </w:rPr>
              <w:t>-</w:t>
            </w:r>
          </w:p>
        </w:tc>
      </w:tr>
      <w:tr w:rsidR="00823A9D" w:rsidRPr="006F14B8" w:rsidTr="0091161B">
        <w:tc>
          <w:tcPr>
            <w:tcW w:w="2077" w:type="pct"/>
            <w:vAlign w:val="center"/>
          </w:tcPr>
          <w:p w:rsidR="00823A9D" w:rsidRPr="006F14B8" w:rsidRDefault="00823A9D"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1483" w:type="pct"/>
            <w:vAlign w:val="bottom"/>
          </w:tcPr>
          <w:p w:rsidR="00823A9D" w:rsidRPr="006F14B8" w:rsidRDefault="00AA1CFA">
            <w:pPr>
              <w:jc w:val="right"/>
              <w:rPr>
                <w:rFonts w:ascii="宋体" w:hAnsi="宋体" w:cs="宋体"/>
                <w:color w:val="000000"/>
                <w:sz w:val="22"/>
                <w:szCs w:val="22"/>
              </w:rPr>
            </w:pPr>
            <w:r w:rsidRPr="00AA1CFA">
              <w:rPr>
                <w:color w:val="000000"/>
                <w:sz w:val="22"/>
                <w:szCs w:val="22"/>
              </w:rPr>
              <w:t>50</w:t>
            </w:r>
            <w:r>
              <w:rPr>
                <w:rFonts w:hint="eastAsia"/>
                <w:color w:val="000000"/>
                <w:sz w:val="22"/>
                <w:szCs w:val="22"/>
              </w:rPr>
              <w:t>,</w:t>
            </w:r>
            <w:r w:rsidRPr="00AA1CFA">
              <w:rPr>
                <w:color w:val="000000"/>
                <w:sz w:val="22"/>
                <w:szCs w:val="22"/>
              </w:rPr>
              <w:t>565.57</w:t>
            </w:r>
          </w:p>
        </w:tc>
        <w:tc>
          <w:tcPr>
            <w:tcW w:w="1439" w:type="pct"/>
            <w:vAlign w:val="center"/>
          </w:tcPr>
          <w:p w:rsidR="00823A9D" w:rsidRPr="006F14B8" w:rsidRDefault="00823A9D" w:rsidP="00D3317D">
            <w:pPr>
              <w:jc w:val="right"/>
              <w:rPr>
                <w:color w:val="000000"/>
                <w:sz w:val="22"/>
                <w:szCs w:val="22"/>
              </w:rPr>
            </w:pPr>
            <w:r w:rsidRPr="00D13127">
              <w:rPr>
                <w:szCs w:val="21"/>
              </w:rPr>
              <w:t>32,523.98</w:t>
            </w:r>
          </w:p>
        </w:tc>
      </w:tr>
      <w:tr w:rsidR="00D92EAB" w:rsidRPr="006F14B8" w:rsidTr="0091161B">
        <w:tc>
          <w:tcPr>
            <w:tcW w:w="2077" w:type="pct"/>
            <w:vAlign w:val="center"/>
          </w:tcPr>
          <w:p w:rsidR="00D92EAB" w:rsidRPr="006F14B8" w:rsidRDefault="00D92EAB" w:rsidP="00C57F58">
            <w:pPr>
              <w:rPr>
                <w:b/>
                <w:color w:val="000000"/>
                <w:szCs w:val="21"/>
              </w:rPr>
            </w:pPr>
            <w:r w:rsidRPr="006F14B8">
              <w:rPr>
                <w:b/>
                <w:color w:val="000000"/>
                <w:szCs w:val="21"/>
              </w:rPr>
              <w:t>减：二、费用</w:t>
            </w:r>
          </w:p>
        </w:tc>
        <w:tc>
          <w:tcPr>
            <w:tcW w:w="1483" w:type="pct"/>
            <w:vAlign w:val="bottom"/>
          </w:tcPr>
          <w:p w:rsidR="00A15FEB" w:rsidRDefault="00825013">
            <w:pPr>
              <w:jc w:val="right"/>
              <w:rPr>
                <w:b/>
                <w:szCs w:val="21"/>
              </w:rPr>
            </w:pPr>
            <w:r w:rsidRPr="00825013">
              <w:rPr>
                <w:b/>
                <w:color w:val="000000"/>
                <w:sz w:val="22"/>
                <w:szCs w:val="22"/>
              </w:rPr>
              <w:t xml:space="preserve"> 130,488.03</w:t>
            </w:r>
          </w:p>
        </w:tc>
        <w:tc>
          <w:tcPr>
            <w:tcW w:w="1439" w:type="pct"/>
            <w:vAlign w:val="center"/>
          </w:tcPr>
          <w:p w:rsidR="00D92EAB" w:rsidRPr="00235F4F" w:rsidRDefault="00D92EAB" w:rsidP="00B556A8">
            <w:pPr>
              <w:jc w:val="right"/>
              <w:rPr>
                <w:b/>
                <w:color w:val="000000"/>
                <w:sz w:val="22"/>
                <w:szCs w:val="22"/>
              </w:rPr>
            </w:pPr>
            <w:r w:rsidRPr="00D13127">
              <w:rPr>
                <w:b/>
                <w:szCs w:val="21"/>
              </w:rPr>
              <w:t>169,648.87</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1</w:t>
            </w:r>
            <w:r w:rsidRPr="006F14B8">
              <w:rPr>
                <w:color w:val="000000"/>
                <w:szCs w:val="21"/>
              </w:rPr>
              <w:t>．管理人报酬</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2,229.57</w:t>
            </w:r>
          </w:p>
        </w:tc>
        <w:tc>
          <w:tcPr>
            <w:tcW w:w="1439" w:type="pct"/>
            <w:vAlign w:val="center"/>
          </w:tcPr>
          <w:p w:rsidR="00D92EAB" w:rsidRPr="00B556A8" w:rsidRDefault="00D92EAB" w:rsidP="00B556A8">
            <w:pPr>
              <w:jc w:val="right"/>
              <w:rPr>
                <w:color w:val="000000"/>
                <w:sz w:val="22"/>
                <w:szCs w:val="22"/>
              </w:rPr>
            </w:pPr>
            <w:r w:rsidRPr="00D13127">
              <w:rPr>
                <w:szCs w:val="21"/>
              </w:rPr>
              <w:t>2,402.25</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2</w:t>
            </w:r>
            <w:r w:rsidRPr="006F14B8">
              <w:rPr>
                <w:color w:val="000000"/>
                <w:szCs w:val="21"/>
              </w:rPr>
              <w:t>．托管费</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743.03</w:t>
            </w:r>
          </w:p>
        </w:tc>
        <w:tc>
          <w:tcPr>
            <w:tcW w:w="1439" w:type="pct"/>
            <w:vAlign w:val="center"/>
          </w:tcPr>
          <w:p w:rsidR="00D92EAB" w:rsidRPr="00B556A8" w:rsidRDefault="00D92EAB" w:rsidP="00B556A8">
            <w:pPr>
              <w:jc w:val="right"/>
              <w:rPr>
                <w:color w:val="000000"/>
                <w:sz w:val="22"/>
                <w:szCs w:val="22"/>
              </w:rPr>
            </w:pPr>
            <w:r w:rsidRPr="00D13127">
              <w:rPr>
                <w:szCs w:val="21"/>
              </w:rPr>
              <w:t>800.79</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3</w:t>
            </w:r>
            <w:r w:rsidRPr="006F14B8">
              <w:rPr>
                <w:color w:val="000000"/>
                <w:szCs w:val="21"/>
              </w:rPr>
              <w:t>．销售服务费</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7,780.27</w:t>
            </w:r>
          </w:p>
        </w:tc>
        <w:tc>
          <w:tcPr>
            <w:tcW w:w="1439" w:type="pct"/>
            <w:vAlign w:val="center"/>
          </w:tcPr>
          <w:p w:rsidR="00D92EAB" w:rsidRPr="00B556A8" w:rsidRDefault="00D92EAB" w:rsidP="00B556A8">
            <w:pPr>
              <w:jc w:val="right"/>
              <w:rPr>
                <w:color w:val="000000"/>
                <w:sz w:val="22"/>
                <w:szCs w:val="22"/>
              </w:rPr>
            </w:pPr>
            <w:r w:rsidRPr="00D13127">
              <w:rPr>
                <w:szCs w:val="21"/>
              </w:rPr>
              <w:t>9,044.78</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4</w:t>
            </w:r>
            <w:r w:rsidRPr="006F14B8">
              <w:rPr>
                <w:color w:val="000000"/>
                <w:szCs w:val="21"/>
              </w:rPr>
              <w:t>．交易费用</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0.56</w:t>
            </w:r>
          </w:p>
        </w:tc>
        <w:tc>
          <w:tcPr>
            <w:tcW w:w="1439" w:type="pct"/>
            <w:vAlign w:val="center"/>
          </w:tcPr>
          <w:p w:rsidR="00D92EAB" w:rsidRPr="00B556A8" w:rsidRDefault="00D92EAB" w:rsidP="00B556A8">
            <w:pPr>
              <w:jc w:val="right"/>
              <w:rPr>
                <w:color w:val="000000"/>
                <w:sz w:val="22"/>
                <w:szCs w:val="22"/>
              </w:rPr>
            </w:pPr>
            <w:r w:rsidRPr="00D13127">
              <w:rPr>
                <w:szCs w:val="21"/>
              </w:rPr>
              <w:t>1.05</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5</w:t>
            </w:r>
            <w:r w:rsidRPr="006F14B8">
              <w:rPr>
                <w:color w:val="000000"/>
                <w:szCs w:val="21"/>
              </w:rPr>
              <w:t>．利息支出</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899.95</w:t>
            </w:r>
          </w:p>
        </w:tc>
        <w:tc>
          <w:tcPr>
            <w:tcW w:w="1439" w:type="pct"/>
            <w:vAlign w:val="center"/>
          </w:tcPr>
          <w:p w:rsidR="00D92EAB" w:rsidRPr="00B556A8" w:rsidRDefault="00D92EAB" w:rsidP="00B556A8">
            <w:pPr>
              <w:jc w:val="right"/>
              <w:rPr>
                <w:color w:val="000000"/>
                <w:sz w:val="22"/>
                <w:szCs w:val="22"/>
              </w:rPr>
            </w:pPr>
            <w:r w:rsidRPr="00D13127">
              <w:rPr>
                <w:szCs w:val="21"/>
              </w:rPr>
              <w:t>-</w:t>
            </w:r>
          </w:p>
        </w:tc>
      </w:tr>
      <w:tr w:rsidR="00D92EAB" w:rsidRPr="006F14B8" w:rsidTr="0091161B">
        <w:tc>
          <w:tcPr>
            <w:tcW w:w="2077" w:type="pct"/>
            <w:vAlign w:val="center"/>
          </w:tcPr>
          <w:p w:rsidR="00D92EAB" w:rsidRPr="006F14B8" w:rsidRDefault="00D92EAB" w:rsidP="00C57F58">
            <w:pPr>
              <w:rPr>
                <w:color w:val="000000"/>
                <w:szCs w:val="21"/>
              </w:rPr>
            </w:pPr>
            <w:r w:rsidRPr="006F14B8">
              <w:rPr>
                <w:color w:val="000000"/>
                <w:szCs w:val="21"/>
              </w:rPr>
              <w:t>其中：卖出回购金融资产支出</w:t>
            </w:r>
          </w:p>
        </w:tc>
        <w:tc>
          <w:tcPr>
            <w:tcW w:w="1483" w:type="pct"/>
            <w:vAlign w:val="bottom"/>
          </w:tcPr>
          <w:p w:rsidR="00A15FEB" w:rsidRDefault="00D92EAB">
            <w:pPr>
              <w:jc w:val="right"/>
              <w:rPr>
                <w:rFonts w:ascii="宋体" w:hAnsi="宋体" w:cs="宋体"/>
                <w:color w:val="000000"/>
                <w:sz w:val="22"/>
                <w:szCs w:val="22"/>
              </w:rPr>
            </w:pPr>
            <w:r>
              <w:rPr>
                <w:rFonts w:hint="eastAsia"/>
                <w:color w:val="000000"/>
                <w:sz w:val="22"/>
                <w:szCs w:val="22"/>
              </w:rPr>
              <w:t xml:space="preserve">        899.95</w:t>
            </w:r>
          </w:p>
        </w:tc>
        <w:tc>
          <w:tcPr>
            <w:tcW w:w="1439" w:type="pct"/>
            <w:vAlign w:val="center"/>
          </w:tcPr>
          <w:p w:rsidR="00D92EAB" w:rsidRPr="00B556A8" w:rsidRDefault="00D92EAB" w:rsidP="00B556A8">
            <w:pPr>
              <w:jc w:val="right"/>
              <w:rPr>
                <w:color w:val="000000"/>
                <w:sz w:val="22"/>
                <w:szCs w:val="22"/>
              </w:rPr>
            </w:pPr>
            <w:r w:rsidRPr="00D13127">
              <w:rPr>
                <w:szCs w:val="21"/>
              </w:rPr>
              <w:t>-</w:t>
            </w:r>
          </w:p>
        </w:tc>
      </w:tr>
      <w:tr w:rsidR="008F0C14" w:rsidRPr="006F14B8" w:rsidTr="0091161B">
        <w:tc>
          <w:tcPr>
            <w:tcW w:w="2077" w:type="pct"/>
            <w:vAlign w:val="center"/>
          </w:tcPr>
          <w:p w:rsidR="008F0C14" w:rsidRPr="006F14B8" w:rsidRDefault="008F0C14" w:rsidP="00C57F58">
            <w:pPr>
              <w:rPr>
                <w:color w:val="000000"/>
                <w:szCs w:val="21"/>
              </w:rPr>
            </w:pPr>
            <w:r w:rsidRPr="006F14B8">
              <w:rPr>
                <w:color w:val="000000"/>
                <w:szCs w:val="21"/>
              </w:rPr>
              <w:t>6</w:t>
            </w:r>
            <w:r w:rsidRPr="006F14B8">
              <w:rPr>
                <w:color w:val="000000"/>
                <w:szCs w:val="21"/>
              </w:rPr>
              <w:t>．</w:t>
            </w:r>
            <w:r w:rsidR="00D30755" w:rsidRPr="00D30755">
              <w:rPr>
                <w:rFonts w:hint="eastAsia"/>
                <w:color w:val="000000"/>
                <w:szCs w:val="21"/>
              </w:rPr>
              <w:t>税金及附加</w:t>
            </w:r>
          </w:p>
        </w:tc>
        <w:tc>
          <w:tcPr>
            <w:tcW w:w="1483" w:type="pct"/>
            <w:vAlign w:val="bottom"/>
          </w:tcPr>
          <w:p w:rsidR="008F0C14" w:rsidRDefault="00D30755">
            <w:pPr>
              <w:jc w:val="right"/>
              <w:rPr>
                <w:color w:val="000000"/>
                <w:sz w:val="22"/>
                <w:szCs w:val="22"/>
              </w:rPr>
            </w:pPr>
            <w:r w:rsidRPr="00D30755">
              <w:rPr>
                <w:color w:val="000000"/>
                <w:sz w:val="22"/>
                <w:szCs w:val="22"/>
              </w:rPr>
              <w:t>249.65</w:t>
            </w:r>
          </w:p>
        </w:tc>
        <w:tc>
          <w:tcPr>
            <w:tcW w:w="1439" w:type="pct"/>
            <w:vAlign w:val="center"/>
          </w:tcPr>
          <w:p w:rsidR="008F0C14" w:rsidRPr="00D13127" w:rsidRDefault="008F0C14" w:rsidP="00B556A8">
            <w:pPr>
              <w:jc w:val="right"/>
              <w:rPr>
                <w:szCs w:val="21"/>
              </w:rPr>
            </w:pPr>
            <w:r w:rsidRPr="00D13127">
              <w:rPr>
                <w:szCs w:val="21"/>
              </w:rPr>
              <w:t>-</w:t>
            </w:r>
          </w:p>
        </w:tc>
      </w:tr>
      <w:tr w:rsidR="00D92EAB" w:rsidRPr="006F14B8" w:rsidTr="0091161B">
        <w:tc>
          <w:tcPr>
            <w:tcW w:w="2077" w:type="pct"/>
            <w:vAlign w:val="center"/>
          </w:tcPr>
          <w:p w:rsidR="00D92EAB" w:rsidRPr="006F14B8" w:rsidRDefault="008F0C14" w:rsidP="00C57F58">
            <w:pPr>
              <w:rPr>
                <w:color w:val="000000"/>
                <w:szCs w:val="21"/>
              </w:rPr>
            </w:pPr>
            <w:r>
              <w:rPr>
                <w:rFonts w:hint="eastAsia"/>
                <w:color w:val="000000"/>
                <w:szCs w:val="21"/>
              </w:rPr>
              <w:t>7</w:t>
            </w:r>
            <w:r w:rsidR="00D92EAB" w:rsidRPr="006F14B8">
              <w:rPr>
                <w:color w:val="000000"/>
                <w:szCs w:val="21"/>
              </w:rPr>
              <w:t>．其他费用</w:t>
            </w:r>
          </w:p>
        </w:tc>
        <w:tc>
          <w:tcPr>
            <w:tcW w:w="1483" w:type="pct"/>
            <w:vAlign w:val="bottom"/>
          </w:tcPr>
          <w:p w:rsidR="00A15FEB" w:rsidRPr="008F0C14" w:rsidRDefault="00D30755">
            <w:pPr>
              <w:jc w:val="right"/>
              <w:rPr>
                <w:color w:val="000000"/>
                <w:sz w:val="22"/>
                <w:szCs w:val="22"/>
              </w:rPr>
            </w:pPr>
            <w:r w:rsidRPr="00D30755">
              <w:rPr>
                <w:color w:val="000000"/>
                <w:sz w:val="22"/>
                <w:szCs w:val="22"/>
              </w:rPr>
              <w:t>118,585.00</w:t>
            </w:r>
          </w:p>
        </w:tc>
        <w:tc>
          <w:tcPr>
            <w:tcW w:w="1439" w:type="pct"/>
            <w:vAlign w:val="center"/>
          </w:tcPr>
          <w:p w:rsidR="00D92EAB" w:rsidRPr="00B556A8" w:rsidRDefault="00D92EAB" w:rsidP="00B556A8">
            <w:pPr>
              <w:jc w:val="right"/>
              <w:rPr>
                <w:color w:val="000000"/>
                <w:sz w:val="22"/>
                <w:szCs w:val="22"/>
              </w:rPr>
            </w:pPr>
            <w:r w:rsidRPr="00D13127">
              <w:rPr>
                <w:szCs w:val="21"/>
              </w:rPr>
              <w:t>157,400.00</w:t>
            </w:r>
          </w:p>
        </w:tc>
      </w:tr>
      <w:tr w:rsidR="00D92EAB" w:rsidRPr="006F14B8" w:rsidTr="0091161B">
        <w:tc>
          <w:tcPr>
            <w:tcW w:w="2077" w:type="pct"/>
            <w:vAlign w:val="center"/>
          </w:tcPr>
          <w:p w:rsidR="00D92EAB" w:rsidRPr="006F14B8" w:rsidRDefault="00D92EAB"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1483" w:type="pct"/>
            <w:vAlign w:val="bottom"/>
          </w:tcPr>
          <w:p w:rsidR="00A15FEB" w:rsidRDefault="00825013">
            <w:pPr>
              <w:jc w:val="right"/>
              <w:rPr>
                <w:b/>
                <w:szCs w:val="21"/>
              </w:rPr>
            </w:pPr>
            <w:r w:rsidRPr="00825013">
              <w:rPr>
                <w:b/>
                <w:color w:val="000000"/>
                <w:sz w:val="22"/>
                <w:szCs w:val="22"/>
              </w:rPr>
              <w:t xml:space="preserve">    201,338.50</w:t>
            </w:r>
          </w:p>
        </w:tc>
        <w:tc>
          <w:tcPr>
            <w:tcW w:w="1439" w:type="pct"/>
            <w:vAlign w:val="center"/>
          </w:tcPr>
          <w:p w:rsidR="00D92EAB" w:rsidRPr="00D92EAB" w:rsidRDefault="00825013" w:rsidP="00B556A8">
            <w:pPr>
              <w:jc w:val="right"/>
              <w:rPr>
                <w:b/>
                <w:color w:val="000000"/>
                <w:sz w:val="22"/>
                <w:szCs w:val="22"/>
              </w:rPr>
            </w:pPr>
            <w:r w:rsidRPr="00825013">
              <w:rPr>
                <w:b/>
                <w:szCs w:val="21"/>
              </w:rPr>
              <w:t>-272,886.57</w:t>
            </w:r>
          </w:p>
        </w:tc>
      </w:tr>
      <w:tr w:rsidR="00823A9D" w:rsidRPr="006F14B8" w:rsidTr="0091161B">
        <w:tc>
          <w:tcPr>
            <w:tcW w:w="2077" w:type="pct"/>
            <w:vAlign w:val="center"/>
          </w:tcPr>
          <w:p w:rsidR="00823A9D" w:rsidRPr="006F14B8" w:rsidRDefault="00823A9D" w:rsidP="00C57F58">
            <w:pPr>
              <w:rPr>
                <w:b/>
                <w:color w:val="000000"/>
                <w:szCs w:val="21"/>
              </w:rPr>
            </w:pPr>
            <w:r w:rsidRPr="006F14B8">
              <w:rPr>
                <w:szCs w:val="21"/>
              </w:rPr>
              <w:t>减：所得税费用</w:t>
            </w:r>
          </w:p>
        </w:tc>
        <w:tc>
          <w:tcPr>
            <w:tcW w:w="1483" w:type="pct"/>
            <w:vAlign w:val="bottom"/>
          </w:tcPr>
          <w:p w:rsidR="00823A9D" w:rsidRDefault="00823A9D">
            <w:pPr>
              <w:jc w:val="right"/>
              <w:rPr>
                <w:rFonts w:ascii="宋体" w:hAnsi="宋体" w:cs="宋体"/>
                <w:color w:val="000000"/>
                <w:sz w:val="22"/>
                <w:szCs w:val="22"/>
              </w:rPr>
            </w:pPr>
            <w:r w:rsidRPr="007715BA">
              <w:rPr>
                <w:color w:val="000000"/>
                <w:szCs w:val="21"/>
              </w:rPr>
              <w:t>-</w:t>
            </w:r>
          </w:p>
        </w:tc>
        <w:tc>
          <w:tcPr>
            <w:tcW w:w="1439" w:type="pct"/>
            <w:vAlign w:val="center"/>
          </w:tcPr>
          <w:p w:rsidR="00823A9D" w:rsidRPr="007715BA" w:rsidRDefault="00823A9D" w:rsidP="00175C8F">
            <w:pPr>
              <w:jc w:val="right"/>
              <w:rPr>
                <w:color w:val="000000"/>
                <w:szCs w:val="21"/>
              </w:rPr>
            </w:pPr>
            <w:r w:rsidRPr="00D13127">
              <w:rPr>
                <w:szCs w:val="21"/>
              </w:rPr>
              <w:t>-</w:t>
            </w:r>
          </w:p>
        </w:tc>
      </w:tr>
      <w:tr w:rsidR="00823A9D" w:rsidRPr="006F14B8" w:rsidTr="0091161B">
        <w:tc>
          <w:tcPr>
            <w:tcW w:w="2077" w:type="pct"/>
            <w:vAlign w:val="center"/>
          </w:tcPr>
          <w:p w:rsidR="00823A9D" w:rsidRPr="006F14B8" w:rsidRDefault="00823A9D"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1483" w:type="pct"/>
            <w:vAlign w:val="bottom"/>
          </w:tcPr>
          <w:p w:rsidR="00823A9D" w:rsidRDefault="00D92EAB">
            <w:pPr>
              <w:ind w:leftChars="100" w:left="210"/>
              <w:jc w:val="right"/>
              <w:rPr>
                <w:b/>
                <w:color w:val="000000"/>
                <w:szCs w:val="21"/>
              </w:rPr>
            </w:pPr>
            <w:r w:rsidRPr="00D92EAB">
              <w:rPr>
                <w:rFonts w:hint="eastAsia"/>
                <w:b/>
                <w:color w:val="000000"/>
                <w:sz w:val="22"/>
                <w:szCs w:val="22"/>
              </w:rPr>
              <w:t xml:space="preserve">    201,338.50</w:t>
            </w:r>
          </w:p>
        </w:tc>
        <w:tc>
          <w:tcPr>
            <w:tcW w:w="1439" w:type="pct"/>
            <w:vAlign w:val="center"/>
          </w:tcPr>
          <w:p w:rsidR="00823A9D" w:rsidRPr="00235F4F" w:rsidRDefault="00823A9D" w:rsidP="00175C8F">
            <w:pPr>
              <w:jc w:val="right"/>
              <w:rPr>
                <w:b/>
                <w:color w:val="000000"/>
                <w:szCs w:val="21"/>
              </w:rPr>
            </w:pPr>
            <w:r w:rsidRPr="00D13127">
              <w:rPr>
                <w:b/>
                <w:szCs w:val="21"/>
              </w:rPr>
              <w:t>-272,886.57</w:t>
            </w:r>
          </w:p>
        </w:tc>
      </w:tr>
    </w:tbl>
    <w:p w:rsidR="001548F9" w:rsidRPr="006F14B8" w:rsidRDefault="0030612F" w:rsidP="004C1748">
      <w:pPr>
        <w:pStyle w:val="20"/>
        <w:spacing w:before="0" w:after="0"/>
        <w:rPr>
          <w:rFonts w:ascii="Times New Roman" w:hAnsi="Times New Roman"/>
          <w:kern w:val="0"/>
          <w:sz w:val="21"/>
          <w:szCs w:val="21"/>
        </w:rPr>
      </w:pPr>
      <w:bookmarkStart w:id="21" w:name="_Toc225498270"/>
      <w:bookmarkStart w:id="22" w:name="_Toc390421252"/>
      <w:bookmarkStart w:id="23" w:name="_Toc529469804"/>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.3 </w:t>
      </w:r>
      <w:r w:rsidR="001548F9" w:rsidRPr="006F14B8">
        <w:rPr>
          <w:rFonts w:ascii="Times New Roman" w:hAnsi="Times New Roman"/>
          <w:kern w:val="0"/>
          <w:sz w:val="21"/>
          <w:szCs w:val="21"/>
        </w:rPr>
        <w:t>所有者权益（基金净值）变动表</w:t>
      </w:r>
      <w:bookmarkEnd w:id="21"/>
      <w:bookmarkEnd w:id="22"/>
      <w:bookmarkEnd w:id="23"/>
    </w:p>
    <w:p w:rsidR="00CA136A" w:rsidRPr="006F14B8" w:rsidRDefault="00CA136A" w:rsidP="00CA136A">
      <w:pPr>
        <w:spacing w:line="360" w:lineRule="auto"/>
        <w:rPr>
          <w:kern w:val="0"/>
          <w:szCs w:val="21"/>
        </w:rPr>
      </w:pPr>
      <w:r w:rsidRPr="006F14B8">
        <w:rPr>
          <w:color w:val="000000"/>
          <w:szCs w:val="21"/>
        </w:rPr>
        <w:t>会计主体：</w:t>
      </w:r>
      <w:r w:rsidR="00531C52">
        <w:rPr>
          <w:color w:val="000000"/>
          <w:szCs w:val="21"/>
        </w:rPr>
        <w:t>国泰上证</w:t>
      </w:r>
      <w:r w:rsidR="00531C52">
        <w:rPr>
          <w:color w:val="000000"/>
          <w:szCs w:val="21"/>
        </w:rPr>
        <w:t>5</w:t>
      </w:r>
      <w:r w:rsidR="00531C52">
        <w:rPr>
          <w:color w:val="000000"/>
          <w:szCs w:val="21"/>
        </w:rPr>
        <w:t>年期国债交易型开放式指数证券投资基金联接基金</w:t>
      </w:r>
    </w:p>
    <w:p w:rsidR="00CA136A" w:rsidRPr="006F14B8" w:rsidRDefault="00CA136A" w:rsidP="00CA136A">
      <w:pPr>
        <w:spacing w:line="360" w:lineRule="auto"/>
        <w:rPr>
          <w:color w:val="000000"/>
          <w:kern w:val="0"/>
          <w:szCs w:val="21"/>
        </w:rPr>
      </w:pPr>
      <w:r w:rsidRPr="006F14B8">
        <w:rPr>
          <w:color w:val="000000"/>
          <w:szCs w:val="21"/>
        </w:rPr>
        <w:t>本报告期：</w:t>
      </w:r>
      <w:r w:rsidR="00D8112A" w:rsidRPr="006F14B8">
        <w:rPr>
          <w:kern w:val="0"/>
          <w:szCs w:val="21"/>
        </w:rPr>
        <w:t>201</w:t>
      </w:r>
      <w:r w:rsidR="00D8112A">
        <w:rPr>
          <w:rFonts w:hint="eastAsia"/>
          <w:kern w:val="0"/>
          <w:szCs w:val="21"/>
        </w:rPr>
        <w:t>8</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16</w:t>
      </w:r>
      <w:r w:rsidR="00531C52">
        <w:rPr>
          <w:color w:val="000000"/>
          <w:szCs w:val="21"/>
        </w:rPr>
        <w:t>日</w:t>
      </w:r>
      <w:r w:rsidR="001539A1">
        <w:rPr>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2149"/>
        <w:gridCol w:w="2149"/>
        <w:gridCol w:w="2364"/>
      </w:tblGrid>
      <w:tr w:rsidR="001548F9" w:rsidRPr="006F14B8" w:rsidTr="00BA0DE9">
        <w:tc>
          <w:tcPr>
            <w:tcW w:w="2694" w:type="dxa"/>
            <w:vMerge w:val="restart"/>
            <w:vAlign w:val="center"/>
          </w:tcPr>
          <w:p w:rsidR="001548F9" w:rsidRPr="006F14B8" w:rsidRDefault="001548F9">
            <w:pPr>
              <w:jc w:val="center"/>
              <w:rPr>
                <w:b/>
                <w:color w:val="000000"/>
                <w:szCs w:val="21"/>
              </w:rPr>
            </w:pPr>
            <w:r w:rsidRPr="006F14B8">
              <w:rPr>
                <w:b/>
                <w:color w:val="000000"/>
                <w:szCs w:val="21"/>
              </w:rPr>
              <w:t>项目</w:t>
            </w:r>
          </w:p>
        </w:tc>
        <w:tc>
          <w:tcPr>
            <w:tcW w:w="6662" w:type="dxa"/>
            <w:gridSpan w:val="3"/>
            <w:vAlign w:val="center"/>
          </w:tcPr>
          <w:p w:rsidR="001548F9" w:rsidRPr="006F14B8" w:rsidRDefault="001548F9">
            <w:pPr>
              <w:jc w:val="center"/>
              <w:rPr>
                <w:b/>
                <w:color w:val="000000"/>
                <w:szCs w:val="21"/>
              </w:rPr>
            </w:pPr>
            <w:r w:rsidRPr="006F14B8">
              <w:rPr>
                <w:b/>
                <w:color w:val="000000"/>
                <w:szCs w:val="21"/>
              </w:rPr>
              <w:t>本期</w:t>
            </w:r>
          </w:p>
          <w:p w:rsidR="001548F9" w:rsidRPr="006F14B8" w:rsidRDefault="001548F9" w:rsidP="00B236FC">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834024">
              <w:rPr>
                <w:rFonts w:ascii="Times New Roman" w:hAnsi="Times New Roman" w:hint="eastAsia"/>
                <w:b/>
                <w:sz w:val="21"/>
                <w:szCs w:val="21"/>
              </w:rPr>
              <w:t>8</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531C52">
              <w:rPr>
                <w:rFonts w:ascii="Times New Roman" w:hAnsi="Times New Roman"/>
                <w:b/>
                <w:sz w:val="21"/>
                <w:szCs w:val="21"/>
              </w:rPr>
              <w:t>2018</w:t>
            </w:r>
            <w:r w:rsidR="00531C52">
              <w:rPr>
                <w:rFonts w:ascii="Times New Roman" w:hAnsi="Times New Roman"/>
                <w:b/>
                <w:sz w:val="21"/>
                <w:szCs w:val="21"/>
              </w:rPr>
              <w:t>年</w:t>
            </w:r>
            <w:r w:rsidR="00531C52">
              <w:rPr>
                <w:rFonts w:ascii="Times New Roman" w:hAnsi="Times New Roman"/>
                <w:b/>
                <w:sz w:val="21"/>
                <w:szCs w:val="21"/>
              </w:rPr>
              <w:t>10</w:t>
            </w:r>
            <w:r w:rsidR="00531C52">
              <w:rPr>
                <w:rFonts w:ascii="Times New Roman" w:hAnsi="Times New Roman"/>
                <w:b/>
                <w:sz w:val="21"/>
                <w:szCs w:val="21"/>
              </w:rPr>
              <w:t>月</w:t>
            </w:r>
            <w:r w:rsidR="00531C52">
              <w:rPr>
                <w:rFonts w:ascii="Times New Roman" w:hAnsi="Times New Roman"/>
                <w:b/>
                <w:sz w:val="21"/>
                <w:szCs w:val="21"/>
              </w:rPr>
              <w:t>16</w:t>
            </w:r>
            <w:r w:rsidR="00531C52">
              <w:rPr>
                <w:rFonts w:ascii="Times New Roman" w:hAnsi="Times New Roman"/>
                <w:b/>
                <w:sz w:val="21"/>
                <w:szCs w:val="21"/>
              </w:rPr>
              <w:t>日</w:t>
            </w:r>
            <w:r w:rsidR="001539A1">
              <w:rPr>
                <w:rFonts w:ascii="Times New Roman" w:hAnsi="Times New Roman"/>
                <w:b/>
                <w:sz w:val="21"/>
                <w:szCs w:val="21"/>
              </w:rPr>
              <w:t>（基金最后运作日）</w:t>
            </w:r>
            <w:r w:rsidR="009A192C" w:rsidRPr="006F14B8">
              <w:rPr>
                <w:rFonts w:ascii="Times New Roman" w:hAnsi="Times New Roman" w:hint="eastAsia"/>
                <w:b/>
                <w:sz w:val="21"/>
                <w:szCs w:val="21"/>
              </w:rPr>
              <w:t>止期间</w:t>
            </w:r>
          </w:p>
        </w:tc>
      </w:tr>
      <w:tr w:rsidR="001548F9" w:rsidRPr="006F14B8" w:rsidTr="00BA0DE9">
        <w:tc>
          <w:tcPr>
            <w:tcW w:w="2694" w:type="dxa"/>
            <w:vMerge/>
            <w:vAlign w:val="center"/>
          </w:tcPr>
          <w:p w:rsidR="001548F9" w:rsidRPr="006F14B8" w:rsidRDefault="001548F9">
            <w:pPr>
              <w:widowControl/>
              <w:jc w:val="left"/>
              <w:rPr>
                <w:b/>
                <w:color w:val="000000"/>
                <w:szCs w:val="21"/>
              </w:rPr>
            </w:pPr>
          </w:p>
        </w:tc>
        <w:tc>
          <w:tcPr>
            <w:tcW w:w="2149" w:type="dxa"/>
            <w:vAlign w:val="center"/>
          </w:tcPr>
          <w:p w:rsidR="001548F9" w:rsidRPr="006F14B8" w:rsidRDefault="001548F9">
            <w:pPr>
              <w:jc w:val="center"/>
              <w:rPr>
                <w:b/>
                <w:color w:val="000000"/>
                <w:szCs w:val="21"/>
              </w:rPr>
            </w:pPr>
            <w:r w:rsidRPr="006F14B8">
              <w:rPr>
                <w:b/>
                <w:color w:val="000000"/>
                <w:szCs w:val="21"/>
              </w:rPr>
              <w:t>实收基金</w:t>
            </w:r>
          </w:p>
        </w:tc>
        <w:tc>
          <w:tcPr>
            <w:tcW w:w="2149" w:type="dxa"/>
            <w:vAlign w:val="center"/>
          </w:tcPr>
          <w:p w:rsidR="001548F9" w:rsidRPr="006F14B8" w:rsidRDefault="001548F9">
            <w:pPr>
              <w:jc w:val="center"/>
              <w:rPr>
                <w:b/>
                <w:color w:val="000000"/>
                <w:szCs w:val="21"/>
              </w:rPr>
            </w:pPr>
            <w:r w:rsidRPr="006F14B8">
              <w:rPr>
                <w:b/>
                <w:color w:val="000000"/>
                <w:szCs w:val="21"/>
              </w:rPr>
              <w:t>未分配利润</w:t>
            </w:r>
          </w:p>
        </w:tc>
        <w:tc>
          <w:tcPr>
            <w:tcW w:w="2364" w:type="dxa"/>
            <w:vAlign w:val="center"/>
          </w:tcPr>
          <w:p w:rsidR="001548F9" w:rsidRPr="006F14B8" w:rsidRDefault="001548F9">
            <w:pPr>
              <w:jc w:val="center"/>
              <w:rPr>
                <w:color w:val="000000"/>
                <w:szCs w:val="21"/>
              </w:rPr>
            </w:pPr>
            <w:r w:rsidRPr="006F14B8">
              <w:rPr>
                <w:b/>
                <w:color w:val="000000"/>
                <w:szCs w:val="21"/>
              </w:rPr>
              <w:t>所有者权益合计</w:t>
            </w:r>
          </w:p>
        </w:tc>
      </w:tr>
      <w:tr w:rsidR="00F329E6" w:rsidRPr="006F14B8" w:rsidTr="00BA0DE9">
        <w:tc>
          <w:tcPr>
            <w:tcW w:w="2694" w:type="dxa"/>
          </w:tcPr>
          <w:p w:rsidR="00F329E6" w:rsidRPr="006F14B8" w:rsidRDefault="00F329E6">
            <w:pPr>
              <w:rPr>
                <w:color w:val="000000"/>
                <w:szCs w:val="21"/>
              </w:rPr>
            </w:pPr>
            <w:r w:rsidRPr="006F14B8">
              <w:rPr>
                <w:color w:val="000000"/>
                <w:szCs w:val="21"/>
              </w:rPr>
              <w:t>一、期初所有者权益（基金净值）</w:t>
            </w:r>
          </w:p>
        </w:tc>
        <w:tc>
          <w:tcPr>
            <w:tcW w:w="2149" w:type="dxa"/>
            <w:vAlign w:val="center"/>
          </w:tcPr>
          <w:p w:rsidR="00F329E6" w:rsidRDefault="00F329E6">
            <w:pPr>
              <w:spacing w:line="480" w:lineRule="auto"/>
              <w:jc w:val="right"/>
              <w:rPr>
                <w:szCs w:val="21"/>
              </w:rPr>
            </w:pPr>
            <w:r w:rsidRPr="00D13127">
              <w:rPr>
                <w:szCs w:val="21"/>
              </w:rPr>
              <w:t>9,835,976.27</w:t>
            </w:r>
          </w:p>
        </w:tc>
        <w:tc>
          <w:tcPr>
            <w:tcW w:w="2149" w:type="dxa"/>
            <w:vAlign w:val="center"/>
          </w:tcPr>
          <w:p w:rsidR="00F329E6" w:rsidRDefault="00F329E6">
            <w:pPr>
              <w:spacing w:line="480" w:lineRule="auto"/>
              <w:jc w:val="right"/>
              <w:rPr>
                <w:szCs w:val="21"/>
              </w:rPr>
            </w:pPr>
            <w:r w:rsidRPr="00D13127">
              <w:rPr>
                <w:szCs w:val="21"/>
              </w:rPr>
              <w:t>-529,034.83</w:t>
            </w:r>
          </w:p>
        </w:tc>
        <w:tc>
          <w:tcPr>
            <w:tcW w:w="2364" w:type="dxa"/>
            <w:vAlign w:val="center"/>
          </w:tcPr>
          <w:p w:rsidR="00F329E6" w:rsidRDefault="00F329E6">
            <w:pPr>
              <w:spacing w:line="480" w:lineRule="auto"/>
              <w:jc w:val="right"/>
              <w:rPr>
                <w:szCs w:val="21"/>
              </w:rPr>
            </w:pPr>
            <w:r w:rsidRPr="00D13127">
              <w:rPr>
                <w:szCs w:val="21"/>
              </w:rPr>
              <w:t>9,306,941.44</w:t>
            </w:r>
          </w:p>
        </w:tc>
      </w:tr>
      <w:tr w:rsidR="001F294E" w:rsidRPr="006F14B8" w:rsidTr="00BA0DE9">
        <w:tc>
          <w:tcPr>
            <w:tcW w:w="2694" w:type="dxa"/>
          </w:tcPr>
          <w:p w:rsidR="001F294E" w:rsidRPr="006F14B8" w:rsidRDefault="001F294E">
            <w:pPr>
              <w:rPr>
                <w:color w:val="000000"/>
                <w:szCs w:val="21"/>
              </w:rPr>
            </w:pPr>
            <w:r w:rsidRPr="006F14B8">
              <w:rPr>
                <w:color w:val="000000"/>
                <w:szCs w:val="21"/>
              </w:rPr>
              <w:t>二、本期经营活动产生的基金净值变动数（本期利润）</w:t>
            </w:r>
          </w:p>
        </w:tc>
        <w:tc>
          <w:tcPr>
            <w:tcW w:w="2149" w:type="dxa"/>
            <w:vAlign w:val="bottom"/>
          </w:tcPr>
          <w:p w:rsidR="00927EF4" w:rsidRDefault="00686205">
            <w:pPr>
              <w:spacing w:line="480" w:lineRule="auto"/>
              <w:jc w:val="right"/>
              <w:rPr>
                <w:szCs w:val="21"/>
              </w:rPr>
            </w:pPr>
            <w:r w:rsidRPr="00686205">
              <w:rPr>
                <w:rFonts w:hint="eastAsia"/>
                <w:szCs w:val="21"/>
              </w:rPr>
              <w:t xml:space="preserve">　</w:t>
            </w:r>
          </w:p>
        </w:tc>
        <w:tc>
          <w:tcPr>
            <w:tcW w:w="2149" w:type="dxa"/>
            <w:vAlign w:val="bottom"/>
          </w:tcPr>
          <w:p w:rsidR="00927EF4" w:rsidRPr="00F329E6" w:rsidRDefault="00825013">
            <w:pPr>
              <w:spacing w:line="480" w:lineRule="auto"/>
              <w:jc w:val="right"/>
              <w:rPr>
                <w:szCs w:val="21"/>
              </w:rPr>
            </w:pPr>
            <w:r w:rsidRPr="00825013">
              <w:rPr>
                <w:color w:val="000000"/>
                <w:sz w:val="22"/>
                <w:szCs w:val="22"/>
              </w:rPr>
              <w:t>201,338.50</w:t>
            </w:r>
          </w:p>
        </w:tc>
        <w:tc>
          <w:tcPr>
            <w:tcW w:w="2364" w:type="dxa"/>
            <w:vAlign w:val="bottom"/>
          </w:tcPr>
          <w:p w:rsidR="00927EF4" w:rsidRPr="00F329E6" w:rsidRDefault="00825013">
            <w:pPr>
              <w:spacing w:line="480" w:lineRule="auto"/>
              <w:jc w:val="right"/>
              <w:rPr>
                <w:szCs w:val="21"/>
              </w:rPr>
            </w:pPr>
            <w:r w:rsidRPr="00825013">
              <w:rPr>
                <w:color w:val="000000"/>
                <w:sz w:val="22"/>
                <w:szCs w:val="22"/>
              </w:rPr>
              <w:t>201,338.50</w:t>
            </w:r>
          </w:p>
        </w:tc>
      </w:tr>
      <w:tr w:rsidR="001F294E" w:rsidRPr="006F14B8" w:rsidTr="00BA0DE9">
        <w:tc>
          <w:tcPr>
            <w:tcW w:w="2694" w:type="dxa"/>
          </w:tcPr>
          <w:p w:rsidR="001F294E" w:rsidRPr="006F14B8" w:rsidRDefault="001F294E">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bottom"/>
          </w:tcPr>
          <w:p w:rsidR="00927EF4" w:rsidRDefault="00E958E7">
            <w:pPr>
              <w:spacing w:line="480" w:lineRule="auto"/>
              <w:jc w:val="right"/>
              <w:rPr>
                <w:szCs w:val="21"/>
              </w:rPr>
            </w:pPr>
            <w:r w:rsidRPr="00E958E7">
              <w:rPr>
                <w:szCs w:val="21"/>
              </w:rPr>
              <w:t>-1</w:t>
            </w:r>
            <w:r w:rsidR="00DE2C26">
              <w:rPr>
                <w:rFonts w:hint="eastAsia"/>
                <w:szCs w:val="21"/>
              </w:rPr>
              <w:t>,</w:t>
            </w:r>
            <w:r w:rsidRPr="00E958E7">
              <w:rPr>
                <w:szCs w:val="21"/>
              </w:rPr>
              <w:t>301</w:t>
            </w:r>
            <w:r w:rsidR="00DE2C26">
              <w:rPr>
                <w:rFonts w:hint="eastAsia"/>
                <w:szCs w:val="21"/>
              </w:rPr>
              <w:t>,</w:t>
            </w:r>
            <w:r w:rsidRPr="00E958E7">
              <w:rPr>
                <w:szCs w:val="21"/>
              </w:rPr>
              <w:t>332.4</w:t>
            </w:r>
            <w:r w:rsidR="00DE2C26">
              <w:rPr>
                <w:rFonts w:hint="eastAsia"/>
                <w:szCs w:val="21"/>
              </w:rPr>
              <w:t>0</w:t>
            </w:r>
          </w:p>
        </w:tc>
        <w:tc>
          <w:tcPr>
            <w:tcW w:w="2149" w:type="dxa"/>
            <w:vAlign w:val="bottom"/>
          </w:tcPr>
          <w:p w:rsidR="00A15FEB" w:rsidRDefault="00E958E7">
            <w:pPr>
              <w:spacing w:line="480" w:lineRule="auto"/>
              <w:jc w:val="right"/>
              <w:rPr>
                <w:szCs w:val="21"/>
              </w:rPr>
            </w:pPr>
            <w:r w:rsidRPr="00E958E7">
              <w:rPr>
                <w:szCs w:val="21"/>
              </w:rPr>
              <w:t>67</w:t>
            </w:r>
            <w:r w:rsidR="00DE2C26">
              <w:rPr>
                <w:rFonts w:hint="eastAsia"/>
                <w:szCs w:val="21"/>
              </w:rPr>
              <w:t>,</w:t>
            </w:r>
            <w:r w:rsidRPr="00E958E7">
              <w:rPr>
                <w:szCs w:val="21"/>
              </w:rPr>
              <w:t>151.0</w:t>
            </w:r>
            <w:r>
              <w:rPr>
                <w:rFonts w:hint="eastAsia"/>
                <w:szCs w:val="21"/>
              </w:rPr>
              <w:t>5</w:t>
            </w:r>
          </w:p>
        </w:tc>
        <w:tc>
          <w:tcPr>
            <w:tcW w:w="2364" w:type="dxa"/>
            <w:vAlign w:val="bottom"/>
          </w:tcPr>
          <w:p w:rsidR="00927EF4" w:rsidRDefault="00E958E7">
            <w:pPr>
              <w:spacing w:line="480" w:lineRule="auto"/>
              <w:jc w:val="right"/>
              <w:rPr>
                <w:szCs w:val="21"/>
              </w:rPr>
            </w:pPr>
            <w:r w:rsidRPr="00E958E7">
              <w:rPr>
                <w:szCs w:val="21"/>
              </w:rPr>
              <w:t>-1</w:t>
            </w:r>
            <w:r w:rsidR="00DE2C26">
              <w:rPr>
                <w:rFonts w:hint="eastAsia"/>
                <w:szCs w:val="21"/>
              </w:rPr>
              <w:t>,</w:t>
            </w:r>
            <w:r w:rsidRPr="00E958E7">
              <w:rPr>
                <w:szCs w:val="21"/>
              </w:rPr>
              <w:t>234</w:t>
            </w:r>
            <w:r w:rsidR="00DE2C26">
              <w:rPr>
                <w:rFonts w:hint="eastAsia"/>
                <w:szCs w:val="21"/>
              </w:rPr>
              <w:t>,</w:t>
            </w:r>
            <w:r w:rsidRPr="00E958E7">
              <w:rPr>
                <w:szCs w:val="21"/>
              </w:rPr>
              <w:t>181.35</w:t>
            </w:r>
          </w:p>
        </w:tc>
      </w:tr>
      <w:tr w:rsidR="001F294E" w:rsidRPr="006F14B8" w:rsidTr="00BA0DE9">
        <w:tc>
          <w:tcPr>
            <w:tcW w:w="2694" w:type="dxa"/>
          </w:tcPr>
          <w:p w:rsidR="001F294E" w:rsidRPr="006F14B8" w:rsidRDefault="001F294E">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bottom"/>
          </w:tcPr>
          <w:p w:rsidR="00927EF4" w:rsidRDefault="00E958E7">
            <w:pPr>
              <w:spacing w:line="480" w:lineRule="auto"/>
              <w:jc w:val="right"/>
              <w:rPr>
                <w:szCs w:val="21"/>
              </w:rPr>
            </w:pPr>
            <w:r w:rsidRPr="00E958E7">
              <w:rPr>
                <w:szCs w:val="21"/>
              </w:rPr>
              <w:t>50</w:t>
            </w:r>
            <w:r w:rsidR="00DE2C26">
              <w:rPr>
                <w:rFonts w:hint="eastAsia"/>
                <w:szCs w:val="21"/>
              </w:rPr>
              <w:t>,</w:t>
            </w:r>
            <w:r w:rsidRPr="00E958E7">
              <w:rPr>
                <w:szCs w:val="21"/>
              </w:rPr>
              <w:t>898</w:t>
            </w:r>
            <w:r w:rsidR="00DE2C26">
              <w:rPr>
                <w:rFonts w:hint="eastAsia"/>
                <w:szCs w:val="21"/>
              </w:rPr>
              <w:t>,</w:t>
            </w:r>
            <w:r w:rsidRPr="00E958E7">
              <w:rPr>
                <w:szCs w:val="21"/>
              </w:rPr>
              <w:t>202.84</w:t>
            </w:r>
          </w:p>
        </w:tc>
        <w:tc>
          <w:tcPr>
            <w:tcW w:w="2149" w:type="dxa"/>
            <w:vAlign w:val="bottom"/>
          </w:tcPr>
          <w:p w:rsidR="00927EF4" w:rsidRDefault="00E958E7">
            <w:pPr>
              <w:spacing w:line="480" w:lineRule="auto"/>
              <w:jc w:val="right"/>
              <w:rPr>
                <w:szCs w:val="21"/>
              </w:rPr>
            </w:pPr>
            <w:r w:rsidRPr="00E958E7">
              <w:rPr>
                <w:szCs w:val="21"/>
              </w:rPr>
              <w:t>-1</w:t>
            </w:r>
            <w:r w:rsidR="00DE2C26">
              <w:rPr>
                <w:rFonts w:hint="eastAsia"/>
                <w:szCs w:val="21"/>
              </w:rPr>
              <w:t>,</w:t>
            </w:r>
            <w:r w:rsidRPr="00E958E7">
              <w:rPr>
                <w:szCs w:val="21"/>
              </w:rPr>
              <w:t>865</w:t>
            </w:r>
            <w:r w:rsidR="00DE2C26">
              <w:rPr>
                <w:rFonts w:hint="eastAsia"/>
                <w:szCs w:val="21"/>
              </w:rPr>
              <w:t>,</w:t>
            </w:r>
            <w:r w:rsidRPr="00E958E7">
              <w:rPr>
                <w:szCs w:val="21"/>
              </w:rPr>
              <w:t>455.35</w:t>
            </w:r>
          </w:p>
        </w:tc>
        <w:tc>
          <w:tcPr>
            <w:tcW w:w="2364" w:type="dxa"/>
            <w:vAlign w:val="bottom"/>
          </w:tcPr>
          <w:p w:rsidR="00927EF4" w:rsidRDefault="00E958E7">
            <w:pPr>
              <w:spacing w:line="480" w:lineRule="auto"/>
              <w:jc w:val="right"/>
              <w:rPr>
                <w:szCs w:val="21"/>
              </w:rPr>
            </w:pPr>
            <w:r w:rsidRPr="00E958E7">
              <w:rPr>
                <w:szCs w:val="21"/>
              </w:rPr>
              <w:t>49</w:t>
            </w:r>
            <w:r w:rsidR="00DE2C26">
              <w:rPr>
                <w:rFonts w:hint="eastAsia"/>
                <w:szCs w:val="21"/>
              </w:rPr>
              <w:t>,</w:t>
            </w:r>
            <w:r w:rsidRPr="00E958E7">
              <w:rPr>
                <w:szCs w:val="21"/>
              </w:rPr>
              <w:t>032</w:t>
            </w:r>
            <w:r w:rsidR="00DE2C26">
              <w:rPr>
                <w:rFonts w:hint="eastAsia"/>
                <w:szCs w:val="21"/>
              </w:rPr>
              <w:t>,</w:t>
            </w:r>
            <w:r w:rsidRPr="00E958E7">
              <w:rPr>
                <w:szCs w:val="21"/>
              </w:rPr>
              <w:t>747.49</w:t>
            </w:r>
          </w:p>
        </w:tc>
      </w:tr>
      <w:tr w:rsidR="001F294E" w:rsidRPr="006F14B8" w:rsidTr="00BA0DE9">
        <w:tc>
          <w:tcPr>
            <w:tcW w:w="2694" w:type="dxa"/>
          </w:tcPr>
          <w:p w:rsidR="001F294E" w:rsidRPr="006F14B8" w:rsidRDefault="001F294E"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bottom"/>
          </w:tcPr>
          <w:p w:rsidR="00927EF4" w:rsidRDefault="00E958E7">
            <w:pPr>
              <w:spacing w:line="480" w:lineRule="auto"/>
              <w:jc w:val="right"/>
              <w:rPr>
                <w:szCs w:val="21"/>
              </w:rPr>
            </w:pPr>
            <w:r w:rsidRPr="00E958E7">
              <w:rPr>
                <w:szCs w:val="21"/>
              </w:rPr>
              <w:t>-52</w:t>
            </w:r>
            <w:r w:rsidR="00DE2C26">
              <w:rPr>
                <w:rFonts w:hint="eastAsia"/>
                <w:szCs w:val="21"/>
              </w:rPr>
              <w:t>,</w:t>
            </w:r>
            <w:r w:rsidRPr="00E958E7">
              <w:rPr>
                <w:szCs w:val="21"/>
              </w:rPr>
              <w:t>199</w:t>
            </w:r>
            <w:r w:rsidR="00DE2C26">
              <w:rPr>
                <w:rFonts w:hint="eastAsia"/>
                <w:szCs w:val="21"/>
              </w:rPr>
              <w:t>,</w:t>
            </w:r>
            <w:r w:rsidRPr="00E958E7">
              <w:rPr>
                <w:szCs w:val="21"/>
              </w:rPr>
              <w:t>535.24</w:t>
            </w:r>
          </w:p>
        </w:tc>
        <w:tc>
          <w:tcPr>
            <w:tcW w:w="2149" w:type="dxa"/>
            <w:vAlign w:val="bottom"/>
          </w:tcPr>
          <w:p w:rsidR="00A15FEB" w:rsidRDefault="00E958E7">
            <w:pPr>
              <w:spacing w:line="480" w:lineRule="auto"/>
              <w:ind w:firstLineChars="200" w:firstLine="420"/>
              <w:jc w:val="right"/>
              <w:rPr>
                <w:szCs w:val="21"/>
              </w:rPr>
            </w:pPr>
            <w:r w:rsidRPr="00E958E7">
              <w:rPr>
                <w:szCs w:val="21"/>
              </w:rPr>
              <w:t>1</w:t>
            </w:r>
            <w:r w:rsidR="00DE2C26">
              <w:rPr>
                <w:rFonts w:hint="eastAsia"/>
                <w:szCs w:val="21"/>
              </w:rPr>
              <w:t>,</w:t>
            </w:r>
            <w:r w:rsidRPr="00E958E7">
              <w:rPr>
                <w:szCs w:val="21"/>
              </w:rPr>
              <w:t>932</w:t>
            </w:r>
            <w:r w:rsidR="00DE2C26">
              <w:rPr>
                <w:rFonts w:hint="eastAsia"/>
                <w:szCs w:val="21"/>
              </w:rPr>
              <w:t>,</w:t>
            </w:r>
            <w:r w:rsidRPr="00E958E7">
              <w:rPr>
                <w:szCs w:val="21"/>
              </w:rPr>
              <w:t>606.4</w:t>
            </w:r>
            <w:r w:rsidR="00DE2C26">
              <w:rPr>
                <w:rFonts w:hint="eastAsia"/>
                <w:szCs w:val="21"/>
              </w:rPr>
              <w:t>0</w:t>
            </w:r>
          </w:p>
        </w:tc>
        <w:tc>
          <w:tcPr>
            <w:tcW w:w="2364" w:type="dxa"/>
            <w:vAlign w:val="bottom"/>
          </w:tcPr>
          <w:p w:rsidR="00927EF4" w:rsidRDefault="00E958E7">
            <w:pPr>
              <w:spacing w:line="480" w:lineRule="auto"/>
              <w:jc w:val="right"/>
              <w:rPr>
                <w:szCs w:val="21"/>
              </w:rPr>
            </w:pPr>
            <w:r w:rsidRPr="00E958E7">
              <w:rPr>
                <w:szCs w:val="21"/>
              </w:rPr>
              <w:t>-50</w:t>
            </w:r>
            <w:r w:rsidR="00DE2C26">
              <w:rPr>
                <w:rFonts w:hint="eastAsia"/>
                <w:szCs w:val="21"/>
              </w:rPr>
              <w:t>,</w:t>
            </w:r>
            <w:r w:rsidRPr="00E958E7">
              <w:rPr>
                <w:szCs w:val="21"/>
              </w:rPr>
              <w:t>266</w:t>
            </w:r>
            <w:r w:rsidR="00DE2C26">
              <w:rPr>
                <w:rFonts w:hint="eastAsia"/>
                <w:szCs w:val="21"/>
              </w:rPr>
              <w:t>,</w:t>
            </w:r>
            <w:r w:rsidRPr="00E958E7">
              <w:rPr>
                <w:szCs w:val="21"/>
              </w:rPr>
              <w:t>928.84</w:t>
            </w:r>
          </w:p>
        </w:tc>
      </w:tr>
      <w:tr w:rsidR="001F294E" w:rsidRPr="006F14B8" w:rsidTr="00BA0DE9">
        <w:tc>
          <w:tcPr>
            <w:tcW w:w="2694" w:type="dxa"/>
          </w:tcPr>
          <w:p w:rsidR="001F294E" w:rsidRPr="006F14B8" w:rsidRDefault="001F294E">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927EF4" w:rsidRDefault="0091161B">
            <w:pPr>
              <w:spacing w:line="480" w:lineRule="auto"/>
              <w:jc w:val="right"/>
              <w:rPr>
                <w:szCs w:val="21"/>
              </w:rPr>
            </w:pPr>
            <w:r>
              <w:rPr>
                <w:rFonts w:hint="eastAsia"/>
                <w:szCs w:val="21"/>
              </w:rPr>
              <w:t>-</w:t>
            </w:r>
          </w:p>
        </w:tc>
        <w:tc>
          <w:tcPr>
            <w:tcW w:w="2149" w:type="dxa"/>
            <w:vAlign w:val="center"/>
          </w:tcPr>
          <w:p w:rsidR="00927EF4" w:rsidRDefault="0091161B">
            <w:pPr>
              <w:spacing w:line="480" w:lineRule="auto"/>
              <w:jc w:val="right"/>
              <w:rPr>
                <w:szCs w:val="21"/>
              </w:rPr>
            </w:pPr>
            <w:r>
              <w:rPr>
                <w:rFonts w:hint="eastAsia"/>
                <w:szCs w:val="21"/>
              </w:rPr>
              <w:t>-</w:t>
            </w:r>
          </w:p>
        </w:tc>
        <w:tc>
          <w:tcPr>
            <w:tcW w:w="2364" w:type="dxa"/>
            <w:vAlign w:val="center"/>
          </w:tcPr>
          <w:p w:rsidR="00927EF4" w:rsidRDefault="0091161B">
            <w:pPr>
              <w:spacing w:line="480" w:lineRule="auto"/>
              <w:jc w:val="right"/>
              <w:rPr>
                <w:szCs w:val="21"/>
              </w:rPr>
            </w:pPr>
            <w:r>
              <w:rPr>
                <w:rFonts w:hint="eastAsia"/>
                <w:szCs w:val="21"/>
              </w:rPr>
              <w:t>-</w:t>
            </w:r>
          </w:p>
        </w:tc>
      </w:tr>
      <w:tr w:rsidR="001F294E" w:rsidRPr="006F14B8" w:rsidTr="00BA0DE9">
        <w:tc>
          <w:tcPr>
            <w:tcW w:w="2694" w:type="dxa"/>
          </w:tcPr>
          <w:p w:rsidR="001F294E" w:rsidRPr="006F14B8" w:rsidRDefault="001F294E">
            <w:pPr>
              <w:rPr>
                <w:color w:val="000000"/>
                <w:szCs w:val="21"/>
              </w:rPr>
            </w:pPr>
            <w:r w:rsidRPr="006F14B8">
              <w:rPr>
                <w:color w:val="000000"/>
                <w:szCs w:val="21"/>
              </w:rPr>
              <w:t>五、期末所有者权益（基金净值）</w:t>
            </w:r>
          </w:p>
        </w:tc>
        <w:tc>
          <w:tcPr>
            <w:tcW w:w="2149" w:type="dxa"/>
            <w:vAlign w:val="bottom"/>
          </w:tcPr>
          <w:p w:rsidR="00927EF4" w:rsidRDefault="00E958E7">
            <w:pPr>
              <w:spacing w:line="480" w:lineRule="auto"/>
              <w:jc w:val="right"/>
              <w:rPr>
                <w:szCs w:val="21"/>
              </w:rPr>
            </w:pPr>
            <w:r w:rsidRPr="00E958E7">
              <w:rPr>
                <w:szCs w:val="21"/>
              </w:rPr>
              <w:t>8</w:t>
            </w:r>
            <w:r w:rsidR="00DE2C26">
              <w:rPr>
                <w:rFonts w:hint="eastAsia"/>
                <w:szCs w:val="21"/>
              </w:rPr>
              <w:t>,</w:t>
            </w:r>
            <w:r w:rsidRPr="00E958E7">
              <w:rPr>
                <w:szCs w:val="21"/>
              </w:rPr>
              <w:t>534</w:t>
            </w:r>
            <w:r w:rsidR="00DE2C26">
              <w:rPr>
                <w:rFonts w:hint="eastAsia"/>
                <w:szCs w:val="21"/>
              </w:rPr>
              <w:t>,</w:t>
            </w:r>
            <w:r w:rsidRPr="00E958E7">
              <w:rPr>
                <w:szCs w:val="21"/>
              </w:rPr>
              <w:t>643.87</w:t>
            </w:r>
          </w:p>
        </w:tc>
        <w:tc>
          <w:tcPr>
            <w:tcW w:w="2149" w:type="dxa"/>
            <w:vAlign w:val="bottom"/>
          </w:tcPr>
          <w:p w:rsidR="00927EF4" w:rsidRDefault="00E958E7">
            <w:pPr>
              <w:spacing w:line="480" w:lineRule="auto"/>
              <w:jc w:val="right"/>
              <w:rPr>
                <w:szCs w:val="21"/>
              </w:rPr>
            </w:pPr>
            <w:r w:rsidRPr="00E958E7">
              <w:rPr>
                <w:szCs w:val="21"/>
              </w:rPr>
              <w:t>-260</w:t>
            </w:r>
            <w:r w:rsidR="00DE2C26">
              <w:rPr>
                <w:rFonts w:hint="eastAsia"/>
                <w:szCs w:val="21"/>
              </w:rPr>
              <w:t>,</w:t>
            </w:r>
            <w:r w:rsidRPr="00E958E7">
              <w:rPr>
                <w:szCs w:val="21"/>
              </w:rPr>
              <w:t>545.28</w:t>
            </w:r>
          </w:p>
        </w:tc>
        <w:tc>
          <w:tcPr>
            <w:tcW w:w="2364" w:type="dxa"/>
            <w:vAlign w:val="bottom"/>
          </w:tcPr>
          <w:p w:rsidR="00927EF4" w:rsidRDefault="00E958E7">
            <w:pPr>
              <w:spacing w:line="480" w:lineRule="auto"/>
              <w:jc w:val="right"/>
              <w:rPr>
                <w:szCs w:val="21"/>
              </w:rPr>
            </w:pPr>
            <w:r w:rsidRPr="00E958E7">
              <w:rPr>
                <w:szCs w:val="21"/>
              </w:rPr>
              <w:t>8</w:t>
            </w:r>
            <w:r w:rsidR="00DE2C26">
              <w:rPr>
                <w:rFonts w:hint="eastAsia"/>
                <w:szCs w:val="21"/>
              </w:rPr>
              <w:t>,</w:t>
            </w:r>
            <w:r w:rsidRPr="00E958E7">
              <w:rPr>
                <w:szCs w:val="21"/>
              </w:rPr>
              <w:t>274</w:t>
            </w:r>
            <w:r w:rsidR="00DE2C26">
              <w:rPr>
                <w:rFonts w:hint="eastAsia"/>
                <w:szCs w:val="21"/>
              </w:rPr>
              <w:t>,</w:t>
            </w:r>
            <w:r w:rsidRPr="00E958E7">
              <w:rPr>
                <w:szCs w:val="21"/>
              </w:rPr>
              <w:t>098.59</w:t>
            </w:r>
          </w:p>
        </w:tc>
      </w:tr>
      <w:tr w:rsidR="001F294E" w:rsidRPr="006F14B8" w:rsidTr="00BA0DE9">
        <w:tc>
          <w:tcPr>
            <w:tcW w:w="2694" w:type="dxa"/>
            <w:vMerge w:val="restart"/>
            <w:vAlign w:val="center"/>
          </w:tcPr>
          <w:p w:rsidR="001F294E" w:rsidRPr="006F14B8" w:rsidRDefault="001F294E">
            <w:pPr>
              <w:jc w:val="center"/>
              <w:rPr>
                <w:color w:val="000000"/>
                <w:szCs w:val="21"/>
              </w:rPr>
            </w:pPr>
            <w:r w:rsidRPr="006F14B8">
              <w:rPr>
                <w:b/>
                <w:color w:val="000000"/>
                <w:szCs w:val="21"/>
              </w:rPr>
              <w:t>项目</w:t>
            </w:r>
          </w:p>
        </w:tc>
        <w:tc>
          <w:tcPr>
            <w:tcW w:w="6662" w:type="dxa"/>
            <w:gridSpan w:val="3"/>
            <w:vAlign w:val="center"/>
          </w:tcPr>
          <w:p w:rsidR="001F294E" w:rsidRPr="006F14B8" w:rsidRDefault="001F294E">
            <w:pPr>
              <w:jc w:val="center"/>
              <w:rPr>
                <w:b/>
                <w:color w:val="000000"/>
                <w:szCs w:val="21"/>
              </w:rPr>
            </w:pPr>
            <w:r w:rsidRPr="006F14B8">
              <w:rPr>
                <w:b/>
                <w:color w:val="000000"/>
                <w:szCs w:val="21"/>
              </w:rPr>
              <w:t>上年度可比期间</w:t>
            </w:r>
          </w:p>
          <w:p w:rsidR="001F294E" w:rsidRDefault="001F294E">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b/>
                <w:color w:val="000000"/>
                <w:sz w:val="21"/>
                <w:szCs w:val="21"/>
              </w:rPr>
              <w:t>201</w:t>
            </w:r>
            <w:r>
              <w:rPr>
                <w:rFonts w:ascii="Times New Roman" w:hAnsi="Times New Roman" w:hint="eastAsia"/>
                <w:b/>
                <w:color w:val="000000"/>
                <w:sz w:val="21"/>
                <w:szCs w:val="21"/>
              </w:rPr>
              <w:t>7</w:t>
            </w:r>
            <w:r w:rsidRPr="006F14B8">
              <w:rPr>
                <w:rFonts w:ascii="Times New Roman" w:hAnsi="Times New Roman"/>
                <w:b/>
                <w:color w:val="000000"/>
                <w:sz w:val="21"/>
                <w:szCs w:val="21"/>
              </w:rPr>
              <w:t>年</w:t>
            </w:r>
            <w:r w:rsidRPr="006F14B8">
              <w:rPr>
                <w:rFonts w:ascii="Times New Roman" w:hAnsi="Times New Roman" w:hint="eastAsia"/>
                <w:b/>
                <w:color w:val="000000"/>
                <w:sz w:val="21"/>
                <w:szCs w:val="21"/>
              </w:rPr>
              <w:t>度</w:t>
            </w:r>
          </w:p>
        </w:tc>
      </w:tr>
      <w:tr w:rsidR="001F294E" w:rsidRPr="006F14B8" w:rsidTr="00BA0DE9">
        <w:tc>
          <w:tcPr>
            <w:tcW w:w="2694" w:type="dxa"/>
            <w:vMerge/>
            <w:vAlign w:val="center"/>
          </w:tcPr>
          <w:p w:rsidR="001F294E" w:rsidRPr="006F14B8" w:rsidRDefault="001F294E">
            <w:pPr>
              <w:widowControl/>
              <w:jc w:val="left"/>
              <w:rPr>
                <w:color w:val="000000"/>
                <w:szCs w:val="21"/>
              </w:rPr>
            </w:pPr>
          </w:p>
        </w:tc>
        <w:tc>
          <w:tcPr>
            <w:tcW w:w="2149" w:type="dxa"/>
            <w:vAlign w:val="center"/>
          </w:tcPr>
          <w:p w:rsidR="001F294E" w:rsidRPr="006F14B8" w:rsidRDefault="001F294E">
            <w:pPr>
              <w:jc w:val="center"/>
              <w:rPr>
                <w:color w:val="000000"/>
                <w:szCs w:val="21"/>
              </w:rPr>
            </w:pPr>
            <w:r w:rsidRPr="006F14B8">
              <w:rPr>
                <w:b/>
                <w:color w:val="000000"/>
                <w:szCs w:val="21"/>
              </w:rPr>
              <w:t>实收基金</w:t>
            </w:r>
          </w:p>
        </w:tc>
        <w:tc>
          <w:tcPr>
            <w:tcW w:w="2149" w:type="dxa"/>
          </w:tcPr>
          <w:p w:rsidR="001F294E" w:rsidRPr="006F14B8" w:rsidRDefault="001F294E">
            <w:pPr>
              <w:jc w:val="center"/>
              <w:rPr>
                <w:color w:val="000000"/>
                <w:szCs w:val="21"/>
              </w:rPr>
            </w:pPr>
            <w:r w:rsidRPr="006F14B8">
              <w:rPr>
                <w:b/>
                <w:color w:val="000000"/>
                <w:szCs w:val="21"/>
              </w:rPr>
              <w:t>未分配利润</w:t>
            </w:r>
          </w:p>
        </w:tc>
        <w:tc>
          <w:tcPr>
            <w:tcW w:w="2364" w:type="dxa"/>
            <w:vAlign w:val="center"/>
          </w:tcPr>
          <w:p w:rsidR="001F294E" w:rsidRPr="006F14B8" w:rsidRDefault="001F294E">
            <w:pPr>
              <w:jc w:val="center"/>
              <w:rPr>
                <w:b/>
                <w:color w:val="000000"/>
                <w:szCs w:val="21"/>
              </w:rPr>
            </w:pPr>
            <w:r w:rsidRPr="006F14B8">
              <w:rPr>
                <w:b/>
                <w:color w:val="000000"/>
                <w:szCs w:val="21"/>
              </w:rPr>
              <w:t>所有者权益合计</w:t>
            </w:r>
          </w:p>
        </w:tc>
      </w:tr>
      <w:tr w:rsidR="00823A9D" w:rsidRPr="006F14B8" w:rsidTr="00BA0DE9">
        <w:tc>
          <w:tcPr>
            <w:tcW w:w="2694" w:type="dxa"/>
          </w:tcPr>
          <w:p w:rsidR="00823A9D" w:rsidRPr="006F14B8" w:rsidRDefault="00823A9D">
            <w:pPr>
              <w:rPr>
                <w:color w:val="000000"/>
                <w:szCs w:val="21"/>
              </w:rPr>
            </w:pPr>
            <w:r w:rsidRPr="006F14B8">
              <w:rPr>
                <w:color w:val="000000"/>
                <w:szCs w:val="21"/>
              </w:rPr>
              <w:t>一、期初所有者权益（基金净值）</w:t>
            </w:r>
          </w:p>
        </w:tc>
        <w:tc>
          <w:tcPr>
            <w:tcW w:w="2149" w:type="dxa"/>
            <w:vAlign w:val="center"/>
          </w:tcPr>
          <w:p w:rsidR="00823A9D" w:rsidRDefault="00823A9D">
            <w:pPr>
              <w:spacing w:line="480" w:lineRule="auto"/>
              <w:jc w:val="right"/>
              <w:rPr>
                <w:color w:val="000000"/>
                <w:sz w:val="22"/>
                <w:szCs w:val="22"/>
              </w:rPr>
            </w:pPr>
            <w:r w:rsidRPr="00D13127">
              <w:rPr>
                <w:szCs w:val="21"/>
              </w:rPr>
              <w:t>10,413,992.49</w:t>
            </w:r>
          </w:p>
        </w:tc>
        <w:tc>
          <w:tcPr>
            <w:tcW w:w="2149" w:type="dxa"/>
            <w:vAlign w:val="center"/>
          </w:tcPr>
          <w:p w:rsidR="00823A9D" w:rsidRDefault="00823A9D">
            <w:pPr>
              <w:spacing w:line="480" w:lineRule="auto"/>
              <w:jc w:val="right"/>
              <w:rPr>
                <w:color w:val="000000"/>
                <w:sz w:val="22"/>
                <w:szCs w:val="22"/>
              </w:rPr>
            </w:pPr>
            <w:r w:rsidRPr="00D13127">
              <w:rPr>
                <w:szCs w:val="21"/>
              </w:rPr>
              <w:t>-274,810.97</w:t>
            </w:r>
          </w:p>
        </w:tc>
        <w:tc>
          <w:tcPr>
            <w:tcW w:w="2364" w:type="dxa"/>
            <w:vAlign w:val="center"/>
          </w:tcPr>
          <w:p w:rsidR="00823A9D" w:rsidRDefault="00823A9D">
            <w:pPr>
              <w:spacing w:line="480" w:lineRule="auto"/>
              <w:jc w:val="right"/>
              <w:rPr>
                <w:color w:val="000000"/>
                <w:sz w:val="22"/>
                <w:szCs w:val="22"/>
              </w:rPr>
            </w:pPr>
            <w:r w:rsidRPr="00D13127">
              <w:rPr>
                <w:szCs w:val="21"/>
              </w:rPr>
              <w:t>10,139,181.52</w:t>
            </w:r>
          </w:p>
        </w:tc>
      </w:tr>
      <w:tr w:rsidR="00823A9D" w:rsidRPr="006F14B8" w:rsidTr="00BA0DE9">
        <w:tc>
          <w:tcPr>
            <w:tcW w:w="2694" w:type="dxa"/>
          </w:tcPr>
          <w:p w:rsidR="00823A9D" w:rsidRPr="006F14B8" w:rsidRDefault="00823A9D">
            <w:pPr>
              <w:rPr>
                <w:color w:val="000000"/>
                <w:szCs w:val="21"/>
              </w:rPr>
            </w:pPr>
            <w:r w:rsidRPr="006F14B8">
              <w:rPr>
                <w:color w:val="000000"/>
                <w:szCs w:val="21"/>
              </w:rPr>
              <w:t>二、本期经营活动产生的基金净值变动数（本期利润）</w:t>
            </w:r>
          </w:p>
        </w:tc>
        <w:tc>
          <w:tcPr>
            <w:tcW w:w="2149" w:type="dxa"/>
            <w:vAlign w:val="center"/>
          </w:tcPr>
          <w:p w:rsidR="00823A9D" w:rsidRDefault="00823A9D">
            <w:pPr>
              <w:spacing w:line="480" w:lineRule="auto"/>
              <w:jc w:val="right"/>
              <w:rPr>
                <w:color w:val="000000"/>
                <w:sz w:val="22"/>
                <w:szCs w:val="22"/>
              </w:rPr>
            </w:pPr>
            <w:r w:rsidRPr="00D13127">
              <w:rPr>
                <w:szCs w:val="21"/>
              </w:rPr>
              <w:t>-</w:t>
            </w:r>
          </w:p>
        </w:tc>
        <w:tc>
          <w:tcPr>
            <w:tcW w:w="2149" w:type="dxa"/>
            <w:vAlign w:val="center"/>
          </w:tcPr>
          <w:p w:rsidR="00823A9D" w:rsidRDefault="00823A9D">
            <w:pPr>
              <w:spacing w:line="480" w:lineRule="auto"/>
              <w:jc w:val="right"/>
              <w:rPr>
                <w:color w:val="000000"/>
                <w:sz w:val="22"/>
                <w:szCs w:val="22"/>
              </w:rPr>
            </w:pPr>
            <w:r w:rsidRPr="00D13127">
              <w:rPr>
                <w:szCs w:val="21"/>
              </w:rPr>
              <w:t>-272,886.57</w:t>
            </w:r>
          </w:p>
        </w:tc>
        <w:tc>
          <w:tcPr>
            <w:tcW w:w="2364" w:type="dxa"/>
            <w:vAlign w:val="center"/>
          </w:tcPr>
          <w:p w:rsidR="00823A9D" w:rsidRDefault="00823A9D">
            <w:pPr>
              <w:spacing w:line="480" w:lineRule="auto"/>
              <w:jc w:val="right"/>
              <w:rPr>
                <w:color w:val="000000"/>
                <w:sz w:val="22"/>
                <w:szCs w:val="22"/>
              </w:rPr>
            </w:pPr>
            <w:r w:rsidRPr="00D13127">
              <w:rPr>
                <w:szCs w:val="21"/>
              </w:rPr>
              <w:t>-272,886.57</w:t>
            </w:r>
          </w:p>
        </w:tc>
      </w:tr>
      <w:tr w:rsidR="00823A9D" w:rsidRPr="006F14B8" w:rsidTr="00BA0DE9">
        <w:tc>
          <w:tcPr>
            <w:tcW w:w="2694" w:type="dxa"/>
          </w:tcPr>
          <w:p w:rsidR="00823A9D" w:rsidRPr="006F14B8" w:rsidRDefault="00823A9D">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823A9D" w:rsidRDefault="00823A9D">
            <w:pPr>
              <w:spacing w:line="480" w:lineRule="auto"/>
              <w:jc w:val="right"/>
              <w:rPr>
                <w:color w:val="000000"/>
                <w:sz w:val="22"/>
                <w:szCs w:val="22"/>
              </w:rPr>
            </w:pPr>
            <w:r w:rsidRPr="00D13127">
              <w:rPr>
                <w:szCs w:val="21"/>
              </w:rPr>
              <w:t>-578,016.22</w:t>
            </w:r>
          </w:p>
        </w:tc>
        <w:tc>
          <w:tcPr>
            <w:tcW w:w="2149" w:type="dxa"/>
            <w:vAlign w:val="center"/>
          </w:tcPr>
          <w:p w:rsidR="00823A9D" w:rsidRDefault="00823A9D" w:rsidP="00C504E0">
            <w:pPr>
              <w:spacing w:line="480" w:lineRule="auto"/>
              <w:ind w:firstLine="440"/>
              <w:jc w:val="right"/>
              <w:rPr>
                <w:color w:val="000000"/>
                <w:sz w:val="22"/>
                <w:szCs w:val="22"/>
              </w:rPr>
            </w:pPr>
            <w:r w:rsidRPr="00D13127">
              <w:rPr>
                <w:szCs w:val="21"/>
              </w:rPr>
              <w:t>18,662.71</w:t>
            </w:r>
          </w:p>
        </w:tc>
        <w:tc>
          <w:tcPr>
            <w:tcW w:w="2364" w:type="dxa"/>
            <w:vAlign w:val="center"/>
          </w:tcPr>
          <w:p w:rsidR="00823A9D" w:rsidRDefault="00823A9D" w:rsidP="00C504E0">
            <w:pPr>
              <w:spacing w:line="480" w:lineRule="auto"/>
              <w:ind w:firstLine="440"/>
              <w:jc w:val="right"/>
              <w:rPr>
                <w:color w:val="000000"/>
                <w:sz w:val="22"/>
                <w:szCs w:val="22"/>
              </w:rPr>
            </w:pPr>
            <w:r w:rsidRPr="00D13127">
              <w:rPr>
                <w:szCs w:val="21"/>
              </w:rPr>
              <w:t>-559,353.51</w:t>
            </w:r>
          </w:p>
        </w:tc>
      </w:tr>
      <w:tr w:rsidR="00823A9D" w:rsidRPr="006F14B8" w:rsidTr="00BA0DE9">
        <w:tc>
          <w:tcPr>
            <w:tcW w:w="2694" w:type="dxa"/>
          </w:tcPr>
          <w:p w:rsidR="00823A9D" w:rsidRPr="006F14B8" w:rsidRDefault="00823A9D">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823A9D" w:rsidRDefault="00823A9D">
            <w:pPr>
              <w:spacing w:line="480" w:lineRule="auto"/>
              <w:jc w:val="right"/>
              <w:rPr>
                <w:color w:val="000000"/>
                <w:sz w:val="22"/>
                <w:szCs w:val="22"/>
              </w:rPr>
            </w:pPr>
            <w:r w:rsidRPr="00D13127">
              <w:rPr>
                <w:szCs w:val="21"/>
              </w:rPr>
              <w:t>37,987,974.82</w:t>
            </w:r>
          </w:p>
        </w:tc>
        <w:tc>
          <w:tcPr>
            <w:tcW w:w="2149" w:type="dxa"/>
            <w:vAlign w:val="center"/>
          </w:tcPr>
          <w:p w:rsidR="00823A9D" w:rsidRDefault="00823A9D">
            <w:pPr>
              <w:spacing w:line="480" w:lineRule="auto"/>
              <w:jc w:val="right"/>
              <w:rPr>
                <w:color w:val="000000"/>
                <w:sz w:val="22"/>
                <w:szCs w:val="22"/>
              </w:rPr>
            </w:pPr>
            <w:r w:rsidRPr="00D13127">
              <w:rPr>
                <w:szCs w:val="21"/>
              </w:rPr>
              <w:t>-1,816,515.36</w:t>
            </w:r>
          </w:p>
        </w:tc>
        <w:tc>
          <w:tcPr>
            <w:tcW w:w="2364" w:type="dxa"/>
            <w:vAlign w:val="center"/>
          </w:tcPr>
          <w:p w:rsidR="00823A9D" w:rsidRDefault="00823A9D">
            <w:pPr>
              <w:spacing w:line="480" w:lineRule="auto"/>
              <w:jc w:val="right"/>
              <w:rPr>
                <w:color w:val="000000"/>
                <w:sz w:val="22"/>
                <w:szCs w:val="22"/>
              </w:rPr>
            </w:pPr>
            <w:r w:rsidRPr="00D13127">
              <w:rPr>
                <w:szCs w:val="21"/>
              </w:rPr>
              <w:t>36,171,459.46</w:t>
            </w:r>
          </w:p>
        </w:tc>
      </w:tr>
      <w:tr w:rsidR="00823A9D" w:rsidRPr="006F14B8" w:rsidTr="00BA0DE9">
        <w:tc>
          <w:tcPr>
            <w:tcW w:w="2694" w:type="dxa"/>
          </w:tcPr>
          <w:p w:rsidR="00823A9D" w:rsidRPr="006F14B8" w:rsidRDefault="00823A9D"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823A9D" w:rsidRDefault="00823A9D">
            <w:pPr>
              <w:spacing w:line="480" w:lineRule="auto"/>
              <w:jc w:val="right"/>
              <w:rPr>
                <w:color w:val="000000"/>
                <w:sz w:val="22"/>
                <w:szCs w:val="22"/>
              </w:rPr>
            </w:pPr>
            <w:r w:rsidRPr="00D13127">
              <w:rPr>
                <w:szCs w:val="21"/>
              </w:rPr>
              <w:t>-38,565,991.04</w:t>
            </w:r>
          </w:p>
        </w:tc>
        <w:tc>
          <w:tcPr>
            <w:tcW w:w="2149" w:type="dxa"/>
            <w:vAlign w:val="center"/>
          </w:tcPr>
          <w:p w:rsidR="00823A9D" w:rsidRDefault="00823A9D">
            <w:pPr>
              <w:spacing w:line="480" w:lineRule="auto"/>
              <w:jc w:val="right"/>
              <w:rPr>
                <w:color w:val="000000"/>
                <w:sz w:val="22"/>
                <w:szCs w:val="22"/>
              </w:rPr>
            </w:pPr>
            <w:r w:rsidRPr="00D13127">
              <w:rPr>
                <w:szCs w:val="21"/>
              </w:rPr>
              <w:t>1,835,178.07</w:t>
            </w:r>
          </w:p>
        </w:tc>
        <w:tc>
          <w:tcPr>
            <w:tcW w:w="2364" w:type="dxa"/>
            <w:vAlign w:val="center"/>
          </w:tcPr>
          <w:p w:rsidR="00823A9D" w:rsidRDefault="00823A9D">
            <w:pPr>
              <w:spacing w:line="480" w:lineRule="auto"/>
              <w:jc w:val="right"/>
              <w:rPr>
                <w:color w:val="000000"/>
                <w:sz w:val="22"/>
                <w:szCs w:val="22"/>
              </w:rPr>
            </w:pPr>
            <w:r w:rsidRPr="00D13127">
              <w:rPr>
                <w:szCs w:val="21"/>
              </w:rPr>
              <w:t>-36,730,812.97</w:t>
            </w:r>
          </w:p>
        </w:tc>
      </w:tr>
      <w:tr w:rsidR="00823A9D" w:rsidRPr="006F14B8" w:rsidTr="00BA0DE9">
        <w:tc>
          <w:tcPr>
            <w:tcW w:w="2694" w:type="dxa"/>
          </w:tcPr>
          <w:p w:rsidR="00823A9D" w:rsidRPr="006F14B8" w:rsidRDefault="00823A9D">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823A9D" w:rsidRDefault="00823A9D">
            <w:pPr>
              <w:spacing w:line="480" w:lineRule="auto"/>
              <w:jc w:val="right"/>
              <w:rPr>
                <w:color w:val="000000"/>
                <w:sz w:val="22"/>
                <w:szCs w:val="22"/>
              </w:rPr>
            </w:pPr>
            <w:r w:rsidRPr="00D13127">
              <w:rPr>
                <w:szCs w:val="21"/>
              </w:rPr>
              <w:t>-</w:t>
            </w:r>
          </w:p>
        </w:tc>
        <w:tc>
          <w:tcPr>
            <w:tcW w:w="2149" w:type="dxa"/>
            <w:vAlign w:val="center"/>
          </w:tcPr>
          <w:p w:rsidR="00823A9D" w:rsidRDefault="00823A9D">
            <w:pPr>
              <w:spacing w:line="480" w:lineRule="auto"/>
              <w:jc w:val="right"/>
              <w:rPr>
                <w:color w:val="000000"/>
                <w:sz w:val="22"/>
                <w:szCs w:val="22"/>
              </w:rPr>
            </w:pPr>
            <w:r w:rsidRPr="00D13127">
              <w:rPr>
                <w:szCs w:val="21"/>
              </w:rPr>
              <w:t>-</w:t>
            </w:r>
          </w:p>
        </w:tc>
        <w:tc>
          <w:tcPr>
            <w:tcW w:w="2364" w:type="dxa"/>
            <w:vAlign w:val="center"/>
          </w:tcPr>
          <w:p w:rsidR="00823A9D" w:rsidRDefault="00823A9D">
            <w:pPr>
              <w:spacing w:line="480" w:lineRule="auto"/>
              <w:jc w:val="right"/>
              <w:rPr>
                <w:color w:val="000000"/>
                <w:sz w:val="22"/>
                <w:szCs w:val="22"/>
              </w:rPr>
            </w:pPr>
            <w:r w:rsidRPr="00D13127">
              <w:rPr>
                <w:szCs w:val="21"/>
              </w:rPr>
              <w:t>-</w:t>
            </w:r>
          </w:p>
        </w:tc>
      </w:tr>
      <w:tr w:rsidR="00823A9D" w:rsidRPr="00D42BE5" w:rsidTr="00BA0DE9">
        <w:tc>
          <w:tcPr>
            <w:tcW w:w="2694" w:type="dxa"/>
          </w:tcPr>
          <w:p w:rsidR="00823A9D" w:rsidRPr="006F14B8" w:rsidRDefault="00823A9D">
            <w:pPr>
              <w:rPr>
                <w:color w:val="000000"/>
                <w:szCs w:val="21"/>
              </w:rPr>
            </w:pPr>
            <w:r w:rsidRPr="006F14B8">
              <w:rPr>
                <w:color w:val="000000"/>
                <w:szCs w:val="21"/>
              </w:rPr>
              <w:t>五、期末所有者权益（基金净值）</w:t>
            </w:r>
          </w:p>
        </w:tc>
        <w:tc>
          <w:tcPr>
            <w:tcW w:w="2149" w:type="dxa"/>
            <w:vAlign w:val="center"/>
          </w:tcPr>
          <w:p w:rsidR="00823A9D" w:rsidRDefault="00823A9D">
            <w:pPr>
              <w:spacing w:line="480" w:lineRule="auto"/>
              <w:jc w:val="right"/>
              <w:rPr>
                <w:color w:val="000000"/>
                <w:sz w:val="22"/>
                <w:szCs w:val="22"/>
              </w:rPr>
            </w:pPr>
            <w:r w:rsidRPr="00D13127">
              <w:rPr>
                <w:szCs w:val="21"/>
              </w:rPr>
              <w:t>9,835,976.27</w:t>
            </w:r>
          </w:p>
        </w:tc>
        <w:tc>
          <w:tcPr>
            <w:tcW w:w="2149" w:type="dxa"/>
            <w:vAlign w:val="center"/>
          </w:tcPr>
          <w:p w:rsidR="00823A9D" w:rsidRDefault="00823A9D">
            <w:pPr>
              <w:spacing w:line="480" w:lineRule="auto"/>
              <w:jc w:val="right"/>
              <w:rPr>
                <w:color w:val="000000"/>
                <w:sz w:val="22"/>
                <w:szCs w:val="22"/>
              </w:rPr>
            </w:pPr>
            <w:r w:rsidRPr="00D13127">
              <w:rPr>
                <w:szCs w:val="21"/>
              </w:rPr>
              <w:t>-529,034.83</w:t>
            </w:r>
          </w:p>
        </w:tc>
        <w:tc>
          <w:tcPr>
            <w:tcW w:w="2364" w:type="dxa"/>
            <w:vAlign w:val="center"/>
          </w:tcPr>
          <w:p w:rsidR="00823A9D" w:rsidRDefault="00823A9D">
            <w:pPr>
              <w:spacing w:line="480" w:lineRule="auto"/>
              <w:jc w:val="right"/>
              <w:rPr>
                <w:color w:val="000000"/>
                <w:sz w:val="22"/>
                <w:szCs w:val="22"/>
              </w:rPr>
            </w:pPr>
            <w:r w:rsidRPr="00D13127">
              <w:rPr>
                <w:szCs w:val="21"/>
              </w:rPr>
              <w:t>9,306,941.44</w:t>
            </w:r>
          </w:p>
        </w:tc>
      </w:tr>
    </w:tbl>
    <w:p w:rsidR="00C825CB" w:rsidRDefault="004D1916" w:rsidP="00641421">
      <w:pPr>
        <w:pStyle w:val="1"/>
        <w:keepNext/>
        <w:keepLines/>
        <w:widowControl w:val="0"/>
        <w:spacing w:beforeLines="100" w:afterLines="100" w:line="360" w:lineRule="auto"/>
        <w:jc w:val="center"/>
        <w:rPr>
          <w:b/>
          <w:bCs/>
          <w:sz w:val="21"/>
          <w:szCs w:val="21"/>
          <w:lang w:val="en-US"/>
        </w:rPr>
      </w:pPr>
      <w:bookmarkStart w:id="24" w:name="_Toc529469805"/>
      <w:bookmarkStart w:id="25" w:name="_Toc225500055"/>
      <w:r>
        <w:rPr>
          <w:rFonts w:hint="eastAsia"/>
          <w:b/>
          <w:bCs/>
          <w:sz w:val="21"/>
          <w:szCs w:val="21"/>
          <w:lang w:val="en-US"/>
        </w:rPr>
        <w:t>4</w:t>
      </w:r>
      <w:r w:rsidR="00C825CB">
        <w:rPr>
          <w:rFonts w:hint="eastAsia"/>
          <w:b/>
          <w:bCs/>
          <w:sz w:val="21"/>
          <w:szCs w:val="21"/>
          <w:lang w:val="en-US"/>
        </w:rPr>
        <w:t>清盘事项说明</w:t>
      </w:r>
      <w:bookmarkEnd w:id="24"/>
    </w:p>
    <w:p w:rsidR="003B0EE4" w:rsidRDefault="004D1916">
      <w:pPr>
        <w:pStyle w:val="20"/>
        <w:spacing w:before="0" w:after="0"/>
        <w:rPr>
          <w:b w:val="0"/>
          <w:kern w:val="0"/>
          <w:szCs w:val="21"/>
        </w:rPr>
      </w:pPr>
      <w:bookmarkStart w:id="26" w:name="_Toc529469806"/>
      <w:r>
        <w:rPr>
          <w:rFonts w:ascii="Times New Roman" w:hAnsi="Times New Roman" w:hint="eastAsia"/>
          <w:kern w:val="0"/>
          <w:sz w:val="21"/>
          <w:szCs w:val="21"/>
        </w:rPr>
        <w:t>4</w:t>
      </w:r>
      <w:r w:rsidR="00BE362C" w:rsidRPr="00BE362C">
        <w:rPr>
          <w:rFonts w:ascii="Times New Roman" w:hAnsi="Times New Roman"/>
          <w:kern w:val="0"/>
          <w:sz w:val="21"/>
          <w:szCs w:val="21"/>
        </w:rPr>
        <w:t xml:space="preserve">.1 </w:t>
      </w:r>
      <w:r w:rsidR="00BE362C" w:rsidRPr="00BE362C">
        <w:rPr>
          <w:rFonts w:ascii="Times New Roman" w:hAnsi="Times New Roman" w:hint="eastAsia"/>
          <w:kern w:val="0"/>
          <w:sz w:val="21"/>
          <w:szCs w:val="21"/>
        </w:rPr>
        <w:t>基金基本情况</w:t>
      </w:r>
      <w:bookmarkEnd w:id="26"/>
    </w:p>
    <w:p w:rsidR="00F8414D" w:rsidRDefault="00D30755">
      <w:pPr>
        <w:spacing w:line="360" w:lineRule="auto"/>
        <w:ind w:firstLineChars="200" w:firstLine="420"/>
        <w:rPr>
          <w:color w:val="000000"/>
          <w:szCs w:val="21"/>
        </w:rPr>
      </w:pPr>
      <w:r w:rsidRPr="00D30755">
        <w:rPr>
          <w:rFonts w:hint="eastAsia"/>
          <w:color w:val="000000"/>
          <w:szCs w:val="21"/>
        </w:rPr>
        <w:t>国泰上证</w:t>
      </w:r>
      <w:r w:rsidRPr="00D30755">
        <w:rPr>
          <w:color w:val="000000"/>
          <w:szCs w:val="21"/>
        </w:rPr>
        <w:t>5</w:t>
      </w:r>
      <w:r w:rsidRPr="00D30755">
        <w:rPr>
          <w:rFonts w:hint="eastAsia"/>
          <w:color w:val="000000"/>
          <w:szCs w:val="21"/>
        </w:rPr>
        <w:t>年期国债交易型开放式指数证券投资基金联接基金</w:t>
      </w:r>
      <w:r w:rsidRPr="00D30755">
        <w:rPr>
          <w:color w:val="000000"/>
          <w:szCs w:val="21"/>
        </w:rPr>
        <w:t>(</w:t>
      </w:r>
      <w:r w:rsidRPr="00D30755">
        <w:rPr>
          <w:rFonts w:hint="eastAsia"/>
          <w:color w:val="000000"/>
          <w:szCs w:val="21"/>
        </w:rPr>
        <w:t>以下简称“本基金”</w:t>
      </w:r>
      <w:r w:rsidRPr="00D30755">
        <w:rPr>
          <w:color w:val="000000"/>
          <w:szCs w:val="21"/>
        </w:rPr>
        <w:t>)</w:t>
      </w:r>
      <w:r w:rsidRPr="00D30755">
        <w:rPr>
          <w:rFonts w:hint="eastAsia"/>
          <w:color w:val="000000"/>
          <w:szCs w:val="21"/>
        </w:rPr>
        <w:t>经中国证券监督管理委员会</w:t>
      </w:r>
      <w:r w:rsidRPr="00D30755">
        <w:rPr>
          <w:color w:val="000000"/>
          <w:szCs w:val="21"/>
        </w:rPr>
        <w:t>(</w:t>
      </w:r>
      <w:r w:rsidRPr="00D30755">
        <w:rPr>
          <w:rFonts w:hint="eastAsia"/>
          <w:color w:val="000000"/>
          <w:szCs w:val="21"/>
        </w:rPr>
        <w:t>以下简称“中国证监会”</w:t>
      </w:r>
      <w:r w:rsidRPr="00D30755">
        <w:rPr>
          <w:color w:val="000000"/>
          <w:szCs w:val="21"/>
        </w:rPr>
        <w:t>)</w:t>
      </w:r>
      <w:r w:rsidRPr="00D30755">
        <w:rPr>
          <w:rFonts w:hint="eastAsia"/>
          <w:color w:val="000000"/>
          <w:szCs w:val="21"/>
        </w:rPr>
        <w:t>证监许可</w:t>
      </w:r>
      <w:r w:rsidRPr="00D30755">
        <w:rPr>
          <w:color w:val="000000"/>
          <w:szCs w:val="21"/>
        </w:rPr>
        <w:t>[2013]11</w:t>
      </w:r>
      <w:r w:rsidRPr="00D30755">
        <w:rPr>
          <w:rFonts w:hint="eastAsia"/>
          <w:color w:val="000000"/>
          <w:szCs w:val="21"/>
        </w:rPr>
        <w:t>号《关于核准上证</w:t>
      </w:r>
      <w:r w:rsidRPr="00D30755">
        <w:rPr>
          <w:color w:val="000000"/>
          <w:szCs w:val="21"/>
        </w:rPr>
        <w:t>5</w:t>
      </w:r>
      <w:r w:rsidRPr="00D30755">
        <w:rPr>
          <w:rFonts w:hint="eastAsia"/>
          <w:color w:val="000000"/>
          <w:szCs w:val="21"/>
        </w:rPr>
        <w:t>年期国债交易型开放式指数证券投资基金及联接基金募集的批复》核准，由国泰基金管理有限公司依照《中华人民共和国证券投资基金法》和《国泰上证</w:t>
      </w:r>
      <w:r w:rsidRPr="00D30755">
        <w:rPr>
          <w:color w:val="000000"/>
          <w:szCs w:val="21"/>
        </w:rPr>
        <w:t>5</w:t>
      </w:r>
      <w:r w:rsidRPr="00D30755">
        <w:rPr>
          <w:rFonts w:hint="eastAsia"/>
          <w:color w:val="000000"/>
          <w:szCs w:val="21"/>
        </w:rPr>
        <w:t>年期国债交易型开放式指数证券投资基金联接基金基金合同》负责公开募集。本基金首次设立募集不包括认购资金利息共募集人民币</w:t>
      </w:r>
      <w:r w:rsidRPr="00D30755">
        <w:rPr>
          <w:color w:val="000000"/>
          <w:szCs w:val="21"/>
        </w:rPr>
        <w:t>3,206,038,942.03</w:t>
      </w:r>
      <w:r w:rsidRPr="00D30755">
        <w:rPr>
          <w:rFonts w:hint="eastAsia"/>
          <w:color w:val="000000"/>
          <w:szCs w:val="21"/>
        </w:rPr>
        <w:t>元，业经普华永道中天会计师事务所有限公司予以验证。经向中国证监会备案，《国泰上证</w:t>
      </w:r>
      <w:r w:rsidRPr="00D30755">
        <w:rPr>
          <w:color w:val="000000"/>
          <w:szCs w:val="21"/>
        </w:rPr>
        <w:t>5</w:t>
      </w:r>
      <w:r w:rsidRPr="00D30755">
        <w:rPr>
          <w:rFonts w:hint="eastAsia"/>
          <w:color w:val="000000"/>
          <w:szCs w:val="21"/>
        </w:rPr>
        <w:t>年期国债交易型开放式指数证券投资基金联接基金基金合同》于</w:t>
      </w:r>
      <w:r w:rsidRPr="00D30755">
        <w:rPr>
          <w:color w:val="000000"/>
          <w:szCs w:val="21"/>
        </w:rPr>
        <w:t>2013</w:t>
      </w:r>
      <w:r w:rsidRPr="00D30755">
        <w:rPr>
          <w:rFonts w:hint="eastAsia"/>
          <w:color w:val="000000"/>
          <w:szCs w:val="21"/>
        </w:rPr>
        <w:t>年</w:t>
      </w:r>
      <w:r w:rsidRPr="00D30755">
        <w:rPr>
          <w:color w:val="000000"/>
          <w:szCs w:val="21"/>
        </w:rPr>
        <w:t>3</w:t>
      </w:r>
      <w:r w:rsidRPr="00D30755">
        <w:rPr>
          <w:rFonts w:hint="eastAsia"/>
          <w:color w:val="000000"/>
          <w:szCs w:val="21"/>
        </w:rPr>
        <w:t>月</w:t>
      </w:r>
      <w:r w:rsidRPr="00D30755">
        <w:rPr>
          <w:color w:val="000000"/>
          <w:szCs w:val="21"/>
        </w:rPr>
        <w:t>7</w:t>
      </w:r>
      <w:r w:rsidRPr="00D30755">
        <w:rPr>
          <w:rFonts w:hint="eastAsia"/>
          <w:color w:val="000000"/>
          <w:szCs w:val="21"/>
        </w:rPr>
        <w:t>日正式生效，基金合同生效日的基金份额总额为</w:t>
      </w:r>
      <w:r w:rsidRPr="00D30755">
        <w:rPr>
          <w:color w:val="000000"/>
          <w:szCs w:val="21"/>
        </w:rPr>
        <w:t>3,206,309,191.14</w:t>
      </w:r>
      <w:r w:rsidRPr="00D30755">
        <w:rPr>
          <w:rFonts w:hint="eastAsia"/>
          <w:color w:val="000000"/>
          <w:szCs w:val="21"/>
        </w:rPr>
        <w:t>份基金份额，其中认购资金利息折合</w:t>
      </w:r>
      <w:r w:rsidRPr="00D30755">
        <w:rPr>
          <w:color w:val="000000"/>
          <w:szCs w:val="21"/>
        </w:rPr>
        <w:t>270,249.11</w:t>
      </w:r>
      <w:r w:rsidRPr="00D30755">
        <w:rPr>
          <w:rFonts w:hint="eastAsia"/>
          <w:color w:val="000000"/>
          <w:szCs w:val="21"/>
        </w:rPr>
        <w:t>份基金份额。本基金的基金管理人为国泰基金管理有限公司，基金托管人为中国建设银行股份有限公司。</w:t>
      </w:r>
    </w:p>
    <w:p w:rsidR="00F8414D" w:rsidRDefault="00D30755">
      <w:pPr>
        <w:spacing w:line="360" w:lineRule="auto"/>
        <w:ind w:firstLineChars="200" w:firstLine="420"/>
        <w:rPr>
          <w:color w:val="000000"/>
          <w:szCs w:val="21"/>
        </w:rPr>
      </w:pPr>
      <w:r w:rsidRPr="00D30755">
        <w:rPr>
          <w:rFonts w:hint="eastAsia"/>
          <w:color w:val="000000"/>
          <w:szCs w:val="21"/>
        </w:rPr>
        <w:t>根据《国泰上证</w:t>
      </w:r>
      <w:r w:rsidRPr="00D30755">
        <w:rPr>
          <w:color w:val="000000"/>
          <w:szCs w:val="21"/>
        </w:rPr>
        <w:t>5</w:t>
      </w:r>
      <w:r w:rsidRPr="00D30755">
        <w:rPr>
          <w:rFonts w:hint="eastAsia"/>
          <w:color w:val="000000"/>
          <w:szCs w:val="21"/>
        </w:rPr>
        <w:t>年期国债交易型开放式指数证券投资基金联接基金基金合同》和《国泰上证</w:t>
      </w:r>
      <w:r w:rsidRPr="00D30755">
        <w:rPr>
          <w:color w:val="000000"/>
          <w:szCs w:val="21"/>
        </w:rPr>
        <w:t>5</w:t>
      </w:r>
      <w:r w:rsidRPr="00D30755">
        <w:rPr>
          <w:rFonts w:hint="eastAsia"/>
          <w:color w:val="000000"/>
          <w:szCs w:val="21"/>
        </w:rPr>
        <w:t>年期国债交易型开放式指数证券投资基金联接基金招募说明书》的规定，本基金自募集期起根据认购</w:t>
      </w:r>
      <w:r w:rsidRPr="00D30755">
        <w:rPr>
          <w:color w:val="000000"/>
          <w:szCs w:val="21"/>
        </w:rPr>
        <w:t>/</w:t>
      </w:r>
      <w:r w:rsidRPr="00D30755">
        <w:rPr>
          <w:rFonts w:hint="eastAsia"/>
          <w:color w:val="000000"/>
          <w:szCs w:val="21"/>
        </w:rPr>
        <w:t>申购费用、销售服务费用收取方式的不同，将基金份额分为不同的类别。在投资者认</w:t>
      </w:r>
      <w:r w:rsidRPr="00D30755">
        <w:rPr>
          <w:color w:val="000000"/>
          <w:szCs w:val="21"/>
        </w:rPr>
        <w:t>/</w:t>
      </w:r>
      <w:r w:rsidRPr="00D30755">
        <w:rPr>
          <w:rFonts w:hint="eastAsia"/>
          <w:color w:val="000000"/>
          <w:szCs w:val="21"/>
        </w:rPr>
        <w:t>申购时收取认购</w:t>
      </w:r>
      <w:r w:rsidRPr="00D30755">
        <w:rPr>
          <w:color w:val="000000"/>
          <w:szCs w:val="21"/>
        </w:rPr>
        <w:t>/</w:t>
      </w:r>
      <w:r w:rsidRPr="00D30755">
        <w:rPr>
          <w:rFonts w:hint="eastAsia"/>
          <w:color w:val="000000"/>
          <w:szCs w:val="21"/>
        </w:rPr>
        <w:t>申购费用，在赎回时根据持有期限收取赎回费用，并不再从本类别基金资产中计提销售服务费的基金份额称为</w:t>
      </w:r>
      <w:r w:rsidRPr="00D30755">
        <w:rPr>
          <w:color w:val="000000"/>
          <w:szCs w:val="21"/>
        </w:rPr>
        <w:t>A</w:t>
      </w:r>
      <w:r w:rsidRPr="00D30755">
        <w:rPr>
          <w:rFonts w:hint="eastAsia"/>
          <w:color w:val="000000"/>
          <w:szCs w:val="21"/>
        </w:rPr>
        <w:t>类；从本类别基金资产中计提销售服务费、不收取认购</w:t>
      </w:r>
      <w:r w:rsidRPr="00D30755">
        <w:rPr>
          <w:color w:val="000000"/>
          <w:szCs w:val="21"/>
        </w:rPr>
        <w:t>/</w:t>
      </w:r>
      <w:r w:rsidRPr="00D30755">
        <w:rPr>
          <w:rFonts w:hint="eastAsia"/>
          <w:color w:val="000000"/>
          <w:szCs w:val="21"/>
        </w:rPr>
        <w:t>申购费用，但对持有期限少于</w:t>
      </w:r>
      <w:r w:rsidRPr="00D30755">
        <w:rPr>
          <w:color w:val="000000"/>
          <w:szCs w:val="21"/>
        </w:rPr>
        <w:t>30</w:t>
      </w:r>
      <w:r w:rsidRPr="00D30755">
        <w:rPr>
          <w:rFonts w:hint="eastAsia"/>
          <w:color w:val="000000"/>
          <w:szCs w:val="21"/>
        </w:rPr>
        <w:t>日的本类别基金份额的赎回收取赎回费的基金类别称为</w:t>
      </w:r>
      <w:r w:rsidRPr="00D30755">
        <w:rPr>
          <w:color w:val="000000"/>
          <w:szCs w:val="21"/>
        </w:rPr>
        <w:t>C</w:t>
      </w:r>
      <w:r w:rsidRPr="00D30755">
        <w:rPr>
          <w:rFonts w:hint="eastAsia"/>
          <w:color w:val="000000"/>
          <w:szCs w:val="21"/>
        </w:rPr>
        <w:t>类。本基金</w:t>
      </w:r>
      <w:r w:rsidRPr="00D30755">
        <w:rPr>
          <w:color w:val="000000"/>
          <w:szCs w:val="21"/>
        </w:rPr>
        <w:t>A</w:t>
      </w:r>
      <w:r w:rsidRPr="00D30755">
        <w:rPr>
          <w:rFonts w:hint="eastAsia"/>
          <w:color w:val="000000"/>
          <w:szCs w:val="21"/>
        </w:rPr>
        <w:t>类、</w:t>
      </w:r>
      <w:r w:rsidRPr="00D30755">
        <w:rPr>
          <w:color w:val="000000"/>
          <w:szCs w:val="21"/>
        </w:rPr>
        <w:t>C</w:t>
      </w:r>
      <w:r w:rsidRPr="00D30755">
        <w:rPr>
          <w:rFonts w:hint="eastAsia"/>
          <w:color w:val="000000"/>
          <w:szCs w:val="21"/>
        </w:rPr>
        <w:t>类两种收费模式并存，各类基金份额分别计算基金份额净值。投资人可自由选择申购某一类别的基金份额，但各类别基金份额之间不能相互转换。</w:t>
      </w:r>
    </w:p>
    <w:p w:rsidR="00F8414D" w:rsidRDefault="00D30755">
      <w:pPr>
        <w:spacing w:line="360" w:lineRule="auto"/>
        <w:ind w:firstLineChars="200" w:firstLine="420"/>
        <w:rPr>
          <w:color w:val="000000"/>
          <w:szCs w:val="21"/>
        </w:rPr>
      </w:pPr>
      <w:r w:rsidRPr="00D30755">
        <w:rPr>
          <w:rFonts w:hint="eastAsia"/>
          <w:color w:val="000000"/>
          <w:szCs w:val="21"/>
        </w:rPr>
        <w:t>本基金是上证</w:t>
      </w:r>
      <w:r w:rsidRPr="00D30755">
        <w:rPr>
          <w:color w:val="000000"/>
          <w:szCs w:val="21"/>
        </w:rPr>
        <w:t>5</w:t>
      </w:r>
      <w:r w:rsidRPr="00D30755">
        <w:rPr>
          <w:rFonts w:hint="eastAsia"/>
          <w:color w:val="000000"/>
          <w:szCs w:val="21"/>
        </w:rPr>
        <w:t>年期国债交易型开放式指数证券投资基金</w:t>
      </w:r>
      <w:r w:rsidRPr="00D30755">
        <w:rPr>
          <w:color w:val="000000"/>
          <w:szCs w:val="21"/>
        </w:rPr>
        <w:t>(</w:t>
      </w:r>
      <w:r w:rsidRPr="00D30755">
        <w:rPr>
          <w:rFonts w:hint="eastAsia"/>
          <w:color w:val="000000"/>
          <w:szCs w:val="21"/>
        </w:rPr>
        <w:t>以下简称“目标</w:t>
      </w:r>
      <w:r w:rsidRPr="00D30755">
        <w:rPr>
          <w:color w:val="000000"/>
          <w:szCs w:val="21"/>
        </w:rPr>
        <w:t>ETF</w:t>
      </w:r>
      <w:r w:rsidRPr="00D30755">
        <w:rPr>
          <w:rFonts w:hint="eastAsia"/>
          <w:color w:val="000000"/>
          <w:szCs w:val="21"/>
        </w:rPr>
        <w:t>”</w:t>
      </w:r>
      <w:r w:rsidRPr="00D30755">
        <w:rPr>
          <w:color w:val="000000"/>
          <w:szCs w:val="21"/>
        </w:rPr>
        <w:t>)</w:t>
      </w:r>
      <w:r w:rsidRPr="00D30755">
        <w:rPr>
          <w:rFonts w:hint="eastAsia"/>
          <w:color w:val="000000"/>
          <w:szCs w:val="21"/>
        </w:rPr>
        <w:t>的联接基金，目标</w:t>
      </w:r>
      <w:r w:rsidRPr="00D30755">
        <w:rPr>
          <w:color w:val="000000"/>
          <w:szCs w:val="21"/>
        </w:rPr>
        <w:t>ETF</w:t>
      </w:r>
      <w:r w:rsidRPr="00D30755">
        <w:rPr>
          <w:rFonts w:hint="eastAsia"/>
          <w:color w:val="000000"/>
          <w:szCs w:val="21"/>
        </w:rPr>
        <w:t>是主要采用优化抽样复制法实现对上证</w:t>
      </w:r>
      <w:r w:rsidRPr="00D30755">
        <w:rPr>
          <w:color w:val="000000"/>
          <w:szCs w:val="21"/>
        </w:rPr>
        <w:t>5</w:t>
      </w:r>
      <w:r w:rsidRPr="00D30755">
        <w:rPr>
          <w:rFonts w:hint="eastAsia"/>
          <w:color w:val="000000"/>
          <w:szCs w:val="21"/>
        </w:rPr>
        <w:t>年期国债指数紧密跟踪的被动指数基金，本基金主要通过投资于目标</w:t>
      </w:r>
      <w:r w:rsidRPr="00D30755">
        <w:rPr>
          <w:color w:val="000000"/>
          <w:szCs w:val="21"/>
        </w:rPr>
        <w:t>ETF</w:t>
      </w:r>
      <w:r w:rsidRPr="00D30755">
        <w:rPr>
          <w:rFonts w:hint="eastAsia"/>
          <w:color w:val="000000"/>
          <w:szCs w:val="21"/>
        </w:rPr>
        <w:t>实现对业绩比较基准的紧密跟踪，力争将年化跟踪误差控制在</w:t>
      </w:r>
      <w:r w:rsidRPr="00D30755">
        <w:rPr>
          <w:color w:val="000000"/>
          <w:szCs w:val="21"/>
        </w:rPr>
        <w:t>4%</w:t>
      </w:r>
      <w:r w:rsidRPr="00D30755">
        <w:rPr>
          <w:rFonts w:hint="eastAsia"/>
          <w:color w:val="000000"/>
          <w:szCs w:val="21"/>
        </w:rPr>
        <w:t>以内。</w:t>
      </w:r>
    </w:p>
    <w:p w:rsidR="00F8414D" w:rsidRDefault="00D30755" w:rsidP="00AE295B">
      <w:pPr>
        <w:spacing w:line="360" w:lineRule="auto"/>
        <w:ind w:firstLineChars="200" w:firstLine="420"/>
        <w:rPr>
          <w:color w:val="000000"/>
          <w:szCs w:val="21"/>
        </w:rPr>
      </w:pPr>
      <w:r w:rsidRPr="00D30755">
        <w:rPr>
          <w:rFonts w:hint="eastAsia"/>
          <w:color w:val="000000"/>
          <w:szCs w:val="21"/>
        </w:rPr>
        <w:t>根据《中华人民共和国证券投资基金法》和《国泰上证</w:t>
      </w:r>
      <w:r w:rsidRPr="00D30755">
        <w:rPr>
          <w:color w:val="000000"/>
          <w:szCs w:val="21"/>
        </w:rPr>
        <w:t>5</w:t>
      </w:r>
      <w:r w:rsidRPr="00D30755">
        <w:rPr>
          <w:rFonts w:hint="eastAsia"/>
          <w:color w:val="000000"/>
          <w:szCs w:val="21"/>
        </w:rPr>
        <w:t>年期国债交易型开放式指数证券投资基金联接基金基金合同》的有关规定，本基金主要投资于目标</w:t>
      </w:r>
      <w:r w:rsidRPr="00D30755">
        <w:rPr>
          <w:color w:val="000000"/>
          <w:szCs w:val="21"/>
        </w:rPr>
        <w:t>ETF</w:t>
      </w:r>
      <w:r w:rsidRPr="00D30755">
        <w:rPr>
          <w:rFonts w:hint="eastAsia"/>
          <w:color w:val="000000"/>
          <w:szCs w:val="21"/>
        </w:rPr>
        <w:t>、标的指数即上证</w:t>
      </w:r>
      <w:r w:rsidRPr="00D30755">
        <w:rPr>
          <w:color w:val="000000"/>
          <w:szCs w:val="21"/>
        </w:rPr>
        <w:t>5</w:t>
      </w:r>
      <w:r w:rsidRPr="00D30755">
        <w:rPr>
          <w:rFonts w:hint="eastAsia"/>
          <w:color w:val="000000"/>
          <w:szCs w:val="21"/>
        </w:rPr>
        <w:t>年期国债指数成份国债和备选成份国债，还可投资于国内依法发行上市的债券、货币市场工具以及法律法规或中国证监会允许基金投资的其他金融工具</w:t>
      </w:r>
      <w:r w:rsidRPr="00D30755">
        <w:rPr>
          <w:color w:val="000000"/>
          <w:szCs w:val="21"/>
        </w:rPr>
        <w:t>(</w:t>
      </w:r>
      <w:r w:rsidRPr="00D30755">
        <w:rPr>
          <w:rFonts w:hint="eastAsia"/>
          <w:color w:val="000000"/>
          <w:szCs w:val="21"/>
        </w:rPr>
        <w:t>但须符合中国证监会的相关规定</w:t>
      </w:r>
      <w:r w:rsidRPr="00D30755">
        <w:rPr>
          <w:color w:val="000000"/>
          <w:szCs w:val="21"/>
        </w:rPr>
        <w:t>)</w:t>
      </w:r>
      <w:r w:rsidRPr="00D30755">
        <w:rPr>
          <w:rFonts w:hint="eastAsia"/>
          <w:color w:val="000000"/>
          <w:szCs w:val="21"/>
        </w:rPr>
        <w:t>。本基金投资于目标</w:t>
      </w:r>
      <w:r w:rsidRPr="00D30755">
        <w:rPr>
          <w:color w:val="000000"/>
          <w:szCs w:val="21"/>
        </w:rPr>
        <w:t>ETF</w:t>
      </w:r>
      <w:r w:rsidRPr="00D30755">
        <w:rPr>
          <w:rFonts w:hint="eastAsia"/>
          <w:color w:val="000000"/>
          <w:szCs w:val="21"/>
        </w:rPr>
        <w:t>的比例不低于基金资产净值的</w:t>
      </w:r>
      <w:r w:rsidRPr="00D30755">
        <w:rPr>
          <w:color w:val="000000"/>
          <w:szCs w:val="21"/>
        </w:rPr>
        <w:t>90%</w:t>
      </w:r>
      <w:r w:rsidRPr="00D30755">
        <w:rPr>
          <w:rFonts w:hint="eastAsia"/>
          <w:color w:val="000000"/>
          <w:szCs w:val="21"/>
        </w:rPr>
        <w:t>；现金或到期日在一年以内的政府债券比例不低于基金资产净值的</w:t>
      </w:r>
      <w:r w:rsidRPr="00D30755">
        <w:rPr>
          <w:color w:val="000000"/>
          <w:szCs w:val="21"/>
        </w:rPr>
        <w:t>5%</w:t>
      </w:r>
      <w:r w:rsidRPr="00D30755">
        <w:rPr>
          <w:rFonts w:hint="eastAsia"/>
          <w:color w:val="000000"/>
          <w:szCs w:val="21"/>
        </w:rPr>
        <w:t>，其中，现金不包括结算备付金、存出保证金和应收申购款等。本基金业绩比较基准为上证</w:t>
      </w:r>
      <w:r w:rsidRPr="00D30755">
        <w:rPr>
          <w:color w:val="000000"/>
          <w:szCs w:val="21"/>
        </w:rPr>
        <w:t>5</w:t>
      </w:r>
      <w:r w:rsidRPr="00D30755">
        <w:rPr>
          <w:rFonts w:hint="eastAsia"/>
          <w:color w:val="000000"/>
          <w:szCs w:val="21"/>
        </w:rPr>
        <w:t>年期国债指数收益率</w:t>
      </w:r>
      <w:r w:rsidR="005F3447">
        <w:rPr>
          <w:szCs w:val="21"/>
        </w:rPr>
        <w:t>×</w:t>
      </w:r>
      <w:r w:rsidRPr="00D30755">
        <w:rPr>
          <w:color w:val="000000"/>
          <w:szCs w:val="21"/>
        </w:rPr>
        <w:t>95%+</w:t>
      </w:r>
      <w:r w:rsidRPr="00D30755">
        <w:rPr>
          <w:rFonts w:hint="eastAsia"/>
          <w:color w:val="000000"/>
          <w:szCs w:val="21"/>
        </w:rPr>
        <w:t>银行活期存款税后利率</w:t>
      </w:r>
      <w:r w:rsidR="005F3447">
        <w:rPr>
          <w:szCs w:val="21"/>
        </w:rPr>
        <w:t>×</w:t>
      </w:r>
      <w:r w:rsidRPr="00D30755">
        <w:rPr>
          <w:color w:val="000000"/>
          <w:szCs w:val="21"/>
        </w:rPr>
        <w:t>5%</w:t>
      </w:r>
      <w:r w:rsidRPr="00D30755">
        <w:rPr>
          <w:rFonts w:hint="eastAsia"/>
          <w:color w:val="000000"/>
          <w:szCs w:val="21"/>
        </w:rPr>
        <w:t>。</w:t>
      </w:r>
    </w:p>
    <w:p w:rsidR="00F8414D" w:rsidRDefault="00B2518D">
      <w:pPr>
        <w:spacing w:line="360" w:lineRule="auto"/>
        <w:ind w:firstLineChars="200" w:firstLine="420"/>
        <w:rPr>
          <w:color w:val="000000"/>
          <w:szCs w:val="21"/>
        </w:rPr>
      </w:pPr>
      <w:r w:rsidRPr="00641A84">
        <w:rPr>
          <w:rFonts w:hint="eastAsia"/>
          <w:color w:val="000000"/>
          <w:szCs w:val="21"/>
        </w:rPr>
        <w:t>根据市场</w:t>
      </w:r>
      <w:r w:rsidRPr="00641A84">
        <w:rPr>
          <w:color w:val="000000"/>
          <w:szCs w:val="21"/>
        </w:rPr>
        <w:t>环境变化</w:t>
      </w:r>
      <w:r w:rsidRPr="00641A84">
        <w:rPr>
          <w:rFonts w:hint="eastAsia"/>
          <w:color w:val="000000"/>
          <w:szCs w:val="21"/>
        </w:rPr>
        <w:t>，</w:t>
      </w:r>
      <w:r w:rsidRPr="00641A84">
        <w:rPr>
          <w:color w:val="000000"/>
          <w:szCs w:val="21"/>
        </w:rPr>
        <w:t>为维护基金份额持有人利益</w:t>
      </w:r>
      <w:r w:rsidRPr="00641A84">
        <w:rPr>
          <w:rFonts w:hint="eastAsia"/>
          <w:color w:val="000000"/>
          <w:szCs w:val="21"/>
        </w:rPr>
        <w:t>，</w:t>
      </w:r>
      <w:r w:rsidRPr="00641A84">
        <w:rPr>
          <w:color w:val="000000"/>
          <w:szCs w:val="21"/>
        </w:rPr>
        <w:t>基金管理人根据</w:t>
      </w:r>
      <w:r w:rsidRPr="00641A84">
        <w:rPr>
          <w:rFonts w:hint="eastAsia"/>
          <w:color w:val="000000"/>
          <w:szCs w:val="21"/>
        </w:rPr>
        <w:t>《中华人民共和国证券投资基金法》、《公开募集证券投资基金运作管理办法》和《基金合同》的有关规定，提议终止《基金合同》。本基金以通讯方式召开了基金份额持有人大会，审议《关于终止</w:t>
      </w:r>
      <w:r w:rsidR="00D30755" w:rsidRPr="00D30755">
        <w:rPr>
          <w:rFonts w:hint="eastAsia"/>
          <w:color w:val="000000"/>
          <w:szCs w:val="21"/>
        </w:rPr>
        <w:t>国泰上证</w:t>
      </w:r>
      <w:r w:rsidR="00D30755" w:rsidRPr="00D30755">
        <w:rPr>
          <w:color w:val="000000"/>
          <w:szCs w:val="21"/>
        </w:rPr>
        <w:t>5</w:t>
      </w:r>
      <w:r w:rsidR="00D30755" w:rsidRPr="00D30755">
        <w:rPr>
          <w:rFonts w:hint="eastAsia"/>
          <w:color w:val="000000"/>
          <w:szCs w:val="21"/>
        </w:rPr>
        <w:t>年期国债交易型开放式指数证券投资基金联接基金</w:t>
      </w:r>
      <w:r w:rsidRPr="00641A84">
        <w:rPr>
          <w:rFonts w:hint="eastAsia"/>
          <w:color w:val="000000"/>
          <w:szCs w:val="21"/>
        </w:rPr>
        <w:t>基金合同有关事项的议案》。会议投票表决时间为</w:t>
      </w:r>
      <w:r w:rsidRPr="00641A84">
        <w:rPr>
          <w:rFonts w:hint="eastAsia"/>
          <w:color w:val="000000"/>
          <w:szCs w:val="21"/>
        </w:rPr>
        <w:t>2018</w:t>
      </w:r>
      <w:r w:rsidRPr="00641A84">
        <w:rPr>
          <w:rFonts w:hint="eastAsia"/>
          <w:color w:val="000000"/>
          <w:szCs w:val="21"/>
        </w:rPr>
        <w:t>年</w:t>
      </w:r>
      <w:r>
        <w:rPr>
          <w:rFonts w:hint="eastAsia"/>
          <w:color w:val="000000"/>
          <w:szCs w:val="21"/>
        </w:rPr>
        <w:t>9</w:t>
      </w:r>
      <w:r w:rsidRPr="00641A84">
        <w:rPr>
          <w:rFonts w:hint="eastAsia"/>
          <w:color w:val="000000"/>
          <w:szCs w:val="21"/>
        </w:rPr>
        <w:t>月</w:t>
      </w:r>
      <w:r>
        <w:rPr>
          <w:rFonts w:hint="eastAsia"/>
          <w:color w:val="000000"/>
          <w:szCs w:val="21"/>
        </w:rPr>
        <w:t>1</w:t>
      </w:r>
      <w:r w:rsidRPr="00641A84">
        <w:rPr>
          <w:rFonts w:hint="eastAsia"/>
          <w:color w:val="000000"/>
          <w:szCs w:val="21"/>
        </w:rPr>
        <w:t>7</w:t>
      </w:r>
      <w:r w:rsidRPr="00641A84">
        <w:rPr>
          <w:rFonts w:hint="eastAsia"/>
          <w:color w:val="000000"/>
          <w:szCs w:val="21"/>
        </w:rPr>
        <w:t>日起至</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15</w:t>
      </w:r>
      <w:r w:rsidRPr="00641A84">
        <w:rPr>
          <w:rFonts w:hint="eastAsia"/>
          <w:color w:val="000000"/>
          <w:szCs w:val="21"/>
        </w:rPr>
        <w:t>日</w:t>
      </w:r>
      <w:r w:rsidRPr="00641A84">
        <w:rPr>
          <w:rFonts w:hint="eastAsia"/>
          <w:color w:val="000000"/>
          <w:szCs w:val="21"/>
        </w:rPr>
        <w:t>17:00</w:t>
      </w:r>
      <w:r w:rsidRPr="00641A84">
        <w:rPr>
          <w:rFonts w:hint="eastAsia"/>
          <w:color w:val="000000"/>
          <w:szCs w:val="21"/>
        </w:rPr>
        <w:t>止。本次会议议案于</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16</w:t>
      </w:r>
      <w:r w:rsidRPr="00641A84">
        <w:rPr>
          <w:rFonts w:hint="eastAsia"/>
          <w:color w:val="000000"/>
          <w:szCs w:val="21"/>
        </w:rPr>
        <w:t>日表决通过，自该日起本次基金份额持有人大会决议生效。基金管理人于</w:t>
      </w:r>
      <w:r w:rsidRPr="00641A84">
        <w:rPr>
          <w:rFonts w:hint="eastAsia"/>
          <w:color w:val="000000"/>
          <w:szCs w:val="21"/>
        </w:rPr>
        <w:t>2018</w:t>
      </w:r>
      <w:r w:rsidRPr="00641A84">
        <w:rPr>
          <w:rFonts w:hint="eastAsia"/>
          <w:color w:val="000000"/>
          <w:szCs w:val="21"/>
        </w:rPr>
        <w:t>年</w:t>
      </w:r>
      <w:r>
        <w:rPr>
          <w:rFonts w:hint="eastAsia"/>
          <w:color w:val="000000"/>
          <w:szCs w:val="21"/>
        </w:rPr>
        <w:t>10</w:t>
      </w:r>
      <w:r w:rsidRPr="00641A84">
        <w:rPr>
          <w:rFonts w:hint="eastAsia"/>
          <w:color w:val="000000"/>
          <w:szCs w:val="21"/>
        </w:rPr>
        <w:t>月</w:t>
      </w:r>
      <w:r>
        <w:rPr>
          <w:rFonts w:hint="eastAsia"/>
          <w:color w:val="000000"/>
          <w:szCs w:val="21"/>
        </w:rPr>
        <w:t>17</w:t>
      </w:r>
      <w:r w:rsidRPr="00641A84">
        <w:rPr>
          <w:rFonts w:hint="eastAsia"/>
          <w:color w:val="000000"/>
          <w:szCs w:val="21"/>
        </w:rPr>
        <w:t>日在《中国证券报》、《上海证券报》、《证券时报》和基金管理人网站刊登了《</w:t>
      </w:r>
      <w:r w:rsidR="00D30755" w:rsidRPr="00D30755">
        <w:rPr>
          <w:rFonts w:hint="eastAsia"/>
          <w:color w:val="000000"/>
          <w:szCs w:val="21"/>
        </w:rPr>
        <w:t>国泰上证</w:t>
      </w:r>
      <w:r w:rsidR="00D30755" w:rsidRPr="00D30755">
        <w:rPr>
          <w:color w:val="000000"/>
          <w:szCs w:val="21"/>
        </w:rPr>
        <w:t>5</w:t>
      </w:r>
      <w:r w:rsidR="00D30755" w:rsidRPr="00D30755">
        <w:rPr>
          <w:rFonts w:hint="eastAsia"/>
          <w:color w:val="000000"/>
          <w:szCs w:val="21"/>
        </w:rPr>
        <w:t>年期国债交易型开放式指数证券投资基金联接基金基金份额持有人大会表决结果暨决议生效的公告</w:t>
      </w:r>
      <w:r w:rsidRPr="00641A84">
        <w:rPr>
          <w:rFonts w:hint="eastAsia"/>
          <w:color w:val="000000"/>
          <w:szCs w:val="21"/>
        </w:rPr>
        <w:t>》</w:t>
      </w:r>
      <w:r>
        <w:rPr>
          <w:rFonts w:hint="eastAsia"/>
          <w:color w:val="000000"/>
          <w:szCs w:val="21"/>
        </w:rPr>
        <w:t>。依据生效的基金份额持有人大会决议</w:t>
      </w:r>
      <w:r w:rsidR="00C5494B" w:rsidRPr="00DF12D1">
        <w:rPr>
          <w:rFonts w:hint="eastAsia"/>
          <w:color w:val="000000"/>
          <w:szCs w:val="21"/>
        </w:rPr>
        <w:t>，本基金的最后运作日定为</w:t>
      </w:r>
      <w:r w:rsidR="00531C52">
        <w:rPr>
          <w:rFonts w:hint="eastAsia"/>
          <w:color w:val="000000"/>
          <w:szCs w:val="21"/>
        </w:rPr>
        <w:t>2018</w:t>
      </w:r>
      <w:r w:rsidR="00531C52">
        <w:rPr>
          <w:rFonts w:hint="eastAsia"/>
          <w:color w:val="000000"/>
          <w:szCs w:val="21"/>
        </w:rPr>
        <w:t>年</w:t>
      </w:r>
      <w:r w:rsidR="00531C52">
        <w:rPr>
          <w:rFonts w:hint="eastAsia"/>
          <w:color w:val="000000"/>
          <w:szCs w:val="21"/>
        </w:rPr>
        <w:t>10</w:t>
      </w:r>
      <w:r w:rsidR="00531C52">
        <w:rPr>
          <w:rFonts w:hint="eastAsia"/>
          <w:color w:val="000000"/>
          <w:szCs w:val="21"/>
        </w:rPr>
        <w:t>月</w:t>
      </w:r>
      <w:r w:rsidR="00531C52">
        <w:rPr>
          <w:rFonts w:hint="eastAsia"/>
          <w:color w:val="000000"/>
          <w:szCs w:val="21"/>
        </w:rPr>
        <w:t>16</w:t>
      </w:r>
      <w:r w:rsidR="00531C52">
        <w:rPr>
          <w:rFonts w:hint="eastAsia"/>
          <w:color w:val="000000"/>
          <w:szCs w:val="21"/>
        </w:rPr>
        <w:t>日</w:t>
      </w:r>
      <w:r w:rsidR="00C5494B" w:rsidRPr="00DF12D1">
        <w:rPr>
          <w:rFonts w:hint="eastAsia"/>
          <w:color w:val="000000"/>
          <w:szCs w:val="21"/>
        </w:rPr>
        <w:t>，并</w:t>
      </w:r>
      <w:r w:rsidR="00C5494B" w:rsidRPr="00DF12D1">
        <w:rPr>
          <w:color w:val="000000"/>
          <w:szCs w:val="21"/>
        </w:rPr>
        <w:t>于</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17</w:t>
      </w:r>
      <w:r w:rsidR="00531C52">
        <w:rPr>
          <w:color w:val="000000"/>
          <w:szCs w:val="21"/>
        </w:rPr>
        <w:t>日</w:t>
      </w:r>
      <w:r w:rsidR="00C5494B" w:rsidRPr="00DF12D1">
        <w:rPr>
          <w:color w:val="000000"/>
          <w:szCs w:val="21"/>
        </w:rPr>
        <w:t>进入财产清算期</w:t>
      </w:r>
      <w:r w:rsidR="00C5494B" w:rsidRPr="00DF12D1">
        <w:rPr>
          <w:rFonts w:hint="eastAsia"/>
          <w:color w:val="000000"/>
          <w:szCs w:val="21"/>
        </w:rPr>
        <w:t>。</w:t>
      </w:r>
    </w:p>
    <w:p w:rsidR="00796025" w:rsidRPr="006C06BB" w:rsidRDefault="00796025" w:rsidP="00796025">
      <w:pPr>
        <w:spacing w:line="360" w:lineRule="auto"/>
        <w:ind w:firstLineChars="200" w:firstLine="420"/>
        <w:rPr>
          <w:szCs w:val="21"/>
        </w:rPr>
      </w:pPr>
      <w:r w:rsidRPr="006F14B8">
        <w:rPr>
          <w:rFonts w:hint="eastAsia"/>
          <w:color w:val="000000"/>
          <w:szCs w:val="21"/>
        </w:rPr>
        <w:t>本基金清算期为</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17</w:t>
      </w:r>
      <w:r w:rsidR="00531C52">
        <w:rPr>
          <w:color w:val="000000"/>
          <w:szCs w:val="21"/>
        </w:rPr>
        <w:t>日</w:t>
      </w:r>
      <w:r w:rsidRPr="006F14B8">
        <w:rPr>
          <w:rFonts w:hint="eastAsia"/>
          <w:color w:val="000000"/>
          <w:szCs w:val="21"/>
        </w:rPr>
        <w:t>到</w:t>
      </w:r>
      <w:r w:rsidR="00531C52">
        <w:rPr>
          <w:color w:val="000000"/>
          <w:szCs w:val="21"/>
        </w:rPr>
        <w:t>2018</w:t>
      </w:r>
      <w:r w:rsidR="00531C52">
        <w:rPr>
          <w:color w:val="000000"/>
          <w:szCs w:val="21"/>
        </w:rPr>
        <w:t>年</w:t>
      </w:r>
      <w:r w:rsidR="00531C52">
        <w:rPr>
          <w:color w:val="000000"/>
          <w:szCs w:val="21"/>
        </w:rPr>
        <w:t>11</w:t>
      </w:r>
      <w:r w:rsidR="00531C52">
        <w:rPr>
          <w:color w:val="000000"/>
          <w:szCs w:val="21"/>
        </w:rPr>
        <w:t>月</w:t>
      </w:r>
      <w:r w:rsidR="00531C52">
        <w:rPr>
          <w:color w:val="000000"/>
          <w:szCs w:val="21"/>
        </w:rPr>
        <w:t>8</w:t>
      </w:r>
      <w:r w:rsidR="00531C52">
        <w:rPr>
          <w:color w:val="000000"/>
          <w:szCs w:val="21"/>
        </w:rPr>
        <w:t>日</w:t>
      </w:r>
      <w:r w:rsidRPr="006F14B8">
        <w:rPr>
          <w:rFonts w:hint="eastAsia"/>
          <w:color w:val="000000"/>
          <w:szCs w:val="21"/>
        </w:rPr>
        <w:t>。由基金管理人国泰基金管理有限公司、基金托管人</w:t>
      </w:r>
      <w:r w:rsidR="00531C52">
        <w:rPr>
          <w:rFonts w:hint="eastAsia"/>
          <w:color w:val="000000"/>
          <w:szCs w:val="21"/>
        </w:rPr>
        <w:t>中国建设银行股份有限公司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sidR="00531C52">
        <w:rPr>
          <w:color w:val="000000" w:themeColor="text1"/>
          <w:szCs w:val="21"/>
        </w:rPr>
        <w:t>2018</w:t>
      </w:r>
      <w:r w:rsidR="00531C52">
        <w:rPr>
          <w:color w:val="000000" w:themeColor="text1"/>
          <w:szCs w:val="21"/>
        </w:rPr>
        <w:t>年</w:t>
      </w:r>
      <w:r w:rsidR="00531C52">
        <w:rPr>
          <w:color w:val="000000" w:themeColor="text1"/>
          <w:szCs w:val="21"/>
        </w:rPr>
        <w:t>10</w:t>
      </w:r>
      <w:r w:rsidR="00531C52">
        <w:rPr>
          <w:color w:val="000000" w:themeColor="text1"/>
          <w:szCs w:val="21"/>
        </w:rPr>
        <w:t>月</w:t>
      </w:r>
      <w:r w:rsidR="00531C52">
        <w:rPr>
          <w:color w:val="000000" w:themeColor="text1"/>
          <w:szCs w:val="21"/>
        </w:rPr>
        <w:t>17</w:t>
      </w:r>
      <w:r w:rsidR="00531C52">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135DDD" w:rsidRPr="001A2767" w:rsidRDefault="004D1916" w:rsidP="00135DDD">
      <w:pPr>
        <w:pStyle w:val="20"/>
        <w:spacing w:before="0" w:after="0"/>
        <w:rPr>
          <w:rFonts w:ascii="Times New Roman" w:hAnsi="Times New Roman"/>
          <w:color w:val="000000" w:themeColor="text1"/>
          <w:kern w:val="0"/>
          <w:sz w:val="21"/>
          <w:szCs w:val="21"/>
        </w:rPr>
      </w:pPr>
      <w:bookmarkStart w:id="27" w:name="_Toc529469807"/>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 xml:space="preserve">2 </w:t>
      </w:r>
      <w:r w:rsidR="00135DDD" w:rsidRPr="001A2767">
        <w:rPr>
          <w:rFonts w:ascii="Times New Roman" w:hAnsi="Times New Roman" w:hint="eastAsia"/>
          <w:color w:val="000000" w:themeColor="text1"/>
          <w:kern w:val="0"/>
          <w:sz w:val="21"/>
          <w:szCs w:val="21"/>
        </w:rPr>
        <w:t>清算原因</w:t>
      </w:r>
      <w:bookmarkEnd w:id="27"/>
    </w:p>
    <w:p w:rsidR="00501355" w:rsidRDefault="009871CD" w:rsidP="00F26111">
      <w:pPr>
        <w:spacing w:line="360" w:lineRule="auto"/>
        <w:ind w:firstLineChars="200" w:firstLine="420"/>
        <w:rPr>
          <w:color w:val="000000"/>
          <w:szCs w:val="21"/>
        </w:rPr>
      </w:pPr>
      <w:r w:rsidRPr="00DC3D91">
        <w:rPr>
          <w:color w:val="000000"/>
          <w:szCs w:val="21"/>
        </w:rPr>
        <w:t>本基金基金份额持有人大会审议通过《</w:t>
      </w:r>
      <w:r w:rsidR="009B395A" w:rsidRPr="009B395A">
        <w:rPr>
          <w:rFonts w:hint="eastAsia"/>
          <w:color w:val="000000"/>
          <w:szCs w:val="21"/>
        </w:rPr>
        <w:t>关于终止国泰上证</w:t>
      </w:r>
      <w:r w:rsidR="009B395A" w:rsidRPr="009B395A">
        <w:rPr>
          <w:rFonts w:hint="eastAsia"/>
          <w:color w:val="000000"/>
          <w:szCs w:val="21"/>
        </w:rPr>
        <w:t>5</w:t>
      </w:r>
      <w:r w:rsidR="009B395A" w:rsidRPr="009B395A">
        <w:rPr>
          <w:rFonts w:hint="eastAsia"/>
          <w:color w:val="000000"/>
          <w:szCs w:val="21"/>
        </w:rPr>
        <w:t>年期国债交易型开放式指数证券投资基金联接基金基金合同有关事项的议案</w:t>
      </w:r>
      <w:r w:rsidRPr="00DC3D91">
        <w:rPr>
          <w:color w:val="000000"/>
          <w:szCs w:val="21"/>
        </w:rPr>
        <w:t>》。</w:t>
      </w:r>
    </w:p>
    <w:p w:rsidR="00135DDD" w:rsidRPr="00C825CB" w:rsidRDefault="00501355" w:rsidP="001A2767">
      <w:pPr>
        <w:pStyle w:val="20"/>
        <w:spacing w:before="0" w:after="0"/>
        <w:rPr>
          <w:rFonts w:ascii="Times New Roman" w:hAnsi="Times New Roman"/>
          <w:kern w:val="0"/>
          <w:sz w:val="21"/>
          <w:szCs w:val="21"/>
        </w:rPr>
      </w:pPr>
      <w:bookmarkStart w:id="28" w:name="_Toc529469808"/>
      <w:r>
        <w:rPr>
          <w:rFonts w:ascii="Times New Roman" w:hAnsi="Times New Roman" w:hint="eastAsia"/>
          <w:kern w:val="0"/>
          <w:sz w:val="21"/>
          <w:szCs w:val="21"/>
        </w:rPr>
        <w:t>4</w:t>
      </w:r>
      <w:r w:rsidRPr="00C825CB">
        <w:rPr>
          <w:rFonts w:ascii="Times New Roman" w:hAnsi="Times New Roman"/>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清算起始日</w:t>
      </w:r>
      <w:bookmarkEnd w:id="28"/>
    </w:p>
    <w:p w:rsidR="00135DDD" w:rsidRPr="006F14B8" w:rsidRDefault="00DD18F6" w:rsidP="00C825CB">
      <w:pPr>
        <w:tabs>
          <w:tab w:val="left" w:pos="2265"/>
        </w:tabs>
        <w:spacing w:line="360" w:lineRule="auto"/>
        <w:ind w:firstLineChars="200" w:firstLine="420"/>
        <w:rPr>
          <w:color w:val="000000"/>
          <w:szCs w:val="21"/>
        </w:rPr>
      </w:pPr>
      <w:r>
        <w:rPr>
          <w:rFonts w:hint="eastAsia"/>
          <w:color w:val="000000"/>
          <w:szCs w:val="21"/>
        </w:rPr>
        <w:t>根据</w:t>
      </w:r>
      <w:r w:rsidR="00037B23">
        <w:rPr>
          <w:color w:val="000000"/>
          <w:szCs w:val="21"/>
        </w:rPr>
        <w:t>基金管理人</w:t>
      </w:r>
      <w:r w:rsidR="00037B23" w:rsidRPr="00DF12D1">
        <w:rPr>
          <w:rFonts w:hint="eastAsia"/>
          <w:color w:val="000000"/>
          <w:szCs w:val="21"/>
        </w:rPr>
        <w:t>发布的《</w:t>
      </w:r>
      <w:r w:rsidR="005F3447" w:rsidRPr="00B2518D">
        <w:rPr>
          <w:rFonts w:hint="eastAsia"/>
          <w:color w:val="000000"/>
          <w:szCs w:val="21"/>
        </w:rPr>
        <w:t>国泰上证</w:t>
      </w:r>
      <w:r w:rsidR="005F3447" w:rsidRPr="00B2518D">
        <w:rPr>
          <w:rFonts w:hint="eastAsia"/>
          <w:color w:val="000000"/>
          <w:szCs w:val="21"/>
        </w:rPr>
        <w:t>5</w:t>
      </w:r>
      <w:r w:rsidR="005F3447" w:rsidRPr="00B2518D">
        <w:rPr>
          <w:rFonts w:hint="eastAsia"/>
          <w:color w:val="000000"/>
          <w:szCs w:val="21"/>
        </w:rPr>
        <w:t>年期国债交易型开放式指数证券投资基金联接基金基金份额持有人大会表决结果暨决议生效的公告</w:t>
      </w:r>
      <w:r w:rsidR="00037B23" w:rsidRPr="00DF12D1">
        <w:rPr>
          <w:rFonts w:hint="eastAsia"/>
          <w:color w:val="000000"/>
          <w:szCs w:val="21"/>
        </w:rPr>
        <w:t>》</w:t>
      </w:r>
      <w:r>
        <w:rPr>
          <w:rFonts w:hint="eastAsia"/>
          <w:color w:val="000000"/>
          <w:szCs w:val="21"/>
        </w:rPr>
        <w:t>，本基金于</w:t>
      </w:r>
      <w:r w:rsidR="00531C52">
        <w:rPr>
          <w:rFonts w:hint="eastAsia"/>
          <w:color w:val="000000"/>
          <w:szCs w:val="21"/>
        </w:rPr>
        <w:t>2018</w:t>
      </w:r>
      <w:r w:rsidR="00531C52">
        <w:rPr>
          <w:rFonts w:hint="eastAsia"/>
          <w:color w:val="000000"/>
          <w:szCs w:val="21"/>
        </w:rPr>
        <w:t>年</w:t>
      </w:r>
      <w:r w:rsidR="00531C52">
        <w:rPr>
          <w:rFonts w:hint="eastAsia"/>
          <w:color w:val="000000"/>
          <w:szCs w:val="21"/>
        </w:rPr>
        <w:t>10</w:t>
      </w:r>
      <w:r w:rsidR="00531C52">
        <w:rPr>
          <w:rFonts w:hint="eastAsia"/>
          <w:color w:val="000000"/>
          <w:szCs w:val="21"/>
        </w:rPr>
        <w:t>月</w:t>
      </w:r>
      <w:r w:rsidR="00531C52">
        <w:rPr>
          <w:rFonts w:hint="eastAsia"/>
          <w:color w:val="000000"/>
          <w:szCs w:val="21"/>
        </w:rPr>
        <w:t>17</w:t>
      </w:r>
      <w:r w:rsidR="00531C52">
        <w:rPr>
          <w:rFonts w:hint="eastAsia"/>
          <w:color w:val="000000"/>
          <w:szCs w:val="21"/>
        </w:rPr>
        <w:t>日</w:t>
      </w:r>
      <w:r>
        <w:rPr>
          <w:rFonts w:hint="eastAsia"/>
          <w:color w:val="000000"/>
          <w:szCs w:val="21"/>
        </w:rPr>
        <w:t>起进入清算期</w:t>
      </w:r>
      <w:r w:rsidR="0079184A">
        <w:rPr>
          <w:rFonts w:hint="eastAsia"/>
          <w:color w:val="000000"/>
          <w:szCs w:val="21"/>
        </w:rPr>
        <w:t>。</w:t>
      </w:r>
      <w:r>
        <w:rPr>
          <w:rFonts w:hint="eastAsia"/>
          <w:color w:val="000000"/>
          <w:szCs w:val="21"/>
        </w:rPr>
        <w:t>清算期为</w:t>
      </w:r>
      <w:r w:rsidR="00531C52">
        <w:rPr>
          <w:rFonts w:hint="eastAsia"/>
          <w:color w:val="000000"/>
          <w:szCs w:val="21"/>
        </w:rPr>
        <w:t>2018</w:t>
      </w:r>
      <w:r w:rsidR="00531C52">
        <w:rPr>
          <w:rFonts w:hint="eastAsia"/>
          <w:color w:val="000000"/>
          <w:szCs w:val="21"/>
        </w:rPr>
        <w:t>年</w:t>
      </w:r>
      <w:r w:rsidR="00531C52">
        <w:rPr>
          <w:rFonts w:hint="eastAsia"/>
          <w:color w:val="000000"/>
          <w:szCs w:val="21"/>
        </w:rPr>
        <w:t>10</w:t>
      </w:r>
      <w:r w:rsidR="00531C52">
        <w:rPr>
          <w:rFonts w:hint="eastAsia"/>
          <w:color w:val="000000"/>
          <w:szCs w:val="21"/>
        </w:rPr>
        <w:t>月</w:t>
      </w:r>
      <w:r w:rsidR="00531C52">
        <w:rPr>
          <w:rFonts w:hint="eastAsia"/>
          <w:color w:val="000000"/>
          <w:szCs w:val="21"/>
        </w:rPr>
        <w:t>17</w:t>
      </w:r>
      <w:r w:rsidR="00531C52">
        <w:rPr>
          <w:rFonts w:hint="eastAsia"/>
          <w:color w:val="000000"/>
          <w:szCs w:val="21"/>
        </w:rPr>
        <w:t>日</w:t>
      </w:r>
      <w:r w:rsidRPr="00E41C38">
        <w:rPr>
          <w:rFonts w:hint="eastAsia"/>
          <w:color w:val="000000"/>
          <w:szCs w:val="21"/>
        </w:rPr>
        <w:t>至</w:t>
      </w:r>
      <w:r w:rsidR="00531C52">
        <w:rPr>
          <w:color w:val="000000"/>
          <w:szCs w:val="21"/>
        </w:rPr>
        <w:t>2018</w:t>
      </w:r>
      <w:r w:rsidR="00531C52">
        <w:rPr>
          <w:color w:val="000000"/>
          <w:szCs w:val="21"/>
        </w:rPr>
        <w:t>年</w:t>
      </w:r>
      <w:r w:rsidR="00531C52">
        <w:rPr>
          <w:color w:val="000000"/>
          <w:szCs w:val="21"/>
        </w:rPr>
        <w:t>11</w:t>
      </w:r>
      <w:r w:rsidR="00531C52">
        <w:rPr>
          <w:color w:val="000000"/>
          <w:szCs w:val="21"/>
        </w:rPr>
        <w:t>月</w:t>
      </w:r>
      <w:r w:rsidR="00531C52">
        <w:rPr>
          <w:color w:val="000000"/>
          <w:szCs w:val="21"/>
        </w:rPr>
        <w:t>8</w:t>
      </w:r>
      <w:r w:rsidR="00531C52">
        <w:rPr>
          <w:color w:val="000000"/>
          <w:szCs w:val="21"/>
        </w:rPr>
        <w:t>日</w:t>
      </w:r>
      <w:r w:rsidR="002B0877" w:rsidRPr="002B0877">
        <w:rPr>
          <w:rFonts w:hint="eastAsia"/>
          <w:color w:val="000000"/>
          <w:szCs w:val="21"/>
        </w:rPr>
        <w:t>。</w:t>
      </w:r>
    </w:p>
    <w:p w:rsidR="00C825CB" w:rsidRPr="006F14B8" w:rsidRDefault="004D1916" w:rsidP="004D1916">
      <w:pPr>
        <w:pStyle w:val="20"/>
        <w:spacing w:before="0" w:after="0"/>
        <w:rPr>
          <w:rFonts w:ascii="Times New Roman" w:hAnsi="Times New Roman"/>
          <w:kern w:val="0"/>
          <w:sz w:val="21"/>
          <w:szCs w:val="21"/>
        </w:rPr>
      </w:pPr>
      <w:bookmarkStart w:id="29" w:name="_Toc529469809"/>
      <w:r w:rsidRPr="006F14B8">
        <w:rPr>
          <w:rFonts w:ascii="Times New Roman" w:hAnsi="Times New Roman" w:hint="eastAsia"/>
          <w:kern w:val="0"/>
          <w:sz w:val="21"/>
          <w:szCs w:val="21"/>
        </w:rPr>
        <w:t>4</w:t>
      </w:r>
      <w:r w:rsidR="00BE362C" w:rsidRPr="006F14B8">
        <w:rPr>
          <w:rFonts w:ascii="Times New Roman" w:hAnsi="Times New Roman"/>
          <w:kern w:val="0"/>
          <w:sz w:val="21"/>
          <w:szCs w:val="21"/>
        </w:rPr>
        <w:t>.</w:t>
      </w:r>
      <w:r w:rsidR="00747D31" w:rsidRPr="006F14B8">
        <w:rPr>
          <w:rFonts w:ascii="Times New Roman" w:hAnsi="Times New Roman"/>
          <w:kern w:val="0"/>
          <w:sz w:val="21"/>
          <w:szCs w:val="21"/>
        </w:rPr>
        <w:t>4</w:t>
      </w:r>
      <w:r w:rsidR="00BE362C" w:rsidRPr="006F14B8">
        <w:rPr>
          <w:rFonts w:ascii="Times New Roman" w:hAnsi="Times New Roman" w:hint="eastAsia"/>
          <w:kern w:val="0"/>
          <w:sz w:val="21"/>
          <w:szCs w:val="21"/>
        </w:rPr>
        <w:t>清算报表编制基础</w:t>
      </w:r>
      <w:bookmarkEnd w:id="29"/>
    </w:p>
    <w:p w:rsidR="00DD18F6" w:rsidRPr="006F14B8"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657EB0" w:rsidRPr="006F14B8" w:rsidRDefault="004D1916" w:rsidP="00641421">
      <w:pPr>
        <w:pStyle w:val="1"/>
        <w:keepNext/>
        <w:keepLines/>
        <w:widowControl w:val="0"/>
        <w:spacing w:beforeLines="100" w:afterLines="100" w:line="360" w:lineRule="auto"/>
        <w:jc w:val="center"/>
        <w:rPr>
          <w:b/>
          <w:bCs/>
          <w:sz w:val="21"/>
          <w:szCs w:val="21"/>
          <w:lang w:val="en-US"/>
        </w:rPr>
      </w:pPr>
      <w:bookmarkStart w:id="30" w:name="_Toc529469810"/>
      <w:r w:rsidRPr="006F14B8">
        <w:rPr>
          <w:rFonts w:hint="eastAsia"/>
          <w:b/>
          <w:kern w:val="2"/>
          <w:sz w:val="21"/>
          <w:szCs w:val="24"/>
          <w:lang w:val="en-US"/>
        </w:rPr>
        <w:t>5</w:t>
      </w:r>
      <w:r w:rsidR="00657EB0" w:rsidRPr="006F14B8">
        <w:rPr>
          <w:rFonts w:hint="eastAsia"/>
          <w:b/>
          <w:bCs/>
          <w:sz w:val="21"/>
          <w:szCs w:val="21"/>
          <w:lang w:val="en-US"/>
        </w:rPr>
        <w:t>清算情况</w:t>
      </w:r>
      <w:bookmarkEnd w:id="30"/>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531C52">
        <w:rPr>
          <w:rFonts w:hint="eastAsia"/>
          <w:color w:val="000000"/>
          <w:szCs w:val="21"/>
        </w:rPr>
        <w:t>2018</w:t>
      </w:r>
      <w:r w:rsidR="00531C52">
        <w:rPr>
          <w:rFonts w:hint="eastAsia"/>
          <w:color w:val="000000"/>
          <w:szCs w:val="21"/>
        </w:rPr>
        <w:t>年</w:t>
      </w:r>
      <w:r w:rsidR="00531C52">
        <w:rPr>
          <w:rFonts w:hint="eastAsia"/>
          <w:color w:val="000000"/>
          <w:szCs w:val="21"/>
        </w:rPr>
        <w:t>10</w:t>
      </w:r>
      <w:r w:rsidR="00531C52">
        <w:rPr>
          <w:rFonts w:hint="eastAsia"/>
          <w:color w:val="000000"/>
          <w:szCs w:val="21"/>
        </w:rPr>
        <w:t>月</w:t>
      </w:r>
      <w:r w:rsidR="00531C52">
        <w:rPr>
          <w:rFonts w:hint="eastAsia"/>
          <w:color w:val="000000"/>
          <w:szCs w:val="21"/>
        </w:rPr>
        <w:t>17</w:t>
      </w:r>
      <w:r w:rsidR="00531C52">
        <w:rPr>
          <w:rFonts w:hint="eastAsia"/>
          <w:color w:val="000000"/>
          <w:szCs w:val="21"/>
        </w:rPr>
        <w:t>日</w:t>
      </w:r>
      <w:r w:rsidRPr="006F14B8">
        <w:rPr>
          <w:rFonts w:hint="eastAsia"/>
          <w:color w:val="000000"/>
          <w:szCs w:val="21"/>
        </w:rPr>
        <w:t>至</w:t>
      </w:r>
      <w:r w:rsidR="00531C52">
        <w:rPr>
          <w:color w:val="000000"/>
          <w:szCs w:val="21"/>
        </w:rPr>
        <w:t>2018</w:t>
      </w:r>
      <w:r w:rsidR="00531C52">
        <w:rPr>
          <w:color w:val="000000"/>
          <w:szCs w:val="21"/>
        </w:rPr>
        <w:t>年</w:t>
      </w:r>
      <w:r w:rsidR="00531C52">
        <w:rPr>
          <w:color w:val="000000"/>
          <w:szCs w:val="21"/>
        </w:rPr>
        <w:t>11</w:t>
      </w:r>
      <w:r w:rsidR="00531C52">
        <w:rPr>
          <w:color w:val="000000"/>
          <w:szCs w:val="21"/>
        </w:rPr>
        <w:t>月</w:t>
      </w:r>
      <w:r w:rsidR="00531C52">
        <w:rPr>
          <w:color w:val="000000"/>
          <w:szCs w:val="21"/>
        </w:rPr>
        <w:t>8</w:t>
      </w:r>
      <w:r w:rsidR="00531C52">
        <w:rPr>
          <w:color w:val="000000"/>
          <w:szCs w:val="21"/>
        </w:rPr>
        <w:t>日</w:t>
      </w:r>
      <w:r w:rsidRPr="006F14B8">
        <w:rPr>
          <w:rFonts w:hint="eastAsia"/>
          <w:color w:val="000000"/>
          <w:szCs w:val="21"/>
        </w:rPr>
        <w:t>清算期间，基金财产清算小组对本基金的资产、负债进行清算，全部清算工作按清算原则和清算手续进行。具体清算情况如下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31" w:name="_Toc529469811"/>
      <w:r>
        <w:rPr>
          <w:rFonts w:ascii="Times New Roman" w:hAnsi="Times New Roman" w:hint="eastAsia"/>
          <w:kern w:val="0"/>
          <w:sz w:val="21"/>
          <w:szCs w:val="21"/>
        </w:rPr>
        <w:t>5</w:t>
      </w:r>
      <w:r w:rsidR="00DD18F6" w:rsidRPr="00EE3859">
        <w:rPr>
          <w:rFonts w:ascii="Times New Roman" w:hAnsi="Times New Roman"/>
          <w:kern w:val="0"/>
          <w:sz w:val="21"/>
          <w:szCs w:val="21"/>
        </w:rPr>
        <w:t>.</w:t>
      </w:r>
      <w:r w:rsidR="00DD18F6" w:rsidRPr="00776F4F">
        <w:rPr>
          <w:rFonts w:ascii="Times New Roman" w:hAnsi="Times New Roman"/>
          <w:color w:val="000000" w:themeColor="text1"/>
          <w:kern w:val="0"/>
          <w:sz w:val="21"/>
          <w:szCs w:val="21"/>
        </w:rPr>
        <w:t xml:space="preserve">1 </w:t>
      </w:r>
      <w:r w:rsidR="00DD18F6" w:rsidRPr="00776F4F">
        <w:rPr>
          <w:rFonts w:ascii="Times New Roman" w:hAnsi="Times New Roman" w:hint="eastAsia"/>
          <w:color w:val="000000" w:themeColor="text1"/>
          <w:kern w:val="0"/>
          <w:sz w:val="21"/>
          <w:szCs w:val="21"/>
        </w:rPr>
        <w:t>清算费用</w:t>
      </w:r>
      <w:bookmarkEnd w:id="31"/>
    </w:p>
    <w:p w:rsidR="00F26111" w:rsidRDefault="00F26111" w:rsidP="00F26111">
      <w:pPr>
        <w:pStyle w:val="a0"/>
        <w:spacing w:line="360" w:lineRule="auto"/>
      </w:pPr>
      <w:r>
        <w:t>按照</w:t>
      </w:r>
      <w:r>
        <w:rPr>
          <w:rFonts w:hint="eastAsia"/>
        </w:rPr>
        <w:t>《</w:t>
      </w:r>
      <w:r w:rsidR="00531C52">
        <w:t>国泰上证</w:t>
      </w:r>
      <w:r w:rsidR="00531C52">
        <w:t>5</w:t>
      </w:r>
      <w:r w:rsidR="00531C52">
        <w:t>年期国债交易型开放式指数证券投资基金联接基金</w:t>
      </w:r>
      <w:r>
        <w:rPr>
          <w:rFonts w:hint="eastAsia"/>
        </w:rPr>
        <w:t>基金合同》</w:t>
      </w:r>
      <w:r w:rsidR="00993717">
        <w:rPr>
          <w:rFonts w:hint="eastAsia"/>
        </w:rPr>
        <w:t>“十九、</w:t>
      </w:r>
      <w:r>
        <w:rPr>
          <w:rFonts w:hint="eastAsia"/>
        </w:rPr>
        <w:t>基金合同的变更、终止与基金财产的清算”的规定，清算费用是指基金财产清算小组在进行基金清算过程中发生的所有合理费用，清算费用由基金财产清算小组优先从基金财产中支付。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考虑到本基金清算的实际情况，从保护基金份额持有人利益的角度出发，本基金的清算费用由基金管理人代为支付。</w:t>
      </w:r>
    </w:p>
    <w:p w:rsidR="00DD18F6" w:rsidRDefault="004D1916" w:rsidP="00657EB0">
      <w:pPr>
        <w:pStyle w:val="20"/>
        <w:spacing w:before="0" w:after="0"/>
        <w:rPr>
          <w:rFonts w:ascii="Times New Roman" w:hAnsi="Times New Roman"/>
          <w:kern w:val="0"/>
          <w:sz w:val="21"/>
          <w:szCs w:val="21"/>
        </w:rPr>
      </w:pPr>
      <w:bookmarkStart w:id="32" w:name="_Toc529469812"/>
      <w:r>
        <w:rPr>
          <w:rFonts w:ascii="Times New Roman" w:hAnsi="Times New Roman" w:hint="eastAsia"/>
          <w:kern w:val="0"/>
          <w:sz w:val="21"/>
          <w:szCs w:val="21"/>
        </w:rPr>
        <w:t>5</w:t>
      </w:r>
      <w:r w:rsidR="00657EB0" w:rsidRPr="00D42BE5">
        <w:rPr>
          <w:rFonts w:ascii="Times New Roman" w:hAnsi="Times New Roman"/>
          <w:kern w:val="0"/>
          <w:sz w:val="21"/>
          <w:szCs w:val="21"/>
        </w:rPr>
        <w:t>.</w:t>
      </w:r>
      <w:r w:rsidR="00DD18F6">
        <w:rPr>
          <w:rFonts w:ascii="Times New Roman" w:hAnsi="Times New Roman" w:hint="eastAsia"/>
          <w:kern w:val="0"/>
          <w:sz w:val="21"/>
          <w:szCs w:val="21"/>
        </w:rPr>
        <w:t>2</w:t>
      </w:r>
      <w:r w:rsidR="00DD18F6">
        <w:rPr>
          <w:rFonts w:ascii="Times New Roman" w:hAnsi="Times New Roman" w:hint="eastAsia"/>
          <w:kern w:val="0"/>
          <w:sz w:val="21"/>
          <w:szCs w:val="21"/>
        </w:rPr>
        <w:t>资产处置情况</w:t>
      </w:r>
      <w:bookmarkEnd w:id="32"/>
    </w:p>
    <w:p w:rsidR="00DA46DB" w:rsidRDefault="00124419" w:rsidP="005F15DB">
      <w:pPr>
        <w:pStyle w:val="a0"/>
        <w:spacing w:line="360" w:lineRule="auto"/>
      </w:pPr>
      <w:r w:rsidRPr="006F14B8">
        <w:rPr>
          <w:rFonts w:hint="eastAsia"/>
        </w:rPr>
        <w:t>（</w:t>
      </w:r>
      <w:r w:rsidRPr="006F14B8">
        <w:rPr>
          <w:rFonts w:hint="eastAsia"/>
        </w:rPr>
        <w:t>1</w:t>
      </w:r>
      <w:r w:rsidRPr="006F14B8">
        <w:rPr>
          <w:rFonts w:hint="eastAsia"/>
        </w:rPr>
        <w:t>）本基金最后运作日</w:t>
      </w:r>
      <w:r>
        <w:rPr>
          <w:rFonts w:hint="eastAsia"/>
        </w:rPr>
        <w:t>活期存款</w:t>
      </w:r>
      <w:r w:rsidRPr="006F14B8">
        <w:rPr>
          <w:rFonts w:hint="eastAsia"/>
        </w:rPr>
        <w:t>人民币</w:t>
      </w:r>
      <w:r w:rsidR="00A9150F" w:rsidRPr="00A9150F">
        <w:t>15</w:t>
      </w:r>
      <w:r w:rsidR="00551880">
        <w:rPr>
          <w:rFonts w:hint="eastAsia"/>
        </w:rPr>
        <w:t>,</w:t>
      </w:r>
      <w:r w:rsidR="00A9150F" w:rsidRPr="00A9150F">
        <w:t>218.19</w:t>
      </w:r>
      <w:r w:rsidRPr="006F14B8">
        <w:rPr>
          <w:rFonts w:hint="eastAsia"/>
        </w:rPr>
        <w:t>元</w:t>
      </w:r>
      <w:r>
        <w:rPr>
          <w:rFonts w:hint="eastAsia"/>
        </w:rPr>
        <w:t>，截</w:t>
      </w:r>
      <w:r w:rsidR="000271F5">
        <w:rPr>
          <w:rFonts w:hint="eastAsia"/>
        </w:rPr>
        <w:t>至</w:t>
      </w:r>
      <w:r>
        <w:rPr>
          <w:rFonts w:hint="eastAsia"/>
        </w:rPr>
        <w:t>清算</w:t>
      </w:r>
      <w:r w:rsidR="009B5707">
        <w:t>结束</w:t>
      </w:r>
      <w:r>
        <w:rPr>
          <w:rFonts w:hint="eastAsia"/>
        </w:rPr>
        <w:t>日</w:t>
      </w:r>
      <w:r w:rsidR="00531C52">
        <w:rPr>
          <w:rFonts w:hint="eastAsia"/>
        </w:rPr>
        <w:t>2018</w:t>
      </w:r>
      <w:r w:rsidR="00531C52">
        <w:rPr>
          <w:rFonts w:hint="eastAsia"/>
        </w:rPr>
        <w:t>年</w:t>
      </w:r>
      <w:r w:rsidR="00531C52">
        <w:rPr>
          <w:rFonts w:hint="eastAsia"/>
        </w:rPr>
        <w:t>11</w:t>
      </w:r>
      <w:r w:rsidR="00531C52">
        <w:rPr>
          <w:rFonts w:hint="eastAsia"/>
        </w:rPr>
        <w:t>月</w:t>
      </w:r>
      <w:r w:rsidR="00531C52">
        <w:rPr>
          <w:rFonts w:hint="eastAsia"/>
        </w:rPr>
        <w:t>8</w:t>
      </w:r>
      <w:r w:rsidR="00531C52">
        <w:rPr>
          <w:rFonts w:hint="eastAsia"/>
        </w:rPr>
        <w:t>日</w:t>
      </w:r>
      <w:r>
        <w:rPr>
          <w:rFonts w:hint="eastAsia"/>
        </w:rPr>
        <w:t>余额为</w:t>
      </w:r>
      <w:r w:rsidR="00551880" w:rsidRPr="00551880">
        <w:t>8</w:t>
      </w:r>
      <w:r w:rsidR="00551880">
        <w:rPr>
          <w:rFonts w:hint="eastAsia"/>
        </w:rPr>
        <w:t>,</w:t>
      </w:r>
      <w:r w:rsidR="00416EDE">
        <w:rPr>
          <w:rFonts w:hint="eastAsia"/>
        </w:rPr>
        <w:t>317</w:t>
      </w:r>
      <w:r w:rsidR="00551880">
        <w:rPr>
          <w:rFonts w:hint="eastAsia"/>
        </w:rPr>
        <w:t>,</w:t>
      </w:r>
      <w:r w:rsidR="00551880" w:rsidRPr="00551880">
        <w:t>358.27</w:t>
      </w:r>
      <w:r>
        <w:rPr>
          <w:rFonts w:hint="eastAsia"/>
        </w:rPr>
        <w:t>元</w:t>
      </w:r>
      <w:r w:rsidR="00EB0A5E">
        <w:rPr>
          <w:rFonts w:hint="eastAsia"/>
        </w:rPr>
        <w:t>，</w:t>
      </w:r>
      <w:r w:rsidR="00BB3148">
        <w:rPr>
          <w:rFonts w:hint="eastAsia"/>
        </w:rPr>
        <w:t>其中包括</w:t>
      </w:r>
      <w:r w:rsidR="00C03217">
        <w:rPr>
          <w:rFonts w:hint="eastAsia"/>
        </w:rPr>
        <w:t>基金</w:t>
      </w:r>
      <w:r w:rsidR="00EB0A5E">
        <w:rPr>
          <w:rFonts w:hint="eastAsia"/>
        </w:rPr>
        <w:t>管理人于</w:t>
      </w:r>
      <w:r w:rsidR="00551880">
        <w:rPr>
          <w:rFonts w:hint="eastAsia"/>
        </w:rPr>
        <w:t>2018</w:t>
      </w:r>
      <w:r w:rsidR="00551880">
        <w:rPr>
          <w:rFonts w:hint="eastAsia"/>
        </w:rPr>
        <w:t>年</w:t>
      </w:r>
      <w:r w:rsidR="00551880">
        <w:rPr>
          <w:rFonts w:hint="eastAsia"/>
        </w:rPr>
        <w:t>11</w:t>
      </w:r>
      <w:r w:rsidR="00EB0A5E">
        <w:rPr>
          <w:rFonts w:hint="eastAsia"/>
        </w:rPr>
        <w:t>月</w:t>
      </w:r>
      <w:r w:rsidR="00551880">
        <w:rPr>
          <w:rFonts w:hint="eastAsia"/>
        </w:rPr>
        <w:t>2</w:t>
      </w:r>
      <w:r w:rsidR="00EB0A5E">
        <w:rPr>
          <w:rFonts w:hint="eastAsia"/>
        </w:rPr>
        <w:t>日划入</w:t>
      </w:r>
      <w:r w:rsidR="00BB3148">
        <w:rPr>
          <w:rFonts w:hint="eastAsia"/>
        </w:rPr>
        <w:t>的</w:t>
      </w:r>
      <w:r w:rsidR="00EB0A5E">
        <w:rPr>
          <w:rFonts w:hint="eastAsia"/>
        </w:rPr>
        <w:t>垫付资金</w:t>
      </w:r>
      <w:r w:rsidR="00551880">
        <w:rPr>
          <w:rFonts w:hint="eastAsia"/>
        </w:rPr>
        <w:t>30</w:t>
      </w:r>
      <w:r w:rsidR="00492C34">
        <w:rPr>
          <w:rFonts w:hint="eastAsia"/>
        </w:rPr>
        <w:t>,</w:t>
      </w:r>
      <w:r w:rsidR="003A292F">
        <w:rPr>
          <w:rFonts w:hint="eastAsia"/>
        </w:rPr>
        <w:t>0</w:t>
      </w:r>
      <w:r w:rsidR="003A292F" w:rsidRPr="00EB0A5E">
        <w:t>00</w:t>
      </w:r>
      <w:r w:rsidR="00EB0A5E">
        <w:rPr>
          <w:rFonts w:hint="eastAsia"/>
        </w:rPr>
        <w:t>.00</w:t>
      </w:r>
      <w:r w:rsidR="00EB0A5E">
        <w:rPr>
          <w:rFonts w:hint="eastAsia"/>
        </w:rPr>
        <w:t>元</w:t>
      </w:r>
      <w:r w:rsidR="00645BCD" w:rsidRPr="00645BCD">
        <w:rPr>
          <w:rFonts w:hint="eastAsia"/>
        </w:rPr>
        <w:t>。</w:t>
      </w:r>
    </w:p>
    <w:p w:rsidR="003A292F" w:rsidRPr="003A292F" w:rsidRDefault="003A292F">
      <w:pPr>
        <w:pStyle w:val="a0"/>
        <w:spacing w:line="360" w:lineRule="auto"/>
      </w:pPr>
      <w:r w:rsidRPr="00645BCD">
        <w:rPr>
          <w:rFonts w:hint="eastAsia"/>
        </w:rPr>
        <w:t>（</w:t>
      </w:r>
      <w:r w:rsidRPr="00645BCD">
        <w:t>2</w:t>
      </w:r>
      <w:r w:rsidRPr="00645BCD">
        <w:rPr>
          <w:rFonts w:hint="eastAsia"/>
        </w:rPr>
        <w:t>）本基金最后运作日</w:t>
      </w:r>
      <w:r>
        <w:rPr>
          <w:rFonts w:hint="eastAsia"/>
        </w:rPr>
        <w:t>结算备付金</w:t>
      </w:r>
      <w:r w:rsidRPr="00645BCD">
        <w:rPr>
          <w:rFonts w:hint="eastAsia"/>
        </w:rPr>
        <w:t>人民币</w:t>
      </w:r>
      <w:r w:rsidR="00A9150F" w:rsidRPr="00A9150F">
        <w:t>2</w:t>
      </w:r>
      <w:r w:rsidR="00551880">
        <w:rPr>
          <w:rFonts w:hint="eastAsia"/>
        </w:rPr>
        <w:t>,</w:t>
      </w:r>
      <w:r w:rsidR="00A9150F" w:rsidRPr="00A9150F">
        <w:t>105.42</w:t>
      </w:r>
      <w:r w:rsidRPr="00645BCD">
        <w:rPr>
          <w:rFonts w:hint="eastAsia"/>
        </w:rPr>
        <w:t>元，已于</w:t>
      </w:r>
      <w:r w:rsidR="00E07E56" w:rsidRPr="00645BCD">
        <w:t>2018</w:t>
      </w:r>
      <w:r w:rsidR="00E07E56" w:rsidRPr="00645BCD">
        <w:rPr>
          <w:rFonts w:hint="eastAsia"/>
        </w:rPr>
        <w:t>年</w:t>
      </w:r>
      <w:r w:rsidR="00E07E56">
        <w:rPr>
          <w:rFonts w:hint="eastAsia"/>
        </w:rPr>
        <w:t>11</w:t>
      </w:r>
      <w:r w:rsidRPr="00645BCD">
        <w:rPr>
          <w:rFonts w:hint="eastAsia"/>
        </w:rPr>
        <w:t>月</w:t>
      </w:r>
      <w:r w:rsidR="00E07E56">
        <w:rPr>
          <w:rFonts w:hint="eastAsia"/>
        </w:rPr>
        <w:t>2</w:t>
      </w:r>
      <w:r w:rsidRPr="00645BCD">
        <w:rPr>
          <w:rFonts w:hint="eastAsia"/>
        </w:rPr>
        <w:t>日全部划回托管户</w:t>
      </w:r>
      <w:r w:rsidRPr="006F14B8">
        <w:rPr>
          <w:rFonts w:hint="eastAsia"/>
        </w:rPr>
        <w:t>。</w:t>
      </w:r>
    </w:p>
    <w:p w:rsidR="00DA46DB" w:rsidRDefault="00645BCD">
      <w:pPr>
        <w:pStyle w:val="a0"/>
        <w:spacing w:line="360" w:lineRule="auto"/>
      </w:pPr>
      <w:r w:rsidRPr="00645BCD">
        <w:rPr>
          <w:rFonts w:hint="eastAsia"/>
        </w:rPr>
        <w:t>（</w:t>
      </w:r>
      <w:r w:rsidR="007E027D">
        <w:rPr>
          <w:rFonts w:hint="eastAsia"/>
        </w:rPr>
        <w:t>3</w:t>
      </w:r>
      <w:r w:rsidRPr="00645BCD">
        <w:rPr>
          <w:rFonts w:hint="eastAsia"/>
        </w:rPr>
        <w:t>）本基金最后运作日存出保证金人民币</w:t>
      </w:r>
      <w:r w:rsidR="00A9150F" w:rsidRPr="00A9150F">
        <w:t>1</w:t>
      </w:r>
      <w:r w:rsidR="00551880">
        <w:rPr>
          <w:rFonts w:hint="eastAsia"/>
        </w:rPr>
        <w:t>,</w:t>
      </w:r>
      <w:r w:rsidR="00A9150F" w:rsidRPr="00A9150F">
        <w:t>947.37</w:t>
      </w:r>
      <w:r w:rsidRPr="00645BCD">
        <w:rPr>
          <w:rFonts w:hint="eastAsia"/>
        </w:rPr>
        <w:t>元，</w:t>
      </w:r>
      <w:r w:rsidR="00E07E56">
        <w:rPr>
          <w:rFonts w:hint="eastAsia"/>
        </w:rPr>
        <w:t>截</w:t>
      </w:r>
      <w:r w:rsidR="000271F5">
        <w:rPr>
          <w:rFonts w:hint="eastAsia"/>
        </w:rPr>
        <w:t>至</w:t>
      </w:r>
      <w:r w:rsidR="00E07E56">
        <w:rPr>
          <w:rFonts w:hint="eastAsia"/>
        </w:rPr>
        <w:t>清算</w:t>
      </w:r>
      <w:r w:rsidR="00E07E56">
        <w:t>结束</w:t>
      </w:r>
      <w:r w:rsidR="00E07E56">
        <w:rPr>
          <w:rFonts w:hint="eastAsia"/>
        </w:rPr>
        <w:t>日</w:t>
      </w:r>
      <w:r w:rsidR="00E07E56">
        <w:rPr>
          <w:rFonts w:hint="eastAsia"/>
        </w:rPr>
        <w:t>2018</w:t>
      </w:r>
      <w:r w:rsidR="00E07E56">
        <w:rPr>
          <w:rFonts w:hint="eastAsia"/>
        </w:rPr>
        <w:t>年</w:t>
      </w:r>
      <w:r w:rsidR="00E07E56">
        <w:rPr>
          <w:rFonts w:hint="eastAsia"/>
        </w:rPr>
        <w:t>11</w:t>
      </w:r>
      <w:r w:rsidR="00E07E56">
        <w:rPr>
          <w:rFonts w:hint="eastAsia"/>
        </w:rPr>
        <w:t>月</w:t>
      </w:r>
      <w:r w:rsidR="00E07E56">
        <w:rPr>
          <w:rFonts w:hint="eastAsia"/>
        </w:rPr>
        <w:t>8</w:t>
      </w:r>
      <w:r w:rsidR="00E07E56">
        <w:rPr>
          <w:rFonts w:hint="eastAsia"/>
        </w:rPr>
        <w:t>日余额为</w:t>
      </w:r>
      <w:r w:rsidR="00E07E56" w:rsidRPr="00E07E56">
        <w:t>3</w:t>
      </w:r>
      <w:r w:rsidR="00E07E56">
        <w:rPr>
          <w:rFonts w:hint="eastAsia"/>
        </w:rPr>
        <w:t>,</w:t>
      </w:r>
      <w:r w:rsidR="00E07E56" w:rsidRPr="00E07E56">
        <w:t>617.42</w:t>
      </w:r>
      <w:r w:rsidR="00E07E56">
        <w:rPr>
          <w:rFonts w:hint="eastAsia"/>
        </w:rPr>
        <w:t>元</w:t>
      </w:r>
      <w:r w:rsidR="00E07E56" w:rsidRPr="00645BCD">
        <w:rPr>
          <w:rFonts w:hint="eastAsia"/>
        </w:rPr>
        <w:t>。</w:t>
      </w:r>
    </w:p>
    <w:p w:rsidR="00DA46DB" w:rsidRDefault="00645BCD">
      <w:pPr>
        <w:pStyle w:val="a0"/>
        <w:spacing w:line="360" w:lineRule="auto"/>
      </w:pPr>
      <w:r w:rsidRPr="00645BCD">
        <w:rPr>
          <w:rFonts w:hint="eastAsia"/>
        </w:rPr>
        <w:t>（</w:t>
      </w:r>
      <w:r w:rsidR="007E027D">
        <w:rPr>
          <w:rFonts w:hint="eastAsia"/>
        </w:rPr>
        <w:t>4</w:t>
      </w:r>
      <w:r w:rsidRPr="00645BCD">
        <w:rPr>
          <w:rFonts w:hint="eastAsia"/>
        </w:rPr>
        <w:t>）本基金最后运作日应收利息人民币</w:t>
      </w:r>
      <w:r w:rsidR="00A9150F" w:rsidRPr="00A9150F">
        <w:t>12</w:t>
      </w:r>
      <w:r w:rsidR="00551880">
        <w:rPr>
          <w:rFonts w:hint="eastAsia"/>
        </w:rPr>
        <w:t>,</w:t>
      </w:r>
      <w:r w:rsidR="00A9150F" w:rsidRPr="00A9150F">
        <w:t>166.72</w:t>
      </w:r>
      <w:r w:rsidRPr="00645BCD">
        <w:rPr>
          <w:rFonts w:hint="eastAsia"/>
        </w:rPr>
        <w:t>元。</w:t>
      </w:r>
      <w:r w:rsidR="00751ABE">
        <w:rPr>
          <w:rFonts w:hint="eastAsia"/>
        </w:rPr>
        <w:t>其中银行存款、结算备付金和保证金利息为</w:t>
      </w:r>
      <w:r w:rsidR="00FF4AAB">
        <w:rPr>
          <w:rFonts w:hint="eastAsia"/>
        </w:rPr>
        <w:t>1,116</w:t>
      </w:r>
      <w:r w:rsidR="00751ABE">
        <w:rPr>
          <w:rFonts w:hint="eastAsia"/>
        </w:rPr>
        <w:t>.</w:t>
      </w:r>
      <w:r w:rsidR="00FF4AAB">
        <w:rPr>
          <w:rFonts w:hint="eastAsia"/>
        </w:rPr>
        <w:t>69</w:t>
      </w:r>
      <w:r w:rsidR="00751ABE">
        <w:rPr>
          <w:rFonts w:hint="eastAsia"/>
        </w:rPr>
        <w:t>元</w:t>
      </w:r>
      <w:r w:rsidR="00E07E56" w:rsidRPr="00645BCD">
        <w:rPr>
          <w:rFonts w:hint="eastAsia"/>
        </w:rPr>
        <w:t>，</w:t>
      </w:r>
      <w:r w:rsidR="00E07E56">
        <w:rPr>
          <w:rFonts w:hint="eastAsia"/>
        </w:rPr>
        <w:t>截</w:t>
      </w:r>
      <w:r w:rsidR="000271F5">
        <w:rPr>
          <w:rFonts w:hint="eastAsia"/>
        </w:rPr>
        <w:t>至</w:t>
      </w:r>
      <w:r w:rsidR="00E07E56">
        <w:rPr>
          <w:rFonts w:hint="eastAsia"/>
        </w:rPr>
        <w:t>清算</w:t>
      </w:r>
      <w:r w:rsidR="00E07E56">
        <w:t>结束</w:t>
      </w:r>
      <w:r w:rsidR="00E07E56">
        <w:rPr>
          <w:rFonts w:hint="eastAsia"/>
        </w:rPr>
        <w:t>日</w:t>
      </w:r>
      <w:r w:rsidR="00E07E56">
        <w:rPr>
          <w:rFonts w:hint="eastAsia"/>
        </w:rPr>
        <w:t>2018</w:t>
      </w:r>
      <w:r w:rsidR="00E07E56">
        <w:rPr>
          <w:rFonts w:hint="eastAsia"/>
        </w:rPr>
        <w:t>年</w:t>
      </w:r>
      <w:r w:rsidR="00E07E56">
        <w:rPr>
          <w:rFonts w:hint="eastAsia"/>
        </w:rPr>
        <w:t>11</w:t>
      </w:r>
      <w:r w:rsidR="00E07E56">
        <w:rPr>
          <w:rFonts w:hint="eastAsia"/>
        </w:rPr>
        <w:t>月</w:t>
      </w:r>
      <w:r w:rsidR="00E07E56">
        <w:rPr>
          <w:rFonts w:hint="eastAsia"/>
        </w:rPr>
        <w:t>8</w:t>
      </w:r>
      <w:r w:rsidR="00E07E56">
        <w:rPr>
          <w:rFonts w:hint="eastAsia"/>
        </w:rPr>
        <w:t>日余额为</w:t>
      </w:r>
      <w:r w:rsidR="00E07E56" w:rsidRPr="00E07E56">
        <w:t>3</w:t>
      </w:r>
      <w:r w:rsidR="00E07E56">
        <w:rPr>
          <w:rFonts w:hint="eastAsia"/>
        </w:rPr>
        <w:t>,</w:t>
      </w:r>
      <w:r w:rsidR="00E07E56" w:rsidRPr="00E07E56">
        <w:t>050.13</w:t>
      </w:r>
      <w:r w:rsidR="00E07E56">
        <w:rPr>
          <w:rFonts w:hint="eastAsia"/>
        </w:rPr>
        <w:t>元</w:t>
      </w:r>
      <w:r w:rsidR="006B3308">
        <w:rPr>
          <w:rFonts w:hint="eastAsia"/>
        </w:rPr>
        <w:t>；</w:t>
      </w:r>
      <w:r w:rsidR="00751ABE">
        <w:rPr>
          <w:rFonts w:hint="eastAsia"/>
        </w:rPr>
        <w:t>应收债券利息</w:t>
      </w:r>
      <w:r w:rsidR="00FF4AAB" w:rsidRPr="00FF4AAB">
        <w:t>11</w:t>
      </w:r>
      <w:r w:rsidR="00FF4AAB">
        <w:rPr>
          <w:rFonts w:hint="eastAsia"/>
        </w:rPr>
        <w:t>,</w:t>
      </w:r>
      <w:r w:rsidR="00FF4AAB" w:rsidRPr="00FF4AAB">
        <w:t>050.03</w:t>
      </w:r>
      <w:r w:rsidR="00751ABE">
        <w:rPr>
          <w:rFonts w:hint="eastAsia"/>
        </w:rPr>
        <w:t>元，已于债券卖出时变现</w:t>
      </w:r>
      <w:r w:rsidR="00825013" w:rsidRPr="00825013">
        <w:rPr>
          <w:rFonts w:hint="eastAsia"/>
        </w:rPr>
        <w:t>。</w:t>
      </w:r>
    </w:p>
    <w:p w:rsidR="00A15FEB" w:rsidRDefault="00936591">
      <w:pPr>
        <w:pStyle w:val="a0"/>
        <w:spacing w:line="360" w:lineRule="auto"/>
      </w:pPr>
      <w:r>
        <w:rPr>
          <w:rFonts w:hint="eastAsia"/>
        </w:rPr>
        <w:t>（</w:t>
      </w:r>
      <w:r w:rsidR="007E027D">
        <w:rPr>
          <w:rFonts w:hint="eastAsia"/>
        </w:rPr>
        <w:t>5</w:t>
      </w:r>
      <w:r w:rsidR="009A6E2D">
        <w:rPr>
          <w:rFonts w:hint="eastAsia"/>
        </w:rPr>
        <w:t>）</w:t>
      </w:r>
      <w:r>
        <w:rPr>
          <w:rFonts w:hint="eastAsia"/>
        </w:rPr>
        <w:t>本基金最后运作日持有交易性金融资产人民币</w:t>
      </w:r>
      <w:r w:rsidR="00825013" w:rsidRPr="00825013">
        <w:t>8,453,329.34</w:t>
      </w:r>
      <w:r>
        <w:rPr>
          <w:rFonts w:hint="eastAsia"/>
        </w:rPr>
        <w:t>元，此交易性金融资产已于</w:t>
      </w:r>
      <w:r w:rsidR="00960FA8">
        <w:rPr>
          <w:rFonts w:hint="eastAsia"/>
        </w:rPr>
        <w:t>2018</w:t>
      </w:r>
      <w:r w:rsidR="00960FA8">
        <w:rPr>
          <w:rFonts w:hint="eastAsia"/>
        </w:rPr>
        <w:t>年</w:t>
      </w:r>
      <w:r w:rsidR="00960FA8">
        <w:rPr>
          <w:rFonts w:hint="eastAsia"/>
        </w:rPr>
        <w:t>10</w:t>
      </w:r>
      <w:r>
        <w:rPr>
          <w:rFonts w:hint="eastAsia"/>
        </w:rPr>
        <w:t>月</w:t>
      </w:r>
      <w:r w:rsidR="00960FA8">
        <w:rPr>
          <w:rFonts w:hint="eastAsia"/>
        </w:rPr>
        <w:t>31</w:t>
      </w:r>
      <w:r>
        <w:rPr>
          <w:rFonts w:hint="eastAsia"/>
        </w:rPr>
        <w:t>日前变现结束，资金已划入托管账户。</w:t>
      </w:r>
    </w:p>
    <w:p w:rsidR="00DD18F6" w:rsidRPr="006F14B8" w:rsidRDefault="004D1916" w:rsidP="00DD18F6">
      <w:pPr>
        <w:pStyle w:val="20"/>
        <w:spacing w:before="0" w:after="0"/>
        <w:rPr>
          <w:rFonts w:ascii="Times New Roman" w:hAnsi="Times New Roman"/>
          <w:kern w:val="0"/>
          <w:sz w:val="21"/>
          <w:szCs w:val="21"/>
        </w:rPr>
      </w:pPr>
      <w:bookmarkStart w:id="33" w:name="_Toc529469813"/>
      <w:r>
        <w:rPr>
          <w:rFonts w:ascii="Times New Roman" w:hAnsi="Times New Roman" w:hint="eastAsia"/>
          <w:kern w:val="0"/>
          <w:sz w:val="21"/>
          <w:szCs w:val="21"/>
        </w:rPr>
        <w:t>5</w:t>
      </w:r>
      <w:r w:rsidR="00DD18F6" w:rsidRPr="00D42BE5">
        <w:rPr>
          <w:rFonts w:ascii="Times New Roman" w:hAnsi="Times New Roman"/>
          <w:kern w:val="0"/>
          <w:sz w:val="21"/>
          <w:szCs w:val="21"/>
        </w:rPr>
        <w:t>.</w:t>
      </w:r>
      <w:r w:rsidR="00DD18F6">
        <w:rPr>
          <w:rFonts w:ascii="Times New Roman" w:hAnsi="Times New Roman" w:hint="eastAsia"/>
          <w:kern w:val="0"/>
          <w:sz w:val="21"/>
          <w:szCs w:val="21"/>
        </w:rPr>
        <w:t>3</w:t>
      </w:r>
      <w:r w:rsidR="00DD18F6" w:rsidRPr="006F14B8">
        <w:rPr>
          <w:rFonts w:ascii="Times New Roman" w:hAnsi="Times New Roman" w:hint="eastAsia"/>
          <w:kern w:val="0"/>
          <w:sz w:val="21"/>
          <w:szCs w:val="21"/>
        </w:rPr>
        <w:t>负债清偿情况</w:t>
      </w:r>
      <w:bookmarkEnd w:id="33"/>
    </w:p>
    <w:p w:rsidR="002149A1" w:rsidRDefault="00124419" w:rsidP="00273069">
      <w:pPr>
        <w:pStyle w:val="a0"/>
        <w:spacing w:line="360" w:lineRule="auto"/>
      </w:pPr>
      <w:r w:rsidRPr="006F14B8">
        <w:rPr>
          <w:rFonts w:hint="eastAsia"/>
        </w:rPr>
        <w:t>（</w:t>
      </w:r>
      <w:r w:rsidRPr="006F14B8">
        <w:rPr>
          <w:rFonts w:hint="eastAsia"/>
        </w:rPr>
        <w:t>1</w:t>
      </w:r>
      <w:r w:rsidRPr="006F14B8">
        <w:rPr>
          <w:rFonts w:hint="eastAsia"/>
        </w:rPr>
        <w:t>）本基金最后运作日应付赎回款</w:t>
      </w:r>
      <w:r w:rsidR="002C429C">
        <w:rPr>
          <w:rFonts w:hint="eastAsia"/>
        </w:rPr>
        <w:t>为</w:t>
      </w:r>
      <w:r w:rsidRPr="006F14B8">
        <w:rPr>
          <w:rFonts w:hint="eastAsia"/>
        </w:rPr>
        <w:t>人民币</w:t>
      </w:r>
      <w:r w:rsidR="00A9150F" w:rsidRPr="00A9150F">
        <w:t>173</w:t>
      </w:r>
      <w:r w:rsidR="00551880">
        <w:rPr>
          <w:rFonts w:hint="eastAsia"/>
        </w:rPr>
        <w:t>,</w:t>
      </w:r>
      <w:r w:rsidR="00A9150F" w:rsidRPr="00A9150F">
        <w:t>906.69</w:t>
      </w:r>
      <w:r w:rsidRPr="006F14B8">
        <w:rPr>
          <w:rFonts w:hint="eastAsia"/>
        </w:rPr>
        <w:t>元，该款项已于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10</w:t>
      </w:r>
      <w:r w:rsidR="009762F3" w:rsidRPr="006F14B8">
        <w:rPr>
          <w:rFonts w:hint="eastAsia"/>
        </w:rPr>
        <w:t>月</w:t>
      </w:r>
      <w:r w:rsidR="00D8736B">
        <w:rPr>
          <w:rFonts w:hint="eastAsia"/>
        </w:rPr>
        <w:t>18</w:t>
      </w:r>
      <w:r w:rsidR="009762F3">
        <w:rPr>
          <w:rFonts w:hint="eastAsia"/>
        </w:rPr>
        <w:t>日</w:t>
      </w:r>
      <w:r w:rsidR="0033483F">
        <w:rPr>
          <w:rFonts w:hint="eastAsia"/>
        </w:rPr>
        <w:t>支付完毕</w:t>
      </w:r>
      <w:r w:rsidRPr="006F14B8">
        <w:rPr>
          <w:rFonts w:hint="eastAsia"/>
        </w:rPr>
        <w:t>。</w:t>
      </w:r>
    </w:p>
    <w:p w:rsidR="0033483F" w:rsidRDefault="002C429C" w:rsidP="00273069">
      <w:pPr>
        <w:pStyle w:val="a0"/>
        <w:spacing w:line="360" w:lineRule="auto"/>
      </w:pPr>
      <w:r w:rsidRPr="006F14B8">
        <w:rPr>
          <w:rFonts w:hint="eastAsia"/>
        </w:rPr>
        <w:t>（</w:t>
      </w:r>
      <w:r>
        <w:rPr>
          <w:rFonts w:hint="eastAsia"/>
        </w:rPr>
        <w:t>2</w:t>
      </w:r>
      <w:r w:rsidRPr="006F14B8">
        <w:rPr>
          <w:rFonts w:hint="eastAsia"/>
        </w:rPr>
        <w:t>）本基金最后运作日应付赎回</w:t>
      </w:r>
      <w:r>
        <w:rPr>
          <w:rFonts w:hint="eastAsia"/>
        </w:rPr>
        <w:t>费为</w:t>
      </w:r>
      <w:r w:rsidRPr="006F14B8">
        <w:rPr>
          <w:rFonts w:hint="eastAsia"/>
        </w:rPr>
        <w:t>人民币</w:t>
      </w:r>
      <w:r w:rsidR="00A9150F" w:rsidRPr="00A9150F">
        <w:t>22.47</w:t>
      </w:r>
      <w:r w:rsidRPr="006F14B8">
        <w:rPr>
          <w:rFonts w:hint="eastAsia"/>
        </w:rPr>
        <w:t>元，</w:t>
      </w:r>
      <w:r w:rsidR="009762F3" w:rsidRPr="006F14B8">
        <w:rPr>
          <w:rFonts w:hint="eastAsia"/>
        </w:rPr>
        <w:t>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10</w:t>
      </w:r>
      <w:r w:rsidR="009762F3" w:rsidRPr="006F14B8">
        <w:rPr>
          <w:rFonts w:hint="eastAsia"/>
        </w:rPr>
        <w:t>月</w:t>
      </w:r>
      <w:r w:rsidR="00D8736B">
        <w:rPr>
          <w:rFonts w:hint="eastAsia"/>
        </w:rPr>
        <w:t>18</w:t>
      </w:r>
      <w:r w:rsidR="009762F3">
        <w:rPr>
          <w:rFonts w:hint="eastAsia"/>
        </w:rPr>
        <w:t>日支付完毕</w:t>
      </w:r>
      <w:r w:rsidR="009762F3" w:rsidRPr="006F14B8">
        <w:rPr>
          <w:rFonts w:hint="eastAsia"/>
        </w:rPr>
        <w:t>。</w:t>
      </w:r>
    </w:p>
    <w:p w:rsidR="002149A1" w:rsidRDefault="00124419" w:rsidP="00273069">
      <w:pPr>
        <w:pStyle w:val="a0"/>
        <w:spacing w:line="360" w:lineRule="auto"/>
      </w:pPr>
      <w:r w:rsidRPr="006F14B8">
        <w:rPr>
          <w:rFonts w:hint="eastAsia"/>
        </w:rPr>
        <w:t>（</w:t>
      </w:r>
      <w:r w:rsidR="002C429C">
        <w:rPr>
          <w:rFonts w:hint="eastAsia"/>
        </w:rPr>
        <w:t>3</w:t>
      </w:r>
      <w:r w:rsidRPr="006F14B8">
        <w:rPr>
          <w:rFonts w:hint="eastAsia"/>
        </w:rPr>
        <w:t>）本基金最后运作日应付管理</w:t>
      </w:r>
      <w:r w:rsidR="00BE45B6">
        <w:rPr>
          <w:rFonts w:hint="eastAsia"/>
        </w:rPr>
        <w:t>费</w:t>
      </w:r>
      <w:r w:rsidRPr="006F14B8">
        <w:rPr>
          <w:rFonts w:hint="eastAsia"/>
        </w:rPr>
        <w:t>为人民币</w:t>
      </w:r>
      <w:r w:rsidR="00A9150F" w:rsidRPr="00A9150F">
        <w:t>76.09</w:t>
      </w:r>
      <w:r w:rsidRPr="006F14B8">
        <w:rPr>
          <w:rFonts w:hint="eastAsia"/>
        </w:rPr>
        <w:t>元，该款项已于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11</w:t>
      </w:r>
      <w:r w:rsidRPr="006F14B8">
        <w:rPr>
          <w:rFonts w:hint="eastAsia"/>
        </w:rPr>
        <w:t>月</w:t>
      </w:r>
      <w:r w:rsidR="0055635F">
        <w:rPr>
          <w:rFonts w:hint="eastAsia"/>
        </w:rPr>
        <w:t>5</w:t>
      </w:r>
      <w:r w:rsidRPr="006F14B8">
        <w:rPr>
          <w:rFonts w:hint="eastAsia"/>
        </w:rPr>
        <w:t>日支付。</w:t>
      </w:r>
    </w:p>
    <w:p w:rsidR="002149A1" w:rsidRDefault="00124419" w:rsidP="00273069">
      <w:pPr>
        <w:pStyle w:val="a0"/>
        <w:spacing w:line="360" w:lineRule="auto"/>
      </w:pPr>
      <w:r w:rsidRPr="006F14B8">
        <w:rPr>
          <w:rFonts w:hint="eastAsia"/>
        </w:rPr>
        <w:t>（</w:t>
      </w:r>
      <w:r w:rsidR="002C429C">
        <w:rPr>
          <w:rFonts w:hint="eastAsia"/>
        </w:rPr>
        <w:t>4</w:t>
      </w:r>
      <w:r w:rsidRPr="006F14B8">
        <w:rPr>
          <w:rFonts w:hint="eastAsia"/>
        </w:rPr>
        <w:t>）本基金最后运作日应付托管费</w:t>
      </w:r>
      <w:r w:rsidR="002C429C">
        <w:rPr>
          <w:rFonts w:hint="eastAsia"/>
        </w:rPr>
        <w:t>为</w:t>
      </w:r>
      <w:r w:rsidRPr="006F14B8">
        <w:rPr>
          <w:rFonts w:hint="eastAsia"/>
        </w:rPr>
        <w:t>人民币</w:t>
      </w:r>
      <w:r w:rsidR="00A9150F" w:rsidRPr="00A9150F">
        <w:t>25.32</w:t>
      </w:r>
      <w:r w:rsidRPr="006F14B8">
        <w:rPr>
          <w:rFonts w:hint="eastAsia"/>
        </w:rPr>
        <w:t>元，</w:t>
      </w:r>
      <w:r w:rsidR="0055635F" w:rsidRPr="006F14B8">
        <w:rPr>
          <w:rFonts w:hint="eastAsia"/>
        </w:rPr>
        <w:t>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11</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2149A1" w:rsidRDefault="00124419" w:rsidP="00273069">
      <w:pPr>
        <w:pStyle w:val="a0"/>
        <w:spacing w:line="360" w:lineRule="auto"/>
      </w:pPr>
      <w:r>
        <w:rPr>
          <w:rFonts w:hint="eastAsia"/>
        </w:rPr>
        <w:t>（</w:t>
      </w:r>
      <w:r w:rsidR="002C429C">
        <w:rPr>
          <w:rFonts w:hint="eastAsia"/>
        </w:rPr>
        <w:t>5</w:t>
      </w:r>
      <w:r>
        <w:rPr>
          <w:rFonts w:hint="eastAsia"/>
        </w:rPr>
        <w:t>）</w:t>
      </w:r>
      <w:r w:rsidRPr="006F14B8">
        <w:rPr>
          <w:rFonts w:hint="eastAsia"/>
        </w:rPr>
        <w:t>本基金最后运作日应付</w:t>
      </w:r>
      <w:r>
        <w:rPr>
          <w:rFonts w:hint="eastAsia"/>
        </w:rPr>
        <w:t>销售服务费</w:t>
      </w:r>
      <w:r w:rsidR="002C429C">
        <w:rPr>
          <w:rFonts w:hint="eastAsia"/>
        </w:rPr>
        <w:t>为</w:t>
      </w:r>
      <w:r w:rsidRPr="006F14B8">
        <w:rPr>
          <w:rFonts w:hint="eastAsia"/>
        </w:rPr>
        <w:t>人民币</w:t>
      </w:r>
      <w:r w:rsidR="00A9150F" w:rsidRPr="00A9150F">
        <w:t>462.29</w:t>
      </w:r>
      <w:r w:rsidRPr="006F14B8">
        <w:rPr>
          <w:rFonts w:hint="eastAsia"/>
        </w:rPr>
        <w:t>元，</w:t>
      </w:r>
      <w:r w:rsidR="0055635F" w:rsidRPr="006F14B8">
        <w:rPr>
          <w:rFonts w:hint="eastAsia"/>
        </w:rPr>
        <w:t>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11</w:t>
      </w:r>
      <w:r w:rsidR="0055635F" w:rsidRPr="006F14B8">
        <w:rPr>
          <w:rFonts w:hint="eastAsia"/>
        </w:rPr>
        <w:t>月</w:t>
      </w:r>
      <w:r w:rsidR="0055635F">
        <w:rPr>
          <w:rFonts w:hint="eastAsia"/>
        </w:rPr>
        <w:t>5</w:t>
      </w:r>
      <w:r w:rsidR="0055635F" w:rsidRPr="006F14B8">
        <w:rPr>
          <w:rFonts w:hint="eastAsia"/>
        </w:rPr>
        <w:t>日支付</w:t>
      </w:r>
      <w:r w:rsidRPr="006F14B8">
        <w:rPr>
          <w:rFonts w:hint="eastAsia"/>
        </w:rPr>
        <w:t>。</w:t>
      </w:r>
    </w:p>
    <w:p w:rsidR="003054D8" w:rsidRDefault="003054D8" w:rsidP="00273069">
      <w:pPr>
        <w:pStyle w:val="a0"/>
        <w:spacing w:line="360" w:lineRule="auto"/>
      </w:pPr>
      <w:r>
        <w:rPr>
          <w:rFonts w:hint="eastAsia"/>
        </w:rPr>
        <w:t>（</w:t>
      </w:r>
      <w:r w:rsidR="00A9150F">
        <w:rPr>
          <w:rFonts w:hint="eastAsia"/>
        </w:rPr>
        <w:t>6</w:t>
      </w:r>
      <w:r>
        <w:rPr>
          <w:rFonts w:hint="eastAsia"/>
        </w:rPr>
        <w:t>）</w:t>
      </w:r>
      <w:r w:rsidRPr="006F14B8">
        <w:rPr>
          <w:rFonts w:hint="eastAsia"/>
        </w:rPr>
        <w:t>本基金最后运作日</w:t>
      </w:r>
      <w:r>
        <w:rPr>
          <w:rFonts w:hint="eastAsia"/>
        </w:rPr>
        <w:t>应交税费为</w:t>
      </w:r>
      <w:r w:rsidRPr="006F14B8">
        <w:rPr>
          <w:rFonts w:hint="eastAsia"/>
        </w:rPr>
        <w:t>人民币</w:t>
      </w:r>
      <w:r w:rsidR="00A9150F" w:rsidRPr="00A9150F">
        <w:t>175.59</w:t>
      </w:r>
      <w:r w:rsidRPr="006F14B8">
        <w:rPr>
          <w:rFonts w:hint="eastAsia"/>
        </w:rPr>
        <w:t>元，该款项已于</w:t>
      </w:r>
      <w:r w:rsidR="00D8736B" w:rsidRPr="006F14B8">
        <w:rPr>
          <w:rFonts w:hint="eastAsia"/>
        </w:rPr>
        <w:t>201</w:t>
      </w:r>
      <w:r w:rsidR="00D8736B">
        <w:rPr>
          <w:rFonts w:hint="eastAsia"/>
        </w:rPr>
        <w:t>8</w:t>
      </w:r>
      <w:r w:rsidR="00D8736B" w:rsidRPr="006F14B8">
        <w:rPr>
          <w:rFonts w:hint="eastAsia"/>
        </w:rPr>
        <w:t>年</w:t>
      </w:r>
      <w:r w:rsidR="00D8736B">
        <w:rPr>
          <w:rFonts w:hint="eastAsia"/>
        </w:rPr>
        <w:t>11</w:t>
      </w:r>
      <w:r w:rsidRPr="006F14B8">
        <w:rPr>
          <w:rFonts w:hint="eastAsia"/>
        </w:rPr>
        <w:t>月</w:t>
      </w:r>
      <w:r w:rsidR="00D8736B">
        <w:rPr>
          <w:rFonts w:hint="eastAsia"/>
        </w:rPr>
        <w:t>7</w:t>
      </w:r>
      <w:r w:rsidRPr="006F14B8">
        <w:rPr>
          <w:rFonts w:hint="eastAsia"/>
        </w:rPr>
        <w:t>日支付。</w:t>
      </w:r>
    </w:p>
    <w:p w:rsidR="006503C4" w:rsidRDefault="003054D8">
      <w:pPr>
        <w:pStyle w:val="a0"/>
        <w:spacing w:line="360" w:lineRule="auto"/>
      </w:pPr>
      <w:r>
        <w:rPr>
          <w:rFonts w:hint="eastAsia"/>
        </w:rPr>
        <w:t>（</w:t>
      </w:r>
      <w:r w:rsidR="00A9150F">
        <w:rPr>
          <w:rFonts w:hint="eastAsia"/>
        </w:rPr>
        <w:t>7</w:t>
      </w:r>
      <w:r>
        <w:rPr>
          <w:rFonts w:hint="eastAsia"/>
        </w:rPr>
        <w:t>）</w:t>
      </w:r>
      <w:r w:rsidR="00124419" w:rsidRPr="006F14B8">
        <w:rPr>
          <w:rFonts w:hint="eastAsia"/>
        </w:rPr>
        <w:t>本基金最后运作日其他负债人民币</w:t>
      </w:r>
      <w:r w:rsidR="00A9150F" w:rsidRPr="00A9150F">
        <w:t>36</w:t>
      </w:r>
      <w:r w:rsidR="00551880">
        <w:rPr>
          <w:rFonts w:hint="eastAsia"/>
        </w:rPr>
        <w:t>,</w:t>
      </w:r>
      <w:r w:rsidR="00A9150F" w:rsidRPr="00A9150F">
        <w:t>000</w:t>
      </w:r>
      <w:r w:rsidR="00551880">
        <w:rPr>
          <w:rFonts w:hint="eastAsia"/>
        </w:rPr>
        <w:t>.00</w:t>
      </w:r>
      <w:r w:rsidR="00124419" w:rsidRPr="006F14B8">
        <w:rPr>
          <w:rFonts w:hint="eastAsia"/>
        </w:rPr>
        <w:t>元，该款项</w:t>
      </w:r>
      <w:r w:rsidR="00124419">
        <w:rPr>
          <w:rFonts w:hint="eastAsia"/>
        </w:rPr>
        <w:t>为预提银行间账户维护费</w:t>
      </w:r>
      <w:r w:rsidR="00551880">
        <w:rPr>
          <w:rFonts w:hint="eastAsia"/>
        </w:rPr>
        <w:t>和</w:t>
      </w:r>
      <w:r w:rsidR="00A62916">
        <w:rPr>
          <w:rFonts w:hint="eastAsia"/>
        </w:rPr>
        <w:t>审计费</w:t>
      </w:r>
      <w:r w:rsidR="00124419">
        <w:rPr>
          <w:rFonts w:hint="eastAsia"/>
        </w:rPr>
        <w:t>，</w:t>
      </w:r>
      <w:r w:rsidR="00A62916">
        <w:rPr>
          <w:rFonts w:hint="eastAsia"/>
        </w:rPr>
        <w:t>已于</w:t>
      </w:r>
      <w:r w:rsidR="00D8736B">
        <w:rPr>
          <w:rFonts w:hint="eastAsia"/>
        </w:rPr>
        <w:t>2018</w:t>
      </w:r>
      <w:r w:rsidR="00D8736B">
        <w:rPr>
          <w:rFonts w:hint="eastAsia"/>
        </w:rPr>
        <w:t>年</w:t>
      </w:r>
      <w:r w:rsidR="00D8736B">
        <w:rPr>
          <w:rFonts w:hint="eastAsia"/>
        </w:rPr>
        <w:t>10</w:t>
      </w:r>
      <w:r w:rsidR="00D8736B">
        <w:rPr>
          <w:rFonts w:hint="eastAsia"/>
        </w:rPr>
        <w:t>月</w:t>
      </w:r>
      <w:r w:rsidR="00BB3148">
        <w:rPr>
          <w:rFonts w:hint="eastAsia"/>
        </w:rPr>
        <w:t>1</w:t>
      </w:r>
      <w:r w:rsidR="00D8736B">
        <w:rPr>
          <w:rFonts w:hint="eastAsia"/>
        </w:rPr>
        <w:t>9</w:t>
      </w:r>
      <w:r w:rsidR="00D8736B">
        <w:rPr>
          <w:rFonts w:hint="eastAsia"/>
        </w:rPr>
        <w:t>日和</w:t>
      </w:r>
      <w:r w:rsidR="00D8736B">
        <w:rPr>
          <w:rFonts w:hint="eastAsia"/>
        </w:rPr>
        <w:t>2018</w:t>
      </w:r>
      <w:r w:rsidR="00D8736B">
        <w:rPr>
          <w:rFonts w:hint="eastAsia"/>
        </w:rPr>
        <w:t>年</w:t>
      </w:r>
      <w:r w:rsidR="00D8736B">
        <w:rPr>
          <w:rFonts w:hint="eastAsia"/>
        </w:rPr>
        <w:t>10</w:t>
      </w:r>
      <w:r w:rsidR="00A62916">
        <w:rPr>
          <w:rFonts w:hint="eastAsia"/>
        </w:rPr>
        <w:t>月</w:t>
      </w:r>
      <w:r w:rsidR="00D8736B">
        <w:rPr>
          <w:rFonts w:hint="eastAsia"/>
        </w:rPr>
        <w:t>29</w:t>
      </w:r>
      <w:r w:rsidR="00A62916">
        <w:rPr>
          <w:rFonts w:hint="eastAsia"/>
        </w:rPr>
        <w:t>日支付银行间账户维护费</w:t>
      </w:r>
      <w:r w:rsidR="00D8736B">
        <w:rPr>
          <w:rFonts w:hint="eastAsia"/>
        </w:rPr>
        <w:t>共</w:t>
      </w:r>
      <w:r w:rsidR="00A62916">
        <w:rPr>
          <w:rFonts w:hint="eastAsia"/>
        </w:rPr>
        <w:t>6</w:t>
      </w:r>
      <w:r w:rsidR="00492C34">
        <w:rPr>
          <w:rFonts w:hint="eastAsia"/>
        </w:rPr>
        <w:t>,</w:t>
      </w:r>
      <w:r w:rsidR="00A62916">
        <w:rPr>
          <w:rFonts w:hint="eastAsia"/>
        </w:rPr>
        <w:t>0</w:t>
      </w:r>
      <w:r w:rsidR="00124419">
        <w:rPr>
          <w:rFonts w:hint="eastAsia"/>
        </w:rPr>
        <w:t>00.00</w:t>
      </w:r>
      <w:r w:rsidR="00124419">
        <w:rPr>
          <w:rFonts w:hint="eastAsia"/>
        </w:rPr>
        <w:t>元，</w:t>
      </w:r>
      <w:r w:rsidR="00A62916">
        <w:rPr>
          <w:rFonts w:hint="eastAsia"/>
        </w:rPr>
        <w:t>已于</w:t>
      </w:r>
      <w:r w:rsidR="00531C52">
        <w:rPr>
          <w:rFonts w:hint="eastAsia"/>
        </w:rPr>
        <w:t>2018</w:t>
      </w:r>
      <w:r w:rsidR="00531C52">
        <w:rPr>
          <w:rFonts w:hint="eastAsia"/>
        </w:rPr>
        <w:t>年</w:t>
      </w:r>
      <w:r w:rsidR="00D8736B">
        <w:rPr>
          <w:rFonts w:hint="eastAsia"/>
        </w:rPr>
        <w:t>11</w:t>
      </w:r>
      <w:r w:rsidR="00531C52">
        <w:rPr>
          <w:rFonts w:hint="eastAsia"/>
        </w:rPr>
        <w:t>月</w:t>
      </w:r>
      <w:r w:rsidR="00D8736B">
        <w:rPr>
          <w:rFonts w:hint="eastAsia"/>
        </w:rPr>
        <w:t>1</w:t>
      </w:r>
      <w:r w:rsidR="00531C52">
        <w:rPr>
          <w:rFonts w:hint="eastAsia"/>
        </w:rPr>
        <w:t>日</w:t>
      </w:r>
      <w:r w:rsidR="00124419">
        <w:rPr>
          <w:rFonts w:hint="eastAsia"/>
        </w:rPr>
        <w:t>支付</w:t>
      </w:r>
      <w:r w:rsidR="00A62916">
        <w:rPr>
          <w:rFonts w:hint="eastAsia"/>
        </w:rPr>
        <w:t>审计费</w:t>
      </w:r>
      <w:r w:rsidR="00551880">
        <w:rPr>
          <w:rFonts w:hint="eastAsia"/>
        </w:rPr>
        <w:t>30</w:t>
      </w:r>
      <w:r w:rsidR="00124419">
        <w:rPr>
          <w:rFonts w:hint="eastAsia"/>
        </w:rPr>
        <w:t>,</w:t>
      </w:r>
      <w:r w:rsidR="00A62916">
        <w:rPr>
          <w:rFonts w:hint="eastAsia"/>
        </w:rPr>
        <w:t>000</w:t>
      </w:r>
      <w:r w:rsidR="00124419">
        <w:rPr>
          <w:rFonts w:hint="eastAsia"/>
        </w:rPr>
        <w:t>.00</w:t>
      </w:r>
      <w:r w:rsidR="00124419">
        <w:rPr>
          <w:rFonts w:hint="eastAsia"/>
        </w:rPr>
        <w:t>元</w:t>
      </w:r>
      <w:r w:rsidR="00D15EC5" w:rsidRPr="006F14B8">
        <w:rPr>
          <w:rFonts w:hint="eastAsia"/>
        </w:rPr>
        <w:t>。</w:t>
      </w:r>
    </w:p>
    <w:p w:rsidR="00D15EC5" w:rsidRPr="006F14B8" w:rsidRDefault="004D1916" w:rsidP="00DD18F6">
      <w:pPr>
        <w:pStyle w:val="20"/>
        <w:spacing w:before="0" w:after="0"/>
        <w:rPr>
          <w:rFonts w:ascii="Times New Roman" w:hAnsi="Times New Roman"/>
          <w:kern w:val="0"/>
          <w:sz w:val="21"/>
          <w:szCs w:val="21"/>
        </w:rPr>
      </w:pPr>
      <w:bookmarkStart w:id="34" w:name="_Toc529469814"/>
      <w:r>
        <w:rPr>
          <w:rFonts w:ascii="Times New Roman" w:hAnsi="Times New Roman" w:hint="eastAsia"/>
          <w:kern w:val="0"/>
          <w:sz w:val="21"/>
          <w:szCs w:val="21"/>
        </w:rPr>
        <w:t>5</w:t>
      </w:r>
      <w:r w:rsidR="00D15EC5">
        <w:rPr>
          <w:rFonts w:ascii="Times New Roman" w:hAnsi="Times New Roman" w:hint="eastAsia"/>
          <w:kern w:val="0"/>
          <w:sz w:val="21"/>
          <w:szCs w:val="21"/>
        </w:rPr>
        <w:t xml:space="preserve">.4 </w:t>
      </w:r>
      <w:r w:rsidR="00D15EC5" w:rsidRPr="006F14B8">
        <w:rPr>
          <w:rFonts w:ascii="Times New Roman" w:hAnsi="Times New Roman" w:hint="eastAsia"/>
          <w:kern w:val="0"/>
          <w:sz w:val="21"/>
          <w:szCs w:val="21"/>
        </w:rPr>
        <w:t>清算期间的清算损益情况</w:t>
      </w:r>
      <w:bookmarkEnd w:id="34"/>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FF5A2F" w:rsidRDefault="00CE5129" w:rsidP="008B3AD6">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hint="eastAsia"/>
                <w:b/>
                <w:color w:val="000000"/>
                <w:sz w:val="21"/>
                <w:szCs w:val="21"/>
              </w:rPr>
              <w:t>本期</w:t>
            </w:r>
          </w:p>
          <w:p w:rsidR="00DA46DB" w:rsidRDefault="00531C52">
            <w:pPr>
              <w:pStyle w:val="af6"/>
              <w:spacing w:before="0" w:beforeAutospacing="0" w:after="0" w:afterAutospacing="0"/>
              <w:jc w:val="center"/>
              <w:rPr>
                <w:rFonts w:ascii="Times New Roman" w:hAnsi="Times New Roman"/>
                <w:b/>
                <w:color w:val="000000"/>
                <w:sz w:val="21"/>
                <w:szCs w:val="21"/>
              </w:rPr>
            </w:pPr>
            <w:r>
              <w:rPr>
                <w:rFonts w:ascii="Times New Roman" w:hAnsi="Times New Roman"/>
                <w:b/>
                <w:sz w:val="21"/>
                <w:szCs w:val="21"/>
              </w:rPr>
              <w:t>2018</w:t>
            </w:r>
            <w:r>
              <w:rPr>
                <w:rFonts w:ascii="Times New Roman" w:hAnsi="Times New Roman"/>
                <w:b/>
                <w:sz w:val="21"/>
                <w:szCs w:val="21"/>
              </w:rPr>
              <w:t>年</w:t>
            </w:r>
            <w:r>
              <w:rPr>
                <w:rFonts w:ascii="Times New Roman" w:hAnsi="Times New Roman"/>
                <w:b/>
                <w:sz w:val="21"/>
                <w:szCs w:val="21"/>
              </w:rPr>
              <w:t>10</w:t>
            </w:r>
            <w:r>
              <w:rPr>
                <w:rFonts w:ascii="Times New Roman" w:hAnsi="Times New Roman"/>
                <w:b/>
                <w:sz w:val="21"/>
                <w:szCs w:val="21"/>
              </w:rPr>
              <w:t>月</w:t>
            </w:r>
            <w:r>
              <w:rPr>
                <w:rFonts w:ascii="Times New Roman" w:hAnsi="Times New Roman"/>
                <w:b/>
                <w:sz w:val="21"/>
                <w:szCs w:val="21"/>
              </w:rPr>
              <w:t>17</w:t>
            </w:r>
            <w:r>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起始</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至</w:t>
            </w:r>
            <w:r>
              <w:rPr>
                <w:rFonts w:ascii="Times New Roman" w:hAnsi="Times New Roman"/>
                <w:b/>
                <w:sz w:val="21"/>
                <w:szCs w:val="21"/>
              </w:rPr>
              <w:t>2018</w:t>
            </w:r>
            <w:r>
              <w:rPr>
                <w:rFonts w:ascii="Times New Roman" w:hAnsi="Times New Roman"/>
                <w:b/>
                <w:sz w:val="21"/>
                <w:szCs w:val="21"/>
              </w:rPr>
              <w:t>年</w:t>
            </w:r>
            <w:r>
              <w:rPr>
                <w:rFonts w:ascii="Times New Roman" w:hAnsi="Times New Roman"/>
                <w:b/>
                <w:sz w:val="21"/>
                <w:szCs w:val="21"/>
              </w:rPr>
              <w:t>11</w:t>
            </w:r>
            <w:r>
              <w:rPr>
                <w:rFonts w:ascii="Times New Roman" w:hAnsi="Times New Roman"/>
                <w:b/>
                <w:sz w:val="21"/>
                <w:szCs w:val="21"/>
              </w:rPr>
              <w:t>月</w:t>
            </w:r>
            <w:r>
              <w:rPr>
                <w:rFonts w:ascii="Times New Roman" w:hAnsi="Times New Roman"/>
                <w:b/>
                <w:sz w:val="21"/>
                <w:szCs w:val="21"/>
              </w:rPr>
              <w:t>8</w:t>
            </w:r>
            <w:r>
              <w:rPr>
                <w:rFonts w:ascii="Times New Roman" w:hAnsi="Times New Roman"/>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结束</w:t>
            </w:r>
            <w:r w:rsidR="00CE5129" w:rsidRPr="00FF5A2F">
              <w:rPr>
                <w:rFonts w:ascii="Times New Roman" w:hAnsi="Times New Roman" w:hint="eastAsia"/>
                <w:b/>
                <w:sz w:val="21"/>
                <w:szCs w:val="21"/>
              </w:rPr>
              <w:t>日</w:t>
            </w:r>
            <w:r w:rsidR="004C5E03">
              <w:rPr>
                <w:rFonts w:ascii="Times New Roman" w:hAnsi="Times New Roman"/>
                <w:b/>
                <w:sz w:val="21"/>
                <w:szCs w:val="21"/>
              </w:rPr>
              <w:t>）</w:t>
            </w:r>
            <w:r w:rsidR="00CE5129" w:rsidRPr="00FF5A2F">
              <w:rPr>
                <w:rFonts w:ascii="Times New Roman" w:hAnsi="Times New Roman" w:hint="eastAsia"/>
                <w:b/>
                <w:sz w:val="21"/>
                <w:szCs w:val="21"/>
              </w:rPr>
              <w:t>止期间</w:t>
            </w:r>
          </w:p>
        </w:tc>
      </w:tr>
      <w:tr w:rsidR="00421DA3" w:rsidRPr="006F14B8" w:rsidTr="00CE5129">
        <w:trPr>
          <w:trHeight w:val="221"/>
        </w:trPr>
        <w:tc>
          <w:tcPr>
            <w:tcW w:w="2545" w:type="pct"/>
            <w:vAlign w:val="center"/>
          </w:tcPr>
          <w:p w:rsidR="00421DA3" w:rsidRPr="006F14B8" w:rsidRDefault="00421DA3"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A15FEB" w:rsidRDefault="00825013">
            <w:pPr>
              <w:spacing w:line="360" w:lineRule="auto"/>
              <w:jc w:val="right"/>
              <w:rPr>
                <w:b/>
                <w:color w:val="000000"/>
                <w:sz w:val="22"/>
                <w:szCs w:val="22"/>
              </w:rPr>
            </w:pPr>
            <w:r w:rsidRPr="00825013">
              <w:rPr>
                <w:b/>
                <w:color w:val="000000"/>
                <w:sz w:val="22"/>
                <w:szCs w:val="22"/>
              </w:rPr>
              <w:t xml:space="preserve"> 21,035.82</w:t>
            </w:r>
          </w:p>
        </w:tc>
      </w:tr>
      <w:tr w:rsidR="00421DA3" w:rsidRPr="006F14B8" w:rsidTr="00CE5129">
        <w:tc>
          <w:tcPr>
            <w:tcW w:w="2545" w:type="pct"/>
            <w:vAlign w:val="center"/>
          </w:tcPr>
          <w:p w:rsidR="00421DA3" w:rsidRPr="006F14B8" w:rsidRDefault="00421DA3" w:rsidP="008B3AD6">
            <w:pPr>
              <w:rPr>
                <w:color w:val="000000"/>
                <w:szCs w:val="21"/>
              </w:rPr>
            </w:pPr>
            <w:r w:rsidRPr="006F14B8">
              <w:rPr>
                <w:color w:val="000000"/>
                <w:szCs w:val="21"/>
              </w:rPr>
              <w:t>1</w:t>
            </w:r>
            <w:r w:rsidRPr="006F14B8">
              <w:rPr>
                <w:color w:val="000000"/>
                <w:szCs w:val="21"/>
              </w:rPr>
              <w:t>．利息收入</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2,673.90</w:t>
            </w:r>
          </w:p>
        </w:tc>
      </w:tr>
      <w:tr w:rsidR="00421DA3" w:rsidRPr="006F14B8" w:rsidTr="00CE5129">
        <w:tc>
          <w:tcPr>
            <w:tcW w:w="2545" w:type="pct"/>
            <w:vAlign w:val="center"/>
          </w:tcPr>
          <w:p w:rsidR="00421DA3" w:rsidRPr="006F14B8" w:rsidRDefault="00421DA3" w:rsidP="008B3AD6">
            <w:pPr>
              <w:rPr>
                <w:color w:val="000000"/>
                <w:szCs w:val="21"/>
              </w:rPr>
            </w:pPr>
            <w:r w:rsidRPr="006F14B8">
              <w:rPr>
                <w:color w:val="000000"/>
                <w:szCs w:val="21"/>
              </w:rPr>
              <w:t>其中：存款利息收入</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1,933.44</w:t>
            </w:r>
          </w:p>
        </w:tc>
      </w:tr>
      <w:tr w:rsidR="00421DA3" w:rsidRPr="006F14B8" w:rsidTr="00CE5129">
        <w:tc>
          <w:tcPr>
            <w:tcW w:w="2545" w:type="pct"/>
            <w:vAlign w:val="center"/>
          </w:tcPr>
          <w:p w:rsidR="00421DA3" w:rsidRDefault="00421DA3">
            <w:pPr>
              <w:ind w:firstLineChars="300" w:firstLine="630"/>
              <w:rPr>
                <w:color w:val="000000"/>
                <w:szCs w:val="21"/>
              </w:rPr>
            </w:pPr>
            <w:r w:rsidRPr="00DB414A">
              <w:rPr>
                <w:rFonts w:hint="eastAsia"/>
                <w:color w:val="000000"/>
                <w:szCs w:val="21"/>
              </w:rPr>
              <w:t>债券利息收入</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740.46</w:t>
            </w:r>
          </w:p>
        </w:tc>
      </w:tr>
      <w:tr w:rsidR="00421DA3" w:rsidRPr="006F14B8" w:rsidTr="00CE5129">
        <w:tc>
          <w:tcPr>
            <w:tcW w:w="2545" w:type="pct"/>
            <w:vAlign w:val="center"/>
          </w:tcPr>
          <w:p w:rsidR="00421DA3" w:rsidRPr="006F14B8" w:rsidRDefault="00421DA3" w:rsidP="008B3AD6">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209,692.93</w:t>
            </w:r>
          </w:p>
        </w:tc>
      </w:tr>
      <w:tr w:rsidR="00421DA3" w:rsidRPr="006F14B8" w:rsidTr="00CE5129">
        <w:tc>
          <w:tcPr>
            <w:tcW w:w="2545" w:type="pct"/>
            <w:vAlign w:val="center"/>
          </w:tcPr>
          <w:p w:rsidR="00421DA3" w:rsidRPr="006F14B8" w:rsidRDefault="00421DA3" w:rsidP="008B3AD6">
            <w:pPr>
              <w:rPr>
                <w:color w:val="000000"/>
                <w:szCs w:val="21"/>
              </w:rPr>
            </w:pPr>
            <w:r w:rsidRPr="006F14B8">
              <w:rPr>
                <w:color w:val="000000"/>
                <w:szCs w:val="21"/>
              </w:rPr>
              <w:t>其中：股票投资收益</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w:t>
            </w:r>
          </w:p>
        </w:tc>
      </w:tr>
      <w:tr w:rsidR="00421DA3" w:rsidRPr="006F14B8" w:rsidTr="00CE5129">
        <w:tc>
          <w:tcPr>
            <w:tcW w:w="2545" w:type="pct"/>
            <w:vAlign w:val="center"/>
          </w:tcPr>
          <w:p w:rsidR="00421DA3" w:rsidRPr="006F14B8" w:rsidRDefault="00421DA3"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-965.00</w:t>
            </w:r>
          </w:p>
        </w:tc>
      </w:tr>
      <w:tr w:rsidR="00BE45B6" w:rsidRPr="006F14B8" w:rsidTr="00CE5129">
        <w:tc>
          <w:tcPr>
            <w:tcW w:w="2545" w:type="pct"/>
            <w:vAlign w:val="center"/>
          </w:tcPr>
          <w:p w:rsidR="00BE45B6" w:rsidRPr="006F14B8" w:rsidRDefault="00BE45B6" w:rsidP="008B3AD6">
            <w:pPr>
              <w:ind w:firstLineChars="300" w:firstLine="630"/>
              <w:rPr>
                <w:color w:val="000000"/>
                <w:szCs w:val="21"/>
              </w:rPr>
            </w:pPr>
            <w:r w:rsidRPr="006F14B8">
              <w:rPr>
                <w:color w:val="000000"/>
                <w:szCs w:val="21"/>
              </w:rPr>
              <w:t>基金投资收益</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210,657.93</w:t>
            </w:r>
          </w:p>
        </w:tc>
      </w:tr>
      <w:tr w:rsidR="00A17716" w:rsidRPr="006F14B8" w:rsidTr="004240FD">
        <w:trPr>
          <w:trHeight w:val="527"/>
        </w:trPr>
        <w:tc>
          <w:tcPr>
            <w:tcW w:w="2545" w:type="pct"/>
            <w:vAlign w:val="center"/>
          </w:tcPr>
          <w:p w:rsidR="00A17716" w:rsidRPr="006F14B8" w:rsidRDefault="00A17716" w:rsidP="008B3AD6">
            <w:pPr>
              <w:ind w:firstLineChars="300" w:firstLine="630"/>
              <w:rPr>
                <w:color w:val="000000"/>
                <w:szCs w:val="21"/>
              </w:rPr>
            </w:pPr>
            <w:r w:rsidRPr="00A17716">
              <w:rPr>
                <w:rFonts w:hint="eastAsia"/>
                <w:color w:val="000000"/>
                <w:szCs w:val="21"/>
              </w:rPr>
              <w:t>股利收益</w:t>
            </w:r>
          </w:p>
        </w:tc>
        <w:tc>
          <w:tcPr>
            <w:tcW w:w="2455" w:type="pct"/>
            <w:vAlign w:val="center"/>
          </w:tcPr>
          <w:p w:rsidR="00927EF4" w:rsidRDefault="00421DA3">
            <w:pPr>
              <w:jc w:val="right"/>
              <w:rPr>
                <w:rFonts w:ascii="宋体" w:hAnsi="宋体" w:cs="宋体"/>
                <w:color w:val="000000"/>
                <w:sz w:val="22"/>
                <w:szCs w:val="22"/>
              </w:rPr>
            </w:pPr>
            <w:r>
              <w:rPr>
                <w:rFonts w:hint="eastAsia"/>
                <w:color w:val="000000"/>
                <w:sz w:val="22"/>
                <w:szCs w:val="22"/>
              </w:rPr>
              <w:t xml:space="preserve">   -</w:t>
            </w:r>
          </w:p>
        </w:tc>
      </w:tr>
      <w:tr w:rsidR="00421DA3" w:rsidRPr="006F14B8" w:rsidTr="00CE5129">
        <w:tc>
          <w:tcPr>
            <w:tcW w:w="2545" w:type="pct"/>
            <w:vAlign w:val="center"/>
          </w:tcPr>
          <w:p w:rsidR="00421DA3" w:rsidRPr="006F14B8" w:rsidRDefault="00421DA3" w:rsidP="008B3AD6">
            <w:pPr>
              <w:rPr>
                <w:color w:val="000000"/>
                <w:szCs w:val="21"/>
              </w:rPr>
            </w:pPr>
            <w:r w:rsidRPr="006F14B8">
              <w:rPr>
                <w:rFonts w:hint="eastAsia"/>
                <w:color w:val="000000"/>
                <w:szCs w:val="21"/>
              </w:rPr>
              <w:t>3</w:t>
            </w:r>
            <w:r w:rsidRPr="006F14B8">
              <w:rPr>
                <w:color w:val="000000"/>
                <w:szCs w:val="21"/>
              </w:rPr>
              <w:t>．</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-185,195.34</w:t>
            </w:r>
          </w:p>
        </w:tc>
      </w:tr>
      <w:tr w:rsidR="00421DA3" w:rsidRPr="006F14B8" w:rsidTr="00CE5129">
        <w:tc>
          <w:tcPr>
            <w:tcW w:w="2545" w:type="pct"/>
            <w:vAlign w:val="center"/>
          </w:tcPr>
          <w:p w:rsidR="00421DA3" w:rsidRPr="006F14B8" w:rsidRDefault="00421DA3" w:rsidP="008B3AD6">
            <w:pPr>
              <w:rPr>
                <w:color w:val="000000"/>
                <w:szCs w:val="21"/>
              </w:rPr>
            </w:pPr>
            <w:r w:rsidRPr="006F14B8">
              <w:rPr>
                <w:rFonts w:hint="eastAsia"/>
                <w:color w:val="000000"/>
                <w:szCs w:val="21"/>
              </w:rPr>
              <w:t>4</w:t>
            </w:r>
            <w:r w:rsidRPr="006F14B8">
              <w:rPr>
                <w:color w:val="000000"/>
                <w:szCs w:val="21"/>
              </w:rPr>
              <w:t>．其他收入（损失以</w:t>
            </w:r>
            <w:r w:rsidRPr="006F14B8">
              <w:rPr>
                <w:color w:val="000000"/>
                <w:szCs w:val="21"/>
              </w:rPr>
              <w:t>“-”</w:t>
            </w:r>
            <w:r w:rsidRPr="006F14B8">
              <w:rPr>
                <w:color w:val="000000"/>
                <w:szCs w:val="21"/>
              </w:rPr>
              <w:t>号填列）</w:t>
            </w:r>
          </w:p>
        </w:tc>
        <w:tc>
          <w:tcPr>
            <w:tcW w:w="2455" w:type="pct"/>
            <w:vAlign w:val="center"/>
          </w:tcPr>
          <w:p w:rsidR="00A15FEB" w:rsidRDefault="00421DA3">
            <w:pPr>
              <w:spacing w:line="360" w:lineRule="auto"/>
              <w:jc w:val="right"/>
              <w:rPr>
                <w:color w:val="000000"/>
                <w:sz w:val="22"/>
                <w:szCs w:val="22"/>
              </w:rPr>
            </w:pPr>
            <w:r>
              <w:rPr>
                <w:rFonts w:hint="eastAsia"/>
                <w:color w:val="000000"/>
                <w:sz w:val="22"/>
                <w:szCs w:val="22"/>
              </w:rPr>
              <w:t xml:space="preserve">    -6,135.67</w:t>
            </w:r>
          </w:p>
        </w:tc>
      </w:tr>
      <w:tr w:rsidR="00421DA3" w:rsidRPr="006F14B8" w:rsidTr="004240FD">
        <w:trPr>
          <w:trHeight w:val="461"/>
        </w:trPr>
        <w:tc>
          <w:tcPr>
            <w:tcW w:w="2545" w:type="pct"/>
            <w:vAlign w:val="center"/>
          </w:tcPr>
          <w:p w:rsidR="00421DA3" w:rsidRPr="006F14B8" w:rsidRDefault="00421DA3"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A15FEB" w:rsidRDefault="00825013" w:rsidP="00375378">
            <w:pPr>
              <w:ind w:firstLine="440"/>
              <w:jc w:val="right"/>
              <w:rPr>
                <w:rFonts w:ascii="宋体" w:hAnsi="宋体" w:cs="宋体"/>
                <w:b/>
                <w:color w:val="000000"/>
                <w:sz w:val="22"/>
                <w:szCs w:val="22"/>
              </w:rPr>
            </w:pPr>
            <w:r w:rsidRPr="00825013">
              <w:rPr>
                <w:b/>
                <w:color w:val="000000"/>
                <w:sz w:val="22"/>
                <w:szCs w:val="22"/>
              </w:rPr>
              <w:t xml:space="preserve"> 700.49</w:t>
            </w:r>
          </w:p>
        </w:tc>
      </w:tr>
      <w:tr w:rsidR="00A17716" w:rsidRPr="006F14B8" w:rsidTr="00CE5129">
        <w:tc>
          <w:tcPr>
            <w:tcW w:w="2545" w:type="pct"/>
            <w:vAlign w:val="center"/>
          </w:tcPr>
          <w:p w:rsidR="00A17716" w:rsidRPr="006F14B8" w:rsidRDefault="00A17716" w:rsidP="008B3AD6">
            <w:pPr>
              <w:rPr>
                <w:color w:val="000000"/>
                <w:szCs w:val="21"/>
              </w:rPr>
            </w:pPr>
            <w:r w:rsidRPr="006F14B8">
              <w:rPr>
                <w:rFonts w:hint="eastAsia"/>
                <w:color w:val="000000"/>
                <w:szCs w:val="21"/>
              </w:rPr>
              <w:t>1</w:t>
            </w:r>
            <w:r w:rsidRPr="006F14B8">
              <w:rPr>
                <w:color w:val="000000"/>
                <w:szCs w:val="21"/>
              </w:rPr>
              <w:t>．交易费用</w:t>
            </w:r>
          </w:p>
        </w:tc>
        <w:tc>
          <w:tcPr>
            <w:tcW w:w="2455" w:type="pct"/>
            <w:vAlign w:val="center"/>
          </w:tcPr>
          <w:p w:rsidR="00A17716" w:rsidRDefault="00421DA3">
            <w:pPr>
              <w:spacing w:line="360" w:lineRule="auto"/>
              <w:jc w:val="right"/>
              <w:rPr>
                <w:color w:val="000000"/>
                <w:sz w:val="22"/>
                <w:szCs w:val="22"/>
              </w:rPr>
            </w:pPr>
            <w:r>
              <w:rPr>
                <w:rFonts w:hint="eastAsia"/>
                <w:color w:val="000000"/>
                <w:sz w:val="22"/>
                <w:szCs w:val="22"/>
              </w:rPr>
              <w:t>0.56</w:t>
            </w:r>
          </w:p>
        </w:tc>
      </w:tr>
      <w:tr w:rsidR="00A17716" w:rsidRPr="006F14B8" w:rsidTr="00037B23">
        <w:tc>
          <w:tcPr>
            <w:tcW w:w="2545" w:type="pct"/>
          </w:tcPr>
          <w:p w:rsidR="006079DC" w:rsidRDefault="00DF19CB">
            <w:pPr>
              <w:spacing w:line="360" w:lineRule="auto"/>
              <w:rPr>
                <w:color w:val="000000"/>
                <w:szCs w:val="21"/>
              </w:rPr>
            </w:pPr>
            <w:r w:rsidRPr="00DF19CB">
              <w:rPr>
                <w:color w:val="000000"/>
                <w:szCs w:val="21"/>
              </w:rPr>
              <w:t>2</w:t>
            </w:r>
            <w:r w:rsidR="00A17716" w:rsidRPr="006F14B8">
              <w:rPr>
                <w:color w:val="000000"/>
                <w:szCs w:val="21"/>
              </w:rPr>
              <w:t>．</w:t>
            </w:r>
            <w:r w:rsidRPr="00DF19CB">
              <w:rPr>
                <w:rFonts w:hint="eastAsia"/>
                <w:color w:val="000000"/>
                <w:szCs w:val="21"/>
              </w:rPr>
              <w:t>利息支出</w:t>
            </w:r>
          </w:p>
        </w:tc>
        <w:tc>
          <w:tcPr>
            <w:tcW w:w="2455" w:type="pct"/>
            <w:vAlign w:val="center"/>
          </w:tcPr>
          <w:p w:rsidR="00A17716" w:rsidRPr="00645BCD" w:rsidRDefault="00421DA3">
            <w:pPr>
              <w:spacing w:line="360" w:lineRule="auto"/>
              <w:jc w:val="right"/>
              <w:rPr>
                <w:color w:val="000000"/>
                <w:sz w:val="22"/>
                <w:szCs w:val="22"/>
              </w:rPr>
            </w:pPr>
            <w:r>
              <w:rPr>
                <w:rFonts w:hint="eastAsia"/>
                <w:color w:val="000000"/>
                <w:sz w:val="22"/>
                <w:szCs w:val="22"/>
              </w:rPr>
              <w:t>-</w:t>
            </w:r>
          </w:p>
        </w:tc>
      </w:tr>
      <w:tr w:rsidR="00A17716" w:rsidRPr="006F14B8" w:rsidTr="00037B23">
        <w:tc>
          <w:tcPr>
            <w:tcW w:w="2545" w:type="pct"/>
          </w:tcPr>
          <w:p w:rsidR="006079DC" w:rsidRDefault="00DF19CB">
            <w:pPr>
              <w:spacing w:line="360" w:lineRule="auto"/>
              <w:rPr>
                <w:color w:val="000000"/>
                <w:szCs w:val="21"/>
              </w:rPr>
            </w:pPr>
            <w:r w:rsidRPr="00DF19CB">
              <w:rPr>
                <w:rFonts w:hint="eastAsia"/>
                <w:color w:val="000000"/>
                <w:szCs w:val="21"/>
              </w:rPr>
              <w:t>其中：卖出回购金融资产支出</w:t>
            </w:r>
          </w:p>
        </w:tc>
        <w:tc>
          <w:tcPr>
            <w:tcW w:w="2455" w:type="pct"/>
            <w:vAlign w:val="center"/>
          </w:tcPr>
          <w:p w:rsidR="00A17716" w:rsidRPr="00645BCD" w:rsidRDefault="00421DA3">
            <w:pPr>
              <w:spacing w:line="360" w:lineRule="auto"/>
              <w:jc w:val="right"/>
              <w:rPr>
                <w:color w:val="000000"/>
                <w:sz w:val="22"/>
                <w:szCs w:val="22"/>
              </w:rPr>
            </w:pPr>
            <w:r>
              <w:rPr>
                <w:rFonts w:hint="eastAsia"/>
                <w:color w:val="000000"/>
                <w:sz w:val="22"/>
                <w:szCs w:val="22"/>
              </w:rPr>
              <w:t>-</w:t>
            </w:r>
          </w:p>
        </w:tc>
      </w:tr>
      <w:tr w:rsidR="00421DA3" w:rsidRPr="006F14B8" w:rsidTr="00CE5129">
        <w:tc>
          <w:tcPr>
            <w:tcW w:w="2545" w:type="pct"/>
            <w:vAlign w:val="center"/>
          </w:tcPr>
          <w:p w:rsidR="00421DA3" w:rsidRPr="006F14B8" w:rsidRDefault="00421DA3" w:rsidP="008B3AD6">
            <w:pPr>
              <w:rPr>
                <w:color w:val="000000"/>
                <w:szCs w:val="21"/>
              </w:rPr>
            </w:pPr>
            <w:r>
              <w:rPr>
                <w:rFonts w:hint="eastAsia"/>
                <w:color w:val="000000"/>
                <w:szCs w:val="21"/>
              </w:rPr>
              <w:t>3</w:t>
            </w:r>
            <w:r w:rsidRPr="006F14B8">
              <w:rPr>
                <w:color w:val="000000"/>
                <w:szCs w:val="21"/>
              </w:rPr>
              <w:t>．其他费用</w:t>
            </w:r>
          </w:p>
        </w:tc>
        <w:tc>
          <w:tcPr>
            <w:tcW w:w="2455" w:type="pct"/>
            <w:vAlign w:val="center"/>
          </w:tcPr>
          <w:p w:rsidR="00A15FEB" w:rsidRDefault="00421DA3" w:rsidP="00375378">
            <w:pPr>
              <w:spacing w:line="360" w:lineRule="auto"/>
              <w:ind w:firstLine="440"/>
              <w:jc w:val="right"/>
              <w:rPr>
                <w:color w:val="000000"/>
                <w:sz w:val="22"/>
                <w:szCs w:val="22"/>
              </w:rPr>
            </w:pPr>
            <w:r>
              <w:rPr>
                <w:rFonts w:hint="eastAsia"/>
                <w:color w:val="000000"/>
                <w:sz w:val="22"/>
                <w:szCs w:val="22"/>
              </w:rPr>
              <w:t xml:space="preserve">       699.93</w:t>
            </w:r>
          </w:p>
        </w:tc>
      </w:tr>
      <w:tr w:rsidR="00421DA3" w:rsidRPr="006F14B8" w:rsidTr="00CE5129">
        <w:tc>
          <w:tcPr>
            <w:tcW w:w="2545" w:type="pct"/>
            <w:vAlign w:val="center"/>
          </w:tcPr>
          <w:p w:rsidR="00421DA3" w:rsidRPr="006F14B8" w:rsidRDefault="00421DA3"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A15FEB" w:rsidRDefault="00825013" w:rsidP="00375378">
            <w:pPr>
              <w:spacing w:line="360" w:lineRule="auto"/>
              <w:ind w:firstLine="440"/>
              <w:jc w:val="right"/>
              <w:rPr>
                <w:b/>
                <w:color w:val="000000"/>
                <w:sz w:val="22"/>
                <w:szCs w:val="22"/>
              </w:rPr>
            </w:pPr>
            <w:r w:rsidRPr="00825013">
              <w:rPr>
                <w:b/>
                <w:color w:val="000000"/>
                <w:sz w:val="22"/>
                <w:szCs w:val="22"/>
              </w:rPr>
              <w:t xml:space="preserve"> 20,335.33</w:t>
            </w:r>
          </w:p>
        </w:tc>
      </w:tr>
    </w:tbl>
    <w:p w:rsidR="00DD18F6" w:rsidRDefault="004D1916" w:rsidP="00DD18F6">
      <w:pPr>
        <w:pStyle w:val="20"/>
        <w:spacing w:before="0" w:after="0"/>
        <w:rPr>
          <w:rFonts w:ascii="Times New Roman" w:hAnsi="Times New Roman"/>
          <w:kern w:val="0"/>
          <w:sz w:val="21"/>
          <w:szCs w:val="21"/>
        </w:rPr>
      </w:pPr>
      <w:bookmarkStart w:id="35" w:name="_Toc529469815"/>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35"/>
    </w:p>
    <w:p w:rsidR="00C624F1" w:rsidRDefault="005B22FE">
      <w:pPr>
        <w:spacing w:line="360" w:lineRule="auto"/>
        <w:ind w:firstLineChars="200" w:firstLine="420"/>
        <w:rPr>
          <w:color w:val="000000"/>
          <w:szCs w:val="21"/>
        </w:rPr>
      </w:pPr>
      <w:r w:rsidRPr="00E41C38">
        <w:rPr>
          <w:rFonts w:hint="eastAsia"/>
          <w:color w:val="000000"/>
          <w:szCs w:val="21"/>
        </w:rPr>
        <w:t>资产处置及负债清偿后，于</w:t>
      </w:r>
      <w:r w:rsidR="00531C52">
        <w:rPr>
          <w:color w:val="000000"/>
          <w:szCs w:val="21"/>
        </w:rPr>
        <w:t>2018</w:t>
      </w:r>
      <w:r w:rsidR="00531C52">
        <w:rPr>
          <w:color w:val="000000"/>
          <w:szCs w:val="21"/>
        </w:rPr>
        <w:t>年</w:t>
      </w:r>
      <w:r w:rsidR="00531C52">
        <w:rPr>
          <w:color w:val="000000"/>
          <w:szCs w:val="21"/>
        </w:rPr>
        <w:t>11</w:t>
      </w:r>
      <w:r w:rsidR="00531C52">
        <w:rPr>
          <w:color w:val="000000"/>
          <w:szCs w:val="21"/>
        </w:rPr>
        <w:t>月</w:t>
      </w:r>
      <w:r w:rsidR="00531C52">
        <w:rPr>
          <w:color w:val="000000"/>
          <w:szCs w:val="21"/>
        </w:rPr>
        <w:t>8</w:t>
      </w:r>
      <w:r w:rsidR="00531C52">
        <w:rPr>
          <w:color w:val="000000"/>
          <w:szCs w:val="21"/>
        </w:rPr>
        <w:t>日</w:t>
      </w:r>
      <w:r w:rsidRPr="00E41C38">
        <w:rPr>
          <w:rFonts w:hint="eastAsia"/>
          <w:color w:val="000000"/>
          <w:szCs w:val="21"/>
        </w:rPr>
        <w:t>本基金剩余财产为人民币</w:t>
      </w:r>
      <w:r w:rsidR="00551880" w:rsidRPr="00551880">
        <w:rPr>
          <w:color w:val="000000" w:themeColor="text1"/>
          <w:szCs w:val="21"/>
        </w:rPr>
        <w:t>8</w:t>
      </w:r>
      <w:r w:rsidR="00551880">
        <w:rPr>
          <w:rFonts w:hint="eastAsia"/>
          <w:color w:val="000000" w:themeColor="text1"/>
          <w:szCs w:val="21"/>
        </w:rPr>
        <w:t>,</w:t>
      </w:r>
      <w:r w:rsidR="00551880" w:rsidRPr="00551880">
        <w:rPr>
          <w:color w:val="000000" w:themeColor="text1"/>
          <w:szCs w:val="21"/>
        </w:rPr>
        <w:t>294</w:t>
      </w:r>
      <w:r w:rsidR="00551880">
        <w:rPr>
          <w:rFonts w:hint="eastAsia"/>
          <w:color w:val="000000" w:themeColor="text1"/>
          <w:szCs w:val="21"/>
        </w:rPr>
        <w:t>,</w:t>
      </w:r>
      <w:r w:rsidR="00551880" w:rsidRPr="00551880">
        <w:rPr>
          <w:color w:val="000000" w:themeColor="text1"/>
          <w:szCs w:val="21"/>
        </w:rPr>
        <w:t>025.82</w:t>
      </w:r>
      <w:r w:rsidRPr="00E41C38">
        <w:rPr>
          <w:rFonts w:hint="eastAsia"/>
          <w:color w:val="000000" w:themeColor="text1"/>
          <w:szCs w:val="21"/>
        </w:rPr>
        <w:t>元</w:t>
      </w:r>
      <w:r w:rsidRPr="00C318DB">
        <w:rPr>
          <w:color w:val="000000" w:themeColor="text1"/>
          <w:szCs w:val="21"/>
        </w:rPr>
        <w:t>，</w:t>
      </w:r>
      <w:r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57EB0" w:rsidRPr="00C318DB" w:rsidRDefault="00657EB0" w:rsidP="00657EB0">
      <w:pPr>
        <w:spacing w:line="360" w:lineRule="auto"/>
        <w:ind w:firstLineChars="200" w:firstLine="420"/>
        <w:rPr>
          <w:color w:val="000000" w:themeColor="text1"/>
          <w:szCs w:val="21"/>
        </w:rPr>
      </w:pPr>
      <w:r w:rsidRPr="006F14B8">
        <w:rPr>
          <w:color w:val="000000"/>
          <w:szCs w:val="21"/>
        </w:rPr>
        <w:t>清算起始日</w:t>
      </w:r>
      <w:r w:rsidR="00531C52">
        <w:rPr>
          <w:color w:val="000000"/>
          <w:szCs w:val="21"/>
        </w:rPr>
        <w:t>2018</w:t>
      </w:r>
      <w:r w:rsidR="00531C52">
        <w:rPr>
          <w:color w:val="000000"/>
          <w:szCs w:val="21"/>
        </w:rPr>
        <w:t>年</w:t>
      </w:r>
      <w:r w:rsidR="00531C52">
        <w:rPr>
          <w:color w:val="000000"/>
          <w:szCs w:val="21"/>
        </w:rPr>
        <w:t>10</w:t>
      </w:r>
      <w:r w:rsidR="00531C52">
        <w:rPr>
          <w:color w:val="000000"/>
          <w:szCs w:val="21"/>
        </w:rPr>
        <w:t>月</w:t>
      </w:r>
      <w:r w:rsidR="00531C52">
        <w:rPr>
          <w:color w:val="000000"/>
          <w:szCs w:val="21"/>
        </w:rPr>
        <w:t>17</w:t>
      </w:r>
      <w:r w:rsidR="00531C52">
        <w:rPr>
          <w:color w:val="000000"/>
          <w:szCs w:val="21"/>
        </w:rPr>
        <w:t>日</w:t>
      </w:r>
      <w:r w:rsidRPr="006F14B8">
        <w:rPr>
          <w:color w:val="000000"/>
          <w:szCs w:val="21"/>
        </w:rPr>
        <w:t>至清算款划出日前一日的银行存款产生的利息亦属</w:t>
      </w:r>
      <w:r w:rsidRPr="006F14B8">
        <w:rPr>
          <w:rFonts w:hint="eastAsia"/>
          <w:color w:val="000000"/>
          <w:szCs w:val="21"/>
        </w:rPr>
        <w:t>份额持有人所</w:t>
      </w:r>
      <w:r w:rsidR="00CD1FB5" w:rsidRPr="006F14B8">
        <w:rPr>
          <w:rFonts w:hint="eastAsia"/>
          <w:color w:val="000000"/>
          <w:szCs w:val="21"/>
        </w:rPr>
        <w:t>有</w:t>
      </w:r>
      <w:r w:rsidR="006D2A37" w:rsidRPr="006F14B8">
        <w:rPr>
          <w:rFonts w:hint="eastAsia"/>
          <w:color w:val="000000"/>
          <w:szCs w:val="21"/>
        </w:rPr>
        <w:t>，</w:t>
      </w:r>
      <w:r w:rsidRPr="006F14B8">
        <w:rPr>
          <w:rFonts w:hint="eastAsia"/>
          <w:color w:val="000000"/>
          <w:szCs w:val="21"/>
        </w:rPr>
        <w:t>以上利息均按实际适用的利率计算</w:t>
      </w:r>
      <w:r w:rsidR="006D2A37" w:rsidRPr="006F14B8">
        <w:rPr>
          <w:rFonts w:hint="eastAsia"/>
          <w:color w:val="000000"/>
          <w:szCs w:val="21"/>
        </w:rPr>
        <w:t>。</w:t>
      </w:r>
      <w:r w:rsidRPr="006F14B8">
        <w:rPr>
          <w:rFonts w:hint="eastAsia"/>
          <w:color w:val="000000"/>
          <w:szCs w:val="21"/>
        </w:rPr>
        <w:t>由基金管理人以自有资</w:t>
      </w:r>
      <w:r w:rsidR="00011C11" w:rsidRPr="006F14B8">
        <w:rPr>
          <w:rFonts w:hint="eastAsia"/>
          <w:color w:val="000000"/>
          <w:szCs w:val="21"/>
        </w:rPr>
        <w:t>金</w:t>
      </w:r>
      <w:r w:rsidRPr="006F14B8">
        <w:rPr>
          <w:rFonts w:hint="eastAsia"/>
          <w:color w:val="000000"/>
          <w:szCs w:val="21"/>
        </w:rPr>
        <w:t>垫付并已</w:t>
      </w:r>
      <w:r w:rsidRPr="00C318DB">
        <w:rPr>
          <w:rFonts w:hint="eastAsia"/>
          <w:color w:val="000000" w:themeColor="text1"/>
          <w:szCs w:val="21"/>
        </w:rPr>
        <w:t>于</w:t>
      </w:r>
      <w:r w:rsidR="00551880" w:rsidRPr="00C318DB">
        <w:rPr>
          <w:rFonts w:hint="eastAsia"/>
          <w:color w:val="000000" w:themeColor="text1"/>
          <w:szCs w:val="21"/>
        </w:rPr>
        <w:t>201</w:t>
      </w:r>
      <w:r w:rsidR="00551880">
        <w:rPr>
          <w:rFonts w:hint="eastAsia"/>
          <w:color w:val="000000" w:themeColor="text1"/>
          <w:szCs w:val="21"/>
        </w:rPr>
        <w:t>8</w:t>
      </w:r>
      <w:r w:rsidR="00551880" w:rsidRPr="00C318DB">
        <w:rPr>
          <w:rFonts w:hint="eastAsia"/>
          <w:color w:val="000000" w:themeColor="text1"/>
          <w:szCs w:val="21"/>
        </w:rPr>
        <w:t>年</w:t>
      </w:r>
      <w:r w:rsidR="00551880">
        <w:rPr>
          <w:rFonts w:hint="eastAsia"/>
          <w:color w:val="000000" w:themeColor="text1"/>
          <w:szCs w:val="21"/>
        </w:rPr>
        <w:t>11</w:t>
      </w:r>
      <w:r w:rsidRPr="00C318DB">
        <w:rPr>
          <w:rFonts w:hint="eastAsia"/>
          <w:color w:val="000000" w:themeColor="text1"/>
          <w:szCs w:val="21"/>
        </w:rPr>
        <w:t>月</w:t>
      </w:r>
      <w:r w:rsidR="00551880">
        <w:rPr>
          <w:rFonts w:hint="eastAsia"/>
          <w:color w:val="000000" w:themeColor="text1"/>
          <w:szCs w:val="21"/>
        </w:rPr>
        <w:t>2</w:t>
      </w:r>
      <w:r w:rsidRPr="00C318DB">
        <w:rPr>
          <w:rFonts w:hint="eastAsia"/>
          <w:color w:val="000000" w:themeColor="text1"/>
          <w:szCs w:val="21"/>
        </w:rPr>
        <w:t>日划入托管账户。基金</w:t>
      </w:r>
      <w:r w:rsidR="00CD1FB5" w:rsidRPr="00C318DB">
        <w:rPr>
          <w:rFonts w:hint="eastAsia"/>
          <w:color w:val="000000" w:themeColor="text1"/>
          <w:szCs w:val="21"/>
        </w:rPr>
        <w:t>管</w:t>
      </w:r>
      <w:r w:rsidRPr="00C318DB">
        <w:rPr>
          <w:rFonts w:hint="eastAsia"/>
          <w:color w:val="000000" w:themeColor="text1"/>
          <w:szCs w:val="21"/>
        </w:rPr>
        <w:t>理人垫付资</w:t>
      </w:r>
      <w:r w:rsidR="007842B4" w:rsidRPr="00C318DB">
        <w:rPr>
          <w:rFonts w:hint="eastAsia"/>
          <w:color w:val="000000" w:themeColor="text1"/>
          <w:szCs w:val="21"/>
        </w:rPr>
        <w:t>金到账起</w:t>
      </w:r>
      <w:r w:rsidRPr="00C318DB">
        <w:rPr>
          <w:rFonts w:hint="eastAsia"/>
          <w:color w:val="000000" w:themeColor="text1"/>
          <w:szCs w:val="21"/>
        </w:rPr>
        <w:t>孳生的利息归</w:t>
      </w:r>
      <w:r w:rsidR="0025700F">
        <w:rPr>
          <w:rFonts w:hint="eastAsia"/>
          <w:color w:val="000000" w:themeColor="text1"/>
          <w:szCs w:val="21"/>
        </w:rPr>
        <w:t>基金</w:t>
      </w:r>
      <w:r w:rsidR="007842B4" w:rsidRPr="00C318DB">
        <w:rPr>
          <w:rFonts w:hint="eastAsia"/>
          <w:color w:val="000000" w:themeColor="text1"/>
          <w:szCs w:val="21"/>
        </w:rPr>
        <w:t>管理</w:t>
      </w:r>
      <w:r w:rsidRPr="00C318DB">
        <w:rPr>
          <w:rFonts w:hint="eastAsia"/>
          <w:color w:val="000000" w:themeColor="text1"/>
          <w:szCs w:val="21"/>
        </w:rPr>
        <w:t>人所有。</w:t>
      </w:r>
    </w:p>
    <w:p w:rsidR="00657EB0" w:rsidRPr="006F14B8" w:rsidRDefault="002B0877" w:rsidP="00CE5129">
      <w:pPr>
        <w:spacing w:line="360" w:lineRule="auto"/>
        <w:ind w:firstLineChars="200" w:firstLine="420"/>
        <w:rPr>
          <w:color w:val="000000"/>
          <w:szCs w:val="21"/>
        </w:rPr>
      </w:pPr>
      <w:r w:rsidRPr="002B0877">
        <w:rPr>
          <w:rFonts w:hint="eastAsia"/>
          <w:color w:val="000000"/>
          <w:szCs w:val="21"/>
        </w:rPr>
        <w:t>截至</w:t>
      </w:r>
      <w:r w:rsidR="00531C52">
        <w:rPr>
          <w:color w:val="000000"/>
          <w:szCs w:val="21"/>
        </w:rPr>
        <w:t>2018</w:t>
      </w:r>
      <w:r w:rsidR="00531C52">
        <w:rPr>
          <w:color w:val="000000"/>
          <w:szCs w:val="21"/>
        </w:rPr>
        <w:t>年</w:t>
      </w:r>
      <w:r w:rsidR="00531C52">
        <w:rPr>
          <w:color w:val="000000"/>
          <w:szCs w:val="21"/>
        </w:rPr>
        <w:t>11</w:t>
      </w:r>
      <w:r w:rsidR="00531C52">
        <w:rPr>
          <w:color w:val="000000"/>
          <w:szCs w:val="21"/>
        </w:rPr>
        <w:t>月</w:t>
      </w:r>
      <w:r w:rsidR="00531C52">
        <w:rPr>
          <w:color w:val="000000"/>
          <w:szCs w:val="21"/>
        </w:rPr>
        <w:t>8</w:t>
      </w:r>
      <w:r w:rsidR="00531C52">
        <w:rPr>
          <w:color w:val="000000"/>
          <w:szCs w:val="21"/>
        </w:rPr>
        <w:t>日</w:t>
      </w:r>
      <w:r w:rsidRPr="002B0877">
        <w:rPr>
          <w:rFonts w:hint="eastAsia"/>
          <w:color w:val="000000"/>
          <w:szCs w:val="21"/>
        </w:rPr>
        <w:t>止，经基金管理人以及基金托管人确认，本基金托管账户银行存款余额共人民币</w:t>
      </w:r>
      <w:r w:rsidR="00551880" w:rsidRPr="00551880">
        <w:rPr>
          <w:color w:val="000000" w:themeColor="text1"/>
          <w:szCs w:val="21"/>
        </w:rPr>
        <w:t>8</w:t>
      </w:r>
      <w:r w:rsidR="00551880">
        <w:rPr>
          <w:rFonts w:hint="eastAsia"/>
          <w:color w:val="000000" w:themeColor="text1"/>
          <w:szCs w:val="21"/>
        </w:rPr>
        <w:t>,</w:t>
      </w:r>
      <w:r w:rsidR="00551880" w:rsidRPr="00551880">
        <w:rPr>
          <w:color w:val="000000" w:themeColor="text1"/>
          <w:szCs w:val="21"/>
        </w:rPr>
        <w:t>317</w:t>
      </w:r>
      <w:r w:rsidR="00551880">
        <w:rPr>
          <w:rFonts w:hint="eastAsia"/>
          <w:color w:val="000000" w:themeColor="text1"/>
          <w:szCs w:val="21"/>
        </w:rPr>
        <w:t>,</w:t>
      </w:r>
      <w:r w:rsidR="00551880" w:rsidRPr="00551880">
        <w:rPr>
          <w:color w:val="000000" w:themeColor="text1"/>
          <w:szCs w:val="21"/>
        </w:rPr>
        <w:t>358.27</w:t>
      </w:r>
      <w:r w:rsidRPr="002B0877">
        <w:rPr>
          <w:rFonts w:hint="eastAsia"/>
          <w:color w:val="000000" w:themeColor="text1"/>
          <w:szCs w:val="21"/>
        </w:rPr>
        <w:t>元，其中人民币</w:t>
      </w:r>
      <w:r w:rsidR="00551880">
        <w:rPr>
          <w:rFonts w:hint="eastAsia"/>
          <w:color w:val="000000" w:themeColor="text1"/>
          <w:szCs w:val="21"/>
        </w:rPr>
        <w:t>30</w:t>
      </w:r>
      <w:r w:rsidR="00C31644">
        <w:rPr>
          <w:rFonts w:hint="eastAsia"/>
          <w:color w:val="000000" w:themeColor="text1"/>
          <w:szCs w:val="21"/>
        </w:rPr>
        <w:t>,</w:t>
      </w:r>
      <w:r w:rsidR="00C65E18">
        <w:rPr>
          <w:rFonts w:hint="eastAsia"/>
          <w:color w:val="000000" w:themeColor="text1"/>
          <w:szCs w:val="21"/>
        </w:rPr>
        <w:t>0</w:t>
      </w:r>
      <w:r w:rsidR="00C65E18" w:rsidRPr="00492C34">
        <w:rPr>
          <w:color w:val="000000" w:themeColor="text1"/>
          <w:szCs w:val="21"/>
        </w:rPr>
        <w:t>00</w:t>
      </w:r>
      <w:r w:rsidR="00C31644">
        <w:rPr>
          <w:rFonts w:hint="eastAsia"/>
          <w:color w:val="000000" w:themeColor="text1"/>
          <w:szCs w:val="21"/>
        </w:rPr>
        <w:t>.00</w:t>
      </w:r>
      <w:r w:rsidRPr="002B0877">
        <w:rPr>
          <w:rFonts w:hint="eastAsia"/>
          <w:color w:val="000000" w:themeColor="text1"/>
          <w:szCs w:val="21"/>
        </w:rPr>
        <w:t>元</w:t>
      </w:r>
      <w:r w:rsidRPr="002B0877">
        <w:rPr>
          <w:rFonts w:hint="eastAsia"/>
          <w:color w:val="000000"/>
          <w:szCs w:val="21"/>
        </w:rPr>
        <w:t>系基金管理人代垫</w:t>
      </w:r>
      <w:r w:rsidR="00551880">
        <w:rPr>
          <w:rFonts w:hint="eastAsia"/>
          <w:color w:val="000000"/>
          <w:szCs w:val="21"/>
        </w:rPr>
        <w:t>资金</w:t>
      </w:r>
      <w:r w:rsidRPr="002B0877">
        <w:rPr>
          <w:rFonts w:hint="eastAsia"/>
          <w:color w:val="000000"/>
          <w:szCs w:val="21"/>
        </w:rPr>
        <w:t>。基金管理人垫付的资金以及垫付资金到账日起孳生的利息将于清算期后返还给基金管理人。</w:t>
      </w:r>
    </w:p>
    <w:p w:rsidR="00657EB0" w:rsidRPr="006F14B8" w:rsidRDefault="004D1916" w:rsidP="00657EB0">
      <w:pPr>
        <w:pStyle w:val="20"/>
        <w:spacing w:before="0" w:after="0"/>
        <w:rPr>
          <w:rFonts w:ascii="Times New Roman" w:hAnsi="Times New Roman"/>
          <w:kern w:val="0"/>
          <w:sz w:val="21"/>
          <w:szCs w:val="21"/>
        </w:rPr>
      </w:pPr>
      <w:bookmarkStart w:id="36" w:name="_Toc529469816"/>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36"/>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641421">
      <w:pPr>
        <w:pStyle w:val="1"/>
        <w:keepNext/>
        <w:keepLines/>
        <w:widowControl w:val="0"/>
        <w:spacing w:beforeLines="100" w:afterLines="100" w:line="360" w:lineRule="auto"/>
        <w:jc w:val="center"/>
        <w:rPr>
          <w:b/>
          <w:bCs/>
          <w:color w:val="000000" w:themeColor="text1"/>
          <w:sz w:val="21"/>
          <w:szCs w:val="21"/>
          <w:lang w:val="en-US"/>
        </w:rPr>
      </w:pPr>
      <w:bookmarkStart w:id="37" w:name="_Toc529469817"/>
      <w:r w:rsidRPr="002B570D">
        <w:rPr>
          <w:rFonts w:hint="eastAsia"/>
          <w:b/>
          <w:bCs/>
          <w:color w:val="000000" w:themeColor="text1"/>
          <w:sz w:val="21"/>
          <w:szCs w:val="21"/>
          <w:lang w:val="en-US"/>
        </w:rPr>
        <w:t>6</w:t>
      </w:r>
      <w:r w:rsidR="00540E2A" w:rsidRPr="002B570D">
        <w:rPr>
          <w:b/>
          <w:bCs/>
          <w:color w:val="000000" w:themeColor="text1"/>
          <w:sz w:val="21"/>
          <w:szCs w:val="21"/>
          <w:lang w:val="en-US"/>
        </w:rPr>
        <w:t>备查文件目录</w:t>
      </w:r>
      <w:bookmarkEnd w:id="25"/>
      <w:bookmarkEnd w:id="37"/>
    </w:p>
    <w:p w:rsidR="001548F9" w:rsidRPr="00D42BE5" w:rsidRDefault="004D1916" w:rsidP="004C1748">
      <w:pPr>
        <w:pStyle w:val="20"/>
        <w:spacing w:before="0" w:after="0"/>
        <w:rPr>
          <w:rFonts w:ascii="Times New Roman" w:hAnsi="Times New Roman"/>
          <w:kern w:val="0"/>
          <w:sz w:val="21"/>
          <w:szCs w:val="21"/>
        </w:rPr>
      </w:pPr>
      <w:bookmarkStart w:id="38" w:name="_Toc390421286"/>
      <w:bookmarkStart w:id="39" w:name="_Toc529469818"/>
      <w:r>
        <w:rPr>
          <w:rFonts w:ascii="Times New Roman" w:hAnsi="Times New Roman" w:hint="eastAsia"/>
          <w:kern w:val="0"/>
          <w:sz w:val="21"/>
          <w:szCs w:val="21"/>
        </w:rPr>
        <w:t>6</w:t>
      </w:r>
      <w:r w:rsidR="001548F9" w:rsidRPr="00D42BE5">
        <w:rPr>
          <w:rFonts w:ascii="Times New Roman" w:hAnsi="Times New Roman"/>
          <w:kern w:val="0"/>
          <w:sz w:val="21"/>
          <w:szCs w:val="21"/>
        </w:rPr>
        <w:t xml:space="preserve">.1 </w:t>
      </w:r>
      <w:r w:rsidR="001548F9" w:rsidRPr="00D42BE5">
        <w:rPr>
          <w:rFonts w:ascii="Times New Roman" w:hAnsi="Times New Roman"/>
          <w:kern w:val="0"/>
          <w:sz w:val="21"/>
          <w:szCs w:val="21"/>
        </w:rPr>
        <w:t>备查文件目录</w:t>
      </w:r>
      <w:bookmarkEnd w:id="38"/>
      <w:bookmarkEnd w:id="39"/>
    </w:p>
    <w:p w:rsidR="00ED5559" w:rsidRDefault="0094378D">
      <w:pPr>
        <w:spacing w:line="360" w:lineRule="auto"/>
        <w:ind w:firstLineChars="200" w:firstLine="420"/>
        <w:rPr>
          <w:color w:val="000000"/>
          <w:szCs w:val="21"/>
        </w:rPr>
      </w:pPr>
      <w:r>
        <w:rPr>
          <w:color w:val="000000"/>
          <w:szCs w:val="21"/>
        </w:rPr>
        <w:t>1</w:t>
      </w:r>
      <w:r>
        <w:rPr>
          <w:color w:val="000000"/>
          <w:szCs w:val="21"/>
        </w:rPr>
        <w:t>、</w:t>
      </w:r>
      <w:r w:rsidR="003B0EE4">
        <w:rPr>
          <w:rFonts w:hint="eastAsia"/>
          <w:color w:val="000000"/>
          <w:szCs w:val="21"/>
        </w:rPr>
        <w:t>《</w:t>
      </w:r>
      <w:r w:rsidR="00531C52">
        <w:rPr>
          <w:color w:val="000000"/>
          <w:szCs w:val="21"/>
        </w:rPr>
        <w:t>国泰上证</w:t>
      </w:r>
      <w:r w:rsidR="00531C52">
        <w:rPr>
          <w:color w:val="000000"/>
          <w:szCs w:val="21"/>
        </w:rPr>
        <w:t>5</w:t>
      </w:r>
      <w:r w:rsidR="00531C52">
        <w:rPr>
          <w:color w:val="000000"/>
          <w:szCs w:val="21"/>
        </w:rPr>
        <w:t>年期国债交易型开放式指数证券投资基金联接基金</w:t>
      </w:r>
      <w:r w:rsidR="007D4C35">
        <w:rPr>
          <w:rFonts w:hint="eastAsia"/>
          <w:color w:val="000000"/>
          <w:szCs w:val="21"/>
        </w:rPr>
        <w:t>2018</w:t>
      </w:r>
      <w:r w:rsidR="003B0EE4">
        <w:rPr>
          <w:rFonts w:hint="eastAsia"/>
          <w:color w:val="000000"/>
          <w:szCs w:val="21"/>
        </w:rPr>
        <w:t>年</w:t>
      </w:r>
      <w:r w:rsidR="003B0EE4">
        <w:rPr>
          <w:rFonts w:hint="eastAsia"/>
          <w:color w:val="000000"/>
          <w:szCs w:val="21"/>
        </w:rPr>
        <w:t>1</w:t>
      </w:r>
      <w:r w:rsidR="003B0EE4">
        <w:rPr>
          <w:rFonts w:hint="eastAsia"/>
          <w:color w:val="000000"/>
          <w:szCs w:val="21"/>
        </w:rPr>
        <w:t>月</w:t>
      </w:r>
      <w:r w:rsidR="003B0EE4">
        <w:rPr>
          <w:rFonts w:hint="eastAsia"/>
          <w:color w:val="000000"/>
          <w:szCs w:val="21"/>
        </w:rPr>
        <w:t>1</w:t>
      </w:r>
      <w:r w:rsidR="003B0EE4">
        <w:rPr>
          <w:rFonts w:hint="eastAsia"/>
          <w:color w:val="000000"/>
          <w:szCs w:val="21"/>
        </w:rPr>
        <w:t>日至</w:t>
      </w:r>
      <w:r w:rsidR="00531C52">
        <w:rPr>
          <w:rFonts w:hint="eastAsia"/>
          <w:color w:val="000000"/>
          <w:szCs w:val="21"/>
        </w:rPr>
        <w:t>2018</w:t>
      </w:r>
      <w:r w:rsidR="00531C52">
        <w:rPr>
          <w:rFonts w:hint="eastAsia"/>
          <w:color w:val="000000"/>
          <w:szCs w:val="21"/>
        </w:rPr>
        <w:t>年</w:t>
      </w:r>
      <w:r w:rsidR="00531C52">
        <w:rPr>
          <w:rFonts w:hint="eastAsia"/>
          <w:color w:val="000000"/>
          <w:szCs w:val="21"/>
        </w:rPr>
        <w:t>10</w:t>
      </w:r>
      <w:r w:rsidR="00531C52">
        <w:rPr>
          <w:rFonts w:hint="eastAsia"/>
          <w:color w:val="000000"/>
          <w:szCs w:val="21"/>
        </w:rPr>
        <w:t>月</w:t>
      </w:r>
      <w:r w:rsidR="00531C52">
        <w:rPr>
          <w:rFonts w:hint="eastAsia"/>
          <w:color w:val="000000"/>
          <w:szCs w:val="21"/>
        </w:rPr>
        <w:t>16</w:t>
      </w:r>
      <w:r w:rsidR="00531C52">
        <w:rPr>
          <w:rFonts w:hint="eastAsia"/>
          <w:color w:val="000000"/>
          <w:szCs w:val="21"/>
        </w:rPr>
        <w:t>日</w:t>
      </w:r>
      <w:r w:rsidR="001539A1">
        <w:rPr>
          <w:rFonts w:hint="eastAsia"/>
          <w:color w:val="000000"/>
          <w:szCs w:val="21"/>
        </w:rPr>
        <w:t>（基金最后运作日）</w:t>
      </w:r>
      <w:r w:rsidR="003B0EE4">
        <w:rPr>
          <w:rFonts w:hint="eastAsia"/>
          <w:color w:val="000000"/>
          <w:szCs w:val="21"/>
        </w:rPr>
        <w:t>止期间的财务报表及审计报告》</w:t>
      </w:r>
    </w:p>
    <w:p w:rsidR="001548F9" w:rsidRPr="003B0EE4" w:rsidRDefault="00703D56" w:rsidP="003B0EE4">
      <w:pPr>
        <w:spacing w:line="360" w:lineRule="auto"/>
        <w:ind w:firstLineChars="200" w:firstLine="420"/>
        <w:rPr>
          <w:color w:val="000000"/>
          <w:szCs w:val="21"/>
        </w:rPr>
      </w:pPr>
      <w:r>
        <w:rPr>
          <w:rFonts w:hint="eastAsia"/>
          <w:color w:val="000000"/>
          <w:szCs w:val="21"/>
        </w:rPr>
        <w:t>2</w:t>
      </w:r>
      <w:r w:rsidR="0094378D">
        <w:rPr>
          <w:color w:val="000000"/>
          <w:szCs w:val="21"/>
        </w:rPr>
        <w:t>、</w:t>
      </w:r>
      <w:r w:rsidR="003B0EE4" w:rsidRPr="003B0EE4">
        <w:rPr>
          <w:rFonts w:hint="eastAsia"/>
          <w:color w:val="000000"/>
          <w:szCs w:val="21"/>
        </w:rPr>
        <w:t>通力律师事务所关于《</w:t>
      </w:r>
      <w:r w:rsidR="00531C52">
        <w:rPr>
          <w:color w:val="000000"/>
          <w:szCs w:val="21"/>
        </w:rPr>
        <w:t>国泰上证</w:t>
      </w:r>
      <w:r w:rsidR="00531C52">
        <w:rPr>
          <w:color w:val="000000"/>
          <w:szCs w:val="21"/>
        </w:rPr>
        <w:t>5</w:t>
      </w:r>
      <w:r w:rsidR="00531C52">
        <w:rPr>
          <w:color w:val="000000"/>
          <w:szCs w:val="21"/>
        </w:rPr>
        <w:t>年期国债交易型开放式指数证券投资基金联接基金</w:t>
      </w:r>
      <w:r w:rsidR="003B0EE4" w:rsidRPr="003B0EE4">
        <w:rPr>
          <w:rFonts w:hint="eastAsia"/>
          <w:color w:val="000000"/>
          <w:szCs w:val="21"/>
        </w:rPr>
        <w:t>清算报告》的法律意见</w:t>
      </w:r>
    </w:p>
    <w:p w:rsidR="001548F9" w:rsidRPr="00D42BE5" w:rsidRDefault="004D1916" w:rsidP="004C1748">
      <w:pPr>
        <w:pStyle w:val="20"/>
        <w:spacing w:before="0" w:after="0"/>
        <w:rPr>
          <w:rFonts w:ascii="Times New Roman" w:hAnsi="Times New Roman"/>
          <w:color w:val="000000"/>
          <w:sz w:val="21"/>
          <w:szCs w:val="21"/>
        </w:rPr>
      </w:pPr>
      <w:bookmarkStart w:id="40" w:name="_Toc390421287"/>
      <w:bookmarkStart w:id="41" w:name="_Toc529469819"/>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.2 </w:t>
      </w:r>
      <w:r w:rsidR="001548F9" w:rsidRPr="00D42BE5">
        <w:rPr>
          <w:rFonts w:ascii="Times New Roman" w:hAnsi="Times New Roman"/>
          <w:color w:val="000000"/>
          <w:sz w:val="21"/>
          <w:szCs w:val="21"/>
        </w:rPr>
        <w:t>存放地点</w:t>
      </w:r>
      <w:bookmarkEnd w:id="40"/>
      <w:bookmarkEnd w:id="41"/>
    </w:p>
    <w:p w:rsidR="001548F9" w:rsidRPr="00EE3859" w:rsidRDefault="0094378D" w:rsidP="00EE3859">
      <w:pPr>
        <w:spacing w:line="360" w:lineRule="auto"/>
        <w:ind w:firstLineChars="200" w:firstLine="420"/>
        <w:rPr>
          <w:color w:val="000000"/>
          <w:szCs w:val="21"/>
        </w:rPr>
      </w:pPr>
      <w:r>
        <w:rPr>
          <w:color w:val="000000"/>
          <w:szCs w:val="21"/>
        </w:rPr>
        <w:t>本基金管理人国泰基金管理有限公司办公地点</w:t>
      </w:r>
      <w:r>
        <w:rPr>
          <w:color w:val="000000"/>
          <w:szCs w:val="21"/>
        </w:rPr>
        <w:t>——</w:t>
      </w:r>
      <w:r>
        <w:rPr>
          <w:color w:val="000000"/>
          <w:szCs w:val="21"/>
        </w:rPr>
        <w:t>上海市虹口区公平路</w:t>
      </w:r>
      <w:r>
        <w:rPr>
          <w:color w:val="000000"/>
          <w:szCs w:val="21"/>
        </w:rPr>
        <w:t>18</w:t>
      </w:r>
      <w:r>
        <w:rPr>
          <w:color w:val="000000"/>
          <w:szCs w:val="21"/>
        </w:rPr>
        <w:t>号</w:t>
      </w:r>
      <w:r>
        <w:rPr>
          <w:color w:val="000000"/>
          <w:szCs w:val="21"/>
        </w:rPr>
        <w:t>8</w:t>
      </w:r>
      <w:r>
        <w:rPr>
          <w:color w:val="000000"/>
          <w:szCs w:val="21"/>
        </w:rPr>
        <w:t>号楼嘉昱大厦</w:t>
      </w:r>
      <w:r>
        <w:rPr>
          <w:color w:val="000000"/>
          <w:szCs w:val="21"/>
        </w:rPr>
        <w:t>16-19</w:t>
      </w:r>
      <w:r>
        <w:rPr>
          <w:color w:val="000000"/>
          <w:szCs w:val="21"/>
        </w:rPr>
        <w:t>层。</w:t>
      </w:r>
    </w:p>
    <w:p w:rsidR="001548F9" w:rsidRPr="00D42BE5" w:rsidRDefault="004D1916" w:rsidP="004C1748">
      <w:pPr>
        <w:pStyle w:val="20"/>
        <w:spacing w:before="0" w:after="0"/>
        <w:rPr>
          <w:rFonts w:ascii="Times New Roman" w:hAnsi="Times New Roman"/>
          <w:color w:val="000000"/>
          <w:sz w:val="21"/>
          <w:szCs w:val="21"/>
        </w:rPr>
      </w:pPr>
      <w:bookmarkStart w:id="42" w:name="_Toc390421288"/>
      <w:bookmarkStart w:id="43" w:name="_Toc529469820"/>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.3 </w:t>
      </w:r>
      <w:r w:rsidR="001548F9" w:rsidRPr="00D42BE5">
        <w:rPr>
          <w:rFonts w:ascii="Times New Roman" w:hAnsi="Times New Roman"/>
          <w:color w:val="000000"/>
          <w:sz w:val="21"/>
          <w:szCs w:val="21"/>
        </w:rPr>
        <w:t>查阅方式</w:t>
      </w:r>
      <w:bookmarkEnd w:id="42"/>
      <w:bookmarkEnd w:id="43"/>
    </w:p>
    <w:p w:rsidR="001548F9" w:rsidRDefault="00EE3859" w:rsidP="00D6358E">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D6358E" w:rsidRDefault="00D6358E" w:rsidP="00D6358E">
      <w:pPr>
        <w:spacing w:line="360" w:lineRule="auto"/>
        <w:ind w:firstLineChars="200" w:firstLine="420"/>
        <w:rPr>
          <w:color w:val="000000"/>
          <w:szCs w:val="21"/>
        </w:rPr>
      </w:pPr>
    </w:p>
    <w:p w:rsidR="00D6358E" w:rsidRDefault="00D6358E" w:rsidP="00D6358E">
      <w:pPr>
        <w:spacing w:line="360" w:lineRule="auto"/>
        <w:ind w:firstLineChars="200" w:firstLine="420"/>
        <w:rPr>
          <w:color w:val="000000"/>
          <w:szCs w:val="21"/>
        </w:rPr>
      </w:pPr>
    </w:p>
    <w:p w:rsidR="00D6358E" w:rsidRPr="00D6358E" w:rsidRDefault="00D6358E" w:rsidP="00D6358E">
      <w:pPr>
        <w:spacing w:line="360" w:lineRule="auto"/>
        <w:ind w:firstLineChars="200" w:firstLine="420"/>
        <w:rPr>
          <w:color w:val="000000"/>
          <w:szCs w:val="21"/>
        </w:rPr>
      </w:pPr>
    </w:p>
    <w:p w:rsidR="001548F9" w:rsidRPr="00D42BE5" w:rsidRDefault="00531C52" w:rsidP="008971E9">
      <w:pPr>
        <w:spacing w:line="360" w:lineRule="auto"/>
        <w:ind w:left="840"/>
        <w:jc w:val="right"/>
        <w:rPr>
          <w:rFonts w:eastAsiaTheme="minorEastAsia"/>
          <w:b/>
          <w:bCs/>
          <w:szCs w:val="21"/>
        </w:rPr>
      </w:pPr>
      <w:r>
        <w:rPr>
          <w:rFonts w:eastAsiaTheme="minorEastAsia"/>
          <w:b/>
          <w:bCs/>
          <w:szCs w:val="21"/>
        </w:rPr>
        <w:t>国泰上证</w:t>
      </w:r>
      <w:r>
        <w:rPr>
          <w:rFonts w:eastAsiaTheme="minorEastAsia"/>
          <w:b/>
          <w:bCs/>
          <w:szCs w:val="21"/>
        </w:rPr>
        <w:t>5</w:t>
      </w:r>
      <w:r>
        <w:rPr>
          <w:rFonts w:eastAsiaTheme="minorEastAsia"/>
          <w:b/>
          <w:bCs/>
          <w:szCs w:val="21"/>
        </w:rPr>
        <w:t>年期国债交易型开放式指数证券投资基金联接基金</w:t>
      </w:r>
      <w:r w:rsidR="003B0EE4">
        <w:rPr>
          <w:rFonts w:eastAsiaTheme="minorEastAsia" w:hint="eastAsia"/>
          <w:b/>
          <w:bCs/>
          <w:szCs w:val="21"/>
        </w:rPr>
        <w:t>财产清算小组</w:t>
      </w:r>
    </w:p>
    <w:p w:rsidR="001548F9" w:rsidRPr="00AF0BE6" w:rsidRDefault="00531C52" w:rsidP="00A93D04">
      <w:pPr>
        <w:spacing w:line="360" w:lineRule="auto"/>
        <w:ind w:left="840"/>
        <w:jc w:val="right"/>
        <w:rPr>
          <w:rFonts w:eastAsiaTheme="minorEastAsia"/>
          <w:b/>
          <w:bCs/>
          <w:szCs w:val="21"/>
        </w:rPr>
      </w:pPr>
      <w:r w:rsidRPr="00692568">
        <w:rPr>
          <w:rFonts w:eastAsiaTheme="minorEastAsia" w:hint="eastAsia"/>
          <w:b/>
          <w:bCs/>
          <w:szCs w:val="21"/>
        </w:rPr>
        <w:t>二〇一</w:t>
      </w:r>
      <w:r w:rsidRPr="002B0877">
        <w:rPr>
          <w:rFonts w:eastAsiaTheme="minorEastAsia" w:hint="eastAsia"/>
          <w:b/>
          <w:bCs/>
          <w:szCs w:val="21"/>
        </w:rPr>
        <w:t>八</w:t>
      </w:r>
      <w:r w:rsidRPr="00692568">
        <w:rPr>
          <w:rFonts w:eastAsiaTheme="minorEastAsia" w:hint="eastAsia"/>
          <w:b/>
          <w:bCs/>
          <w:szCs w:val="21"/>
        </w:rPr>
        <w:t>年</w:t>
      </w:r>
      <w:r>
        <w:rPr>
          <w:rFonts w:eastAsiaTheme="minorEastAsia" w:hint="eastAsia"/>
          <w:b/>
          <w:bCs/>
          <w:szCs w:val="21"/>
        </w:rPr>
        <w:t>十一</w:t>
      </w:r>
      <w:r w:rsidRPr="00692568">
        <w:rPr>
          <w:rFonts w:eastAsiaTheme="minorEastAsia" w:hint="eastAsia"/>
          <w:b/>
          <w:bCs/>
          <w:szCs w:val="21"/>
        </w:rPr>
        <w:t>月</w:t>
      </w:r>
      <w:r>
        <w:rPr>
          <w:rFonts w:eastAsiaTheme="minorEastAsia" w:hint="eastAsia"/>
          <w:b/>
          <w:bCs/>
          <w:szCs w:val="21"/>
        </w:rPr>
        <w:t>八</w:t>
      </w:r>
      <w:r w:rsidRPr="00692568">
        <w:rPr>
          <w:rFonts w:eastAsiaTheme="minorEastAsia" w:hint="eastAsia"/>
          <w:b/>
          <w:bCs/>
          <w:szCs w:val="21"/>
        </w:rPr>
        <w:t>日</w:t>
      </w:r>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7B" w:rsidRDefault="00E00F7B">
      <w:r>
        <w:separator/>
      </w:r>
    </w:p>
  </w:endnote>
  <w:endnote w:type="continuationSeparator" w:id="1">
    <w:p w:rsidR="00E00F7B" w:rsidRDefault="00E0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8" w:rsidRDefault="00906CE6" w:rsidP="00C03B3A">
    <w:pPr>
      <w:pStyle w:val="a6"/>
      <w:framePr w:wrap="around" w:vAnchor="text" w:hAnchor="margin" w:xAlign="right" w:y="1"/>
      <w:rPr>
        <w:rStyle w:val="a7"/>
      </w:rPr>
    </w:pPr>
    <w:r>
      <w:rPr>
        <w:rStyle w:val="a7"/>
      </w:rPr>
      <w:fldChar w:fldCharType="begin"/>
    </w:r>
    <w:r w:rsidR="00FD1688">
      <w:rPr>
        <w:rStyle w:val="a7"/>
      </w:rPr>
      <w:instrText xml:space="preserve">PAGE  </w:instrText>
    </w:r>
    <w:r>
      <w:rPr>
        <w:rStyle w:val="a7"/>
      </w:rPr>
      <w:fldChar w:fldCharType="end"/>
    </w:r>
  </w:p>
  <w:p w:rsidR="00FD1688" w:rsidRDefault="00FD1688"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8" w:rsidRDefault="00FD1688" w:rsidP="00C03B3A">
    <w:pPr>
      <w:pStyle w:val="a6"/>
      <w:ind w:right="360"/>
      <w:jc w:val="center"/>
    </w:pPr>
    <w:r>
      <w:rPr>
        <w:rFonts w:hint="eastAsia"/>
        <w:kern w:val="0"/>
        <w:szCs w:val="21"/>
      </w:rPr>
      <w:t>第</w:t>
    </w:r>
    <w:r w:rsidR="00906CE6">
      <w:rPr>
        <w:kern w:val="0"/>
        <w:szCs w:val="21"/>
      </w:rPr>
      <w:fldChar w:fldCharType="begin"/>
    </w:r>
    <w:r>
      <w:rPr>
        <w:kern w:val="0"/>
        <w:szCs w:val="21"/>
      </w:rPr>
      <w:instrText xml:space="preserve"> PAGE </w:instrText>
    </w:r>
    <w:r w:rsidR="00906CE6">
      <w:rPr>
        <w:kern w:val="0"/>
        <w:szCs w:val="21"/>
      </w:rPr>
      <w:fldChar w:fldCharType="separate"/>
    </w:r>
    <w:r w:rsidR="00641421">
      <w:rPr>
        <w:noProof/>
        <w:kern w:val="0"/>
        <w:szCs w:val="21"/>
      </w:rPr>
      <w:t>2</w:t>
    </w:r>
    <w:r w:rsidR="00906CE6">
      <w:rPr>
        <w:kern w:val="0"/>
        <w:szCs w:val="21"/>
      </w:rPr>
      <w:fldChar w:fldCharType="end"/>
    </w:r>
    <w:r>
      <w:rPr>
        <w:rFonts w:hint="eastAsia"/>
        <w:kern w:val="0"/>
        <w:szCs w:val="21"/>
      </w:rPr>
      <w:t>页共</w:t>
    </w:r>
    <w:r w:rsidR="00906CE6">
      <w:rPr>
        <w:kern w:val="0"/>
        <w:szCs w:val="21"/>
      </w:rPr>
      <w:fldChar w:fldCharType="begin"/>
    </w:r>
    <w:r>
      <w:rPr>
        <w:kern w:val="0"/>
        <w:szCs w:val="21"/>
      </w:rPr>
      <w:instrText xml:space="preserve"> NUMPAGES </w:instrText>
    </w:r>
    <w:r w:rsidR="00906CE6">
      <w:rPr>
        <w:kern w:val="0"/>
        <w:szCs w:val="21"/>
      </w:rPr>
      <w:fldChar w:fldCharType="separate"/>
    </w:r>
    <w:r w:rsidR="00641421">
      <w:rPr>
        <w:noProof/>
        <w:kern w:val="0"/>
        <w:szCs w:val="21"/>
      </w:rPr>
      <w:t>3</w:t>
    </w:r>
    <w:r w:rsidR="00906CE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7B" w:rsidRDefault="00E00F7B">
      <w:r>
        <w:separator/>
      </w:r>
    </w:p>
  </w:footnote>
  <w:footnote w:type="continuationSeparator" w:id="1">
    <w:p w:rsidR="00E00F7B" w:rsidRDefault="00E0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88" w:rsidRPr="00E70357" w:rsidRDefault="00FD1688" w:rsidP="003440A3">
    <w:pPr>
      <w:pStyle w:val="a9"/>
      <w:pBdr>
        <w:bottom w:val="single" w:sz="6" w:space="0" w:color="auto"/>
      </w:pBdr>
      <w:jc w:val="right"/>
    </w:pPr>
    <w:r w:rsidRPr="002E74FF">
      <w:t>国泰上证</w:t>
    </w:r>
    <w:r w:rsidRPr="002E74FF">
      <w:t>5</w:t>
    </w:r>
    <w:r w:rsidRPr="002E74FF">
      <w:t>年期国债交易型开放式指数证券投资基金联接基金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3AE4"/>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5AB"/>
    <w:rsid w:val="0001767C"/>
    <w:rsid w:val="00020583"/>
    <w:rsid w:val="0002154E"/>
    <w:rsid w:val="00021813"/>
    <w:rsid w:val="000218DC"/>
    <w:rsid w:val="00021DD4"/>
    <w:rsid w:val="000221FE"/>
    <w:rsid w:val="00023BE7"/>
    <w:rsid w:val="0002438A"/>
    <w:rsid w:val="0002453B"/>
    <w:rsid w:val="000247D7"/>
    <w:rsid w:val="00024C15"/>
    <w:rsid w:val="00024C62"/>
    <w:rsid w:val="00024CA0"/>
    <w:rsid w:val="00025D55"/>
    <w:rsid w:val="0002695C"/>
    <w:rsid w:val="000271F5"/>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7267"/>
    <w:rsid w:val="000378BC"/>
    <w:rsid w:val="00037B23"/>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0EC"/>
    <w:rsid w:val="00045ED7"/>
    <w:rsid w:val="00046E0B"/>
    <w:rsid w:val="000471B4"/>
    <w:rsid w:val="0005026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805"/>
    <w:rsid w:val="00065BE3"/>
    <w:rsid w:val="00066524"/>
    <w:rsid w:val="000671A3"/>
    <w:rsid w:val="00067CB4"/>
    <w:rsid w:val="0007039D"/>
    <w:rsid w:val="00070CD1"/>
    <w:rsid w:val="00071022"/>
    <w:rsid w:val="0007171B"/>
    <w:rsid w:val="000717A1"/>
    <w:rsid w:val="00071E9D"/>
    <w:rsid w:val="0007211F"/>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5F6C"/>
    <w:rsid w:val="000861D6"/>
    <w:rsid w:val="0008624A"/>
    <w:rsid w:val="000863CA"/>
    <w:rsid w:val="00086622"/>
    <w:rsid w:val="00086699"/>
    <w:rsid w:val="000866AC"/>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D5"/>
    <w:rsid w:val="000A5D6B"/>
    <w:rsid w:val="000A650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2F57"/>
    <w:rsid w:val="000E34ED"/>
    <w:rsid w:val="000E374F"/>
    <w:rsid w:val="000E4456"/>
    <w:rsid w:val="000E44CF"/>
    <w:rsid w:val="000E48DB"/>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5DFD"/>
    <w:rsid w:val="00106605"/>
    <w:rsid w:val="00106893"/>
    <w:rsid w:val="001069ED"/>
    <w:rsid w:val="00106C1F"/>
    <w:rsid w:val="00107DBD"/>
    <w:rsid w:val="001101D9"/>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709"/>
    <w:rsid w:val="001248BE"/>
    <w:rsid w:val="001248EF"/>
    <w:rsid w:val="0012532D"/>
    <w:rsid w:val="001257C7"/>
    <w:rsid w:val="00125CC8"/>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0900"/>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3D5"/>
    <w:rsid w:val="001535AE"/>
    <w:rsid w:val="001539A1"/>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67C1A"/>
    <w:rsid w:val="0017073D"/>
    <w:rsid w:val="00170D38"/>
    <w:rsid w:val="00170F55"/>
    <w:rsid w:val="00171484"/>
    <w:rsid w:val="00171BAD"/>
    <w:rsid w:val="00171C60"/>
    <w:rsid w:val="00171DD5"/>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4661"/>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883"/>
    <w:rsid w:val="001F221F"/>
    <w:rsid w:val="001F294E"/>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6BC2"/>
    <w:rsid w:val="00207A46"/>
    <w:rsid w:val="002101B3"/>
    <w:rsid w:val="00211A26"/>
    <w:rsid w:val="00211AF2"/>
    <w:rsid w:val="00212249"/>
    <w:rsid w:val="002125F7"/>
    <w:rsid w:val="0021397C"/>
    <w:rsid w:val="00214418"/>
    <w:rsid w:val="00214463"/>
    <w:rsid w:val="00214756"/>
    <w:rsid w:val="002149A1"/>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5F4F"/>
    <w:rsid w:val="002363AB"/>
    <w:rsid w:val="00236933"/>
    <w:rsid w:val="00237110"/>
    <w:rsid w:val="0023727B"/>
    <w:rsid w:val="00237579"/>
    <w:rsid w:val="00237675"/>
    <w:rsid w:val="00237C6D"/>
    <w:rsid w:val="0024096B"/>
    <w:rsid w:val="00240FA7"/>
    <w:rsid w:val="002410C4"/>
    <w:rsid w:val="00241582"/>
    <w:rsid w:val="0024194E"/>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00F"/>
    <w:rsid w:val="00257359"/>
    <w:rsid w:val="00257578"/>
    <w:rsid w:val="00257B95"/>
    <w:rsid w:val="00260200"/>
    <w:rsid w:val="00260B06"/>
    <w:rsid w:val="002615F9"/>
    <w:rsid w:val="002616CB"/>
    <w:rsid w:val="00261D93"/>
    <w:rsid w:val="00262029"/>
    <w:rsid w:val="00263BBD"/>
    <w:rsid w:val="00263C1B"/>
    <w:rsid w:val="002648D8"/>
    <w:rsid w:val="00265AFB"/>
    <w:rsid w:val="00265D58"/>
    <w:rsid w:val="00267EE3"/>
    <w:rsid w:val="00267F59"/>
    <w:rsid w:val="002700E9"/>
    <w:rsid w:val="00270CE9"/>
    <w:rsid w:val="0027235A"/>
    <w:rsid w:val="00273069"/>
    <w:rsid w:val="00273EB3"/>
    <w:rsid w:val="00273F86"/>
    <w:rsid w:val="00274009"/>
    <w:rsid w:val="002741BE"/>
    <w:rsid w:val="00274323"/>
    <w:rsid w:val="002752EA"/>
    <w:rsid w:val="0027560D"/>
    <w:rsid w:val="00275EAD"/>
    <w:rsid w:val="00276A37"/>
    <w:rsid w:val="00276B03"/>
    <w:rsid w:val="002773FB"/>
    <w:rsid w:val="002774F0"/>
    <w:rsid w:val="00277722"/>
    <w:rsid w:val="00277FEB"/>
    <w:rsid w:val="002803A7"/>
    <w:rsid w:val="002807D5"/>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6D00"/>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630"/>
    <w:rsid w:val="002A07F4"/>
    <w:rsid w:val="002A090A"/>
    <w:rsid w:val="002A0B47"/>
    <w:rsid w:val="002A0EBB"/>
    <w:rsid w:val="002A1381"/>
    <w:rsid w:val="002A17C8"/>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877"/>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429C"/>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48A3"/>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E7DA8"/>
    <w:rsid w:val="002F0381"/>
    <w:rsid w:val="002F062A"/>
    <w:rsid w:val="002F083F"/>
    <w:rsid w:val="002F0F79"/>
    <w:rsid w:val="002F119D"/>
    <w:rsid w:val="002F1C9E"/>
    <w:rsid w:val="002F1E7E"/>
    <w:rsid w:val="002F1EB2"/>
    <w:rsid w:val="002F25C3"/>
    <w:rsid w:val="002F280E"/>
    <w:rsid w:val="002F2CBB"/>
    <w:rsid w:val="002F2F92"/>
    <w:rsid w:val="002F3025"/>
    <w:rsid w:val="002F3470"/>
    <w:rsid w:val="002F3709"/>
    <w:rsid w:val="002F3A6C"/>
    <w:rsid w:val="002F4296"/>
    <w:rsid w:val="002F5777"/>
    <w:rsid w:val="002F60EA"/>
    <w:rsid w:val="002F6275"/>
    <w:rsid w:val="002F680E"/>
    <w:rsid w:val="00300120"/>
    <w:rsid w:val="00300128"/>
    <w:rsid w:val="00300951"/>
    <w:rsid w:val="00300B4E"/>
    <w:rsid w:val="00300E8A"/>
    <w:rsid w:val="003011BD"/>
    <w:rsid w:val="003023C9"/>
    <w:rsid w:val="003024A2"/>
    <w:rsid w:val="00302CA8"/>
    <w:rsid w:val="00302DE9"/>
    <w:rsid w:val="0030400F"/>
    <w:rsid w:val="00304860"/>
    <w:rsid w:val="00304E23"/>
    <w:rsid w:val="00305084"/>
    <w:rsid w:val="0030522C"/>
    <w:rsid w:val="003054D8"/>
    <w:rsid w:val="0030612F"/>
    <w:rsid w:val="00306408"/>
    <w:rsid w:val="0030650C"/>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C65"/>
    <w:rsid w:val="00325EF2"/>
    <w:rsid w:val="00326927"/>
    <w:rsid w:val="00327D1E"/>
    <w:rsid w:val="003303E3"/>
    <w:rsid w:val="00330651"/>
    <w:rsid w:val="00331A88"/>
    <w:rsid w:val="003329EA"/>
    <w:rsid w:val="00332C6E"/>
    <w:rsid w:val="00332D73"/>
    <w:rsid w:val="003336FF"/>
    <w:rsid w:val="003338BE"/>
    <w:rsid w:val="00334300"/>
    <w:rsid w:val="0033483F"/>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5B92"/>
    <w:rsid w:val="00346047"/>
    <w:rsid w:val="00346759"/>
    <w:rsid w:val="00346D90"/>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41A"/>
    <w:rsid w:val="00373FD0"/>
    <w:rsid w:val="0037470E"/>
    <w:rsid w:val="00374FE6"/>
    <w:rsid w:val="00375378"/>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A86"/>
    <w:rsid w:val="00385C66"/>
    <w:rsid w:val="00386630"/>
    <w:rsid w:val="00386861"/>
    <w:rsid w:val="0038687F"/>
    <w:rsid w:val="00386A6C"/>
    <w:rsid w:val="003874B6"/>
    <w:rsid w:val="00387876"/>
    <w:rsid w:val="00387D43"/>
    <w:rsid w:val="00387F45"/>
    <w:rsid w:val="00390379"/>
    <w:rsid w:val="00390741"/>
    <w:rsid w:val="003909FB"/>
    <w:rsid w:val="00390B25"/>
    <w:rsid w:val="00390DD9"/>
    <w:rsid w:val="00391DC2"/>
    <w:rsid w:val="00392958"/>
    <w:rsid w:val="00392AE5"/>
    <w:rsid w:val="00395CAA"/>
    <w:rsid w:val="00396588"/>
    <w:rsid w:val="00396863"/>
    <w:rsid w:val="00396C75"/>
    <w:rsid w:val="003970B5"/>
    <w:rsid w:val="00397156"/>
    <w:rsid w:val="00397960"/>
    <w:rsid w:val="003A0663"/>
    <w:rsid w:val="003A0665"/>
    <w:rsid w:val="003A1FE0"/>
    <w:rsid w:val="003A292F"/>
    <w:rsid w:val="003A317A"/>
    <w:rsid w:val="003A3B62"/>
    <w:rsid w:val="003A3BC4"/>
    <w:rsid w:val="003A458A"/>
    <w:rsid w:val="003A46C9"/>
    <w:rsid w:val="003A4B6E"/>
    <w:rsid w:val="003A4DE2"/>
    <w:rsid w:val="003A4FE2"/>
    <w:rsid w:val="003A5119"/>
    <w:rsid w:val="003A551D"/>
    <w:rsid w:val="003A7E6F"/>
    <w:rsid w:val="003B05F2"/>
    <w:rsid w:val="003B09E4"/>
    <w:rsid w:val="003B0EE4"/>
    <w:rsid w:val="003B2BCE"/>
    <w:rsid w:val="003B2F13"/>
    <w:rsid w:val="003B3353"/>
    <w:rsid w:val="003B3818"/>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299A"/>
    <w:rsid w:val="003C48B1"/>
    <w:rsid w:val="003C57A7"/>
    <w:rsid w:val="003C5C2B"/>
    <w:rsid w:val="003C6457"/>
    <w:rsid w:val="003C6943"/>
    <w:rsid w:val="003C6BD2"/>
    <w:rsid w:val="003C7294"/>
    <w:rsid w:val="003C75D3"/>
    <w:rsid w:val="003C792F"/>
    <w:rsid w:val="003C7ABD"/>
    <w:rsid w:val="003C7C3D"/>
    <w:rsid w:val="003C7D16"/>
    <w:rsid w:val="003C7DDB"/>
    <w:rsid w:val="003D08F8"/>
    <w:rsid w:val="003D124B"/>
    <w:rsid w:val="003D1657"/>
    <w:rsid w:val="003D18F3"/>
    <w:rsid w:val="003D1C06"/>
    <w:rsid w:val="003D1DBF"/>
    <w:rsid w:val="003D251D"/>
    <w:rsid w:val="003D2CC1"/>
    <w:rsid w:val="003D372B"/>
    <w:rsid w:val="003D4B28"/>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B5"/>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D79"/>
    <w:rsid w:val="003F36F9"/>
    <w:rsid w:val="003F4241"/>
    <w:rsid w:val="003F4B8A"/>
    <w:rsid w:val="003F4BDD"/>
    <w:rsid w:val="003F4C20"/>
    <w:rsid w:val="003F62BB"/>
    <w:rsid w:val="003F6FEC"/>
    <w:rsid w:val="003F7C45"/>
    <w:rsid w:val="00400241"/>
    <w:rsid w:val="0040043A"/>
    <w:rsid w:val="0040132C"/>
    <w:rsid w:val="0040151E"/>
    <w:rsid w:val="00401EFD"/>
    <w:rsid w:val="0040231A"/>
    <w:rsid w:val="00402489"/>
    <w:rsid w:val="00402B67"/>
    <w:rsid w:val="004049BD"/>
    <w:rsid w:val="00404EB5"/>
    <w:rsid w:val="00405085"/>
    <w:rsid w:val="00405D28"/>
    <w:rsid w:val="0040613F"/>
    <w:rsid w:val="004066FC"/>
    <w:rsid w:val="00407481"/>
    <w:rsid w:val="00407C10"/>
    <w:rsid w:val="00407E90"/>
    <w:rsid w:val="004111B5"/>
    <w:rsid w:val="004113B4"/>
    <w:rsid w:val="00411F11"/>
    <w:rsid w:val="00412FE6"/>
    <w:rsid w:val="004132AC"/>
    <w:rsid w:val="00413323"/>
    <w:rsid w:val="00413A03"/>
    <w:rsid w:val="00414503"/>
    <w:rsid w:val="00414827"/>
    <w:rsid w:val="004153B3"/>
    <w:rsid w:val="00415772"/>
    <w:rsid w:val="004163FD"/>
    <w:rsid w:val="0041683D"/>
    <w:rsid w:val="00416C10"/>
    <w:rsid w:val="00416EDE"/>
    <w:rsid w:val="00417976"/>
    <w:rsid w:val="00417A0E"/>
    <w:rsid w:val="00417E4E"/>
    <w:rsid w:val="0042053A"/>
    <w:rsid w:val="00420972"/>
    <w:rsid w:val="00420E2E"/>
    <w:rsid w:val="004213D6"/>
    <w:rsid w:val="0042198A"/>
    <w:rsid w:val="00421C75"/>
    <w:rsid w:val="00421DA3"/>
    <w:rsid w:val="00422440"/>
    <w:rsid w:val="00422916"/>
    <w:rsid w:val="0042388D"/>
    <w:rsid w:val="00423BA3"/>
    <w:rsid w:val="004240FD"/>
    <w:rsid w:val="00424213"/>
    <w:rsid w:val="00424D6E"/>
    <w:rsid w:val="00424EF3"/>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04E0"/>
    <w:rsid w:val="00471425"/>
    <w:rsid w:val="0047237D"/>
    <w:rsid w:val="00472561"/>
    <w:rsid w:val="004731F1"/>
    <w:rsid w:val="004739B2"/>
    <w:rsid w:val="00473EB5"/>
    <w:rsid w:val="0047456B"/>
    <w:rsid w:val="0047476B"/>
    <w:rsid w:val="00475251"/>
    <w:rsid w:val="004755BD"/>
    <w:rsid w:val="00477400"/>
    <w:rsid w:val="00480280"/>
    <w:rsid w:val="00480BC8"/>
    <w:rsid w:val="00481265"/>
    <w:rsid w:val="004814BF"/>
    <w:rsid w:val="00482649"/>
    <w:rsid w:val="00482BDC"/>
    <w:rsid w:val="00483630"/>
    <w:rsid w:val="004836EA"/>
    <w:rsid w:val="00483F72"/>
    <w:rsid w:val="00485215"/>
    <w:rsid w:val="00485340"/>
    <w:rsid w:val="0048587E"/>
    <w:rsid w:val="004867A5"/>
    <w:rsid w:val="0048712F"/>
    <w:rsid w:val="00487C2B"/>
    <w:rsid w:val="004900FF"/>
    <w:rsid w:val="004903AA"/>
    <w:rsid w:val="00490403"/>
    <w:rsid w:val="0049125B"/>
    <w:rsid w:val="00491C58"/>
    <w:rsid w:val="00491FAB"/>
    <w:rsid w:val="00492081"/>
    <w:rsid w:val="0049227D"/>
    <w:rsid w:val="0049297D"/>
    <w:rsid w:val="004929F2"/>
    <w:rsid w:val="00492C1E"/>
    <w:rsid w:val="00492C34"/>
    <w:rsid w:val="00492F5E"/>
    <w:rsid w:val="0049338A"/>
    <w:rsid w:val="00493A30"/>
    <w:rsid w:val="0049455B"/>
    <w:rsid w:val="00495A03"/>
    <w:rsid w:val="00495E28"/>
    <w:rsid w:val="00495E65"/>
    <w:rsid w:val="0049695F"/>
    <w:rsid w:val="00497079"/>
    <w:rsid w:val="00497450"/>
    <w:rsid w:val="004976A0"/>
    <w:rsid w:val="00497F30"/>
    <w:rsid w:val="00497F49"/>
    <w:rsid w:val="004A1BBA"/>
    <w:rsid w:val="004A23C2"/>
    <w:rsid w:val="004A3336"/>
    <w:rsid w:val="004A3479"/>
    <w:rsid w:val="004A35E4"/>
    <w:rsid w:val="004A3D91"/>
    <w:rsid w:val="004A3E3C"/>
    <w:rsid w:val="004A4069"/>
    <w:rsid w:val="004A428D"/>
    <w:rsid w:val="004A484E"/>
    <w:rsid w:val="004A6513"/>
    <w:rsid w:val="004A68C2"/>
    <w:rsid w:val="004A6D96"/>
    <w:rsid w:val="004B0E6D"/>
    <w:rsid w:val="004B1396"/>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2EFB"/>
    <w:rsid w:val="004C405B"/>
    <w:rsid w:val="004C4550"/>
    <w:rsid w:val="004C54CA"/>
    <w:rsid w:val="004C5910"/>
    <w:rsid w:val="004C5E03"/>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7AB"/>
    <w:rsid w:val="00500B1E"/>
    <w:rsid w:val="00500B24"/>
    <w:rsid w:val="00500C17"/>
    <w:rsid w:val="00500E2F"/>
    <w:rsid w:val="00501355"/>
    <w:rsid w:val="00502416"/>
    <w:rsid w:val="005027F4"/>
    <w:rsid w:val="005036C2"/>
    <w:rsid w:val="005039F2"/>
    <w:rsid w:val="0050492E"/>
    <w:rsid w:val="005051C9"/>
    <w:rsid w:val="00505CB1"/>
    <w:rsid w:val="00505D68"/>
    <w:rsid w:val="00506389"/>
    <w:rsid w:val="00507000"/>
    <w:rsid w:val="0050763A"/>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27990"/>
    <w:rsid w:val="005308C9"/>
    <w:rsid w:val="00530A21"/>
    <w:rsid w:val="005310DD"/>
    <w:rsid w:val="00531851"/>
    <w:rsid w:val="005318CC"/>
    <w:rsid w:val="0053199E"/>
    <w:rsid w:val="00531C52"/>
    <w:rsid w:val="00531D65"/>
    <w:rsid w:val="005334E4"/>
    <w:rsid w:val="00533BAC"/>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5CC2"/>
    <w:rsid w:val="0054655E"/>
    <w:rsid w:val="00546601"/>
    <w:rsid w:val="00547D9C"/>
    <w:rsid w:val="00547DA1"/>
    <w:rsid w:val="00550116"/>
    <w:rsid w:val="005501BC"/>
    <w:rsid w:val="005505CC"/>
    <w:rsid w:val="0055068D"/>
    <w:rsid w:val="00550715"/>
    <w:rsid w:val="00551880"/>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AF5"/>
    <w:rsid w:val="00555C89"/>
    <w:rsid w:val="00556164"/>
    <w:rsid w:val="0055635F"/>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2FE"/>
    <w:rsid w:val="005B2B01"/>
    <w:rsid w:val="005B2E84"/>
    <w:rsid w:val="005B352F"/>
    <w:rsid w:val="005B3E66"/>
    <w:rsid w:val="005B3FE8"/>
    <w:rsid w:val="005B4215"/>
    <w:rsid w:val="005B436C"/>
    <w:rsid w:val="005B4711"/>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D78EC"/>
    <w:rsid w:val="005E0AE0"/>
    <w:rsid w:val="005E40C4"/>
    <w:rsid w:val="005E5501"/>
    <w:rsid w:val="005E6F8F"/>
    <w:rsid w:val="005F04E6"/>
    <w:rsid w:val="005F15DB"/>
    <w:rsid w:val="005F17EC"/>
    <w:rsid w:val="005F1C2F"/>
    <w:rsid w:val="005F3447"/>
    <w:rsid w:val="005F37B9"/>
    <w:rsid w:val="005F39D5"/>
    <w:rsid w:val="005F3AB5"/>
    <w:rsid w:val="005F3E05"/>
    <w:rsid w:val="005F3F98"/>
    <w:rsid w:val="005F43B9"/>
    <w:rsid w:val="005F55D6"/>
    <w:rsid w:val="005F5BC3"/>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9DC"/>
    <w:rsid w:val="00607F03"/>
    <w:rsid w:val="006105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67D"/>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1421"/>
    <w:rsid w:val="00642072"/>
    <w:rsid w:val="006431D0"/>
    <w:rsid w:val="006440ED"/>
    <w:rsid w:val="0064467C"/>
    <w:rsid w:val="00644AB5"/>
    <w:rsid w:val="00645213"/>
    <w:rsid w:val="00645293"/>
    <w:rsid w:val="00645BCD"/>
    <w:rsid w:val="006468CB"/>
    <w:rsid w:val="00646EE6"/>
    <w:rsid w:val="006475F3"/>
    <w:rsid w:val="006503C4"/>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7C6"/>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3C3"/>
    <w:rsid w:val="00680969"/>
    <w:rsid w:val="00681ED6"/>
    <w:rsid w:val="006824D6"/>
    <w:rsid w:val="00682948"/>
    <w:rsid w:val="00682C86"/>
    <w:rsid w:val="00683F61"/>
    <w:rsid w:val="00686205"/>
    <w:rsid w:val="00686A36"/>
    <w:rsid w:val="006877BA"/>
    <w:rsid w:val="00687AD5"/>
    <w:rsid w:val="00690DCB"/>
    <w:rsid w:val="0069211A"/>
    <w:rsid w:val="00692272"/>
    <w:rsid w:val="0069241A"/>
    <w:rsid w:val="006924D7"/>
    <w:rsid w:val="00692568"/>
    <w:rsid w:val="00692B81"/>
    <w:rsid w:val="00692C4F"/>
    <w:rsid w:val="00693FF7"/>
    <w:rsid w:val="006942C3"/>
    <w:rsid w:val="006949D2"/>
    <w:rsid w:val="00694C5F"/>
    <w:rsid w:val="00695251"/>
    <w:rsid w:val="006953EF"/>
    <w:rsid w:val="00695579"/>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308"/>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579E"/>
    <w:rsid w:val="006C61CD"/>
    <w:rsid w:val="006C6423"/>
    <w:rsid w:val="006C642C"/>
    <w:rsid w:val="006C6545"/>
    <w:rsid w:val="006C6FC6"/>
    <w:rsid w:val="006C7BB9"/>
    <w:rsid w:val="006C7D50"/>
    <w:rsid w:val="006D11EA"/>
    <w:rsid w:val="006D141C"/>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822"/>
    <w:rsid w:val="006F0BA7"/>
    <w:rsid w:val="006F0F01"/>
    <w:rsid w:val="006F14B8"/>
    <w:rsid w:val="006F174D"/>
    <w:rsid w:val="006F1F41"/>
    <w:rsid w:val="006F2436"/>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17A84"/>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27C81"/>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47D31"/>
    <w:rsid w:val="00750358"/>
    <w:rsid w:val="00751ABE"/>
    <w:rsid w:val="007520A3"/>
    <w:rsid w:val="007526F5"/>
    <w:rsid w:val="00752ACD"/>
    <w:rsid w:val="007535EA"/>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14CF"/>
    <w:rsid w:val="00762ABF"/>
    <w:rsid w:val="007632A5"/>
    <w:rsid w:val="00764A94"/>
    <w:rsid w:val="00764B26"/>
    <w:rsid w:val="00764EA6"/>
    <w:rsid w:val="0076503D"/>
    <w:rsid w:val="00765065"/>
    <w:rsid w:val="007651A9"/>
    <w:rsid w:val="007651E5"/>
    <w:rsid w:val="0076524F"/>
    <w:rsid w:val="00765584"/>
    <w:rsid w:val="007665B2"/>
    <w:rsid w:val="007670DC"/>
    <w:rsid w:val="0076715F"/>
    <w:rsid w:val="00767356"/>
    <w:rsid w:val="00770DC0"/>
    <w:rsid w:val="00770F2A"/>
    <w:rsid w:val="0077111A"/>
    <w:rsid w:val="00771316"/>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2D22"/>
    <w:rsid w:val="007836EA"/>
    <w:rsid w:val="00783BA5"/>
    <w:rsid w:val="007842B4"/>
    <w:rsid w:val="00784F9E"/>
    <w:rsid w:val="0078533C"/>
    <w:rsid w:val="007856FD"/>
    <w:rsid w:val="007857FB"/>
    <w:rsid w:val="00786D99"/>
    <w:rsid w:val="007870FC"/>
    <w:rsid w:val="00787CD0"/>
    <w:rsid w:val="007905A2"/>
    <w:rsid w:val="00791053"/>
    <w:rsid w:val="00791261"/>
    <w:rsid w:val="0079184A"/>
    <w:rsid w:val="007918FE"/>
    <w:rsid w:val="00791A3A"/>
    <w:rsid w:val="00791B43"/>
    <w:rsid w:val="0079262D"/>
    <w:rsid w:val="0079286D"/>
    <w:rsid w:val="00792A53"/>
    <w:rsid w:val="00794196"/>
    <w:rsid w:val="00794C47"/>
    <w:rsid w:val="00794F57"/>
    <w:rsid w:val="00794FFF"/>
    <w:rsid w:val="00795570"/>
    <w:rsid w:val="007956BC"/>
    <w:rsid w:val="00795EC6"/>
    <w:rsid w:val="00796025"/>
    <w:rsid w:val="00796D4D"/>
    <w:rsid w:val="007971B8"/>
    <w:rsid w:val="007972F9"/>
    <w:rsid w:val="00797637"/>
    <w:rsid w:val="00797CE3"/>
    <w:rsid w:val="007A0018"/>
    <w:rsid w:val="007A0ADE"/>
    <w:rsid w:val="007A1084"/>
    <w:rsid w:val="007A1B35"/>
    <w:rsid w:val="007A24B5"/>
    <w:rsid w:val="007A2DE0"/>
    <w:rsid w:val="007A2EA6"/>
    <w:rsid w:val="007A3680"/>
    <w:rsid w:val="007A3BCD"/>
    <w:rsid w:val="007A4354"/>
    <w:rsid w:val="007A4C1C"/>
    <w:rsid w:val="007A5214"/>
    <w:rsid w:val="007A59B8"/>
    <w:rsid w:val="007A65AF"/>
    <w:rsid w:val="007A68D8"/>
    <w:rsid w:val="007A709D"/>
    <w:rsid w:val="007A7682"/>
    <w:rsid w:val="007A7F42"/>
    <w:rsid w:val="007B109E"/>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490"/>
    <w:rsid w:val="007D1FE9"/>
    <w:rsid w:val="007D26C5"/>
    <w:rsid w:val="007D27DB"/>
    <w:rsid w:val="007D28C9"/>
    <w:rsid w:val="007D2EEC"/>
    <w:rsid w:val="007D326B"/>
    <w:rsid w:val="007D33E1"/>
    <w:rsid w:val="007D37CD"/>
    <w:rsid w:val="007D38F0"/>
    <w:rsid w:val="007D3CC8"/>
    <w:rsid w:val="007D430A"/>
    <w:rsid w:val="007D47FB"/>
    <w:rsid w:val="007D4C27"/>
    <w:rsid w:val="007D4C35"/>
    <w:rsid w:val="007D4DD3"/>
    <w:rsid w:val="007D5331"/>
    <w:rsid w:val="007D56DB"/>
    <w:rsid w:val="007D576A"/>
    <w:rsid w:val="007D57C0"/>
    <w:rsid w:val="007D619E"/>
    <w:rsid w:val="007D62F9"/>
    <w:rsid w:val="007D63A4"/>
    <w:rsid w:val="007D6542"/>
    <w:rsid w:val="007D675E"/>
    <w:rsid w:val="007D6852"/>
    <w:rsid w:val="007D7F69"/>
    <w:rsid w:val="007E027D"/>
    <w:rsid w:val="007E0E66"/>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5EDC"/>
    <w:rsid w:val="007E5F28"/>
    <w:rsid w:val="007F01DE"/>
    <w:rsid w:val="007F02E5"/>
    <w:rsid w:val="007F0759"/>
    <w:rsid w:val="007F0BCC"/>
    <w:rsid w:val="007F156E"/>
    <w:rsid w:val="007F1CF3"/>
    <w:rsid w:val="007F23D2"/>
    <w:rsid w:val="007F25C0"/>
    <w:rsid w:val="007F30BB"/>
    <w:rsid w:val="007F397B"/>
    <w:rsid w:val="007F5F52"/>
    <w:rsid w:val="007F623A"/>
    <w:rsid w:val="007F6449"/>
    <w:rsid w:val="007F672A"/>
    <w:rsid w:val="007F6A1D"/>
    <w:rsid w:val="007F7651"/>
    <w:rsid w:val="007F77C6"/>
    <w:rsid w:val="007F79D4"/>
    <w:rsid w:val="008003A1"/>
    <w:rsid w:val="008006B7"/>
    <w:rsid w:val="00800FDB"/>
    <w:rsid w:val="00801BE2"/>
    <w:rsid w:val="00802081"/>
    <w:rsid w:val="008020F6"/>
    <w:rsid w:val="0080298E"/>
    <w:rsid w:val="00802D35"/>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3A9D"/>
    <w:rsid w:val="00825013"/>
    <w:rsid w:val="00825268"/>
    <w:rsid w:val="00825446"/>
    <w:rsid w:val="0082571C"/>
    <w:rsid w:val="00825B94"/>
    <w:rsid w:val="00825BB4"/>
    <w:rsid w:val="00825F68"/>
    <w:rsid w:val="008273D2"/>
    <w:rsid w:val="00830E92"/>
    <w:rsid w:val="008320ED"/>
    <w:rsid w:val="00832A0F"/>
    <w:rsid w:val="00833EF3"/>
    <w:rsid w:val="00834024"/>
    <w:rsid w:val="00835179"/>
    <w:rsid w:val="008353D5"/>
    <w:rsid w:val="00835408"/>
    <w:rsid w:val="008358A2"/>
    <w:rsid w:val="008359DA"/>
    <w:rsid w:val="008367AF"/>
    <w:rsid w:val="0083714D"/>
    <w:rsid w:val="00837CEF"/>
    <w:rsid w:val="00837E2F"/>
    <w:rsid w:val="00837E6D"/>
    <w:rsid w:val="00840035"/>
    <w:rsid w:val="00840C45"/>
    <w:rsid w:val="008413C5"/>
    <w:rsid w:val="00842661"/>
    <w:rsid w:val="008428A9"/>
    <w:rsid w:val="00843EAC"/>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DD"/>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1FC6"/>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6B6"/>
    <w:rsid w:val="008819B6"/>
    <w:rsid w:val="00881AAC"/>
    <w:rsid w:val="00881CFB"/>
    <w:rsid w:val="00882675"/>
    <w:rsid w:val="00882A97"/>
    <w:rsid w:val="008836B7"/>
    <w:rsid w:val="00883F44"/>
    <w:rsid w:val="00883F7C"/>
    <w:rsid w:val="008841D3"/>
    <w:rsid w:val="00884987"/>
    <w:rsid w:val="008849B3"/>
    <w:rsid w:val="008849EF"/>
    <w:rsid w:val="00884BE0"/>
    <w:rsid w:val="00885D53"/>
    <w:rsid w:val="00886C76"/>
    <w:rsid w:val="008874CD"/>
    <w:rsid w:val="0088799E"/>
    <w:rsid w:val="00887BF9"/>
    <w:rsid w:val="00887DE6"/>
    <w:rsid w:val="00891EB1"/>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586A"/>
    <w:rsid w:val="008B5D1C"/>
    <w:rsid w:val="008B6188"/>
    <w:rsid w:val="008B6651"/>
    <w:rsid w:val="008B6B0E"/>
    <w:rsid w:val="008B6E16"/>
    <w:rsid w:val="008B70E7"/>
    <w:rsid w:val="008B7110"/>
    <w:rsid w:val="008B7A20"/>
    <w:rsid w:val="008C00F8"/>
    <w:rsid w:val="008C03BE"/>
    <w:rsid w:val="008C0DF9"/>
    <w:rsid w:val="008C15AC"/>
    <w:rsid w:val="008C1ECC"/>
    <w:rsid w:val="008C2029"/>
    <w:rsid w:val="008C267C"/>
    <w:rsid w:val="008C2E44"/>
    <w:rsid w:val="008C2F4F"/>
    <w:rsid w:val="008C327A"/>
    <w:rsid w:val="008C3370"/>
    <w:rsid w:val="008C3427"/>
    <w:rsid w:val="008C3BC2"/>
    <w:rsid w:val="008C4F76"/>
    <w:rsid w:val="008C55AD"/>
    <w:rsid w:val="008C61D6"/>
    <w:rsid w:val="008C649D"/>
    <w:rsid w:val="008C64F1"/>
    <w:rsid w:val="008C70DC"/>
    <w:rsid w:val="008C71C5"/>
    <w:rsid w:val="008C7286"/>
    <w:rsid w:val="008C7C1A"/>
    <w:rsid w:val="008D0B2A"/>
    <w:rsid w:val="008D0DC1"/>
    <w:rsid w:val="008D1434"/>
    <w:rsid w:val="008D1453"/>
    <w:rsid w:val="008D1564"/>
    <w:rsid w:val="008D1BB0"/>
    <w:rsid w:val="008D20FF"/>
    <w:rsid w:val="008D2B4B"/>
    <w:rsid w:val="008D2B9A"/>
    <w:rsid w:val="008D3375"/>
    <w:rsid w:val="008D3A3D"/>
    <w:rsid w:val="008D3C76"/>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B8B"/>
    <w:rsid w:val="008E5DB7"/>
    <w:rsid w:val="008E61EB"/>
    <w:rsid w:val="008E6F65"/>
    <w:rsid w:val="008E7896"/>
    <w:rsid w:val="008E79C7"/>
    <w:rsid w:val="008E7B6F"/>
    <w:rsid w:val="008E7C9D"/>
    <w:rsid w:val="008E7D8A"/>
    <w:rsid w:val="008F0275"/>
    <w:rsid w:val="008F064D"/>
    <w:rsid w:val="008F0C14"/>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6CE6"/>
    <w:rsid w:val="00907264"/>
    <w:rsid w:val="00907378"/>
    <w:rsid w:val="0090765F"/>
    <w:rsid w:val="00910D7D"/>
    <w:rsid w:val="00911305"/>
    <w:rsid w:val="009115CA"/>
    <w:rsid w:val="0091161B"/>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27EF4"/>
    <w:rsid w:val="009301DB"/>
    <w:rsid w:val="00930705"/>
    <w:rsid w:val="00930873"/>
    <w:rsid w:val="009309DA"/>
    <w:rsid w:val="00931040"/>
    <w:rsid w:val="00931316"/>
    <w:rsid w:val="00931663"/>
    <w:rsid w:val="00931D22"/>
    <w:rsid w:val="00932CC7"/>
    <w:rsid w:val="00933CC8"/>
    <w:rsid w:val="009343E4"/>
    <w:rsid w:val="0093488D"/>
    <w:rsid w:val="00934C92"/>
    <w:rsid w:val="00935306"/>
    <w:rsid w:val="00936591"/>
    <w:rsid w:val="00936688"/>
    <w:rsid w:val="00937202"/>
    <w:rsid w:val="00937212"/>
    <w:rsid w:val="00937683"/>
    <w:rsid w:val="00937AC9"/>
    <w:rsid w:val="00937CFA"/>
    <w:rsid w:val="00940291"/>
    <w:rsid w:val="009406B3"/>
    <w:rsid w:val="0094127A"/>
    <w:rsid w:val="00941EEA"/>
    <w:rsid w:val="00942286"/>
    <w:rsid w:val="009424A7"/>
    <w:rsid w:val="009428AD"/>
    <w:rsid w:val="00943748"/>
    <w:rsid w:val="0094378D"/>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0FA8"/>
    <w:rsid w:val="00961272"/>
    <w:rsid w:val="00961356"/>
    <w:rsid w:val="00962401"/>
    <w:rsid w:val="00962510"/>
    <w:rsid w:val="0096260B"/>
    <w:rsid w:val="0096262B"/>
    <w:rsid w:val="009626D4"/>
    <w:rsid w:val="0096275C"/>
    <w:rsid w:val="009627FF"/>
    <w:rsid w:val="00962A27"/>
    <w:rsid w:val="00962B9D"/>
    <w:rsid w:val="00962EDC"/>
    <w:rsid w:val="009640E8"/>
    <w:rsid w:val="00964E3D"/>
    <w:rsid w:val="009664D5"/>
    <w:rsid w:val="00966AE1"/>
    <w:rsid w:val="009670C1"/>
    <w:rsid w:val="00967657"/>
    <w:rsid w:val="00970C69"/>
    <w:rsid w:val="0097178C"/>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62F3"/>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CD"/>
    <w:rsid w:val="009871EA"/>
    <w:rsid w:val="00987DF5"/>
    <w:rsid w:val="00987FA6"/>
    <w:rsid w:val="0099056D"/>
    <w:rsid w:val="00990573"/>
    <w:rsid w:val="009910DC"/>
    <w:rsid w:val="00991675"/>
    <w:rsid w:val="0099167C"/>
    <w:rsid w:val="00992BA2"/>
    <w:rsid w:val="00992F83"/>
    <w:rsid w:val="0099344F"/>
    <w:rsid w:val="009936D2"/>
    <w:rsid w:val="00993717"/>
    <w:rsid w:val="00993A3C"/>
    <w:rsid w:val="00994A41"/>
    <w:rsid w:val="0099508A"/>
    <w:rsid w:val="00996E26"/>
    <w:rsid w:val="00997072"/>
    <w:rsid w:val="009974EB"/>
    <w:rsid w:val="00997A12"/>
    <w:rsid w:val="009A1126"/>
    <w:rsid w:val="009A192C"/>
    <w:rsid w:val="009A1B37"/>
    <w:rsid w:val="009A212D"/>
    <w:rsid w:val="009A36B8"/>
    <w:rsid w:val="009A3874"/>
    <w:rsid w:val="009A5564"/>
    <w:rsid w:val="009A6063"/>
    <w:rsid w:val="009A6E2D"/>
    <w:rsid w:val="009A7469"/>
    <w:rsid w:val="009A794D"/>
    <w:rsid w:val="009A7D60"/>
    <w:rsid w:val="009B056F"/>
    <w:rsid w:val="009B07EE"/>
    <w:rsid w:val="009B1584"/>
    <w:rsid w:val="009B1B32"/>
    <w:rsid w:val="009B1F54"/>
    <w:rsid w:val="009B21CA"/>
    <w:rsid w:val="009B2648"/>
    <w:rsid w:val="009B395A"/>
    <w:rsid w:val="009B424E"/>
    <w:rsid w:val="009B4317"/>
    <w:rsid w:val="009B475A"/>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57F"/>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04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568E"/>
    <w:rsid w:val="009E6401"/>
    <w:rsid w:val="009E6C54"/>
    <w:rsid w:val="009F04C8"/>
    <w:rsid w:val="009F0812"/>
    <w:rsid w:val="009F0E02"/>
    <w:rsid w:val="009F23ED"/>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6FF9"/>
    <w:rsid w:val="00A0740C"/>
    <w:rsid w:val="00A114B9"/>
    <w:rsid w:val="00A11A74"/>
    <w:rsid w:val="00A1308A"/>
    <w:rsid w:val="00A131DE"/>
    <w:rsid w:val="00A13A65"/>
    <w:rsid w:val="00A14589"/>
    <w:rsid w:val="00A14AE3"/>
    <w:rsid w:val="00A15FEB"/>
    <w:rsid w:val="00A16675"/>
    <w:rsid w:val="00A17716"/>
    <w:rsid w:val="00A212B9"/>
    <w:rsid w:val="00A21955"/>
    <w:rsid w:val="00A22CD6"/>
    <w:rsid w:val="00A232BC"/>
    <w:rsid w:val="00A234EC"/>
    <w:rsid w:val="00A23A26"/>
    <w:rsid w:val="00A23E6C"/>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2C0F"/>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916"/>
    <w:rsid w:val="00A62EDC"/>
    <w:rsid w:val="00A62FCD"/>
    <w:rsid w:val="00A63246"/>
    <w:rsid w:val="00A63284"/>
    <w:rsid w:val="00A63458"/>
    <w:rsid w:val="00A6372D"/>
    <w:rsid w:val="00A63A13"/>
    <w:rsid w:val="00A63F55"/>
    <w:rsid w:val="00A64CB8"/>
    <w:rsid w:val="00A6517A"/>
    <w:rsid w:val="00A65E2A"/>
    <w:rsid w:val="00A66065"/>
    <w:rsid w:val="00A67018"/>
    <w:rsid w:val="00A671D2"/>
    <w:rsid w:val="00A67289"/>
    <w:rsid w:val="00A672F3"/>
    <w:rsid w:val="00A673DC"/>
    <w:rsid w:val="00A67CDE"/>
    <w:rsid w:val="00A706EA"/>
    <w:rsid w:val="00A7076E"/>
    <w:rsid w:val="00A709BE"/>
    <w:rsid w:val="00A70D85"/>
    <w:rsid w:val="00A71333"/>
    <w:rsid w:val="00A7162E"/>
    <w:rsid w:val="00A719B2"/>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150F"/>
    <w:rsid w:val="00A92579"/>
    <w:rsid w:val="00A929DC"/>
    <w:rsid w:val="00A931BC"/>
    <w:rsid w:val="00A936F9"/>
    <w:rsid w:val="00A93D04"/>
    <w:rsid w:val="00A9431A"/>
    <w:rsid w:val="00A947AA"/>
    <w:rsid w:val="00A94888"/>
    <w:rsid w:val="00A96570"/>
    <w:rsid w:val="00A9681C"/>
    <w:rsid w:val="00A96867"/>
    <w:rsid w:val="00A96A94"/>
    <w:rsid w:val="00A96B3D"/>
    <w:rsid w:val="00AA02E4"/>
    <w:rsid w:val="00AA0C2D"/>
    <w:rsid w:val="00AA1585"/>
    <w:rsid w:val="00AA1976"/>
    <w:rsid w:val="00AA1B53"/>
    <w:rsid w:val="00AA1C20"/>
    <w:rsid w:val="00AA1CFA"/>
    <w:rsid w:val="00AA1DEA"/>
    <w:rsid w:val="00AA256D"/>
    <w:rsid w:val="00AA2F1A"/>
    <w:rsid w:val="00AA311D"/>
    <w:rsid w:val="00AA3556"/>
    <w:rsid w:val="00AA35FD"/>
    <w:rsid w:val="00AA3DB7"/>
    <w:rsid w:val="00AA41D3"/>
    <w:rsid w:val="00AA4629"/>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4F5E"/>
    <w:rsid w:val="00AB5381"/>
    <w:rsid w:val="00AB5AE5"/>
    <w:rsid w:val="00AB688F"/>
    <w:rsid w:val="00AB6ADF"/>
    <w:rsid w:val="00AB75EA"/>
    <w:rsid w:val="00AB7654"/>
    <w:rsid w:val="00AB7AA2"/>
    <w:rsid w:val="00AC0116"/>
    <w:rsid w:val="00AC0280"/>
    <w:rsid w:val="00AC0A22"/>
    <w:rsid w:val="00AC0A3B"/>
    <w:rsid w:val="00AC12EE"/>
    <w:rsid w:val="00AC1515"/>
    <w:rsid w:val="00AC1941"/>
    <w:rsid w:val="00AC2234"/>
    <w:rsid w:val="00AC2EE3"/>
    <w:rsid w:val="00AC35CA"/>
    <w:rsid w:val="00AC3CDA"/>
    <w:rsid w:val="00AC3FF3"/>
    <w:rsid w:val="00AC42A4"/>
    <w:rsid w:val="00AC4BC1"/>
    <w:rsid w:val="00AC54B2"/>
    <w:rsid w:val="00AC5715"/>
    <w:rsid w:val="00AC5DF0"/>
    <w:rsid w:val="00AC6D32"/>
    <w:rsid w:val="00AC6E7A"/>
    <w:rsid w:val="00AC7E06"/>
    <w:rsid w:val="00AC7F6B"/>
    <w:rsid w:val="00AD04BD"/>
    <w:rsid w:val="00AD0765"/>
    <w:rsid w:val="00AD0784"/>
    <w:rsid w:val="00AD0F00"/>
    <w:rsid w:val="00AD0F15"/>
    <w:rsid w:val="00AD1469"/>
    <w:rsid w:val="00AD2B19"/>
    <w:rsid w:val="00AD52F6"/>
    <w:rsid w:val="00AD55A8"/>
    <w:rsid w:val="00AD5CA4"/>
    <w:rsid w:val="00AD690B"/>
    <w:rsid w:val="00AD6A91"/>
    <w:rsid w:val="00AD7214"/>
    <w:rsid w:val="00AD7567"/>
    <w:rsid w:val="00AE04DB"/>
    <w:rsid w:val="00AE0508"/>
    <w:rsid w:val="00AE0652"/>
    <w:rsid w:val="00AE1066"/>
    <w:rsid w:val="00AE13C9"/>
    <w:rsid w:val="00AE14DD"/>
    <w:rsid w:val="00AE295B"/>
    <w:rsid w:val="00AE2FA5"/>
    <w:rsid w:val="00AE3A4F"/>
    <w:rsid w:val="00AE4518"/>
    <w:rsid w:val="00AE4BDA"/>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01E"/>
    <w:rsid w:val="00B13A85"/>
    <w:rsid w:val="00B13BC7"/>
    <w:rsid w:val="00B13CD4"/>
    <w:rsid w:val="00B13EA9"/>
    <w:rsid w:val="00B153D8"/>
    <w:rsid w:val="00B154DE"/>
    <w:rsid w:val="00B1552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18D"/>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949"/>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79B"/>
    <w:rsid w:val="00B70DC7"/>
    <w:rsid w:val="00B71346"/>
    <w:rsid w:val="00B71D38"/>
    <w:rsid w:val="00B721A4"/>
    <w:rsid w:val="00B72B5B"/>
    <w:rsid w:val="00B72EFF"/>
    <w:rsid w:val="00B750C2"/>
    <w:rsid w:val="00B75202"/>
    <w:rsid w:val="00B756CB"/>
    <w:rsid w:val="00B75735"/>
    <w:rsid w:val="00B75C35"/>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0AD6"/>
    <w:rsid w:val="00B91BC2"/>
    <w:rsid w:val="00B9240D"/>
    <w:rsid w:val="00B93182"/>
    <w:rsid w:val="00B932B3"/>
    <w:rsid w:val="00B936DB"/>
    <w:rsid w:val="00B93B89"/>
    <w:rsid w:val="00B93E01"/>
    <w:rsid w:val="00B945E3"/>
    <w:rsid w:val="00B94960"/>
    <w:rsid w:val="00B960A7"/>
    <w:rsid w:val="00B96F6E"/>
    <w:rsid w:val="00B97211"/>
    <w:rsid w:val="00BA08AB"/>
    <w:rsid w:val="00BA0DE9"/>
    <w:rsid w:val="00BA22A8"/>
    <w:rsid w:val="00BA309F"/>
    <w:rsid w:val="00BA32A0"/>
    <w:rsid w:val="00BA3ADE"/>
    <w:rsid w:val="00BA3E48"/>
    <w:rsid w:val="00BA4905"/>
    <w:rsid w:val="00BA4BD3"/>
    <w:rsid w:val="00BA5D82"/>
    <w:rsid w:val="00BA6E49"/>
    <w:rsid w:val="00BA6FB1"/>
    <w:rsid w:val="00BA7DA9"/>
    <w:rsid w:val="00BB0187"/>
    <w:rsid w:val="00BB0E56"/>
    <w:rsid w:val="00BB0EA2"/>
    <w:rsid w:val="00BB0FCE"/>
    <w:rsid w:val="00BB1A8D"/>
    <w:rsid w:val="00BB1EB3"/>
    <w:rsid w:val="00BB236B"/>
    <w:rsid w:val="00BB2678"/>
    <w:rsid w:val="00BB3077"/>
    <w:rsid w:val="00BB313F"/>
    <w:rsid w:val="00BB3148"/>
    <w:rsid w:val="00BB33A8"/>
    <w:rsid w:val="00BB3927"/>
    <w:rsid w:val="00BB3D8C"/>
    <w:rsid w:val="00BB48CF"/>
    <w:rsid w:val="00BB4B39"/>
    <w:rsid w:val="00BB50EF"/>
    <w:rsid w:val="00BB53AF"/>
    <w:rsid w:val="00BB5437"/>
    <w:rsid w:val="00BB5825"/>
    <w:rsid w:val="00BB5C26"/>
    <w:rsid w:val="00BB67C7"/>
    <w:rsid w:val="00BB6A40"/>
    <w:rsid w:val="00BB6D78"/>
    <w:rsid w:val="00BB7B61"/>
    <w:rsid w:val="00BB7D4B"/>
    <w:rsid w:val="00BC013A"/>
    <w:rsid w:val="00BC03D1"/>
    <w:rsid w:val="00BC162A"/>
    <w:rsid w:val="00BC173A"/>
    <w:rsid w:val="00BC2343"/>
    <w:rsid w:val="00BC2AEE"/>
    <w:rsid w:val="00BC3454"/>
    <w:rsid w:val="00BC3A99"/>
    <w:rsid w:val="00BC3FDD"/>
    <w:rsid w:val="00BC44FC"/>
    <w:rsid w:val="00BC50A1"/>
    <w:rsid w:val="00BC5824"/>
    <w:rsid w:val="00BC60BE"/>
    <w:rsid w:val="00BC65C6"/>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62C"/>
    <w:rsid w:val="00BE3A1D"/>
    <w:rsid w:val="00BE3B92"/>
    <w:rsid w:val="00BE45B6"/>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17"/>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26F"/>
    <w:rsid w:val="00C176CC"/>
    <w:rsid w:val="00C1773D"/>
    <w:rsid w:val="00C17E00"/>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117"/>
    <w:rsid w:val="00C3041A"/>
    <w:rsid w:val="00C304D1"/>
    <w:rsid w:val="00C31195"/>
    <w:rsid w:val="00C3129F"/>
    <w:rsid w:val="00C31644"/>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2FB2"/>
    <w:rsid w:val="00C43934"/>
    <w:rsid w:val="00C439FB"/>
    <w:rsid w:val="00C43AA8"/>
    <w:rsid w:val="00C43F23"/>
    <w:rsid w:val="00C441A4"/>
    <w:rsid w:val="00C463C9"/>
    <w:rsid w:val="00C47648"/>
    <w:rsid w:val="00C47852"/>
    <w:rsid w:val="00C50011"/>
    <w:rsid w:val="00C504E0"/>
    <w:rsid w:val="00C50F61"/>
    <w:rsid w:val="00C51A79"/>
    <w:rsid w:val="00C5243F"/>
    <w:rsid w:val="00C5254B"/>
    <w:rsid w:val="00C53429"/>
    <w:rsid w:val="00C5494B"/>
    <w:rsid w:val="00C55D39"/>
    <w:rsid w:val="00C55EEF"/>
    <w:rsid w:val="00C55FBF"/>
    <w:rsid w:val="00C56203"/>
    <w:rsid w:val="00C572CC"/>
    <w:rsid w:val="00C57E68"/>
    <w:rsid w:val="00C57F58"/>
    <w:rsid w:val="00C601C9"/>
    <w:rsid w:val="00C623C6"/>
    <w:rsid w:val="00C624F1"/>
    <w:rsid w:val="00C62840"/>
    <w:rsid w:val="00C630F4"/>
    <w:rsid w:val="00C631D3"/>
    <w:rsid w:val="00C63F7D"/>
    <w:rsid w:val="00C645DE"/>
    <w:rsid w:val="00C645E6"/>
    <w:rsid w:val="00C64813"/>
    <w:rsid w:val="00C64BB0"/>
    <w:rsid w:val="00C64D82"/>
    <w:rsid w:val="00C64FBC"/>
    <w:rsid w:val="00C659FE"/>
    <w:rsid w:val="00C65A83"/>
    <w:rsid w:val="00C65E18"/>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914"/>
    <w:rsid w:val="00CB5C99"/>
    <w:rsid w:val="00CB633B"/>
    <w:rsid w:val="00CB6782"/>
    <w:rsid w:val="00CB6CFD"/>
    <w:rsid w:val="00CB6E3E"/>
    <w:rsid w:val="00CB7057"/>
    <w:rsid w:val="00CB7161"/>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44"/>
    <w:rsid w:val="00CD1FB5"/>
    <w:rsid w:val="00CD2E48"/>
    <w:rsid w:val="00CD3620"/>
    <w:rsid w:val="00CD45A4"/>
    <w:rsid w:val="00CD4826"/>
    <w:rsid w:val="00CD4E19"/>
    <w:rsid w:val="00CD603B"/>
    <w:rsid w:val="00CD6219"/>
    <w:rsid w:val="00CD6312"/>
    <w:rsid w:val="00CD700F"/>
    <w:rsid w:val="00CD7319"/>
    <w:rsid w:val="00CE13B0"/>
    <w:rsid w:val="00CE148E"/>
    <w:rsid w:val="00CE208D"/>
    <w:rsid w:val="00CE2453"/>
    <w:rsid w:val="00CE3047"/>
    <w:rsid w:val="00CE356D"/>
    <w:rsid w:val="00CE3FA4"/>
    <w:rsid w:val="00CE44F8"/>
    <w:rsid w:val="00CE460D"/>
    <w:rsid w:val="00CE4A90"/>
    <w:rsid w:val="00CE5129"/>
    <w:rsid w:val="00CE5277"/>
    <w:rsid w:val="00CE5B4D"/>
    <w:rsid w:val="00CE6358"/>
    <w:rsid w:val="00CE6686"/>
    <w:rsid w:val="00CE6E97"/>
    <w:rsid w:val="00CE7868"/>
    <w:rsid w:val="00CE796C"/>
    <w:rsid w:val="00CF0674"/>
    <w:rsid w:val="00CF1B70"/>
    <w:rsid w:val="00CF1DD1"/>
    <w:rsid w:val="00CF2161"/>
    <w:rsid w:val="00CF2307"/>
    <w:rsid w:val="00CF239B"/>
    <w:rsid w:val="00CF26AE"/>
    <w:rsid w:val="00CF2D54"/>
    <w:rsid w:val="00CF2EE6"/>
    <w:rsid w:val="00CF311F"/>
    <w:rsid w:val="00CF5047"/>
    <w:rsid w:val="00CF5575"/>
    <w:rsid w:val="00D01344"/>
    <w:rsid w:val="00D015DA"/>
    <w:rsid w:val="00D01B90"/>
    <w:rsid w:val="00D01D12"/>
    <w:rsid w:val="00D01D18"/>
    <w:rsid w:val="00D024CD"/>
    <w:rsid w:val="00D034DA"/>
    <w:rsid w:val="00D03538"/>
    <w:rsid w:val="00D0421D"/>
    <w:rsid w:val="00D044CE"/>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FA3"/>
    <w:rsid w:val="00D30755"/>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58E4"/>
    <w:rsid w:val="00D465B2"/>
    <w:rsid w:val="00D47399"/>
    <w:rsid w:val="00D47BB2"/>
    <w:rsid w:val="00D47D04"/>
    <w:rsid w:val="00D5056A"/>
    <w:rsid w:val="00D510A0"/>
    <w:rsid w:val="00D519DD"/>
    <w:rsid w:val="00D527EE"/>
    <w:rsid w:val="00D529C4"/>
    <w:rsid w:val="00D529FD"/>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2C36"/>
    <w:rsid w:val="00D634DA"/>
    <w:rsid w:val="00D6358E"/>
    <w:rsid w:val="00D63DBA"/>
    <w:rsid w:val="00D647DE"/>
    <w:rsid w:val="00D6501F"/>
    <w:rsid w:val="00D65347"/>
    <w:rsid w:val="00D65452"/>
    <w:rsid w:val="00D67D12"/>
    <w:rsid w:val="00D705FF"/>
    <w:rsid w:val="00D706A8"/>
    <w:rsid w:val="00D70B0C"/>
    <w:rsid w:val="00D7145C"/>
    <w:rsid w:val="00D7336D"/>
    <w:rsid w:val="00D73B64"/>
    <w:rsid w:val="00D744BC"/>
    <w:rsid w:val="00D74830"/>
    <w:rsid w:val="00D7585A"/>
    <w:rsid w:val="00D7773F"/>
    <w:rsid w:val="00D77C53"/>
    <w:rsid w:val="00D77E96"/>
    <w:rsid w:val="00D77F7C"/>
    <w:rsid w:val="00D80618"/>
    <w:rsid w:val="00D807DF"/>
    <w:rsid w:val="00D8112A"/>
    <w:rsid w:val="00D82066"/>
    <w:rsid w:val="00D82339"/>
    <w:rsid w:val="00D82494"/>
    <w:rsid w:val="00D82FF2"/>
    <w:rsid w:val="00D82FF6"/>
    <w:rsid w:val="00D83774"/>
    <w:rsid w:val="00D84A4B"/>
    <w:rsid w:val="00D85D45"/>
    <w:rsid w:val="00D8728A"/>
    <w:rsid w:val="00D8736B"/>
    <w:rsid w:val="00D878A9"/>
    <w:rsid w:val="00D9003C"/>
    <w:rsid w:val="00D900EC"/>
    <w:rsid w:val="00D90A81"/>
    <w:rsid w:val="00D90B7D"/>
    <w:rsid w:val="00D90DCE"/>
    <w:rsid w:val="00D912A2"/>
    <w:rsid w:val="00D91699"/>
    <w:rsid w:val="00D92168"/>
    <w:rsid w:val="00D9231C"/>
    <w:rsid w:val="00D92A5E"/>
    <w:rsid w:val="00D92EAB"/>
    <w:rsid w:val="00D935BD"/>
    <w:rsid w:val="00D940B5"/>
    <w:rsid w:val="00D94744"/>
    <w:rsid w:val="00D94BE0"/>
    <w:rsid w:val="00D9582D"/>
    <w:rsid w:val="00D95CB0"/>
    <w:rsid w:val="00D9654F"/>
    <w:rsid w:val="00D966FE"/>
    <w:rsid w:val="00D977C0"/>
    <w:rsid w:val="00D97A4E"/>
    <w:rsid w:val="00D97E14"/>
    <w:rsid w:val="00DA00A3"/>
    <w:rsid w:val="00DA04C1"/>
    <w:rsid w:val="00DA081B"/>
    <w:rsid w:val="00DA13F3"/>
    <w:rsid w:val="00DA1908"/>
    <w:rsid w:val="00DA21CF"/>
    <w:rsid w:val="00DA23EB"/>
    <w:rsid w:val="00DA25ED"/>
    <w:rsid w:val="00DA2CBE"/>
    <w:rsid w:val="00DA2DE3"/>
    <w:rsid w:val="00DA3633"/>
    <w:rsid w:val="00DA400B"/>
    <w:rsid w:val="00DA46DB"/>
    <w:rsid w:val="00DA6443"/>
    <w:rsid w:val="00DA6B5E"/>
    <w:rsid w:val="00DA6DBA"/>
    <w:rsid w:val="00DA7146"/>
    <w:rsid w:val="00DA716A"/>
    <w:rsid w:val="00DA7A9C"/>
    <w:rsid w:val="00DA7B82"/>
    <w:rsid w:val="00DB1F4F"/>
    <w:rsid w:val="00DB2CD0"/>
    <w:rsid w:val="00DB368A"/>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C26"/>
    <w:rsid w:val="00DE2D17"/>
    <w:rsid w:val="00DE353C"/>
    <w:rsid w:val="00DE401C"/>
    <w:rsid w:val="00DE6E2F"/>
    <w:rsid w:val="00DE6F47"/>
    <w:rsid w:val="00DE7D13"/>
    <w:rsid w:val="00DF19CB"/>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0F7B"/>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89E"/>
    <w:rsid w:val="00E07425"/>
    <w:rsid w:val="00E07C27"/>
    <w:rsid w:val="00E07E56"/>
    <w:rsid w:val="00E1043E"/>
    <w:rsid w:val="00E104FA"/>
    <w:rsid w:val="00E1082A"/>
    <w:rsid w:val="00E10956"/>
    <w:rsid w:val="00E110B5"/>
    <w:rsid w:val="00E11166"/>
    <w:rsid w:val="00E11A39"/>
    <w:rsid w:val="00E12010"/>
    <w:rsid w:val="00E12818"/>
    <w:rsid w:val="00E12AE2"/>
    <w:rsid w:val="00E12D39"/>
    <w:rsid w:val="00E13182"/>
    <w:rsid w:val="00E13D1F"/>
    <w:rsid w:val="00E143BA"/>
    <w:rsid w:val="00E14523"/>
    <w:rsid w:val="00E14972"/>
    <w:rsid w:val="00E14CB9"/>
    <w:rsid w:val="00E14D80"/>
    <w:rsid w:val="00E151F2"/>
    <w:rsid w:val="00E15383"/>
    <w:rsid w:val="00E15C82"/>
    <w:rsid w:val="00E1738C"/>
    <w:rsid w:val="00E17745"/>
    <w:rsid w:val="00E17D4A"/>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C27"/>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759"/>
    <w:rsid w:val="00E66D13"/>
    <w:rsid w:val="00E67181"/>
    <w:rsid w:val="00E67683"/>
    <w:rsid w:val="00E67862"/>
    <w:rsid w:val="00E70357"/>
    <w:rsid w:val="00E70ACF"/>
    <w:rsid w:val="00E70D46"/>
    <w:rsid w:val="00E712A9"/>
    <w:rsid w:val="00E713BC"/>
    <w:rsid w:val="00E72444"/>
    <w:rsid w:val="00E72787"/>
    <w:rsid w:val="00E7315A"/>
    <w:rsid w:val="00E7410F"/>
    <w:rsid w:val="00E741EF"/>
    <w:rsid w:val="00E7449A"/>
    <w:rsid w:val="00E74EC5"/>
    <w:rsid w:val="00E74F4E"/>
    <w:rsid w:val="00E75120"/>
    <w:rsid w:val="00E757F5"/>
    <w:rsid w:val="00E76847"/>
    <w:rsid w:val="00E76B86"/>
    <w:rsid w:val="00E809F3"/>
    <w:rsid w:val="00E80C21"/>
    <w:rsid w:val="00E820BD"/>
    <w:rsid w:val="00E8227B"/>
    <w:rsid w:val="00E832DD"/>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3CE8"/>
    <w:rsid w:val="00E94008"/>
    <w:rsid w:val="00E94762"/>
    <w:rsid w:val="00E956BA"/>
    <w:rsid w:val="00E958E7"/>
    <w:rsid w:val="00E96B52"/>
    <w:rsid w:val="00EA0018"/>
    <w:rsid w:val="00EA08BE"/>
    <w:rsid w:val="00EA0A85"/>
    <w:rsid w:val="00EA14B0"/>
    <w:rsid w:val="00EA2244"/>
    <w:rsid w:val="00EA36DB"/>
    <w:rsid w:val="00EA41C0"/>
    <w:rsid w:val="00EA424A"/>
    <w:rsid w:val="00EA4C5F"/>
    <w:rsid w:val="00EA4DDC"/>
    <w:rsid w:val="00EA641B"/>
    <w:rsid w:val="00EA641E"/>
    <w:rsid w:val="00EA6FA7"/>
    <w:rsid w:val="00EA6FFC"/>
    <w:rsid w:val="00EB003F"/>
    <w:rsid w:val="00EB067F"/>
    <w:rsid w:val="00EB0A5E"/>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BA4"/>
    <w:rsid w:val="00EB7F93"/>
    <w:rsid w:val="00EC086C"/>
    <w:rsid w:val="00EC1720"/>
    <w:rsid w:val="00EC1ACC"/>
    <w:rsid w:val="00EC2DB7"/>
    <w:rsid w:val="00EC337D"/>
    <w:rsid w:val="00EC42D0"/>
    <w:rsid w:val="00EC4325"/>
    <w:rsid w:val="00EC5395"/>
    <w:rsid w:val="00EC638F"/>
    <w:rsid w:val="00EC73F1"/>
    <w:rsid w:val="00EC7927"/>
    <w:rsid w:val="00ED00D6"/>
    <w:rsid w:val="00ED047A"/>
    <w:rsid w:val="00ED095E"/>
    <w:rsid w:val="00ED1A0B"/>
    <w:rsid w:val="00ED27DD"/>
    <w:rsid w:val="00ED34A3"/>
    <w:rsid w:val="00ED5038"/>
    <w:rsid w:val="00ED5162"/>
    <w:rsid w:val="00ED52CC"/>
    <w:rsid w:val="00ED5559"/>
    <w:rsid w:val="00ED5669"/>
    <w:rsid w:val="00ED592C"/>
    <w:rsid w:val="00ED5A43"/>
    <w:rsid w:val="00ED5A80"/>
    <w:rsid w:val="00ED697C"/>
    <w:rsid w:val="00ED7059"/>
    <w:rsid w:val="00EE06CA"/>
    <w:rsid w:val="00EE2819"/>
    <w:rsid w:val="00EE2AE3"/>
    <w:rsid w:val="00EE3859"/>
    <w:rsid w:val="00EE3C1C"/>
    <w:rsid w:val="00EE41B4"/>
    <w:rsid w:val="00EE43AD"/>
    <w:rsid w:val="00EE4420"/>
    <w:rsid w:val="00EE4874"/>
    <w:rsid w:val="00EE48D6"/>
    <w:rsid w:val="00EE4A6E"/>
    <w:rsid w:val="00EE4BAB"/>
    <w:rsid w:val="00EE4BEC"/>
    <w:rsid w:val="00EE5984"/>
    <w:rsid w:val="00EE6A6B"/>
    <w:rsid w:val="00EE6B23"/>
    <w:rsid w:val="00EE7922"/>
    <w:rsid w:val="00EE79A6"/>
    <w:rsid w:val="00EF11DF"/>
    <w:rsid w:val="00EF130D"/>
    <w:rsid w:val="00EF133C"/>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2DAA"/>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5E"/>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6D95"/>
    <w:rsid w:val="00F27D3B"/>
    <w:rsid w:val="00F27ECE"/>
    <w:rsid w:val="00F30AB5"/>
    <w:rsid w:val="00F30AEF"/>
    <w:rsid w:val="00F31261"/>
    <w:rsid w:val="00F31BB3"/>
    <w:rsid w:val="00F31BCF"/>
    <w:rsid w:val="00F31BDA"/>
    <w:rsid w:val="00F31C67"/>
    <w:rsid w:val="00F323C3"/>
    <w:rsid w:val="00F329E6"/>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8B1"/>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1AD6"/>
    <w:rsid w:val="00F52330"/>
    <w:rsid w:val="00F54603"/>
    <w:rsid w:val="00F54772"/>
    <w:rsid w:val="00F54869"/>
    <w:rsid w:val="00F556B2"/>
    <w:rsid w:val="00F565E8"/>
    <w:rsid w:val="00F56CB4"/>
    <w:rsid w:val="00F5754B"/>
    <w:rsid w:val="00F576DE"/>
    <w:rsid w:val="00F57747"/>
    <w:rsid w:val="00F5786F"/>
    <w:rsid w:val="00F578BC"/>
    <w:rsid w:val="00F57BF8"/>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7BC"/>
    <w:rsid w:val="00F838C0"/>
    <w:rsid w:val="00F8414D"/>
    <w:rsid w:val="00F84C7C"/>
    <w:rsid w:val="00F85F83"/>
    <w:rsid w:val="00F86ADD"/>
    <w:rsid w:val="00F8784C"/>
    <w:rsid w:val="00F879BD"/>
    <w:rsid w:val="00F87A0F"/>
    <w:rsid w:val="00F90263"/>
    <w:rsid w:val="00F9031D"/>
    <w:rsid w:val="00F90BEA"/>
    <w:rsid w:val="00F912FD"/>
    <w:rsid w:val="00F91D43"/>
    <w:rsid w:val="00F9300C"/>
    <w:rsid w:val="00F9367F"/>
    <w:rsid w:val="00F938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176E"/>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325"/>
    <w:rsid w:val="00FC35C3"/>
    <w:rsid w:val="00FC6990"/>
    <w:rsid w:val="00FC6D6C"/>
    <w:rsid w:val="00FC7A2E"/>
    <w:rsid w:val="00FD1688"/>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4AAB"/>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webSettings.xml><?xml version="1.0" encoding="utf-8"?>
<w:webSettings xmlns:r="http://schemas.openxmlformats.org/officeDocument/2006/relationships" xmlns:w="http://schemas.openxmlformats.org/wordprocessingml/2006/main">
  <w:divs>
    <w:div w:id="34351137">
      <w:bodyDiv w:val="1"/>
      <w:marLeft w:val="0"/>
      <w:marRight w:val="0"/>
      <w:marTop w:val="0"/>
      <w:marBottom w:val="0"/>
      <w:divBdr>
        <w:top w:val="none" w:sz="0" w:space="0" w:color="auto"/>
        <w:left w:val="none" w:sz="0" w:space="0" w:color="auto"/>
        <w:bottom w:val="none" w:sz="0" w:space="0" w:color="auto"/>
        <w:right w:val="none" w:sz="0" w:space="0" w:color="auto"/>
      </w:divBdr>
    </w:div>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90667694">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203300661">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24808920">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455610717">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729839374">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968511096">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245724885">
      <w:bodyDiv w:val="1"/>
      <w:marLeft w:val="0"/>
      <w:marRight w:val="0"/>
      <w:marTop w:val="0"/>
      <w:marBottom w:val="0"/>
      <w:divBdr>
        <w:top w:val="none" w:sz="0" w:space="0" w:color="auto"/>
        <w:left w:val="none" w:sz="0" w:space="0" w:color="auto"/>
        <w:bottom w:val="none" w:sz="0" w:space="0" w:color="auto"/>
        <w:right w:val="none" w:sz="0" w:space="0" w:color="auto"/>
      </w:divBdr>
    </w:div>
    <w:div w:id="1252813619">
      <w:bodyDiv w:val="1"/>
      <w:marLeft w:val="0"/>
      <w:marRight w:val="0"/>
      <w:marTop w:val="0"/>
      <w:marBottom w:val="0"/>
      <w:divBdr>
        <w:top w:val="none" w:sz="0" w:space="0" w:color="auto"/>
        <w:left w:val="none" w:sz="0" w:space="0" w:color="auto"/>
        <w:bottom w:val="none" w:sz="0" w:space="0" w:color="auto"/>
        <w:right w:val="none" w:sz="0" w:space="0" w:color="auto"/>
      </w:divBdr>
    </w:div>
    <w:div w:id="1253586041">
      <w:bodyDiv w:val="1"/>
      <w:marLeft w:val="0"/>
      <w:marRight w:val="0"/>
      <w:marTop w:val="0"/>
      <w:marBottom w:val="0"/>
      <w:divBdr>
        <w:top w:val="none" w:sz="0" w:space="0" w:color="auto"/>
        <w:left w:val="none" w:sz="0" w:space="0" w:color="auto"/>
        <w:bottom w:val="none" w:sz="0" w:space="0" w:color="auto"/>
        <w:right w:val="none" w:sz="0" w:space="0" w:color="auto"/>
      </w:divBdr>
    </w:div>
    <w:div w:id="1262763231">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663436658">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1989087385">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00B8-C33A-4DFA-A0F6-22BBCBD3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1865</Words>
  <Characters>10636</Characters>
  <Application>Microsoft Office Word</Application>
  <DocSecurity>4</DocSecurity>
  <Lines>88</Lines>
  <Paragraphs>24</Paragraphs>
  <ScaleCrop>false</ScaleCrop>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bonnieliu</dc:creator>
  <cp:keywords/>
  <dc:description/>
  <cp:lastModifiedBy>ZHONGM</cp:lastModifiedBy>
  <cp:revision>2</cp:revision>
  <cp:lastPrinted>2018-04-09T06:45:00Z</cp:lastPrinted>
  <dcterms:created xsi:type="dcterms:W3CDTF">2018-11-29T16:33:00Z</dcterms:created>
  <dcterms:modified xsi:type="dcterms:W3CDTF">2018-11-29T16:33:00Z</dcterms:modified>
</cp:coreProperties>
</file>