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05" w:rsidRPr="003D21AE" w:rsidRDefault="00B46405" w:rsidP="006F0665">
      <w:pPr>
        <w:jc w:val="center"/>
        <w:rPr>
          <w:rFonts w:asciiTheme="minorEastAsia" w:eastAsiaTheme="minorEastAsia" w:hAnsiTheme="minorEastAsia"/>
          <w:b/>
          <w:bCs/>
          <w:sz w:val="44"/>
          <w:szCs w:val="44"/>
        </w:rPr>
      </w:pPr>
    </w:p>
    <w:p w:rsidR="00B46405" w:rsidRPr="003D21AE" w:rsidRDefault="00B46405" w:rsidP="006F0665">
      <w:pPr>
        <w:jc w:val="center"/>
        <w:rPr>
          <w:rFonts w:asciiTheme="minorEastAsia" w:eastAsiaTheme="minorEastAsia" w:hAnsiTheme="minorEastAsia"/>
          <w:b/>
          <w:bCs/>
          <w:sz w:val="44"/>
          <w:szCs w:val="44"/>
        </w:rPr>
      </w:pPr>
    </w:p>
    <w:p w:rsidR="006F0665" w:rsidRPr="003D21AE" w:rsidRDefault="00F672A3" w:rsidP="006F0665">
      <w:pPr>
        <w:jc w:val="center"/>
        <w:rPr>
          <w:rFonts w:asciiTheme="minorEastAsia" w:eastAsiaTheme="minorEastAsia" w:hAnsiTheme="minorEastAsia"/>
          <w:b/>
          <w:bCs/>
          <w:sz w:val="44"/>
          <w:szCs w:val="44"/>
        </w:rPr>
      </w:pPr>
      <w:r w:rsidRPr="003D21AE">
        <w:rPr>
          <w:rFonts w:asciiTheme="minorEastAsia" w:eastAsiaTheme="minorEastAsia" w:hAnsiTheme="minorEastAsia" w:hint="eastAsia"/>
          <w:b/>
          <w:bCs/>
          <w:sz w:val="44"/>
          <w:szCs w:val="44"/>
        </w:rPr>
        <w:t>大成</w:t>
      </w:r>
      <w:r w:rsidR="00F00EE4">
        <w:rPr>
          <w:rFonts w:asciiTheme="minorEastAsia" w:eastAsiaTheme="minorEastAsia" w:hAnsiTheme="minorEastAsia" w:hint="eastAsia"/>
          <w:b/>
          <w:bCs/>
          <w:sz w:val="44"/>
          <w:szCs w:val="44"/>
        </w:rPr>
        <w:t>景沛</w:t>
      </w:r>
      <w:r w:rsidRPr="003D21AE">
        <w:rPr>
          <w:rFonts w:asciiTheme="minorEastAsia" w:eastAsiaTheme="minorEastAsia" w:hAnsiTheme="minorEastAsia" w:hint="eastAsia"/>
          <w:b/>
          <w:bCs/>
          <w:sz w:val="44"/>
          <w:szCs w:val="44"/>
        </w:rPr>
        <w:t>灵活配置混合型证券投资基金</w:t>
      </w:r>
    </w:p>
    <w:p w:rsidR="006F0665" w:rsidRPr="003D21AE" w:rsidRDefault="00F672A3" w:rsidP="006F0665">
      <w:pPr>
        <w:jc w:val="center"/>
        <w:rPr>
          <w:rFonts w:asciiTheme="minorEastAsia" w:eastAsiaTheme="minorEastAsia" w:hAnsiTheme="minorEastAsia"/>
          <w:b/>
          <w:bCs/>
          <w:sz w:val="44"/>
          <w:szCs w:val="44"/>
        </w:rPr>
      </w:pPr>
      <w:r w:rsidRPr="003D21AE">
        <w:rPr>
          <w:rFonts w:asciiTheme="minorEastAsia" w:eastAsiaTheme="minorEastAsia" w:hAnsiTheme="minorEastAsia" w:hint="eastAsia"/>
          <w:b/>
          <w:bCs/>
          <w:sz w:val="44"/>
          <w:szCs w:val="44"/>
        </w:rPr>
        <w:t>清算</w:t>
      </w:r>
      <w:r w:rsidR="006F0665" w:rsidRPr="003D21AE">
        <w:rPr>
          <w:rFonts w:asciiTheme="minorEastAsia" w:eastAsiaTheme="minorEastAsia" w:hAnsiTheme="minorEastAsia" w:hint="eastAsia"/>
          <w:b/>
          <w:bCs/>
          <w:sz w:val="44"/>
          <w:szCs w:val="44"/>
        </w:rPr>
        <w:t>报告</w:t>
      </w:r>
    </w:p>
    <w:p w:rsidR="006F0665" w:rsidRPr="003D21AE" w:rsidRDefault="006F0665" w:rsidP="006F0665">
      <w:pPr>
        <w:jc w:val="center"/>
        <w:rPr>
          <w:rFonts w:asciiTheme="minorEastAsia" w:eastAsiaTheme="minorEastAsia" w:hAnsiTheme="minorEastAsia"/>
          <w:b/>
          <w:bCs/>
          <w:sz w:val="44"/>
          <w:szCs w:val="44"/>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ind w:rightChars="-230" w:right="-483"/>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ind w:firstLineChars="600" w:firstLine="1687"/>
        <w:jc w:val="left"/>
        <w:rPr>
          <w:rFonts w:asciiTheme="minorEastAsia" w:eastAsiaTheme="minorEastAsia" w:hAnsiTheme="minorEastAsia"/>
          <w:b/>
          <w:bCs/>
          <w:sz w:val="28"/>
          <w:szCs w:val="28"/>
        </w:rPr>
      </w:pPr>
      <w:r w:rsidRPr="003D21AE">
        <w:rPr>
          <w:rFonts w:asciiTheme="minorEastAsia" w:eastAsiaTheme="minorEastAsia" w:hAnsiTheme="minorEastAsia"/>
          <w:b/>
          <w:bCs/>
          <w:sz w:val="28"/>
          <w:szCs w:val="28"/>
        </w:rPr>
        <w:t>基金管理人：大成基金管理有限公司</w:t>
      </w:r>
    </w:p>
    <w:p w:rsidR="006F0665" w:rsidRPr="003D21AE" w:rsidRDefault="006F0665" w:rsidP="006F0665">
      <w:pPr>
        <w:ind w:firstLineChars="600" w:firstLine="1687"/>
        <w:jc w:val="left"/>
        <w:rPr>
          <w:rFonts w:asciiTheme="minorEastAsia" w:eastAsiaTheme="minorEastAsia" w:hAnsiTheme="minorEastAsia"/>
          <w:b/>
          <w:bCs/>
          <w:sz w:val="28"/>
          <w:szCs w:val="28"/>
        </w:rPr>
      </w:pPr>
      <w:r w:rsidRPr="003D21AE">
        <w:rPr>
          <w:rFonts w:asciiTheme="minorEastAsia" w:eastAsiaTheme="minorEastAsia" w:hAnsiTheme="minorEastAsia"/>
          <w:b/>
          <w:bCs/>
          <w:sz w:val="28"/>
          <w:szCs w:val="28"/>
        </w:rPr>
        <w:t>基金托管人：中国</w:t>
      </w:r>
      <w:r w:rsidR="00F672A3" w:rsidRPr="003D21AE">
        <w:rPr>
          <w:rFonts w:asciiTheme="minorEastAsia" w:eastAsiaTheme="minorEastAsia" w:hAnsiTheme="minorEastAsia" w:hint="eastAsia"/>
          <w:b/>
          <w:bCs/>
          <w:sz w:val="28"/>
          <w:szCs w:val="28"/>
        </w:rPr>
        <w:t>光大</w:t>
      </w:r>
      <w:r w:rsidRPr="003D21AE">
        <w:rPr>
          <w:rFonts w:asciiTheme="minorEastAsia" w:eastAsiaTheme="minorEastAsia" w:hAnsiTheme="minorEastAsia"/>
          <w:b/>
          <w:bCs/>
          <w:sz w:val="28"/>
          <w:szCs w:val="28"/>
        </w:rPr>
        <w:t>银行股份有限公司</w:t>
      </w:r>
    </w:p>
    <w:p w:rsidR="00FD166D" w:rsidRDefault="009544F3" w:rsidP="006F0665">
      <w:pPr>
        <w:ind w:firstLineChars="600" w:firstLine="1687"/>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清算</w:t>
      </w:r>
      <w:r w:rsidR="00FD166D" w:rsidRPr="003D21AE">
        <w:rPr>
          <w:rFonts w:asciiTheme="minorEastAsia" w:eastAsiaTheme="minorEastAsia" w:hAnsiTheme="minorEastAsia" w:hint="eastAsia"/>
          <w:b/>
          <w:bCs/>
          <w:sz w:val="28"/>
          <w:szCs w:val="28"/>
        </w:rPr>
        <w:t>报告出具日：</w:t>
      </w:r>
      <w:r w:rsidR="00084270">
        <w:rPr>
          <w:rFonts w:asciiTheme="minorEastAsia" w:eastAsiaTheme="minorEastAsia" w:hAnsiTheme="minorEastAsia" w:hint="eastAsia"/>
          <w:b/>
          <w:bCs/>
          <w:sz w:val="28"/>
          <w:szCs w:val="28"/>
        </w:rPr>
        <w:t xml:space="preserve">2018年11月6日 </w:t>
      </w:r>
    </w:p>
    <w:p w:rsidR="00214DB3" w:rsidRDefault="00214DB3" w:rsidP="00214DB3">
      <w:pPr>
        <w:ind w:firstLineChars="600" w:firstLine="1687"/>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公告日期：2018年 11月30日</w:t>
      </w:r>
    </w:p>
    <w:p w:rsidR="00214DB3" w:rsidRPr="003D21AE" w:rsidRDefault="00214DB3" w:rsidP="006F0665">
      <w:pPr>
        <w:ind w:firstLineChars="600" w:firstLine="1687"/>
        <w:jc w:val="left"/>
        <w:rPr>
          <w:rFonts w:asciiTheme="minorEastAsia" w:eastAsiaTheme="minorEastAsia" w:hAnsiTheme="minorEastAsia"/>
          <w:b/>
          <w:bCs/>
          <w:sz w:val="28"/>
          <w:szCs w:val="28"/>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rsidP="00214DB3">
      <w:pPr>
        <w:widowControl/>
        <w:jc w:val="center"/>
        <w:rPr>
          <w:rFonts w:asciiTheme="minorEastAsia" w:eastAsiaTheme="minorEastAsia" w:hAnsiTheme="minorEastAsia"/>
          <w:b/>
          <w:szCs w:val="21"/>
        </w:rPr>
      </w:pPr>
      <w:r w:rsidRPr="003D21AE">
        <w:rPr>
          <w:rFonts w:asciiTheme="minorEastAsia" w:eastAsiaTheme="minorEastAsia" w:hAnsiTheme="minorEastAsia" w:hint="eastAsia"/>
          <w:b/>
        </w:rPr>
        <w:lastRenderedPageBreak/>
        <w:t>一、</w:t>
      </w:r>
      <w:r w:rsidRPr="003D21AE">
        <w:rPr>
          <w:rFonts w:asciiTheme="minorEastAsia" w:eastAsiaTheme="minorEastAsia" w:hAnsiTheme="minorEastAsia"/>
          <w:b/>
          <w:szCs w:val="21"/>
        </w:rPr>
        <w:t>重要提示</w:t>
      </w:r>
    </w:p>
    <w:p w:rsidR="00333AF0" w:rsidRPr="003D21AE" w:rsidRDefault="00D00E15" w:rsidP="00903A6D">
      <w:pPr>
        <w:spacing w:line="360" w:lineRule="auto"/>
        <w:ind w:firstLineChars="200" w:firstLine="420"/>
        <w:rPr>
          <w:rFonts w:asciiTheme="minorEastAsia" w:eastAsiaTheme="minorEastAsia" w:hAnsiTheme="minorEastAsia"/>
          <w:szCs w:val="21"/>
        </w:rPr>
      </w:pPr>
      <w:r w:rsidRPr="003D21AE">
        <w:rPr>
          <w:rFonts w:asciiTheme="minorEastAsia" w:eastAsiaTheme="minorEastAsia" w:hAnsiTheme="minorEastAsia" w:hint="eastAsia"/>
          <w:szCs w:val="24"/>
        </w:rPr>
        <w:t>大成</w:t>
      </w:r>
      <w:r w:rsidR="00F00EE4">
        <w:rPr>
          <w:rFonts w:asciiTheme="minorEastAsia" w:eastAsiaTheme="minorEastAsia" w:hAnsiTheme="minorEastAsia" w:hint="eastAsia"/>
          <w:szCs w:val="24"/>
        </w:rPr>
        <w:t>景沛</w:t>
      </w:r>
      <w:r w:rsidRPr="003D21AE">
        <w:rPr>
          <w:rFonts w:asciiTheme="minorEastAsia" w:eastAsiaTheme="minorEastAsia" w:hAnsiTheme="minorEastAsia" w:hint="eastAsia"/>
          <w:szCs w:val="24"/>
        </w:rPr>
        <w:t>灵活配置混合型证券投资基金</w:t>
      </w:r>
      <w:r w:rsidRPr="003D21AE">
        <w:rPr>
          <w:rFonts w:asciiTheme="minorEastAsia" w:eastAsiaTheme="minorEastAsia" w:hAnsiTheme="minorEastAsia"/>
          <w:szCs w:val="24"/>
        </w:rPr>
        <w:t>(以下简称“本基金”)经中国证券监督管理委员会(以下简称“中国证监会”)证监许可[2015]第</w:t>
      </w:r>
      <w:r w:rsidR="000A3148">
        <w:rPr>
          <w:rFonts w:asciiTheme="minorEastAsia" w:eastAsiaTheme="minorEastAsia" w:hAnsiTheme="minorEastAsia" w:hint="eastAsia"/>
          <w:szCs w:val="24"/>
        </w:rPr>
        <w:t>2197</w:t>
      </w:r>
      <w:r w:rsidRPr="003D21AE">
        <w:rPr>
          <w:rFonts w:asciiTheme="minorEastAsia" w:eastAsiaTheme="minorEastAsia" w:hAnsiTheme="minorEastAsia"/>
          <w:szCs w:val="24"/>
        </w:rPr>
        <w:t>号《关于准予大成</w:t>
      </w:r>
      <w:r w:rsidR="00F00EE4">
        <w:rPr>
          <w:rFonts w:asciiTheme="minorEastAsia" w:eastAsiaTheme="minorEastAsia" w:hAnsiTheme="minorEastAsia"/>
          <w:szCs w:val="24"/>
        </w:rPr>
        <w:t>景沛</w:t>
      </w:r>
      <w:r w:rsidRPr="003D21AE">
        <w:rPr>
          <w:rFonts w:asciiTheme="minorEastAsia" w:eastAsiaTheme="minorEastAsia" w:hAnsiTheme="minorEastAsia"/>
          <w:szCs w:val="24"/>
        </w:rPr>
        <w:t>灵活配置混合型证券投资基金注册的批复》核准，由大成基金管理有限公司依照</w:t>
      </w:r>
      <w:bookmarkStart w:id="0" w:name="_GoBack"/>
      <w:bookmarkEnd w:id="0"/>
      <w:r w:rsidRPr="003D21AE">
        <w:rPr>
          <w:rFonts w:asciiTheme="minorEastAsia" w:eastAsiaTheme="minorEastAsia" w:hAnsiTheme="minorEastAsia"/>
          <w:szCs w:val="24"/>
        </w:rPr>
        <w:t>《中华人民共和国证券投资基金法》和《大成</w:t>
      </w:r>
      <w:r w:rsidR="00F00EE4">
        <w:rPr>
          <w:rFonts w:asciiTheme="minorEastAsia" w:eastAsiaTheme="minorEastAsia" w:hAnsiTheme="minorEastAsia"/>
          <w:szCs w:val="24"/>
        </w:rPr>
        <w:t>景沛</w:t>
      </w:r>
      <w:r w:rsidRPr="003D21AE">
        <w:rPr>
          <w:rFonts w:asciiTheme="minorEastAsia" w:eastAsiaTheme="minorEastAsia" w:hAnsiTheme="minorEastAsia"/>
          <w:szCs w:val="24"/>
        </w:rPr>
        <w:t>灵活配置混合型证券投资基金基金合同》负责公开募集</w:t>
      </w:r>
      <w:r w:rsidR="00903A6D" w:rsidRPr="003D21AE">
        <w:rPr>
          <w:rFonts w:asciiTheme="minorEastAsia" w:eastAsiaTheme="minorEastAsia" w:hAnsiTheme="minorEastAsia"/>
          <w:szCs w:val="21"/>
        </w:rPr>
        <w:t>。</w:t>
      </w:r>
      <w:r w:rsidRPr="003D21AE">
        <w:rPr>
          <w:rFonts w:asciiTheme="minorEastAsia" w:eastAsiaTheme="minorEastAsia" w:hAnsiTheme="minorEastAsia"/>
          <w:szCs w:val="24"/>
        </w:rPr>
        <w:t>于</w:t>
      </w:r>
      <w:r w:rsidR="000A3148">
        <w:rPr>
          <w:rFonts w:asciiTheme="minorEastAsia" w:eastAsiaTheme="minorEastAsia" w:hAnsiTheme="minorEastAsia"/>
          <w:szCs w:val="24"/>
        </w:rPr>
        <w:t>2015年11月24日</w:t>
      </w:r>
      <w:r w:rsidR="00FD166D" w:rsidRPr="003D21AE">
        <w:rPr>
          <w:rFonts w:asciiTheme="minorEastAsia" w:eastAsiaTheme="minorEastAsia" w:hAnsiTheme="minorEastAsia" w:hint="eastAsia"/>
          <w:szCs w:val="21"/>
        </w:rPr>
        <w:t>成立并正式运作，本基金的基金管理人为大成基金管理有限公司（以下简称“基金管理人”），基金托管人为</w:t>
      </w:r>
      <w:r w:rsidRPr="003D21AE">
        <w:rPr>
          <w:rFonts w:asciiTheme="minorEastAsia" w:eastAsiaTheme="minorEastAsia" w:hAnsiTheme="minorEastAsia"/>
          <w:szCs w:val="24"/>
        </w:rPr>
        <w:t>中国光大银行股份有限公司</w:t>
      </w:r>
      <w:r w:rsidR="00FD166D" w:rsidRPr="003D21AE">
        <w:rPr>
          <w:rFonts w:asciiTheme="minorEastAsia" w:eastAsiaTheme="minorEastAsia" w:hAnsiTheme="minorEastAsia" w:hint="eastAsia"/>
          <w:szCs w:val="21"/>
        </w:rPr>
        <w:t>（以下简称“基金托管人”）。</w:t>
      </w:r>
    </w:p>
    <w:p w:rsidR="00171D4A" w:rsidRPr="003D21AE" w:rsidRDefault="00FD166D" w:rsidP="00BC2987">
      <w:pPr>
        <w:spacing w:line="360" w:lineRule="auto"/>
        <w:ind w:firstLineChars="202" w:firstLine="424"/>
        <w:rPr>
          <w:rFonts w:asciiTheme="minorEastAsia" w:eastAsiaTheme="minorEastAsia" w:hAnsiTheme="minorEastAsia"/>
        </w:rPr>
      </w:pPr>
      <w:r w:rsidRPr="003D21AE">
        <w:rPr>
          <w:rFonts w:asciiTheme="minorEastAsia" w:eastAsiaTheme="minorEastAsia" w:hAnsiTheme="minorEastAsia" w:hint="eastAsia"/>
        </w:rPr>
        <w:t>根据《基金合同》</w:t>
      </w:r>
      <w:r w:rsidR="005611FE" w:rsidRPr="003D21AE">
        <w:rPr>
          <w:rFonts w:asciiTheme="minorEastAsia" w:eastAsiaTheme="minorEastAsia" w:hAnsiTheme="minorEastAsia" w:hint="eastAsia"/>
        </w:rPr>
        <w:t>“第十九部分 基金合同的变更、终止与基金财产的清算”中第二条“《基金合同》的终止事由”的约定：“基金资产净值连续六十个工作日低于五千万元，基金合同自动终止（不需召开基金份额持有人大会审议）”。截至2018年</w:t>
      </w:r>
      <w:r w:rsidR="000A3148">
        <w:rPr>
          <w:rFonts w:asciiTheme="minorEastAsia" w:eastAsiaTheme="minorEastAsia" w:hAnsiTheme="minorEastAsia" w:hint="eastAsia"/>
        </w:rPr>
        <w:t>10</w:t>
      </w:r>
      <w:r w:rsidR="005611FE" w:rsidRPr="003D21AE">
        <w:rPr>
          <w:rFonts w:asciiTheme="minorEastAsia" w:eastAsiaTheme="minorEastAsia" w:hAnsiTheme="minorEastAsia" w:hint="eastAsia"/>
        </w:rPr>
        <w:t>月</w:t>
      </w:r>
      <w:r w:rsidR="000A3148">
        <w:rPr>
          <w:rFonts w:asciiTheme="minorEastAsia" w:eastAsiaTheme="minorEastAsia" w:hAnsiTheme="minorEastAsia" w:hint="eastAsia"/>
        </w:rPr>
        <w:t>30</w:t>
      </w:r>
      <w:r w:rsidR="005611FE" w:rsidRPr="003D21AE">
        <w:rPr>
          <w:rFonts w:asciiTheme="minorEastAsia" w:eastAsiaTheme="minorEastAsia" w:hAnsiTheme="minorEastAsia" w:hint="eastAsia"/>
        </w:rPr>
        <w:t>日，本基金已出现基金资产净值连续六十个工作日低于五千万元的情形，已触发基金合同终止条款。本基金将根据《基金合同》的约定进入基金财产清算程序并终止，无须召开基金份额</w:t>
      </w:r>
      <w:r w:rsidR="0064363A" w:rsidRPr="003D21AE">
        <w:rPr>
          <w:rFonts w:asciiTheme="minorEastAsia" w:eastAsiaTheme="minorEastAsia" w:hAnsiTheme="minorEastAsia" w:hint="eastAsia"/>
        </w:rPr>
        <w:t>持有人大会审议</w:t>
      </w:r>
      <w:r w:rsidR="00203EEF" w:rsidRPr="003D21AE">
        <w:rPr>
          <w:rFonts w:asciiTheme="minorEastAsia" w:eastAsiaTheme="minorEastAsia" w:hAnsiTheme="minorEastAsia" w:hint="eastAsia"/>
        </w:rPr>
        <w:t>。</w:t>
      </w:r>
      <w:r w:rsidR="00590B4D" w:rsidRPr="003D21AE">
        <w:rPr>
          <w:rFonts w:asciiTheme="minorEastAsia" w:eastAsiaTheme="minorEastAsia" w:hAnsiTheme="minorEastAsia" w:hint="eastAsia"/>
          <w:szCs w:val="21"/>
        </w:rPr>
        <w:t>本基金</w:t>
      </w:r>
      <w:r w:rsidR="00203EEF" w:rsidRPr="003D21AE">
        <w:rPr>
          <w:rFonts w:asciiTheme="minorEastAsia" w:eastAsiaTheme="minorEastAsia" w:hAnsiTheme="minorEastAsia" w:hint="eastAsia"/>
          <w:szCs w:val="21"/>
        </w:rPr>
        <w:t>管理人</w:t>
      </w:r>
      <w:r w:rsidR="00171D4A" w:rsidRPr="003D21AE">
        <w:rPr>
          <w:rFonts w:asciiTheme="minorEastAsia" w:eastAsiaTheme="minorEastAsia" w:hAnsiTheme="minorEastAsia" w:hint="eastAsia"/>
          <w:szCs w:val="21"/>
        </w:rPr>
        <w:t>于</w:t>
      </w:r>
      <w:r w:rsidR="00203EEF" w:rsidRPr="003A5C9F">
        <w:rPr>
          <w:rFonts w:asciiTheme="minorEastAsia" w:eastAsiaTheme="minorEastAsia" w:hAnsiTheme="minorEastAsia"/>
          <w:szCs w:val="21"/>
        </w:rPr>
        <w:t>2018</w:t>
      </w:r>
      <w:r w:rsidR="00171D4A" w:rsidRPr="003A5C9F">
        <w:rPr>
          <w:rFonts w:asciiTheme="minorEastAsia" w:eastAsiaTheme="minorEastAsia" w:hAnsiTheme="minorEastAsia" w:hint="eastAsia"/>
          <w:szCs w:val="21"/>
        </w:rPr>
        <w:t>年</w:t>
      </w:r>
      <w:r w:rsidR="000A3148" w:rsidRPr="003A5C9F">
        <w:rPr>
          <w:rFonts w:asciiTheme="minorEastAsia" w:eastAsiaTheme="minorEastAsia" w:hAnsiTheme="minorEastAsia"/>
          <w:szCs w:val="21"/>
        </w:rPr>
        <w:t>10</w:t>
      </w:r>
      <w:r w:rsidR="00171D4A" w:rsidRPr="003A5C9F">
        <w:rPr>
          <w:rFonts w:asciiTheme="minorEastAsia" w:eastAsiaTheme="minorEastAsia" w:hAnsiTheme="minorEastAsia" w:hint="eastAsia"/>
          <w:szCs w:val="21"/>
        </w:rPr>
        <w:t>月</w:t>
      </w:r>
      <w:r w:rsidR="00203EEF" w:rsidRPr="003A5C9F">
        <w:rPr>
          <w:rFonts w:asciiTheme="minorEastAsia" w:eastAsiaTheme="minorEastAsia" w:hAnsiTheme="minorEastAsia"/>
          <w:szCs w:val="21"/>
        </w:rPr>
        <w:t>3</w:t>
      </w:r>
      <w:r w:rsidR="000A3148" w:rsidRPr="003A5C9F">
        <w:rPr>
          <w:rFonts w:asciiTheme="minorEastAsia" w:eastAsiaTheme="minorEastAsia" w:hAnsiTheme="minorEastAsia"/>
          <w:szCs w:val="21"/>
        </w:rPr>
        <w:t>1</w:t>
      </w:r>
      <w:r w:rsidR="00171D4A" w:rsidRPr="003A5C9F">
        <w:rPr>
          <w:rFonts w:asciiTheme="minorEastAsia" w:eastAsiaTheme="minorEastAsia" w:hAnsiTheme="minorEastAsia" w:hint="eastAsia"/>
          <w:szCs w:val="21"/>
        </w:rPr>
        <w:t>日</w:t>
      </w:r>
      <w:r w:rsidR="00171D4A" w:rsidRPr="003D21AE">
        <w:rPr>
          <w:rFonts w:asciiTheme="minorEastAsia" w:eastAsiaTheme="minorEastAsia" w:hAnsiTheme="minorEastAsia" w:hint="eastAsia"/>
          <w:szCs w:val="21"/>
        </w:rPr>
        <w:t>在《中国证券报》、《上海证券报》、《证券时报》及公司网站（www.dcfund.com.cn）发布了《</w:t>
      </w:r>
      <w:r w:rsidR="00C738DD" w:rsidRPr="003D21AE">
        <w:rPr>
          <w:rFonts w:asciiTheme="minorEastAsia" w:eastAsiaTheme="minorEastAsia" w:hAnsiTheme="minorEastAsia" w:hint="eastAsia"/>
        </w:rPr>
        <w:t>大成基金管理有限公司</w:t>
      </w:r>
      <w:r w:rsidR="00171D4A" w:rsidRPr="003D21AE">
        <w:rPr>
          <w:rFonts w:asciiTheme="minorEastAsia" w:eastAsiaTheme="minorEastAsia" w:hAnsiTheme="minorEastAsia" w:hint="eastAsia"/>
          <w:szCs w:val="21"/>
        </w:rPr>
        <w:t>关于</w:t>
      </w:r>
      <w:r w:rsidR="00C738DD" w:rsidRPr="003D21AE">
        <w:rPr>
          <w:rFonts w:asciiTheme="minorEastAsia" w:eastAsiaTheme="minorEastAsia" w:hAnsiTheme="minorEastAsia" w:hint="eastAsia"/>
          <w:szCs w:val="21"/>
        </w:rPr>
        <w:t>大成</w:t>
      </w:r>
      <w:r w:rsidR="00F00EE4">
        <w:rPr>
          <w:rFonts w:asciiTheme="minorEastAsia" w:eastAsiaTheme="minorEastAsia" w:hAnsiTheme="minorEastAsia" w:hint="eastAsia"/>
          <w:szCs w:val="21"/>
        </w:rPr>
        <w:t>景沛</w:t>
      </w:r>
      <w:r w:rsidR="00C738DD" w:rsidRPr="003D21AE">
        <w:rPr>
          <w:rFonts w:asciiTheme="minorEastAsia" w:eastAsiaTheme="minorEastAsia" w:hAnsiTheme="minorEastAsia" w:hint="eastAsia"/>
          <w:szCs w:val="21"/>
        </w:rPr>
        <w:t>灵活配置混合型证券投资基金基金合同终止及基金财产清算</w:t>
      </w:r>
      <w:r w:rsidR="00171D4A" w:rsidRPr="003D21AE">
        <w:rPr>
          <w:rFonts w:asciiTheme="minorEastAsia" w:eastAsiaTheme="minorEastAsia" w:hAnsiTheme="minorEastAsia" w:hint="eastAsia"/>
          <w:szCs w:val="21"/>
        </w:rPr>
        <w:t>的公告》</w:t>
      </w:r>
      <w:r w:rsidR="00BC3EB9" w:rsidRPr="003D21AE">
        <w:rPr>
          <w:rFonts w:asciiTheme="minorEastAsia" w:eastAsiaTheme="minorEastAsia" w:hAnsiTheme="minorEastAsia" w:hint="eastAsia"/>
          <w:szCs w:val="21"/>
        </w:rPr>
        <w:t>。</w:t>
      </w:r>
    </w:p>
    <w:p w:rsidR="00203EEF" w:rsidRPr="003D21AE" w:rsidRDefault="006A7C1F" w:rsidP="00897331">
      <w:pPr>
        <w:spacing w:line="360" w:lineRule="auto"/>
        <w:ind w:firstLineChars="200" w:firstLine="420"/>
        <w:rPr>
          <w:rFonts w:asciiTheme="minorEastAsia" w:eastAsiaTheme="minorEastAsia" w:hAnsiTheme="minorEastAsia"/>
        </w:rPr>
      </w:pPr>
      <w:r w:rsidRPr="003D21AE">
        <w:rPr>
          <w:rFonts w:asciiTheme="minorEastAsia" w:eastAsiaTheme="minorEastAsia" w:hAnsiTheme="minorEastAsia" w:hint="eastAsia"/>
        </w:rPr>
        <w:t>本基金自</w:t>
      </w:r>
      <w:r w:rsidR="000A3148">
        <w:rPr>
          <w:rFonts w:asciiTheme="minorEastAsia" w:eastAsiaTheme="minorEastAsia" w:hAnsiTheme="minorEastAsia" w:hint="eastAsia"/>
        </w:rPr>
        <w:t>2018年10月31日</w:t>
      </w:r>
      <w:r w:rsidRPr="003D21AE">
        <w:rPr>
          <w:rFonts w:asciiTheme="minorEastAsia" w:eastAsiaTheme="minorEastAsia" w:hAnsiTheme="minorEastAsia" w:hint="eastAsia"/>
        </w:rPr>
        <w:t>起进入清算期，</w:t>
      </w:r>
      <w:r w:rsidR="00203EEF" w:rsidRPr="003D21AE">
        <w:rPr>
          <w:rFonts w:asciiTheme="minorEastAsia" w:eastAsiaTheme="minorEastAsia" w:hAnsiTheme="minorEastAsia" w:hint="eastAsia"/>
        </w:rPr>
        <w:t>由基金管理人大成基金管理有限公司、基金托管人中国光大银行股份有限公司、</w:t>
      </w:r>
      <w:r w:rsidR="00203EEF" w:rsidRPr="003D21AE">
        <w:rPr>
          <w:rFonts w:asciiTheme="minorEastAsia" w:eastAsiaTheme="minorEastAsia" w:hAnsiTheme="minorEastAsia"/>
          <w:kern w:val="0"/>
          <w:szCs w:val="21"/>
        </w:rPr>
        <w:t>普华永道中天会计师事务所(特殊普通合伙)</w:t>
      </w:r>
      <w:r w:rsidR="00203EEF" w:rsidRPr="003D21AE">
        <w:rPr>
          <w:rFonts w:asciiTheme="minorEastAsia" w:eastAsiaTheme="minorEastAsia" w:hAnsiTheme="minorEastAsia" w:hint="eastAsia"/>
          <w:kern w:val="0"/>
          <w:szCs w:val="21"/>
        </w:rPr>
        <w:t>和</w:t>
      </w:r>
      <w:r w:rsidR="0061256F" w:rsidRPr="003D21AE">
        <w:rPr>
          <w:rFonts w:asciiTheme="minorEastAsia" w:eastAsiaTheme="minorEastAsia" w:hAnsiTheme="minorEastAsia" w:hint="eastAsia"/>
          <w:kern w:val="0"/>
          <w:szCs w:val="21"/>
        </w:rPr>
        <w:t>北京市</w:t>
      </w:r>
      <w:r w:rsidR="00203EEF" w:rsidRPr="003D21AE">
        <w:rPr>
          <w:rFonts w:asciiTheme="minorEastAsia" w:eastAsiaTheme="minorEastAsia" w:hAnsiTheme="minorEastAsia" w:hint="eastAsia"/>
          <w:kern w:val="0"/>
          <w:szCs w:val="21"/>
        </w:rPr>
        <w:t>金杜律师事务所于</w:t>
      </w:r>
      <w:r w:rsidR="000A3148">
        <w:rPr>
          <w:rFonts w:asciiTheme="minorEastAsia" w:eastAsiaTheme="minorEastAsia" w:hAnsiTheme="minorEastAsia" w:hint="eastAsia"/>
        </w:rPr>
        <w:t>2018年10月31日</w:t>
      </w:r>
      <w:r w:rsidR="00203EEF" w:rsidRPr="003D21AE">
        <w:rPr>
          <w:rFonts w:asciiTheme="minorEastAsia" w:eastAsiaTheme="minorEastAsia" w:hAnsiTheme="minorEastAsia" w:hint="eastAsia"/>
        </w:rPr>
        <w:t>成立基金财产清算小组履行基金财产清算程序，并由</w:t>
      </w:r>
      <w:r w:rsidR="00203EEF" w:rsidRPr="003D21AE">
        <w:rPr>
          <w:rFonts w:asciiTheme="minorEastAsia" w:eastAsiaTheme="minorEastAsia" w:hAnsiTheme="minorEastAsia"/>
          <w:kern w:val="0"/>
          <w:szCs w:val="21"/>
        </w:rPr>
        <w:t>普华永道中天会计师事务所(特殊普通合伙)</w:t>
      </w:r>
      <w:r w:rsidR="00203EEF" w:rsidRPr="003D21AE">
        <w:rPr>
          <w:rFonts w:asciiTheme="minorEastAsia" w:eastAsiaTheme="minorEastAsia" w:hAnsiTheme="minorEastAsia" w:hint="eastAsia"/>
          <w:kern w:val="0"/>
          <w:szCs w:val="21"/>
        </w:rPr>
        <w:t>对本基金进行清算审计，</w:t>
      </w:r>
      <w:r w:rsidR="004A15FB" w:rsidRPr="003D21AE">
        <w:rPr>
          <w:rFonts w:asciiTheme="minorEastAsia" w:eastAsiaTheme="minorEastAsia" w:hAnsiTheme="minorEastAsia" w:hint="eastAsia"/>
          <w:kern w:val="0"/>
          <w:szCs w:val="21"/>
        </w:rPr>
        <w:t>北京市</w:t>
      </w:r>
      <w:r w:rsidR="00203EEF" w:rsidRPr="003D21AE">
        <w:rPr>
          <w:rFonts w:asciiTheme="minorEastAsia" w:eastAsiaTheme="minorEastAsia" w:hAnsiTheme="minorEastAsia" w:hint="eastAsia"/>
          <w:kern w:val="0"/>
          <w:szCs w:val="21"/>
        </w:rPr>
        <w:t>金杜律师事务所对清算报告出具法律意见。</w:t>
      </w:r>
    </w:p>
    <w:p w:rsidR="00963A23" w:rsidRPr="003D21AE" w:rsidRDefault="00963A23" w:rsidP="00963A23">
      <w:pPr>
        <w:rPr>
          <w:rFonts w:asciiTheme="minorEastAsia" w:eastAsiaTheme="minorEastAsia" w:hAnsiTheme="minorEastAsia"/>
        </w:rPr>
      </w:pPr>
    </w:p>
    <w:p w:rsidR="00165DE8" w:rsidRPr="003D21AE" w:rsidRDefault="00165DE8">
      <w:pPr>
        <w:widowControl/>
        <w:jc w:val="left"/>
        <w:rPr>
          <w:rFonts w:asciiTheme="minorEastAsia" w:eastAsiaTheme="minorEastAsia" w:hAnsiTheme="minorEastAsia"/>
        </w:rPr>
      </w:pPr>
      <w:r w:rsidRPr="003D21AE">
        <w:rPr>
          <w:rFonts w:asciiTheme="minorEastAsia" w:eastAsiaTheme="minorEastAsia" w:hAnsiTheme="minorEastAsia"/>
        </w:rPr>
        <w:br w:type="page"/>
      </w:r>
    </w:p>
    <w:p w:rsidR="00963A23" w:rsidRPr="003D21AE" w:rsidRDefault="00963A23" w:rsidP="003A43D0">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lastRenderedPageBreak/>
        <w:t>二、基金概况</w:t>
      </w:r>
    </w:p>
    <w:p w:rsidR="001F292B" w:rsidRPr="003D21AE" w:rsidRDefault="001F292B" w:rsidP="001F292B">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1、基金基本情况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6"/>
        <w:gridCol w:w="2435"/>
        <w:gridCol w:w="2423"/>
      </w:tblGrid>
      <w:tr w:rsidR="00E96708" w:rsidRPr="003D21AE" w:rsidTr="00F77378">
        <w:trPr>
          <w:trHeight w:val="310"/>
        </w:trPr>
        <w:tc>
          <w:tcPr>
            <w:tcW w:w="3556" w:type="dxa"/>
          </w:tcPr>
          <w:p w:rsidR="00E96708" w:rsidRPr="003D21AE" w:rsidRDefault="00E96708" w:rsidP="00E91BC2">
            <w:pPr>
              <w:rPr>
                <w:rFonts w:asciiTheme="minorEastAsia" w:eastAsiaTheme="minorEastAsia" w:hAnsiTheme="minorEastAsia"/>
              </w:rPr>
            </w:pPr>
            <w:bookmarkStart w:id="1" w:name="m02_01_tab"/>
            <w:r w:rsidRPr="003D21AE">
              <w:rPr>
                <w:rFonts w:asciiTheme="minorEastAsia" w:eastAsiaTheme="minorEastAsia" w:hAnsiTheme="minorEastAsia" w:hint="eastAsia"/>
              </w:rPr>
              <w:t>基金名称</w:t>
            </w:r>
          </w:p>
        </w:tc>
        <w:tc>
          <w:tcPr>
            <w:tcW w:w="4858"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大成</w:t>
            </w:r>
            <w:r w:rsidR="00F00EE4">
              <w:rPr>
                <w:rFonts w:asciiTheme="minorEastAsia" w:eastAsiaTheme="minorEastAsia" w:hAnsiTheme="minorEastAsia" w:hint="eastAsia"/>
                <w:kern w:val="0"/>
              </w:rPr>
              <w:t>景沛</w:t>
            </w:r>
            <w:r w:rsidRPr="003D21AE">
              <w:rPr>
                <w:rFonts w:asciiTheme="minorEastAsia" w:eastAsiaTheme="minorEastAsia" w:hAnsiTheme="minorEastAsia" w:hint="eastAsia"/>
                <w:kern w:val="0"/>
              </w:rPr>
              <w:t>灵活配置混合型证券投资基金</w:t>
            </w:r>
          </w:p>
        </w:tc>
      </w:tr>
      <w:tr w:rsidR="00E96708" w:rsidRPr="003D21AE" w:rsidTr="00F77378">
        <w:trPr>
          <w:trHeight w:val="163"/>
        </w:trPr>
        <w:tc>
          <w:tcPr>
            <w:tcW w:w="3556"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基金简称</w:t>
            </w:r>
          </w:p>
        </w:tc>
        <w:tc>
          <w:tcPr>
            <w:tcW w:w="4858"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大成</w:t>
            </w:r>
            <w:r w:rsidR="00F00EE4">
              <w:rPr>
                <w:rFonts w:asciiTheme="minorEastAsia" w:eastAsiaTheme="minorEastAsia" w:hAnsiTheme="minorEastAsia" w:hint="eastAsia"/>
                <w:kern w:val="0"/>
              </w:rPr>
              <w:t>景沛</w:t>
            </w:r>
            <w:r w:rsidRPr="003D21AE">
              <w:rPr>
                <w:rFonts w:asciiTheme="minorEastAsia" w:eastAsiaTheme="minorEastAsia" w:hAnsiTheme="minorEastAsia" w:hint="eastAsia"/>
                <w:kern w:val="0"/>
              </w:rPr>
              <w:t>灵活配置混合</w:t>
            </w:r>
          </w:p>
        </w:tc>
      </w:tr>
      <w:tr w:rsidR="00E96708" w:rsidRPr="003D21AE" w:rsidTr="00F77378">
        <w:trPr>
          <w:trHeight w:val="324"/>
        </w:trPr>
        <w:tc>
          <w:tcPr>
            <w:tcW w:w="3556"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基金主代码</w:t>
            </w:r>
          </w:p>
        </w:tc>
        <w:tc>
          <w:tcPr>
            <w:tcW w:w="4858" w:type="dxa"/>
            <w:gridSpan w:val="2"/>
            <w:vAlign w:val="center"/>
          </w:tcPr>
          <w:p w:rsidR="00E96708" w:rsidRPr="003D21AE" w:rsidRDefault="000A3148" w:rsidP="00E91BC2">
            <w:pPr>
              <w:rPr>
                <w:rFonts w:asciiTheme="minorEastAsia" w:eastAsiaTheme="minorEastAsia" w:hAnsiTheme="minorEastAsia"/>
                <w:kern w:val="0"/>
              </w:rPr>
            </w:pPr>
            <w:r>
              <w:rPr>
                <w:rFonts w:asciiTheme="minorEastAsia" w:eastAsiaTheme="minorEastAsia" w:hAnsiTheme="minorEastAsia"/>
                <w:kern w:val="0"/>
              </w:rPr>
              <w:t>002081</w:t>
            </w:r>
          </w:p>
        </w:tc>
      </w:tr>
      <w:tr w:rsidR="00E96708" w:rsidRPr="003D21AE" w:rsidTr="00F77378">
        <w:trPr>
          <w:trHeight w:val="310"/>
        </w:trPr>
        <w:tc>
          <w:tcPr>
            <w:tcW w:w="3556"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基金运作方式</w:t>
            </w:r>
          </w:p>
        </w:tc>
        <w:tc>
          <w:tcPr>
            <w:tcW w:w="4858"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契约型开放式</w:t>
            </w:r>
          </w:p>
        </w:tc>
      </w:tr>
      <w:tr w:rsidR="00E96708" w:rsidRPr="003D21AE" w:rsidTr="00F77378">
        <w:trPr>
          <w:trHeight w:val="310"/>
        </w:trPr>
        <w:tc>
          <w:tcPr>
            <w:tcW w:w="3556"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基金合同生效日</w:t>
            </w:r>
          </w:p>
        </w:tc>
        <w:tc>
          <w:tcPr>
            <w:tcW w:w="4858" w:type="dxa"/>
            <w:gridSpan w:val="2"/>
            <w:vAlign w:val="center"/>
          </w:tcPr>
          <w:p w:rsidR="00E96708" w:rsidRPr="003D21AE" w:rsidRDefault="000A3148" w:rsidP="00E91BC2">
            <w:pPr>
              <w:rPr>
                <w:rFonts w:asciiTheme="minorEastAsia" w:eastAsiaTheme="minorEastAsia" w:hAnsiTheme="minorEastAsia"/>
                <w:kern w:val="0"/>
              </w:rPr>
            </w:pPr>
            <w:r>
              <w:rPr>
                <w:rFonts w:asciiTheme="minorEastAsia" w:eastAsiaTheme="minorEastAsia" w:hAnsiTheme="minorEastAsia"/>
                <w:kern w:val="0"/>
              </w:rPr>
              <w:t>2015年11月24日</w:t>
            </w:r>
          </w:p>
        </w:tc>
      </w:tr>
      <w:tr w:rsidR="00E96708" w:rsidRPr="003D21AE" w:rsidTr="00F77378">
        <w:trPr>
          <w:trHeight w:val="310"/>
        </w:trPr>
        <w:tc>
          <w:tcPr>
            <w:tcW w:w="3556" w:type="dxa"/>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rPr>
              <w:t>基金管理人</w:t>
            </w:r>
          </w:p>
        </w:tc>
        <w:tc>
          <w:tcPr>
            <w:tcW w:w="4858" w:type="dxa"/>
            <w:gridSpan w:val="2"/>
            <w:vAlign w:val="center"/>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szCs w:val="24"/>
              </w:rPr>
              <w:t>大成基金管理有限公司</w:t>
            </w:r>
          </w:p>
        </w:tc>
      </w:tr>
      <w:tr w:rsidR="00E96708" w:rsidRPr="003D21AE" w:rsidTr="00F77378">
        <w:trPr>
          <w:trHeight w:val="310"/>
        </w:trPr>
        <w:tc>
          <w:tcPr>
            <w:tcW w:w="3556" w:type="dxa"/>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rPr>
              <w:t>基金托管人</w:t>
            </w:r>
          </w:p>
        </w:tc>
        <w:tc>
          <w:tcPr>
            <w:tcW w:w="4858" w:type="dxa"/>
            <w:gridSpan w:val="2"/>
            <w:vAlign w:val="center"/>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szCs w:val="24"/>
              </w:rPr>
              <w:t>中国光大银行股份有限公司</w:t>
            </w:r>
          </w:p>
        </w:tc>
      </w:tr>
      <w:tr w:rsidR="00E96708" w:rsidRPr="003D21AE" w:rsidTr="00F77378">
        <w:trPr>
          <w:trHeight w:val="327"/>
        </w:trPr>
        <w:tc>
          <w:tcPr>
            <w:tcW w:w="3556" w:type="dxa"/>
          </w:tcPr>
          <w:p w:rsidR="00E96708" w:rsidRPr="003D21AE" w:rsidRDefault="008F168C" w:rsidP="00E91BC2">
            <w:pPr>
              <w:rPr>
                <w:rFonts w:asciiTheme="minorEastAsia" w:eastAsiaTheme="minorEastAsia" w:hAnsiTheme="minorEastAsia"/>
              </w:rPr>
            </w:pPr>
            <w:r w:rsidRPr="003D21AE">
              <w:rPr>
                <w:rFonts w:asciiTheme="minorEastAsia" w:eastAsiaTheme="minorEastAsia" w:hAnsiTheme="minorEastAsia" w:hint="eastAsia"/>
              </w:rPr>
              <w:t>基金</w:t>
            </w:r>
            <w:r w:rsidR="00E96708" w:rsidRPr="003D21AE">
              <w:rPr>
                <w:rFonts w:asciiTheme="minorEastAsia" w:eastAsiaTheme="minorEastAsia" w:hAnsiTheme="minorEastAsia" w:hint="eastAsia"/>
              </w:rPr>
              <w:t>最后运作日（</w:t>
            </w:r>
            <w:r w:rsidR="000A3148">
              <w:rPr>
                <w:rFonts w:asciiTheme="minorEastAsia" w:eastAsiaTheme="minorEastAsia" w:hAnsiTheme="minorEastAsia" w:hint="eastAsia"/>
              </w:rPr>
              <w:t>2018年10月30日</w:t>
            </w:r>
            <w:r w:rsidR="00E96708" w:rsidRPr="003D21AE">
              <w:rPr>
                <w:rFonts w:asciiTheme="minorEastAsia" w:eastAsiaTheme="minorEastAsia" w:hAnsiTheme="minorEastAsia" w:hint="eastAsia"/>
              </w:rPr>
              <w:t>）基金份额总额</w:t>
            </w:r>
          </w:p>
        </w:tc>
        <w:tc>
          <w:tcPr>
            <w:tcW w:w="4858" w:type="dxa"/>
            <w:gridSpan w:val="2"/>
            <w:vAlign w:val="center"/>
          </w:tcPr>
          <w:p w:rsidR="00E96708" w:rsidRPr="003D21AE" w:rsidRDefault="00FB7881" w:rsidP="00E91BC2">
            <w:pPr>
              <w:ind w:right="90"/>
              <w:rPr>
                <w:rFonts w:asciiTheme="minorEastAsia" w:eastAsiaTheme="minorEastAsia" w:hAnsiTheme="minorEastAsia"/>
                <w:kern w:val="0"/>
              </w:rPr>
            </w:pPr>
            <w:r w:rsidRPr="003A5C9F">
              <w:rPr>
                <w:rFonts w:asciiTheme="minorEastAsia" w:eastAsiaTheme="minorEastAsia" w:hAnsiTheme="minorEastAsia"/>
                <w:kern w:val="0"/>
              </w:rPr>
              <w:t>6,574,134.06</w:t>
            </w:r>
            <w:r w:rsidR="00E96708" w:rsidRPr="003D21AE">
              <w:rPr>
                <w:rFonts w:asciiTheme="minorEastAsia" w:eastAsiaTheme="minorEastAsia" w:hAnsiTheme="minorEastAsia"/>
                <w:kern w:val="0"/>
              </w:rPr>
              <w:t>份</w:t>
            </w:r>
          </w:p>
        </w:tc>
      </w:tr>
      <w:tr w:rsidR="00E96708" w:rsidRPr="003D21AE" w:rsidTr="000977B9">
        <w:trPr>
          <w:trHeight w:val="327"/>
        </w:trPr>
        <w:tc>
          <w:tcPr>
            <w:tcW w:w="3556"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下属分级基金的基金简称：</w:t>
            </w:r>
          </w:p>
        </w:tc>
        <w:tc>
          <w:tcPr>
            <w:tcW w:w="2435" w:type="dxa"/>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大成</w:t>
            </w:r>
            <w:r w:rsidR="00F00EE4">
              <w:rPr>
                <w:rFonts w:asciiTheme="minorEastAsia" w:eastAsiaTheme="minorEastAsia" w:hAnsiTheme="minorEastAsia" w:hint="eastAsia"/>
                <w:kern w:val="0"/>
              </w:rPr>
              <w:t>景沛</w:t>
            </w:r>
            <w:r w:rsidRPr="003D21AE">
              <w:rPr>
                <w:rFonts w:asciiTheme="minorEastAsia" w:eastAsiaTheme="minorEastAsia" w:hAnsiTheme="minorEastAsia" w:hint="eastAsia"/>
                <w:kern w:val="0"/>
              </w:rPr>
              <w:t>灵活配置混合</w:t>
            </w:r>
            <w:r w:rsidRPr="003D21AE">
              <w:rPr>
                <w:rFonts w:asciiTheme="minorEastAsia" w:eastAsiaTheme="minorEastAsia" w:hAnsiTheme="minorEastAsia"/>
                <w:kern w:val="0"/>
              </w:rPr>
              <w:t>A</w:t>
            </w:r>
          </w:p>
        </w:tc>
        <w:tc>
          <w:tcPr>
            <w:tcW w:w="2423" w:type="dxa"/>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大成</w:t>
            </w:r>
            <w:r w:rsidR="00F00EE4">
              <w:rPr>
                <w:rFonts w:asciiTheme="minorEastAsia" w:eastAsiaTheme="minorEastAsia" w:hAnsiTheme="minorEastAsia" w:hint="eastAsia"/>
                <w:kern w:val="0"/>
              </w:rPr>
              <w:t>景沛</w:t>
            </w:r>
            <w:r w:rsidRPr="003D21AE">
              <w:rPr>
                <w:rFonts w:asciiTheme="minorEastAsia" w:eastAsiaTheme="minorEastAsia" w:hAnsiTheme="minorEastAsia" w:hint="eastAsia"/>
                <w:kern w:val="0"/>
              </w:rPr>
              <w:t>灵活配置混合</w:t>
            </w:r>
            <w:r w:rsidRPr="003D21AE">
              <w:rPr>
                <w:rFonts w:asciiTheme="minorEastAsia" w:eastAsiaTheme="minorEastAsia" w:hAnsiTheme="minorEastAsia"/>
                <w:kern w:val="0"/>
              </w:rPr>
              <w:t>C</w:t>
            </w:r>
          </w:p>
        </w:tc>
      </w:tr>
      <w:tr w:rsidR="00E96708" w:rsidRPr="003D21AE" w:rsidTr="000977B9">
        <w:trPr>
          <w:trHeight w:val="327"/>
        </w:trPr>
        <w:tc>
          <w:tcPr>
            <w:tcW w:w="3556"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下属分级基金的交易代码：</w:t>
            </w:r>
          </w:p>
        </w:tc>
        <w:tc>
          <w:tcPr>
            <w:tcW w:w="2435" w:type="dxa"/>
            <w:vAlign w:val="center"/>
          </w:tcPr>
          <w:p w:rsidR="00E96708" w:rsidRPr="003D21AE" w:rsidRDefault="000A3148" w:rsidP="00E91BC2">
            <w:pPr>
              <w:rPr>
                <w:rFonts w:asciiTheme="minorEastAsia" w:eastAsiaTheme="minorEastAsia" w:hAnsiTheme="minorEastAsia"/>
                <w:kern w:val="0"/>
              </w:rPr>
            </w:pPr>
            <w:r>
              <w:rPr>
                <w:rFonts w:asciiTheme="minorEastAsia" w:eastAsiaTheme="minorEastAsia" w:hAnsiTheme="minorEastAsia"/>
                <w:kern w:val="0"/>
              </w:rPr>
              <w:t>002081</w:t>
            </w:r>
          </w:p>
        </w:tc>
        <w:tc>
          <w:tcPr>
            <w:tcW w:w="2423" w:type="dxa"/>
            <w:vAlign w:val="center"/>
          </w:tcPr>
          <w:p w:rsidR="00E96708" w:rsidRPr="003D21AE" w:rsidRDefault="00362C48" w:rsidP="00362C48">
            <w:pPr>
              <w:rPr>
                <w:rFonts w:asciiTheme="minorEastAsia" w:eastAsiaTheme="minorEastAsia" w:hAnsiTheme="minorEastAsia"/>
                <w:kern w:val="0"/>
              </w:rPr>
            </w:pPr>
            <w:r w:rsidRPr="003D21AE">
              <w:rPr>
                <w:rFonts w:asciiTheme="minorEastAsia" w:eastAsiaTheme="minorEastAsia" w:hAnsiTheme="minorEastAsia"/>
                <w:kern w:val="0"/>
              </w:rPr>
              <w:t>002</w:t>
            </w:r>
            <w:r>
              <w:rPr>
                <w:rFonts w:asciiTheme="minorEastAsia" w:eastAsiaTheme="minorEastAsia" w:hAnsiTheme="minorEastAsia" w:hint="eastAsia"/>
                <w:kern w:val="0"/>
              </w:rPr>
              <w:t>237</w:t>
            </w:r>
          </w:p>
        </w:tc>
      </w:tr>
      <w:tr w:rsidR="00E96708" w:rsidRPr="003D21AE" w:rsidTr="000977B9">
        <w:trPr>
          <w:trHeight w:val="327"/>
        </w:trPr>
        <w:tc>
          <w:tcPr>
            <w:tcW w:w="3556" w:type="dxa"/>
          </w:tcPr>
          <w:p w:rsidR="00E96708" w:rsidRPr="003D21AE" w:rsidRDefault="008F168C" w:rsidP="00E91BC2">
            <w:pPr>
              <w:rPr>
                <w:rFonts w:asciiTheme="minorEastAsia" w:eastAsiaTheme="minorEastAsia" w:hAnsiTheme="minorEastAsia"/>
              </w:rPr>
            </w:pPr>
            <w:r w:rsidRPr="003D21AE">
              <w:rPr>
                <w:rFonts w:asciiTheme="minorEastAsia" w:eastAsiaTheme="minorEastAsia" w:hAnsiTheme="minorEastAsia" w:hint="eastAsia"/>
              </w:rPr>
              <w:t>基金</w:t>
            </w:r>
            <w:r w:rsidR="00E96708" w:rsidRPr="003D21AE">
              <w:rPr>
                <w:rFonts w:asciiTheme="minorEastAsia" w:eastAsiaTheme="minorEastAsia" w:hAnsiTheme="minorEastAsia" w:hint="eastAsia"/>
              </w:rPr>
              <w:t>最后运作日（</w:t>
            </w:r>
            <w:r w:rsidR="000A3148">
              <w:rPr>
                <w:rFonts w:asciiTheme="minorEastAsia" w:eastAsiaTheme="minorEastAsia" w:hAnsiTheme="minorEastAsia" w:hint="eastAsia"/>
              </w:rPr>
              <w:t>2018年10月30日</w:t>
            </w:r>
            <w:r w:rsidR="00E96708" w:rsidRPr="003D21AE">
              <w:rPr>
                <w:rFonts w:asciiTheme="minorEastAsia" w:eastAsiaTheme="minorEastAsia" w:hAnsiTheme="minorEastAsia" w:hint="eastAsia"/>
              </w:rPr>
              <w:t>）下属分级基金的份额总额</w:t>
            </w:r>
          </w:p>
        </w:tc>
        <w:tc>
          <w:tcPr>
            <w:tcW w:w="2435" w:type="dxa"/>
            <w:vAlign w:val="center"/>
          </w:tcPr>
          <w:p w:rsidR="00E96708" w:rsidRPr="003D21AE" w:rsidRDefault="00FB7881" w:rsidP="00E91BC2">
            <w:pPr>
              <w:rPr>
                <w:rFonts w:asciiTheme="minorEastAsia" w:eastAsiaTheme="minorEastAsia" w:hAnsiTheme="minorEastAsia"/>
                <w:kern w:val="0"/>
              </w:rPr>
            </w:pPr>
            <w:r>
              <w:rPr>
                <w:rFonts w:asciiTheme="minorEastAsia" w:eastAsiaTheme="minorEastAsia" w:hAnsiTheme="minorEastAsia"/>
                <w:kern w:val="0"/>
              </w:rPr>
              <w:t>6,574,134.06</w:t>
            </w:r>
            <w:r w:rsidR="00E96708" w:rsidRPr="003D21AE">
              <w:rPr>
                <w:rFonts w:asciiTheme="minorEastAsia" w:eastAsiaTheme="minorEastAsia" w:hAnsiTheme="minorEastAsia"/>
                <w:kern w:val="0"/>
              </w:rPr>
              <w:t>份</w:t>
            </w:r>
          </w:p>
        </w:tc>
        <w:tc>
          <w:tcPr>
            <w:tcW w:w="2423" w:type="dxa"/>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kern w:val="0"/>
              </w:rPr>
              <w:t>-</w:t>
            </w:r>
          </w:p>
        </w:tc>
      </w:tr>
      <w:bookmarkEnd w:id="1"/>
    </w:tbl>
    <w:p w:rsidR="001F292B" w:rsidRPr="003D21AE" w:rsidRDefault="001F292B" w:rsidP="001F292B">
      <w:pPr>
        <w:spacing w:line="360" w:lineRule="auto"/>
        <w:jc w:val="left"/>
        <w:rPr>
          <w:rFonts w:asciiTheme="minorEastAsia" w:eastAsiaTheme="minorEastAsia" w:hAnsiTheme="minorEastAsia"/>
          <w:b/>
        </w:rPr>
      </w:pPr>
    </w:p>
    <w:p w:rsidR="001F292B" w:rsidRPr="003D21AE" w:rsidRDefault="001F292B" w:rsidP="001F292B">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2、基金产品说明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0"/>
        <w:gridCol w:w="6934"/>
      </w:tblGrid>
      <w:tr w:rsidR="00C70722" w:rsidRPr="003D21AE" w:rsidTr="00E91BC2">
        <w:tc>
          <w:tcPr>
            <w:tcW w:w="1550" w:type="dxa"/>
          </w:tcPr>
          <w:p w:rsidR="00C70722" w:rsidRPr="003D21AE" w:rsidRDefault="00C70722" w:rsidP="00E91BC2">
            <w:pPr>
              <w:rPr>
                <w:rFonts w:asciiTheme="minorEastAsia" w:eastAsiaTheme="minorEastAsia" w:hAnsiTheme="minorEastAsia"/>
              </w:rPr>
            </w:pPr>
            <w:bookmarkStart w:id="2" w:name="m02_02_tab"/>
            <w:r w:rsidRPr="003D21AE">
              <w:rPr>
                <w:rFonts w:asciiTheme="minorEastAsia" w:eastAsiaTheme="minorEastAsia" w:hAnsiTheme="minorEastAsia" w:hint="eastAsia"/>
              </w:rPr>
              <w:t>投资目标</w:t>
            </w:r>
          </w:p>
        </w:tc>
        <w:tc>
          <w:tcPr>
            <w:tcW w:w="7350" w:type="dxa"/>
            <w:vAlign w:val="center"/>
          </w:tcPr>
          <w:p w:rsidR="00C70722" w:rsidRPr="003D21AE" w:rsidRDefault="00C70722" w:rsidP="00E91BC2">
            <w:pPr>
              <w:rPr>
                <w:rFonts w:asciiTheme="minorEastAsia" w:eastAsiaTheme="minorEastAsia" w:hAnsiTheme="minorEastAsia"/>
                <w:kern w:val="0"/>
              </w:rPr>
            </w:pPr>
            <w:r w:rsidRPr="003D21AE">
              <w:rPr>
                <w:rFonts w:asciiTheme="minorEastAsia" w:eastAsiaTheme="minorEastAsia" w:hAnsiTheme="minorEastAsia" w:hint="eastAsia"/>
                <w:kern w:val="0"/>
              </w:rPr>
              <w:t>在严格控制风险的前提下，追求基金资产稳定增值。</w:t>
            </w:r>
          </w:p>
        </w:tc>
      </w:tr>
      <w:tr w:rsidR="00C70722" w:rsidRPr="003D21AE" w:rsidTr="00E91BC2">
        <w:tc>
          <w:tcPr>
            <w:tcW w:w="1550" w:type="dxa"/>
          </w:tcPr>
          <w:p w:rsidR="00C70722" w:rsidRPr="003D21AE" w:rsidRDefault="00C70722" w:rsidP="00E91BC2">
            <w:pPr>
              <w:rPr>
                <w:rFonts w:asciiTheme="minorEastAsia" w:eastAsiaTheme="minorEastAsia" w:hAnsiTheme="minorEastAsia"/>
              </w:rPr>
            </w:pPr>
            <w:r w:rsidRPr="003D21AE">
              <w:rPr>
                <w:rFonts w:asciiTheme="minorEastAsia" w:eastAsiaTheme="minorEastAsia" w:hAnsiTheme="minorEastAsia" w:hint="eastAsia"/>
              </w:rPr>
              <w:t>投资策略</w:t>
            </w:r>
          </w:p>
        </w:tc>
        <w:tc>
          <w:tcPr>
            <w:tcW w:w="7350" w:type="dxa"/>
            <w:vAlign w:val="center"/>
          </w:tcPr>
          <w:p w:rsidR="00C70722" w:rsidRPr="003D21AE" w:rsidRDefault="00C70722" w:rsidP="00E91BC2">
            <w:pPr>
              <w:rPr>
                <w:rFonts w:asciiTheme="minorEastAsia" w:eastAsiaTheme="minorEastAsia" w:hAnsiTheme="minorEastAsia"/>
                <w:kern w:val="0"/>
              </w:rPr>
            </w:pPr>
            <w:r w:rsidRPr="003D21AE">
              <w:rPr>
                <w:rFonts w:asciiTheme="minorEastAsia" w:eastAsiaTheme="minorEastAsia" w:hAnsiTheme="minorEastAsia" w:hint="eastAsia"/>
                <w:kern w:val="0"/>
              </w:rPr>
              <w:t>本基金将有采用“自上而下”的资产配置策略，在综合判断宏观经济基本面、证券市场走势等宏观因素的基础上，通过动态调整资产配置比例以控制基金资产整体风险。在个券投资方面采用“自下而上”精选策略，通过严谨个股选择、信用分析以及对券种收益水平、流动性的客观判断，综合运用多种投资策略，精选个券构建投资组合。</w:t>
            </w:r>
          </w:p>
        </w:tc>
      </w:tr>
      <w:tr w:rsidR="00C70722" w:rsidRPr="003D21AE" w:rsidTr="00E91BC2">
        <w:tc>
          <w:tcPr>
            <w:tcW w:w="1550" w:type="dxa"/>
          </w:tcPr>
          <w:p w:rsidR="00C70722" w:rsidRPr="003D21AE" w:rsidRDefault="00C70722" w:rsidP="00E91BC2">
            <w:pPr>
              <w:rPr>
                <w:rFonts w:asciiTheme="minorEastAsia" w:eastAsiaTheme="minorEastAsia" w:hAnsiTheme="minorEastAsia"/>
              </w:rPr>
            </w:pPr>
            <w:r w:rsidRPr="003D21AE">
              <w:rPr>
                <w:rFonts w:asciiTheme="minorEastAsia" w:eastAsiaTheme="minorEastAsia" w:hAnsiTheme="minorEastAsia" w:hint="eastAsia"/>
              </w:rPr>
              <w:t>业绩比较基准</w:t>
            </w:r>
          </w:p>
        </w:tc>
        <w:tc>
          <w:tcPr>
            <w:tcW w:w="7350" w:type="dxa"/>
            <w:vAlign w:val="center"/>
          </w:tcPr>
          <w:p w:rsidR="00C70722" w:rsidRPr="003D21AE" w:rsidRDefault="00C70722" w:rsidP="00E91BC2">
            <w:pPr>
              <w:rPr>
                <w:rFonts w:asciiTheme="minorEastAsia" w:eastAsiaTheme="minorEastAsia" w:hAnsiTheme="minorEastAsia"/>
                <w:kern w:val="0"/>
              </w:rPr>
            </w:pPr>
            <w:r w:rsidRPr="003D21AE">
              <w:rPr>
                <w:rFonts w:asciiTheme="minorEastAsia" w:eastAsiaTheme="minorEastAsia" w:hAnsiTheme="minorEastAsia" w:hint="eastAsia"/>
                <w:kern w:val="0"/>
              </w:rPr>
              <w:t>三年期定期存款税后利率</w:t>
            </w:r>
            <w:r w:rsidRPr="003D21AE">
              <w:rPr>
                <w:rFonts w:asciiTheme="minorEastAsia" w:eastAsiaTheme="minorEastAsia" w:hAnsiTheme="minorEastAsia"/>
                <w:kern w:val="0"/>
              </w:rPr>
              <w:t>+2%</w:t>
            </w:r>
          </w:p>
        </w:tc>
      </w:tr>
      <w:tr w:rsidR="00C70722" w:rsidRPr="003D21AE" w:rsidTr="00E91BC2">
        <w:tc>
          <w:tcPr>
            <w:tcW w:w="1550" w:type="dxa"/>
          </w:tcPr>
          <w:p w:rsidR="00C70722" w:rsidRPr="003D21AE" w:rsidRDefault="00C70722" w:rsidP="00E91BC2">
            <w:pPr>
              <w:rPr>
                <w:rFonts w:asciiTheme="minorEastAsia" w:eastAsiaTheme="minorEastAsia" w:hAnsiTheme="minorEastAsia"/>
              </w:rPr>
            </w:pPr>
            <w:r w:rsidRPr="003D21AE">
              <w:rPr>
                <w:rFonts w:asciiTheme="minorEastAsia" w:eastAsiaTheme="minorEastAsia" w:hAnsiTheme="minorEastAsia" w:hint="eastAsia"/>
              </w:rPr>
              <w:t>风险收益特征</w:t>
            </w:r>
          </w:p>
        </w:tc>
        <w:tc>
          <w:tcPr>
            <w:tcW w:w="7350" w:type="dxa"/>
            <w:vAlign w:val="center"/>
          </w:tcPr>
          <w:p w:rsidR="00C70722" w:rsidRPr="003D21AE" w:rsidRDefault="00C70722" w:rsidP="00E91BC2">
            <w:pPr>
              <w:rPr>
                <w:rFonts w:asciiTheme="minorEastAsia" w:eastAsiaTheme="minorEastAsia" w:hAnsiTheme="minorEastAsia"/>
                <w:kern w:val="0"/>
              </w:rPr>
            </w:pPr>
            <w:r w:rsidRPr="003D21AE">
              <w:rPr>
                <w:rFonts w:asciiTheme="minorEastAsia" w:eastAsiaTheme="minorEastAsia" w:hAnsiTheme="minorEastAsia" w:hint="eastAsia"/>
                <w:kern w:val="0"/>
              </w:rPr>
              <w:t>本基金为混合型基金，基金的风险与预期收益高于债券型基金和货币市场基金低于股票型基金，属于证券投资基金中的中高风险投资品种。</w:t>
            </w:r>
          </w:p>
        </w:tc>
      </w:tr>
      <w:bookmarkEnd w:id="2"/>
    </w:tbl>
    <w:p w:rsidR="001F292B" w:rsidRPr="003D21AE" w:rsidRDefault="001F292B" w:rsidP="00C70722">
      <w:pPr>
        <w:spacing w:line="360" w:lineRule="auto"/>
        <w:jc w:val="left"/>
        <w:rPr>
          <w:rFonts w:asciiTheme="minorEastAsia" w:eastAsiaTheme="minorEastAsia" w:hAnsiTheme="minorEastAsia"/>
          <w:b/>
        </w:rPr>
      </w:pPr>
    </w:p>
    <w:p w:rsidR="00BD5A1E" w:rsidRPr="003D21AE" w:rsidRDefault="00BD5A1E">
      <w:pPr>
        <w:widowControl/>
        <w:jc w:val="left"/>
        <w:rPr>
          <w:rFonts w:asciiTheme="minorEastAsia" w:eastAsiaTheme="minorEastAsia" w:hAnsiTheme="minorEastAsia"/>
          <w:b/>
        </w:rPr>
      </w:pPr>
      <w:r w:rsidRPr="003D21AE">
        <w:rPr>
          <w:rFonts w:asciiTheme="minorEastAsia" w:eastAsiaTheme="minorEastAsia" w:hAnsiTheme="minorEastAsia"/>
          <w:b/>
        </w:rPr>
        <w:br w:type="page"/>
      </w:r>
    </w:p>
    <w:p w:rsidR="00963A23" w:rsidRPr="00081F8A" w:rsidRDefault="0094733D" w:rsidP="008905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三、财务会计报告</w:t>
      </w:r>
    </w:p>
    <w:p w:rsidR="003A43D0" w:rsidRPr="003D21AE" w:rsidRDefault="003D5070" w:rsidP="008905D2">
      <w:pPr>
        <w:spacing w:line="360" w:lineRule="auto"/>
        <w:rPr>
          <w:rFonts w:asciiTheme="minorEastAsia" w:eastAsiaTheme="minorEastAsia" w:hAnsiTheme="minorEastAsia"/>
          <w:b/>
        </w:rPr>
      </w:pPr>
      <w:r w:rsidRPr="003D21AE">
        <w:rPr>
          <w:rFonts w:asciiTheme="minorEastAsia" w:eastAsiaTheme="minorEastAsia" w:hAnsiTheme="minorEastAsia" w:hint="eastAsia"/>
          <w:b/>
        </w:rPr>
        <w:t>资产负债表</w:t>
      </w:r>
      <w:r w:rsidR="00AE4062" w:rsidRPr="00AE4062">
        <w:rPr>
          <w:rFonts w:asciiTheme="minorEastAsia" w:eastAsiaTheme="minorEastAsia" w:hAnsiTheme="minorEastAsia" w:hint="eastAsia"/>
          <w:b/>
        </w:rPr>
        <w:t>（</w:t>
      </w:r>
      <w:r w:rsidR="00AE4062">
        <w:rPr>
          <w:rFonts w:asciiTheme="minorEastAsia" w:eastAsiaTheme="minorEastAsia" w:hAnsiTheme="minorEastAsia" w:hint="eastAsia"/>
          <w:b/>
        </w:rPr>
        <w:t>已</w:t>
      </w:r>
      <w:r w:rsidR="00AE4062" w:rsidRPr="00AE4062">
        <w:rPr>
          <w:rFonts w:asciiTheme="minorEastAsia" w:eastAsiaTheme="minorEastAsia" w:hAnsiTheme="minorEastAsia" w:hint="eastAsia"/>
          <w:b/>
        </w:rPr>
        <w:t>经审计）</w:t>
      </w:r>
    </w:p>
    <w:p w:rsidR="003A43D0" w:rsidRPr="00395575" w:rsidRDefault="003A43D0" w:rsidP="008905D2">
      <w:pPr>
        <w:spacing w:line="360" w:lineRule="auto"/>
        <w:rPr>
          <w:rFonts w:asciiTheme="minorEastAsia" w:eastAsiaTheme="minorEastAsia" w:hAnsiTheme="minorEastAsia"/>
        </w:rPr>
      </w:pPr>
      <w:r w:rsidRPr="00395575">
        <w:rPr>
          <w:rFonts w:asciiTheme="minorEastAsia" w:eastAsiaTheme="minorEastAsia" w:hAnsiTheme="minorEastAsia" w:hint="eastAsia"/>
        </w:rPr>
        <w:t>会计主体：</w:t>
      </w:r>
      <w:r w:rsidR="00C70722" w:rsidRPr="00395575">
        <w:rPr>
          <w:rFonts w:asciiTheme="minorEastAsia" w:eastAsiaTheme="minorEastAsia" w:hAnsiTheme="minorEastAsia" w:hint="eastAsia"/>
          <w:kern w:val="0"/>
          <w:szCs w:val="21"/>
        </w:rPr>
        <w:t>大成</w:t>
      </w:r>
      <w:r w:rsidR="00F00EE4">
        <w:rPr>
          <w:rFonts w:asciiTheme="minorEastAsia" w:eastAsiaTheme="minorEastAsia" w:hAnsiTheme="minorEastAsia" w:hint="eastAsia"/>
          <w:kern w:val="0"/>
          <w:szCs w:val="21"/>
        </w:rPr>
        <w:t>景沛</w:t>
      </w:r>
      <w:r w:rsidR="00C70722" w:rsidRPr="00395575">
        <w:rPr>
          <w:rFonts w:asciiTheme="minorEastAsia" w:eastAsiaTheme="minorEastAsia" w:hAnsiTheme="minorEastAsia" w:hint="eastAsia"/>
          <w:kern w:val="0"/>
          <w:szCs w:val="21"/>
        </w:rPr>
        <w:t>灵活配置混合型证券投资基金</w:t>
      </w:r>
    </w:p>
    <w:p w:rsidR="003A43D0" w:rsidRPr="00395575" w:rsidRDefault="003A43D0" w:rsidP="008905D2">
      <w:pPr>
        <w:spacing w:line="360" w:lineRule="auto"/>
        <w:rPr>
          <w:rFonts w:asciiTheme="minorEastAsia" w:eastAsiaTheme="minorEastAsia" w:hAnsiTheme="minorEastAsia"/>
        </w:rPr>
      </w:pPr>
      <w:r w:rsidRPr="00395575">
        <w:rPr>
          <w:rFonts w:asciiTheme="minorEastAsia" w:eastAsiaTheme="minorEastAsia" w:hAnsiTheme="minorEastAsia" w:hint="eastAsia"/>
        </w:rPr>
        <w:t>报告截止日：</w:t>
      </w:r>
      <w:r w:rsidR="00C70722" w:rsidRPr="00395575">
        <w:rPr>
          <w:rFonts w:asciiTheme="minorEastAsia" w:eastAsiaTheme="minorEastAsia" w:hAnsiTheme="minorEastAsia" w:hint="eastAsia"/>
        </w:rPr>
        <w:t xml:space="preserve"> 2018</w:t>
      </w:r>
      <w:r w:rsidRPr="00395575">
        <w:rPr>
          <w:rFonts w:asciiTheme="minorEastAsia" w:eastAsiaTheme="minorEastAsia" w:hAnsiTheme="minorEastAsia" w:hint="eastAsia"/>
        </w:rPr>
        <w:t>年</w:t>
      </w:r>
      <w:r w:rsidR="002571E1">
        <w:rPr>
          <w:rFonts w:asciiTheme="minorEastAsia" w:eastAsiaTheme="minorEastAsia" w:hAnsiTheme="minorEastAsia" w:hint="eastAsia"/>
        </w:rPr>
        <w:t>10</w:t>
      </w:r>
      <w:r w:rsidRPr="00395575">
        <w:rPr>
          <w:rFonts w:asciiTheme="minorEastAsia" w:eastAsiaTheme="minorEastAsia" w:hAnsiTheme="minorEastAsia" w:hint="eastAsia"/>
        </w:rPr>
        <w:t>月</w:t>
      </w:r>
      <w:r w:rsidR="002571E1">
        <w:rPr>
          <w:rFonts w:asciiTheme="minorEastAsia" w:eastAsiaTheme="minorEastAsia" w:hAnsiTheme="minorEastAsia" w:hint="eastAsia"/>
        </w:rPr>
        <w:t>30</w:t>
      </w:r>
      <w:r w:rsidRPr="00395575">
        <w:rPr>
          <w:rFonts w:asciiTheme="minorEastAsia" w:eastAsiaTheme="minorEastAsia" w:hAnsiTheme="minorEastAsia" w:hint="eastAsia"/>
        </w:rPr>
        <w:t>日</w:t>
      </w:r>
      <w:r w:rsidR="008905D2" w:rsidRPr="00395575">
        <w:rPr>
          <w:rFonts w:asciiTheme="minorEastAsia" w:eastAsiaTheme="minorEastAsia" w:hAnsiTheme="minorEastAsia" w:hint="eastAsia"/>
        </w:rPr>
        <w:t>（</w:t>
      </w:r>
      <w:r w:rsidR="006E0C35" w:rsidRPr="00395575">
        <w:rPr>
          <w:rFonts w:asciiTheme="minorEastAsia" w:eastAsiaTheme="minorEastAsia" w:hAnsiTheme="minorEastAsia" w:hint="eastAsia"/>
        </w:rPr>
        <w:t>基金</w:t>
      </w:r>
      <w:r w:rsidR="00C70722" w:rsidRPr="00395575">
        <w:rPr>
          <w:rFonts w:asciiTheme="minorEastAsia" w:eastAsiaTheme="minorEastAsia" w:hAnsiTheme="minorEastAsia" w:hint="eastAsia"/>
        </w:rPr>
        <w:t>最后运作日</w:t>
      </w:r>
      <w:r w:rsidR="008905D2" w:rsidRPr="00395575">
        <w:rPr>
          <w:rFonts w:asciiTheme="minorEastAsia" w:eastAsiaTheme="minorEastAsia" w:hAnsiTheme="minorEastAsia" w:hint="eastAsia"/>
        </w:rPr>
        <w:t>）</w:t>
      </w:r>
    </w:p>
    <w:p w:rsidR="003A43D0" w:rsidRPr="003D21AE" w:rsidRDefault="008905D2" w:rsidP="008905D2">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610"/>
        <w:gridCol w:w="2351"/>
        <w:gridCol w:w="1743"/>
      </w:tblGrid>
      <w:tr w:rsidR="00CB2D30" w:rsidRPr="00CC2109" w:rsidTr="003A5C9F">
        <w:trPr>
          <w:trHeight w:val="520"/>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CC2109" w:rsidRDefault="00CB2D30" w:rsidP="003260A3">
            <w:pPr>
              <w:pStyle w:val="a4"/>
              <w:jc w:val="center"/>
              <w:rPr>
                <w:rFonts w:asciiTheme="minorEastAsia" w:eastAsiaTheme="minorEastAsia" w:hAnsiTheme="minorEastAsia"/>
                <w:b/>
                <w:kern w:val="2"/>
                <w:sz w:val="21"/>
                <w:szCs w:val="21"/>
              </w:rPr>
            </w:pPr>
            <w:r w:rsidRPr="00CC2109">
              <w:rPr>
                <w:rFonts w:asciiTheme="minorEastAsia" w:eastAsiaTheme="minorEastAsia" w:hAnsiTheme="minorEastAsia"/>
                <w:b/>
                <w:kern w:val="2"/>
                <w:sz w:val="21"/>
                <w:szCs w:val="21"/>
              </w:rPr>
              <w:t>资 产</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CC2109" w:rsidRDefault="00CB2D30" w:rsidP="003260A3">
            <w:pPr>
              <w:pStyle w:val="a4"/>
              <w:spacing w:before="0" w:beforeAutospacing="0" w:after="0" w:afterAutospacing="0"/>
              <w:jc w:val="center"/>
              <w:rPr>
                <w:rFonts w:asciiTheme="minorEastAsia" w:eastAsiaTheme="minorEastAsia" w:hAnsiTheme="minorEastAsia"/>
                <w:b/>
                <w:kern w:val="2"/>
                <w:sz w:val="21"/>
                <w:szCs w:val="21"/>
              </w:rPr>
            </w:pPr>
            <w:r w:rsidRPr="00CC2109">
              <w:rPr>
                <w:rFonts w:asciiTheme="minorEastAsia" w:eastAsiaTheme="minorEastAsia" w:hAnsiTheme="minorEastAsia" w:hint="eastAsia"/>
                <w:b/>
                <w:kern w:val="2"/>
                <w:sz w:val="21"/>
                <w:szCs w:val="21"/>
              </w:rPr>
              <w:t>期末余额</w:t>
            </w:r>
          </w:p>
        </w:tc>
        <w:tc>
          <w:tcPr>
            <w:tcW w:w="2351" w:type="dxa"/>
            <w:shd w:val="clear" w:color="auto" w:fill="auto"/>
            <w:vAlign w:val="center"/>
          </w:tcPr>
          <w:p w:rsidR="00CB2D30" w:rsidRPr="00CC2109" w:rsidRDefault="00CB2D30" w:rsidP="003260A3">
            <w:pPr>
              <w:pStyle w:val="a4"/>
              <w:jc w:val="center"/>
              <w:rPr>
                <w:rFonts w:asciiTheme="minorEastAsia" w:eastAsiaTheme="minorEastAsia" w:hAnsiTheme="minorEastAsia"/>
                <w:b/>
                <w:kern w:val="2"/>
                <w:sz w:val="21"/>
                <w:szCs w:val="21"/>
              </w:rPr>
            </w:pPr>
            <w:r w:rsidRPr="00CC2109">
              <w:rPr>
                <w:rFonts w:asciiTheme="minorEastAsia" w:eastAsiaTheme="minorEastAsia" w:hAnsiTheme="minorEastAsia"/>
                <w:b/>
                <w:kern w:val="2"/>
                <w:sz w:val="21"/>
                <w:szCs w:val="21"/>
              </w:rPr>
              <w:t>负债和所有者权益</w:t>
            </w:r>
          </w:p>
        </w:tc>
        <w:tc>
          <w:tcPr>
            <w:tcW w:w="1743" w:type="dxa"/>
            <w:shd w:val="clear" w:color="auto" w:fill="auto"/>
            <w:vAlign w:val="center"/>
          </w:tcPr>
          <w:p w:rsidR="00CB2D30" w:rsidRPr="00CC2109" w:rsidRDefault="00CB2D30" w:rsidP="003260A3">
            <w:pPr>
              <w:pStyle w:val="a4"/>
              <w:spacing w:before="0" w:beforeAutospacing="0" w:after="0" w:afterAutospacing="0"/>
              <w:jc w:val="center"/>
              <w:rPr>
                <w:rFonts w:asciiTheme="minorEastAsia" w:eastAsiaTheme="minorEastAsia" w:hAnsiTheme="minorEastAsia"/>
                <w:b/>
                <w:kern w:val="2"/>
                <w:sz w:val="21"/>
                <w:szCs w:val="21"/>
              </w:rPr>
            </w:pPr>
            <w:r w:rsidRPr="00CC2109">
              <w:rPr>
                <w:rFonts w:asciiTheme="minorEastAsia" w:eastAsiaTheme="minorEastAsia" w:hAnsiTheme="minorEastAsia" w:hint="eastAsia"/>
                <w:b/>
                <w:kern w:val="2"/>
                <w:sz w:val="21"/>
                <w:szCs w:val="21"/>
              </w:rPr>
              <w:t>期末余额</w:t>
            </w:r>
          </w:p>
        </w:tc>
      </w:tr>
      <w:tr w:rsidR="00CB2D30"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vAlign w:val="center"/>
          </w:tcPr>
          <w:p w:rsidR="00CB2D30" w:rsidRPr="00CC2109" w:rsidRDefault="00CB2D30" w:rsidP="003260A3">
            <w:pPr>
              <w:pStyle w:val="a4"/>
              <w:rPr>
                <w:rFonts w:asciiTheme="minorEastAsia" w:eastAsiaTheme="minorEastAsia" w:hAnsiTheme="minorEastAsia"/>
                <w:b/>
                <w:kern w:val="2"/>
                <w:sz w:val="21"/>
                <w:szCs w:val="21"/>
              </w:rPr>
            </w:pPr>
            <w:r w:rsidRPr="00CC2109">
              <w:rPr>
                <w:rFonts w:asciiTheme="minorEastAsia" w:eastAsiaTheme="minorEastAsia" w:hAnsiTheme="minorEastAsia"/>
                <w:b/>
                <w:kern w:val="2"/>
                <w:sz w:val="21"/>
                <w:szCs w:val="21"/>
              </w:rPr>
              <w:t>资 产：</w:t>
            </w:r>
          </w:p>
        </w:tc>
        <w:tc>
          <w:tcPr>
            <w:tcW w:w="1610" w:type="dxa"/>
            <w:tcBorders>
              <w:top w:val="single" w:sz="4" w:space="0" w:color="auto"/>
              <w:left w:val="single" w:sz="4" w:space="0" w:color="auto"/>
              <w:bottom w:val="single" w:sz="4" w:space="0" w:color="auto"/>
              <w:right w:val="single" w:sz="4" w:space="0" w:color="auto"/>
            </w:tcBorders>
          </w:tcPr>
          <w:p w:rsidR="00CB2D30" w:rsidRPr="00CC2109" w:rsidRDefault="00CB2D30" w:rsidP="003260A3">
            <w:pPr>
              <w:pStyle w:val="a4"/>
              <w:jc w:val="right"/>
              <w:rPr>
                <w:rFonts w:asciiTheme="minorEastAsia" w:eastAsiaTheme="minorEastAsia" w:hAnsiTheme="minorEastAsia"/>
                <w:kern w:val="2"/>
                <w:sz w:val="21"/>
                <w:szCs w:val="21"/>
              </w:rPr>
            </w:pPr>
          </w:p>
        </w:tc>
        <w:tc>
          <w:tcPr>
            <w:tcW w:w="2351" w:type="dxa"/>
            <w:vAlign w:val="center"/>
          </w:tcPr>
          <w:p w:rsidR="00CB2D30" w:rsidRPr="00CC2109" w:rsidRDefault="00CB2D30" w:rsidP="003260A3">
            <w:pPr>
              <w:pStyle w:val="a4"/>
              <w:rPr>
                <w:rFonts w:asciiTheme="minorEastAsia" w:eastAsiaTheme="minorEastAsia" w:hAnsiTheme="minorEastAsia"/>
                <w:b/>
                <w:kern w:val="2"/>
                <w:sz w:val="21"/>
                <w:szCs w:val="21"/>
              </w:rPr>
            </w:pPr>
            <w:r w:rsidRPr="00CC2109">
              <w:rPr>
                <w:rFonts w:asciiTheme="minorEastAsia" w:eastAsiaTheme="minorEastAsia" w:hAnsiTheme="minorEastAsia"/>
                <w:b/>
                <w:kern w:val="2"/>
                <w:sz w:val="21"/>
                <w:szCs w:val="21"/>
              </w:rPr>
              <w:t>负 债：</w:t>
            </w:r>
          </w:p>
        </w:tc>
        <w:tc>
          <w:tcPr>
            <w:tcW w:w="1743" w:type="dxa"/>
          </w:tcPr>
          <w:p w:rsidR="00CB2D30" w:rsidRPr="00CC2109" w:rsidRDefault="00CB2D30" w:rsidP="003260A3">
            <w:pPr>
              <w:pStyle w:val="a4"/>
              <w:jc w:val="right"/>
              <w:rPr>
                <w:rFonts w:asciiTheme="minorEastAsia" w:eastAsiaTheme="minorEastAsia" w:hAnsiTheme="minorEastAsia"/>
                <w:kern w:val="2"/>
                <w:sz w:val="21"/>
                <w:szCs w:val="21"/>
              </w:rPr>
            </w:pPr>
          </w:p>
        </w:tc>
      </w:tr>
      <w:tr w:rsidR="00C70722"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银行存款</w:t>
            </w:r>
          </w:p>
        </w:tc>
        <w:tc>
          <w:tcPr>
            <w:tcW w:w="1610" w:type="dxa"/>
            <w:tcBorders>
              <w:top w:val="single" w:sz="4" w:space="0" w:color="auto"/>
              <w:left w:val="single" w:sz="4" w:space="0" w:color="auto"/>
              <w:bottom w:val="single" w:sz="4" w:space="0" w:color="auto"/>
              <w:right w:val="single" w:sz="4" w:space="0" w:color="auto"/>
            </w:tcBorders>
          </w:tcPr>
          <w:p w:rsidR="00C70722"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szCs w:val="21"/>
              </w:rPr>
              <w:t>6,784,480.61</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短期借款</w:t>
            </w:r>
          </w:p>
        </w:tc>
        <w:tc>
          <w:tcPr>
            <w:tcW w:w="1743" w:type="dxa"/>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r>
      <w:tr w:rsidR="00C70722" w:rsidRPr="00CC2109" w:rsidTr="003A5C9F">
        <w:trPr>
          <w:trHeight w:val="267"/>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结算备付金</w:t>
            </w:r>
          </w:p>
        </w:tc>
        <w:tc>
          <w:tcPr>
            <w:tcW w:w="1610" w:type="dxa"/>
            <w:tcBorders>
              <w:top w:val="single" w:sz="4" w:space="0" w:color="auto"/>
              <w:left w:val="single" w:sz="4" w:space="0" w:color="auto"/>
              <w:bottom w:val="single" w:sz="4" w:space="0" w:color="auto"/>
              <w:right w:val="single" w:sz="4" w:space="0" w:color="auto"/>
            </w:tcBorders>
          </w:tcPr>
          <w:p w:rsidR="00C70722" w:rsidRPr="00CC2109" w:rsidRDefault="00FB7881" w:rsidP="00FB7881">
            <w:pPr>
              <w:jc w:val="right"/>
              <w:rPr>
                <w:rFonts w:asciiTheme="minorEastAsia" w:eastAsiaTheme="minorEastAsia" w:hAnsiTheme="minorEastAsia"/>
                <w:kern w:val="0"/>
                <w:szCs w:val="21"/>
              </w:rPr>
            </w:pPr>
            <w:r w:rsidRPr="00CC2109">
              <w:rPr>
                <w:rFonts w:asciiTheme="minorEastAsia" w:eastAsiaTheme="minorEastAsia" w:hAnsiTheme="minorEastAsia" w:hint="eastAsia"/>
                <w:szCs w:val="21"/>
              </w:rPr>
              <w:t>-</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交易性金融负债</w:t>
            </w:r>
          </w:p>
        </w:tc>
        <w:tc>
          <w:tcPr>
            <w:tcW w:w="1743" w:type="dxa"/>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r>
      <w:tr w:rsidR="00C70722"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存出保证金</w:t>
            </w:r>
          </w:p>
        </w:tc>
        <w:tc>
          <w:tcPr>
            <w:tcW w:w="1610" w:type="dxa"/>
            <w:tcBorders>
              <w:top w:val="single" w:sz="4" w:space="0" w:color="auto"/>
              <w:left w:val="single" w:sz="4" w:space="0" w:color="auto"/>
              <w:bottom w:val="single" w:sz="4" w:space="0" w:color="auto"/>
              <w:right w:val="single" w:sz="4" w:space="0" w:color="auto"/>
            </w:tcBorders>
          </w:tcPr>
          <w:p w:rsidR="00C70722"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szCs w:val="21"/>
              </w:rPr>
              <w:t>47,669.25</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衍生金融负债</w:t>
            </w:r>
          </w:p>
        </w:tc>
        <w:tc>
          <w:tcPr>
            <w:tcW w:w="1743" w:type="dxa"/>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r>
      <w:tr w:rsidR="00C70722"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交易性金融资产</w:t>
            </w:r>
          </w:p>
        </w:tc>
        <w:tc>
          <w:tcPr>
            <w:tcW w:w="1610" w:type="dxa"/>
            <w:tcBorders>
              <w:top w:val="single" w:sz="4" w:space="0" w:color="auto"/>
              <w:left w:val="single" w:sz="4" w:space="0" w:color="auto"/>
              <w:bottom w:val="single" w:sz="4" w:space="0" w:color="auto"/>
              <w:right w:val="single" w:sz="4" w:space="0" w:color="auto"/>
            </w:tcBorders>
          </w:tcPr>
          <w:p w:rsidR="00C70722"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szCs w:val="21"/>
              </w:rPr>
              <w:t>341,395.10</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卖出回购金融资产款</w:t>
            </w:r>
          </w:p>
        </w:tc>
        <w:tc>
          <w:tcPr>
            <w:tcW w:w="1743" w:type="dxa"/>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r>
      <w:tr w:rsidR="00C70722"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其中：股票投资</w:t>
            </w:r>
          </w:p>
        </w:tc>
        <w:tc>
          <w:tcPr>
            <w:tcW w:w="1610" w:type="dxa"/>
            <w:tcBorders>
              <w:top w:val="single" w:sz="4" w:space="0" w:color="auto"/>
              <w:left w:val="single" w:sz="4" w:space="0" w:color="auto"/>
              <w:bottom w:val="single" w:sz="4" w:space="0" w:color="auto"/>
              <w:right w:val="single" w:sz="4" w:space="0" w:color="auto"/>
            </w:tcBorders>
          </w:tcPr>
          <w:p w:rsidR="00C70722"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szCs w:val="21"/>
              </w:rPr>
              <w:t>341,395.10</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应付证券清算款</w:t>
            </w:r>
          </w:p>
        </w:tc>
        <w:tc>
          <w:tcPr>
            <w:tcW w:w="1743" w:type="dxa"/>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r>
      <w:tr w:rsidR="00C70722"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CC2109">
            <w:pPr>
              <w:pStyle w:val="a4"/>
              <w:ind w:firstLineChars="300" w:firstLine="630"/>
              <w:rPr>
                <w:rFonts w:asciiTheme="minorEastAsia" w:eastAsiaTheme="minorEastAsia" w:hAnsiTheme="minorEastAsia"/>
                <w:kern w:val="2"/>
                <w:sz w:val="21"/>
                <w:szCs w:val="21"/>
              </w:rPr>
            </w:pPr>
            <w:r w:rsidRPr="00CC2109">
              <w:rPr>
                <w:rFonts w:asciiTheme="minorEastAsia" w:eastAsiaTheme="minorEastAsia" w:hAnsiTheme="minorEastAsia" w:hint="eastAsia"/>
                <w:color w:val="000000"/>
                <w:sz w:val="21"/>
                <w:szCs w:val="21"/>
              </w:rPr>
              <w:t>债券投资</w:t>
            </w:r>
          </w:p>
        </w:tc>
        <w:tc>
          <w:tcPr>
            <w:tcW w:w="1610" w:type="dxa"/>
            <w:tcBorders>
              <w:top w:val="single" w:sz="4" w:space="0" w:color="auto"/>
              <w:left w:val="single" w:sz="4" w:space="0" w:color="auto"/>
              <w:bottom w:val="single" w:sz="4" w:space="0" w:color="auto"/>
              <w:right w:val="single" w:sz="4" w:space="0" w:color="auto"/>
            </w:tcBorders>
          </w:tcPr>
          <w:p w:rsidR="00C70722" w:rsidRPr="00CC2109" w:rsidRDefault="00FB7881" w:rsidP="003260A3">
            <w:pPr>
              <w:jc w:val="right"/>
              <w:rPr>
                <w:rFonts w:asciiTheme="minorEastAsia" w:eastAsiaTheme="minorEastAsia" w:hAnsiTheme="minorEastAsia"/>
                <w:szCs w:val="21"/>
              </w:rPr>
            </w:pPr>
            <w:r w:rsidRPr="00CC2109">
              <w:rPr>
                <w:rFonts w:asciiTheme="minorEastAsia" w:eastAsiaTheme="minorEastAsia" w:hAnsiTheme="minorEastAsia"/>
                <w:szCs w:val="21"/>
              </w:rPr>
              <w:t>-</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应付赎回款</w:t>
            </w:r>
          </w:p>
        </w:tc>
        <w:tc>
          <w:tcPr>
            <w:tcW w:w="1743" w:type="dxa"/>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r>
      <w:tr w:rsidR="00C70722" w:rsidRPr="00CC2109" w:rsidTr="003A5C9F">
        <w:trPr>
          <w:trHeight w:val="288"/>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CC2109">
            <w:pPr>
              <w:pStyle w:val="a4"/>
              <w:ind w:firstLineChars="300" w:firstLine="630"/>
              <w:rPr>
                <w:rFonts w:asciiTheme="minorEastAsia" w:eastAsiaTheme="minorEastAsia" w:hAnsiTheme="minorEastAsia"/>
                <w:kern w:val="2"/>
                <w:sz w:val="21"/>
                <w:szCs w:val="21"/>
              </w:rPr>
            </w:pPr>
            <w:r w:rsidRPr="00CC2109">
              <w:rPr>
                <w:rFonts w:asciiTheme="minorEastAsia" w:eastAsiaTheme="minorEastAsia" w:hAnsiTheme="minorEastAsia" w:hint="eastAsia"/>
                <w:color w:val="000000"/>
                <w:sz w:val="21"/>
                <w:szCs w:val="21"/>
              </w:rPr>
              <w:t>资产支持证券投资</w:t>
            </w:r>
          </w:p>
        </w:tc>
        <w:tc>
          <w:tcPr>
            <w:tcW w:w="1610" w:type="dxa"/>
            <w:tcBorders>
              <w:top w:val="single" w:sz="4" w:space="0" w:color="auto"/>
              <w:left w:val="single" w:sz="4" w:space="0" w:color="auto"/>
              <w:bottom w:val="single" w:sz="4" w:space="0" w:color="auto"/>
              <w:right w:val="single" w:sz="4" w:space="0" w:color="auto"/>
            </w:tcBorders>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应付管理人报酬</w:t>
            </w:r>
          </w:p>
        </w:tc>
        <w:tc>
          <w:tcPr>
            <w:tcW w:w="1743" w:type="dxa"/>
          </w:tcPr>
          <w:p w:rsidR="00C70722" w:rsidRPr="00CC2109" w:rsidRDefault="00FB7881" w:rsidP="005A011A">
            <w:pPr>
              <w:jc w:val="right"/>
              <w:rPr>
                <w:rFonts w:asciiTheme="minorEastAsia" w:eastAsiaTheme="minorEastAsia" w:hAnsiTheme="minorEastAsia"/>
                <w:kern w:val="0"/>
                <w:szCs w:val="21"/>
              </w:rPr>
            </w:pPr>
            <w:r w:rsidRPr="00CC2109">
              <w:rPr>
                <w:rFonts w:asciiTheme="minorEastAsia" w:eastAsiaTheme="minorEastAsia" w:hAnsiTheme="minorEastAsia"/>
                <w:szCs w:val="21"/>
              </w:rPr>
              <w:t>3,553.78</w:t>
            </w:r>
          </w:p>
        </w:tc>
      </w:tr>
      <w:tr w:rsidR="00C70722" w:rsidRPr="00CC2109" w:rsidTr="003A5C9F">
        <w:trPr>
          <w:trHeight w:val="267"/>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CC2109">
            <w:pPr>
              <w:pStyle w:val="a4"/>
              <w:ind w:firstLineChars="300" w:firstLine="630"/>
              <w:rPr>
                <w:rFonts w:asciiTheme="minorEastAsia" w:eastAsiaTheme="minorEastAsia" w:hAnsiTheme="minorEastAsia"/>
                <w:kern w:val="2"/>
                <w:sz w:val="21"/>
                <w:szCs w:val="21"/>
              </w:rPr>
            </w:pPr>
            <w:r w:rsidRPr="00CC2109">
              <w:rPr>
                <w:rFonts w:asciiTheme="minorEastAsia" w:eastAsiaTheme="minorEastAsia" w:hAnsiTheme="minorEastAsia" w:hint="eastAsia"/>
                <w:color w:val="000000"/>
                <w:sz w:val="21"/>
                <w:szCs w:val="21"/>
              </w:rPr>
              <w:t>基金投资</w:t>
            </w:r>
          </w:p>
        </w:tc>
        <w:tc>
          <w:tcPr>
            <w:tcW w:w="1610" w:type="dxa"/>
            <w:tcBorders>
              <w:top w:val="single" w:sz="4" w:space="0" w:color="auto"/>
              <w:left w:val="single" w:sz="4" w:space="0" w:color="auto"/>
              <w:bottom w:val="single" w:sz="4" w:space="0" w:color="auto"/>
              <w:right w:val="single" w:sz="4" w:space="0" w:color="auto"/>
            </w:tcBorders>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应付托管费</w:t>
            </w:r>
          </w:p>
        </w:tc>
        <w:tc>
          <w:tcPr>
            <w:tcW w:w="1743" w:type="dxa"/>
          </w:tcPr>
          <w:p w:rsidR="00C70722"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szCs w:val="21"/>
              </w:rPr>
              <w:t>592.30</w:t>
            </w:r>
          </w:p>
        </w:tc>
      </w:tr>
      <w:tr w:rsidR="00C70722"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衍生金融资产</w:t>
            </w:r>
          </w:p>
        </w:tc>
        <w:tc>
          <w:tcPr>
            <w:tcW w:w="1610" w:type="dxa"/>
            <w:tcBorders>
              <w:top w:val="single" w:sz="4" w:space="0" w:color="auto"/>
              <w:left w:val="single" w:sz="4" w:space="0" w:color="auto"/>
              <w:bottom w:val="single" w:sz="4" w:space="0" w:color="auto"/>
              <w:right w:val="single" w:sz="4" w:space="0" w:color="auto"/>
            </w:tcBorders>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应付销售服务费</w:t>
            </w:r>
          </w:p>
        </w:tc>
        <w:tc>
          <w:tcPr>
            <w:tcW w:w="1743" w:type="dxa"/>
          </w:tcPr>
          <w:p w:rsidR="00C70722" w:rsidRPr="00CC2109" w:rsidRDefault="00CE4CE5" w:rsidP="003260A3">
            <w:pPr>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p>
        </w:tc>
      </w:tr>
      <w:tr w:rsidR="00C70722"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买入返售金融资产</w:t>
            </w:r>
          </w:p>
        </w:tc>
        <w:tc>
          <w:tcPr>
            <w:tcW w:w="1610" w:type="dxa"/>
            <w:tcBorders>
              <w:top w:val="single" w:sz="4" w:space="0" w:color="auto"/>
              <w:left w:val="single" w:sz="4" w:space="0" w:color="auto"/>
              <w:bottom w:val="single" w:sz="4" w:space="0" w:color="auto"/>
              <w:right w:val="single" w:sz="4" w:space="0" w:color="auto"/>
            </w:tcBorders>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应付交易费用</w:t>
            </w:r>
          </w:p>
        </w:tc>
        <w:tc>
          <w:tcPr>
            <w:tcW w:w="1743" w:type="dxa"/>
          </w:tcPr>
          <w:p w:rsidR="00C70722"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szCs w:val="21"/>
              </w:rPr>
              <w:t>54,634.02</w:t>
            </w:r>
          </w:p>
        </w:tc>
      </w:tr>
      <w:tr w:rsidR="00C70722"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应收证券清算款</w:t>
            </w:r>
          </w:p>
        </w:tc>
        <w:tc>
          <w:tcPr>
            <w:tcW w:w="1610" w:type="dxa"/>
            <w:tcBorders>
              <w:top w:val="single" w:sz="4" w:space="0" w:color="auto"/>
              <w:left w:val="single" w:sz="4" w:space="0" w:color="auto"/>
              <w:bottom w:val="single" w:sz="4" w:space="0" w:color="auto"/>
              <w:right w:val="single" w:sz="4" w:space="0" w:color="auto"/>
            </w:tcBorders>
            <w:vAlign w:val="bottom"/>
          </w:tcPr>
          <w:p w:rsidR="00C70722" w:rsidRPr="00CC2109" w:rsidRDefault="00C70722"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c>
          <w:tcPr>
            <w:tcW w:w="2351" w:type="dxa"/>
          </w:tcPr>
          <w:p w:rsidR="00C70722" w:rsidRPr="00CC2109" w:rsidRDefault="00C70722"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应付税费</w:t>
            </w:r>
          </w:p>
        </w:tc>
        <w:tc>
          <w:tcPr>
            <w:tcW w:w="1743" w:type="dxa"/>
          </w:tcPr>
          <w:p w:rsidR="00C70722"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szCs w:val="21"/>
              </w:rPr>
              <w:t>-</w:t>
            </w:r>
          </w:p>
        </w:tc>
      </w:tr>
      <w:tr w:rsidR="00EF3B56" w:rsidRPr="00CC2109" w:rsidTr="003A5C9F">
        <w:trPr>
          <w:trHeight w:val="267"/>
        </w:trPr>
        <w:tc>
          <w:tcPr>
            <w:tcW w:w="2660" w:type="dxa"/>
            <w:tcBorders>
              <w:top w:val="single" w:sz="4" w:space="0" w:color="auto"/>
              <w:left w:val="single" w:sz="4" w:space="0" w:color="auto"/>
              <w:bottom w:val="single" w:sz="4" w:space="0" w:color="auto"/>
              <w:right w:val="single" w:sz="4" w:space="0" w:color="auto"/>
            </w:tcBorders>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应收利息</w:t>
            </w:r>
          </w:p>
        </w:tc>
        <w:tc>
          <w:tcPr>
            <w:tcW w:w="1610" w:type="dxa"/>
            <w:tcBorders>
              <w:top w:val="single" w:sz="4" w:space="0" w:color="auto"/>
              <w:left w:val="single" w:sz="4" w:space="0" w:color="auto"/>
              <w:bottom w:val="single" w:sz="4" w:space="0" w:color="auto"/>
              <w:right w:val="single" w:sz="4" w:space="0" w:color="auto"/>
            </w:tcBorders>
            <w:vAlign w:val="bottom"/>
          </w:tcPr>
          <w:p w:rsidR="00EF3B56"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color w:val="000000"/>
                <w:szCs w:val="21"/>
              </w:rPr>
              <w:t>5,519.77</w:t>
            </w:r>
          </w:p>
        </w:tc>
        <w:tc>
          <w:tcPr>
            <w:tcW w:w="2351" w:type="dxa"/>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应付利息</w:t>
            </w:r>
          </w:p>
        </w:tc>
        <w:tc>
          <w:tcPr>
            <w:tcW w:w="1743" w:type="dxa"/>
            <w:vAlign w:val="bottom"/>
          </w:tcPr>
          <w:p w:rsidR="00EF3B56" w:rsidRPr="00CC2109" w:rsidRDefault="001662E8"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w:t>
            </w:r>
            <w:r w:rsidR="00EF3B56" w:rsidRPr="00CC2109">
              <w:rPr>
                <w:rFonts w:asciiTheme="minorEastAsia" w:eastAsiaTheme="minorEastAsia" w:hAnsiTheme="minorEastAsia" w:hint="eastAsia"/>
                <w:color w:val="000000"/>
                <w:szCs w:val="21"/>
              </w:rPr>
              <w:t xml:space="preserve">　</w:t>
            </w:r>
          </w:p>
        </w:tc>
      </w:tr>
      <w:tr w:rsidR="00EF3B56"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应收股利</w:t>
            </w:r>
          </w:p>
        </w:tc>
        <w:tc>
          <w:tcPr>
            <w:tcW w:w="1610" w:type="dxa"/>
            <w:tcBorders>
              <w:top w:val="single" w:sz="4" w:space="0" w:color="auto"/>
              <w:left w:val="single" w:sz="4" w:space="0" w:color="auto"/>
              <w:bottom w:val="single" w:sz="4" w:space="0" w:color="auto"/>
              <w:right w:val="single" w:sz="4" w:space="0" w:color="auto"/>
            </w:tcBorders>
            <w:vAlign w:val="bottom"/>
          </w:tcPr>
          <w:p w:rsidR="00EF3B56" w:rsidRPr="00CC2109" w:rsidRDefault="00EF3B56"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c>
          <w:tcPr>
            <w:tcW w:w="2351" w:type="dxa"/>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应付利润</w:t>
            </w:r>
          </w:p>
        </w:tc>
        <w:tc>
          <w:tcPr>
            <w:tcW w:w="1743" w:type="dxa"/>
            <w:vAlign w:val="bottom"/>
          </w:tcPr>
          <w:p w:rsidR="00EF3B56" w:rsidRPr="00CC2109" w:rsidRDefault="001662E8" w:rsidP="003260A3">
            <w:pPr>
              <w:jc w:val="right"/>
              <w:rPr>
                <w:rFonts w:asciiTheme="minorEastAsia" w:eastAsiaTheme="minorEastAsia" w:hAnsiTheme="minorEastAsia"/>
                <w:szCs w:val="21"/>
              </w:rPr>
            </w:pPr>
            <w:r w:rsidRPr="00CC2109">
              <w:rPr>
                <w:rFonts w:asciiTheme="minorEastAsia" w:eastAsiaTheme="minorEastAsia" w:hAnsiTheme="minorEastAsia" w:hint="eastAsia"/>
                <w:color w:val="000000"/>
                <w:szCs w:val="21"/>
              </w:rPr>
              <w:t>-</w:t>
            </w:r>
            <w:r w:rsidR="00EF3B56" w:rsidRPr="00CC2109">
              <w:rPr>
                <w:rFonts w:asciiTheme="minorEastAsia" w:eastAsiaTheme="minorEastAsia" w:hAnsiTheme="minorEastAsia" w:hint="eastAsia"/>
                <w:color w:val="000000"/>
                <w:szCs w:val="21"/>
              </w:rPr>
              <w:t xml:space="preserve">　</w:t>
            </w:r>
          </w:p>
        </w:tc>
      </w:tr>
      <w:tr w:rsidR="00EF3B56"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应收申购款</w:t>
            </w:r>
          </w:p>
        </w:tc>
        <w:tc>
          <w:tcPr>
            <w:tcW w:w="1610" w:type="dxa"/>
            <w:tcBorders>
              <w:top w:val="single" w:sz="4" w:space="0" w:color="auto"/>
              <w:left w:val="single" w:sz="4" w:space="0" w:color="auto"/>
              <w:bottom w:val="single" w:sz="4" w:space="0" w:color="auto"/>
              <w:right w:val="single" w:sz="4" w:space="0" w:color="auto"/>
            </w:tcBorders>
            <w:vAlign w:val="bottom"/>
          </w:tcPr>
          <w:p w:rsidR="00EF3B56" w:rsidRPr="00CC2109" w:rsidRDefault="00EF3B56" w:rsidP="003260A3">
            <w:pPr>
              <w:jc w:val="right"/>
              <w:rPr>
                <w:rFonts w:asciiTheme="minorEastAsia" w:eastAsiaTheme="minorEastAsia" w:hAnsiTheme="minorEastAsia"/>
                <w:kern w:val="0"/>
                <w:szCs w:val="21"/>
              </w:rPr>
            </w:pPr>
            <w:r w:rsidRPr="00CC2109">
              <w:rPr>
                <w:rFonts w:asciiTheme="minorEastAsia" w:eastAsiaTheme="minorEastAsia" w:hAnsiTheme="minorEastAsia" w:hint="eastAsia"/>
                <w:color w:val="000000"/>
                <w:szCs w:val="21"/>
              </w:rPr>
              <w:t xml:space="preserve">-　</w:t>
            </w:r>
          </w:p>
        </w:tc>
        <w:tc>
          <w:tcPr>
            <w:tcW w:w="2351" w:type="dxa"/>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其他负债</w:t>
            </w:r>
          </w:p>
        </w:tc>
        <w:tc>
          <w:tcPr>
            <w:tcW w:w="1743" w:type="dxa"/>
            <w:vAlign w:val="bottom"/>
          </w:tcPr>
          <w:p w:rsidR="00EF3B56"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color w:val="000000"/>
                <w:szCs w:val="21"/>
              </w:rPr>
              <w:t>204,300.00</w:t>
            </w:r>
          </w:p>
        </w:tc>
      </w:tr>
      <w:tr w:rsidR="00EF3B56"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hint="eastAsia"/>
                <w:color w:val="000000"/>
                <w:szCs w:val="21"/>
              </w:rPr>
              <w:t>其他资产</w:t>
            </w:r>
          </w:p>
        </w:tc>
        <w:tc>
          <w:tcPr>
            <w:tcW w:w="1610" w:type="dxa"/>
            <w:tcBorders>
              <w:top w:val="single" w:sz="4" w:space="0" w:color="auto"/>
              <w:left w:val="single" w:sz="4" w:space="0" w:color="auto"/>
              <w:bottom w:val="single" w:sz="4" w:space="0" w:color="auto"/>
              <w:right w:val="single" w:sz="4" w:space="0" w:color="auto"/>
            </w:tcBorders>
            <w:vAlign w:val="bottom"/>
          </w:tcPr>
          <w:p w:rsidR="00EF3B56" w:rsidRPr="00CC2109" w:rsidRDefault="00EF3B56" w:rsidP="003260A3">
            <w:pPr>
              <w:jc w:val="right"/>
              <w:rPr>
                <w:rFonts w:asciiTheme="minorEastAsia" w:eastAsiaTheme="minorEastAsia" w:hAnsiTheme="minorEastAsia"/>
                <w:szCs w:val="21"/>
              </w:rPr>
            </w:pPr>
            <w:r w:rsidRPr="00CC2109">
              <w:rPr>
                <w:rFonts w:asciiTheme="minorEastAsia" w:eastAsiaTheme="minorEastAsia" w:hAnsiTheme="minorEastAsia" w:hint="eastAsia"/>
                <w:color w:val="000000"/>
                <w:szCs w:val="21"/>
              </w:rPr>
              <w:t xml:space="preserve">-　</w:t>
            </w:r>
          </w:p>
        </w:tc>
        <w:tc>
          <w:tcPr>
            <w:tcW w:w="2351" w:type="dxa"/>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hint="eastAsia"/>
                <w:b/>
                <w:bCs/>
                <w:color w:val="000000"/>
                <w:szCs w:val="21"/>
              </w:rPr>
              <w:t>负债合计</w:t>
            </w:r>
          </w:p>
        </w:tc>
        <w:tc>
          <w:tcPr>
            <w:tcW w:w="1743" w:type="dxa"/>
            <w:vAlign w:val="bottom"/>
          </w:tcPr>
          <w:p w:rsidR="00EF3B56"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color w:val="000000"/>
                <w:szCs w:val="21"/>
              </w:rPr>
              <w:t>263,080.10</w:t>
            </w:r>
          </w:p>
        </w:tc>
      </w:tr>
      <w:tr w:rsidR="00CB2D30" w:rsidRPr="00CC2109" w:rsidTr="003A5C9F">
        <w:trPr>
          <w:trHeight w:val="253"/>
        </w:trPr>
        <w:tc>
          <w:tcPr>
            <w:tcW w:w="2660" w:type="dxa"/>
            <w:tcBorders>
              <w:top w:val="single" w:sz="4" w:space="0" w:color="auto"/>
              <w:left w:val="single" w:sz="4" w:space="0" w:color="auto"/>
              <w:bottom w:val="single" w:sz="4" w:space="0" w:color="auto"/>
              <w:right w:val="single" w:sz="4" w:space="0" w:color="auto"/>
            </w:tcBorders>
            <w:vAlign w:val="center"/>
          </w:tcPr>
          <w:p w:rsidR="00CB2D30" w:rsidRPr="00CC2109" w:rsidRDefault="00CB2D30" w:rsidP="003260A3">
            <w:pPr>
              <w:pStyle w:val="a5"/>
              <w:rPr>
                <w:rFonts w:asciiTheme="minorEastAsia" w:eastAsiaTheme="minorEastAsia" w:hAnsiTheme="minorEastAsia"/>
                <w:szCs w:val="21"/>
              </w:rPr>
            </w:pPr>
          </w:p>
        </w:tc>
        <w:tc>
          <w:tcPr>
            <w:tcW w:w="1610" w:type="dxa"/>
            <w:tcBorders>
              <w:top w:val="single" w:sz="4" w:space="0" w:color="auto"/>
              <w:left w:val="single" w:sz="4" w:space="0" w:color="auto"/>
              <w:bottom w:val="single" w:sz="4" w:space="0" w:color="auto"/>
              <w:right w:val="single" w:sz="4" w:space="0" w:color="auto"/>
            </w:tcBorders>
          </w:tcPr>
          <w:p w:rsidR="00CB2D30" w:rsidRPr="00CC2109" w:rsidRDefault="00CB2D30" w:rsidP="003260A3">
            <w:pPr>
              <w:jc w:val="right"/>
              <w:rPr>
                <w:rFonts w:asciiTheme="minorEastAsia" w:eastAsiaTheme="minorEastAsia" w:hAnsiTheme="minorEastAsia"/>
                <w:kern w:val="0"/>
                <w:szCs w:val="21"/>
              </w:rPr>
            </w:pPr>
          </w:p>
        </w:tc>
        <w:tc>
          <w:tcPr>
            <w:tcW w:w="2351" w:type="dxa"/>
            <w:vAlign w:val="center"/>
          </w:tcPr>
          <w:p w:rsidR="00CB2D30" w:rsidRPr="00CC2109" w:rsidRDefault="00CB2D30" w:rsidP="003260A3">
            <w:pPr>
              <w:pStyle w:val="a4"/>
              <w:rPr>
                <w:rFonts w:asciiTheme="minorEastAsia" w:eastAsiaTheme="minorEastAsia" w:hAnsiTheme="minorEastAsia"/>
                <w:b/>
                <w:kern w:val="2"/>
                <w:sz w:val="21"/>
                <w:szCs w:val="21"/>
              </w:rPr>
            </w:pPr>
            <w:r w:rsidRPr="00CC2109">
              <w:rPr>
                <w:rFonts w:asciiTheme="minorEastAsia" w:eastAsiaTheme="minorEastAsia" w:hAnsiTheme="minorEastAsia"/>
                <w:b/>
                <w:kern w:val="2"/>
                <w:sz w:val="21"/>
                <w:szCs w:val="21"/>
              </w:rPr>
              <w:t>所有者权益：</w:t>
            </w:r>
          </w:p>
        </w:tc>
        <w:tc>
          <w:tcPr>
            <w:tcW w:w="1743" w:type="dxa"/>
          </w:tcPr>
          <w:p w:rsidR="00CB2D30" w:rsidRPr="00CC2109" w:rsidRDefault="00CB2D30" w:rsidP="003260A3">
            <w:pPr>
              <w:jc w:val="right"/>
              <w:rPr>
                <w:rFonts w:asciiTheme="minorEastAsia" w:eastAsiaTheme="minorEastAsia" w:hAnsiTheme="minorEastAsia"/>
                <w:kern w:val="0"/>
                <w:szCs w:val="21"/>
              </w:rPr>
            </w:pPr>
          </w:p>
        </w:tc>
      </w:tr>
      <w:tr w:rsidR="00EF3B56" w:rsidRPr="00CC2109" w:rsidTr="003A5C9F">
        <w:trPr>
          <w:trHeight w:val="267"/>
        </w:trPr>
        <w:tc>
          <w:tcPr>
            <w:tcW w:w="2660" w:type="dxa"/>
            <w:tcBorders>
              <w:top w:val="single" w:sz="4" w:space="0" w:color="auto"/>
              <w:left w:val="single" w:sz="4" w:space="0" w:color="auto"/>
              <w:bottom w:val="single" w:sz="4" w:space="0" w:color="auto"/>
              <w:right w:val="single" w:sz="4" w:space="0" w:color="auto"/>
            </w:tcBorders>
            <w:vAlign w:val="center"/>
          </w:tcPr>
          <w:p w:rsidR="00EF3B56" w:rsidRPr="00CC2109" w:rsidRDefault="00EF3B56" w:rsidP="003260A3">
            <w:pPr>
              <w:pStyle w:val="a5"/>
              <w:rPr>
                <w:rFonts w:asciiTheme="minorEastAsia" w:eastAsiaTheme="minorEastAsia" w:hAnsiTheme="minorEastAsia"/>
                <w:b/>
                <w:szCs w:val="21"/>
              </w:rPr>
            </w:pPr>
          </w:p>
        </w:tc>
        <w:tc>
          <w:tcPr>
            <w:tcW w:w="1610" w:type="dxa"/>
            <w:tcBorders>
              <w:top w:val="single" w:sz="4" w:space="0" w:color="auto"/>
              <w:left w:val="single" w:sz="4" w:space="0" w:color="auto"/>
              <w:bottom w:val="single" w:sz="4" w:space="0" w:color="auto"/>
              <w:right w:val="single" w:sz="4" w:space="0" w:color="auto"/>
            </w:tcBorders>
          </w:tcPr>
          <w:p w:rsidR="00EF3B56" w:rsidRPr="00CC2109" w:rsidRDefault="00EF3B56" w:rsidP="00EF3B56">
            <w:pPr>
              <w:jc w:val="right"/>
              <w:rPr>
                <w:rFonts w:asciiTheme="minorEastAsia" w:eastAsiaTheme="minorEastAsia" w:hAnsiTheme="minorEastAsia" w:cs="宋体"/>
                <w:color w:val="000000"/>
                <w:szCs w:val="21"/>
              </w:rPr>
            </w:pPr>
          </w:p>
        </w:tc>
        <w:tc>
          <w:tcPr>
            <w:tcW w:w="2351" w:type="dxa"/>
            <w:vAlign w:val="center"/>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szCs w:val="21"/>
              </w:rPr>
              <w:t>实收基金</w:t>
            </w:r>
          </w:p>
        </w:tc>
        <w:tc>
          <w:tcPr>
            <w:tcW w:w="1743" w:type="dxa"/>
            <w:vAlign w:val="bottom"/>
          </w:tcPr>
          <w:p w:rsidR="00EF3B56"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color w:val="000000"/>
                <w:szCs w:val="21"/>
              </w:rPr>
              <w:t>6,574,134.06</w:t>
            </w:r>
          </w:p>
        </w:tc>
      </w:tr>
      <w:tr w:rsidR="00EF3B56" w:rsidRPr="00CC2109" w:rsidTr="003A5C9F">
        <w:trPr>
          <w:trHeight w:val="267"/>
        </w:trPr>
        <w:tc>
          <w:tcPr>
            <w:tcW w:w="2660" w:type="dxa"/>
            <w:tcBorders>
              <w:top w:val="single" w:sz="4" w:space="0" w:color="auto"/>
              <w:left w:val="single" w:sz="4" w:space="0" w:color="auto"/>
              <w:bottom w:val="single" w:sz="4" w:space="0" w:color="auto"/>
              <w:right w:val="single" w:sz="4" w:space="0" w:color="auto"/>
            </w:tcBorders>
            <w:vAlign w:val="center"/>
          </w:tcPr>
          <w:p w:rsidR="00EF3B56" w:rsidRPr="00CC2109" w:rsidRDefault="00EF3B56" w:rsidP="003260A3">
            <w:pPr>
              <w:pStyle w:val="a5"/>
              <w:rPr>
                <w:rFonts w:asciiTheme="minorEastAsia" w:eastAsiaTheme="minorEastAsia" w:hAnsiTheme="minorEastAsia"/>
                <w:szCs w:val="21"/>
              </w:rPr>
            </w:pPr>
          </w:p>
        </w:tc>
        <w:tc>
          <w:tcPr>
            <w:tcW w:w="1610" w:type="dxa"/>
            <w:tcBorders>
              <w:top w:val="single" w:sz="4" w:space="0" w:color="auto"/>
              <w:left w:val="single" w:sz="4" w:space="0" w:color="auto"/>
              <w:bottom w:val="single" w:sz="4" w:space="0" w:color="auto"/>
              <w:right w:val="single" w:sz="4" w:space="0" w:color="auto"/>
            </w:tcBorders>
          </w:tcPr>
          <w:p w:rsidR="00EF3B56" w:rsidRPr="00CC2109" w:rsidRDefault="00EF3B56" w:rsidP="003260A3">
            <w:pPr>
              <w:jc w:val="right"/>
              <w:rPr>
                <w:rFonts w:asciiTheme="minorEastAsia" w:eastAsiaTheme="minorEastAsia" w:hAnsiTheme="minorEastAsia"/>
                <w:kern w:val="0"/>
                <w:szCs w:val="21"/>
              </w:rPr>
            </w:pPr>
          </w:p>
        </w:tc>
        <w:tc>
          <w:tcPr>
            <w:tcW w:w="2351" w:type="dxa"/>
            <w:vAlign w:val="center"/>
          </w:tcPr>
          <w:p w:rsidR="00EF3B56" w:rsidRPr="00CC2109" w:rsidRDefault="00EF3B56" w:rsidP="003260A3">
            <w:pPr>
              <w:pStyle w:val="a5"/>
              <w:rPr>
                <w:rFonts w:asciiTheme="minorEastAsia" w:eastAsiaTheme="minorEastAsia" w:hAnsiTheme="minorEastAsia"/>
                <w:szCs w:val="21"/>
              </w:rPr>
            </w:pPr>
            <w:r w:rsidRPr="00CC2109">
              <w:rPr>
                <w:rFonts w:asciiTheme="minorEastAsia" w:eastAsiaTheme="minorEastAsia" w:hAnsiTheme="minorEastAsia"/>
                <w:szCs w:val="21"/>
              </w:rPr>
              <w:t>未分配利润</w:t>
            </w:r>
          </w:p>
        </w:tc>
        <w:tc>
          <w:tcPr>
            <w:tcW w:w="1743" w:type="dxa"/>
            <w:vAlign w:val="bottom"/>
          </w:tcPr>
          <w:p w:rsidR="00EF3B56"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color w:val="000000"/>
                <w:szCs w:val="21"/>
              </w:rPr>
              <w:t>341,850.57</w:t>
            </w:r>
          </w:p>
        </w:tc>
      </w:tr>
      <w:tr w:rsidR="00CB2D30" w:rsidRPr="00CC2109" w:rsidTr="003A5C9F">
        <w:trPr>
          <w:trHeight w:val="267"/>
        </w:trPr>
        <w:tc>
          <w:tcPr>
            <w:tcW w:w="2660" w:type="dxa"/>
            <w:tcBorders>
              <w:top w:val="single" w:sz="4" w:space="0" w:color="auto"/>
              <w:left w:val="single" w:sz="4" w:space="0" w:color="auto"/>
              <w:bottom w:val="single" w:sz="4" w:space="0" w:color="auto"/>
              <w:right w:val="single" w:sz="4" w:space="0" w:color="auto"/>
            </w:tcBorders>
            <w:vAlign w:val="center"/>
          </w:tcPr>
          <w:p w:rsidR="00CB2D30" w:rsidRPr="00CC2109" w:rsidRDefault="00CB2D30" w:rsidP="003260A3">
            <w:pPr>
              <w:pStyle w:val="a5"/>
              <w:rPr>
                <w:rFonts w:asciiTheme="minorEastAsia" w:eastAsiaTheme="minorEastAsia" w:hAnsiTheme="minorEastAsia"/>
                <w:szCs w:val="21"/>
              </w:rPr>
            </w:pPr>
          </w:p>
        </w:tc>
        <w:tc>
          <w:tcPr>
            <w:tcW w:w="1610" w:type="dxa"/>
            <w:tcBorders>
              <w:top w:val="single" w:sz="4" w:space="0" w:color="auto"/>
              <w:left w:val="single" w:sz="4" w:space="0" w:color="auto"/>
              <w:bottom w:val="single" w:sz="4" w:space="0" w:color="auto"/>
              <w:right w:val="single" w:sz="4" w:space="0" w:color="auto"/>
            </w:tcBorders>
          </w:tcPr>
          <w:p w:rsidR="00CB2D30" w:rsidRPr="00CC2109" w:rsidRDefault="00CB2D30" w:rsidP="003260A3">
            <w:pPr>
              <w:jc w:val="right"/>
              <w:rPr>
                <w:rFonts w:asciiTheme="minorEastAsia" w:eastAsiaTheme="minorEastAsia" w:hAnsiTheme="minorEastAsia"/>
                <w:kern w:val="0"/>
                <w:szCs w:val="21"/>
              </w:rPr>
            </w:pPr>
          </w:p>
        </w:tc>
        <w:tc>
          <w:tcPr>
            <w:tcW w:w="2351" w:type="dxa"/>
            <w:vAlign w:val="center"/>
          </w:tcPr>
          <w:p w:rsidR="00CB2D30" w:rsidRPr="00CC2109" w:rsidRDefault="00CB2D30" w:rsidP="003260A3">
            <w:pPr>
              <w:pStyle w:val="a5"/>
              <w:rPr>
                <w:rFonts w:asciiTheme="minorEastAsia" w:eastAsiaTheme="minorEastAsia" w:hAnsiTheme="minorEastAsia"/>
                <w:b/>
                <w:szCs w:val="21"/>
              </w:rPr>
            </w:pPr>
            <w:r w:rsidRPr="00CC2109">
              <w:rPr>
                <w:rFonts w:asciiTheme="minorEastAsia" w:eastAsiaTheme="minorEastAsia" w:hAnsiTheme="minorEastAsia"/>
                <w:b/>
                <w:szCs w:val="21"/>
              </w:rPr>
              <w:t>所有者权益合计</w:t>
            </w:r>
          </w:p>
        </w:tc>
        <w:tc>
          <w:tcPr>
            <w:tcW w:w="1743" w:type="dxa"/>
          </w:tcPr>
          <w:p w:rsidR="00CB2D30" w:rsidRPr="00CC2109" w:rsidRDefault="00FB7881" w:rsidP="00EF3B56">
            <w:pPr>
              <w:jc w:val="right"/>
              <w:rPr>
                <w:rFonts w:asciiTheme="minorEastAsia" w:eastAsiaTheme="minorEastAsia" w:hAnsiTheme="minorEastAsia" w:cs="宋体"/>
                <w:color w:val="000000"/>
                <w:szCs w:val="21"/>
              </w:rPr>
            </w:pPr>
            <w:r w:rsidRPr="00CC2109">
              <w:rPr>
                <w:rFonts w:asciiTheme="minorEastAsia" w:eastAsiaTheme="minorEastAsia" w:hAnsiTheme="minorEastAsia"/>
                <w:color w:val="000000"/>
                <w:szCs w:val="21"/>
              </w:rPr>
              <w:t>6,915,984.63</w:t>
            </w:r>
          </w:p>
        </w:tc>
      </w:tr>
      <w:tr w:rsidR="0094733D" w:rsidRPr="00CC2109" w:rsidTr="003A5C9F">
        <w:trPr>
          <w:trHeight w:val="267"/>
        </w:trPr>
        <w:tc>
          <w:tcPr>
            <w:tcW w:w="2660" w:type="dxa"/>
            <w:tcBorders>
              <w:top w:val="single" w:sz="4" w:space="0" w:color="auto"/>
              <w:left w:val="single" w:sz="4" w:space="0" w:color="auto"/>
              <w:bottom w:val="single" w:sz="4" w:space="0" w:color="auto"/>
              <w:right w:val="single" w:sz="4" w:space="0" w:color="auto"/>
            </w:tcBorders>
            <w:vAlign w:val="center"/>
          </w:tcPr>
          <w:p w:rsidR="0094733D" w:rsidRPr="00CC2109" w:rsidRDefault="0094733D" w:rsidP="003260A3">
            <w:pPr>
              <w:pStyle w:val="a5"/>
              <w:rPr>
                <w:rFonts w:asciiTheme="minorEastAsia" w:eastAsiaTheme="minorEastAsia" w:hAnsiTheme="minorEastAsia"/>
                <w:szCs w:val="21"/>
              </w:rPr>
            </w:pPr>
            <w:r w:rsidRPr="00CC2109">
              <w:rPr>
                <w:rFonts w:asciiTheme="minorEastAsia" w:eastAsiaTheme="minorEastAsia" w:hAnsiTheme="minorEastAsia"/>
                <w:b/>
                <w:szCs w:val="21"/>
              </w:rPr>
              <w:t>资产总计</w:t>
            </w:r>
          </w:p>
        </w:tc>
        <w:tc>
          <w:tcPr>
            <w:tcW w:w="1610" w:type="dxa"/>
            <w:tcBorders>
              <w:top w:val="single" w:sz="4" w:space="0" w:color="auto"/>
              <w:left w:val="single" w:sz="4" w:space="0" w:color="auto"/>
              <w:bottom w:val="single" w:sz="4" w:space="0" w:color="auto"/>
              <w:right w:val="single" w:sz="4" w:space="0" w:color="auto"/>
            </w:tcBorders>
          </w:tcPr>
          <w:p w:rsidR="0094733D" w:rsidRPr="00CC2109" w:rsidRDefault="00FB7881" w:rsidP="003260A3">
            <w:pPr>
              <w:jc w:val="right"/>
              <w:rPr>
                <w:rFonts w:asciiTheme="minorEastAsia" w:eastAsiaTheme="minorEastAsia" w:hAnsiTheme="minorEastAsia"/>
                <w:kern w:val="0"/>
                <w:szCs w:val="21"/>
              </w:rPr>
            </w:pPr>
            <w:r w:rsidRPr="00CC2109">
              <w:rPr>
                <w:rFonts w:asciiTheme="minorEastAsia" w:eastAsiaTheme="minorEastAsia" w:hAnsiTheme="minorEastAsia"/>
                <w:color w:val="000000"/>
                <w:szCs w:val="21"/>
              </w:rPr>
              <w:t>7,179,064.73</w:t>
            </w:r>
          </w:p>
        </w:tc>
        <w:tc>
          <w:tcPr>
            <w:tcW w:w="2351" w:type="dxa"/>
            <w:vAlign w:val="center"/>
          </w:tcPr>
          <w:p w:rsidR="0094733D" w:rsidRPr="00CC2109" w:rsidRDefault="0094733D" w:rsidP="003260A3">
            <w:pPr>
              <w:pStyle w:val="a5"/>
              <w:rPr>
                <w:rFonts w:asciiTheme="minorEastAsia" w:eastAsiaTheme="minorEastAsia" w:hAnsiTheme="minorEastAsia"/>
                <w:b/>
                <w:szCs w:val="21"/>
              </w:rPr>
            </w:pPr>
            <w:r w:rsidRPr="00CC2109">
              <w:rPr>
                <w:rFonts w:asciiTheme="minorEastAsia" w:eastAsiaTheme="minorEastAsia" w:hAnsiTheme="minorEastAsia"/>
                <w:b/>
                <w:szCs w:val="21"/>
              </w:rPr>
              <w:t>负债和所有者权益总计</w:t>
            </w:r>
          </w:p>
        </w:tc>
        <w:tc>
          <w:tcPr>
            <w:tcW w:w="1743" w:type="dxa"/>
          </w:tcPr>
          <w:p w:rsidR="0094733D" w:rsidRPr="00CC2109" w:rsidRDefault="00FB7881" w:rsidP="00EF3B56">
            <w:pPr>
              <w:jc w:val="right"/>
              <w:rPr>
                <w:rFonts w:asciiTheme="minorEastAsia" w:eastAsiaTheme="minorEastAsia" w:hAnsiTheme="minorEastAsia" w:cs="宋体"/>
                <w:color w:val="000000"/>
                <w:szCs w:val="21"/>
              </w:rPr>
            </w:pPr>
            <w:r w:rsidRPr="00CC2109">
              <w:rPr>
                <w:rFonts w:asciiTheme="minorEastAsia" w:eastAsiaTheme="minorEastAsia" w:hAnsiTheme="minorEastAsia"/>
                <w:color w:val="000000"/>
                <w:szCs w:val="21"/>
              </w:rPr>
              <w:t>7,179,064.73</w:t>
            </w:r>
          </w:p>
        </w:tc>
      </w:tr>
    </w:tbl>
    <w:p w:rsidR="008905D2" w:rsidRPr="003A5C9F" w:rsidRDefault="0094733D" w:rsidP="008905D2">
      <w:pPr>
        <w:pStyle w:val="Default"/>
        <w:spacing w:line="360" w:lineRule="auto"/>
        <w:rPr>
          <w:rFonts w:asciiTheme="minorEastAsia" w:eastAsiaTheme="minorEastAsia" w:hAnsiTheme="minorEastAsia" w:cs="Times New Roman"/>
          <w:color w:val="auto"/>
          <w:kern w:val="2"/>
          <w:sz w:val="21"/>
          <w:szCs w:val="20"/>
        </w:rPr>
      </w:pPr>
      <w:r w:rsidRPr="003A5C9F">
        <w:rPr>
          <w:rFonts w:asciiTheme="minorEastAsia" w:eastAsiaTheme="minorEastAsia" w:hAnsiTheme="minorEastAsia" w:cs="Times New Roman" w:hint="eastAsia"/>
          <w:color w:val="auto"/>
          <w:kern w:val="2"/>
          <w:sz w:val="21"/>
          <w:szCs w:val="20"/>
        </w:rPr>
        <w:t>注：基金最后运作日</w:t>
      </w:r>
      <w:r w:rsidR="000A3148" w:rsidRPr="003A5C9F">
        <w:rPr>
          <w:rFonts w:asciiTheme="minorEastAsia" w:eastAsiaTheme="minorEastAsia" w:hAnsiTheme="minorEastAsia" w:cs="Times New Roman"/>
          <w:color w:val="auto"/>
          <w:kern w:val="2"/>
          <w:sz w:val="21"/>
          <w:szCs w:val="20"/>
        </w:rPr>
        <w:t>2018年10月30日</w:t>
      </w:r>
      <w:r w:rsidRPr="003A5C9F">
        <w:rPr>
          <w:rFonts w:asciiTheme="minorEastAsia" w:eastAsiaTheme="minorEastAsia" w:hAnsiTheme="minorEastAsia" w:cs="Times New Roman" w:hint="eastAsia"/>
          <w:color w:val="auto"/>
          <w:kern w:val="2"/>
          <w:sz w:val="21"/>
          <w:szCs w:val="20"/>
        </w:rPr>
        <w:t>，大成</w:t>
      </w:r>
      <w:r w:rsidR="00F00EE4" w:rsidRPr="003A5C9F">
        <w:rPr>
          <w:rFonts w:asciiTheme="minorEastAsia" w:eastAsiaTheme="minorEastAsia" w:hAnsiTheme="minorEastAsia" w:cs="Times New Roman" w:hint="eastAsia"/>
          <w:color w:val="auto"/>
          <w:kern w:val="2"/>
          <w:sz w:val="21"/>
          <w:szCs w:val="20"/>
        </w:rPr>
        <w:t>景沛</w:t>
      </w:r>
      <w:r w:rsidRPr="003A5C9F">
        <w:rPr>
          <w:rFonts w:asciiTheme="minorEastAsia" w:eastAsiaTheme="minorEastAsia" w:hAnsiTheme="minorEastAsia" w:cs="Times New Roman" w:hint="eastAsia"/>
          <w:color w:val="auto"/>
          <w:kern w:val="2"/>
          <w:sz w:val="21"/>
          <w:szCs w:val="20"/>
        </w:rPr>
        <w:t>灵活配置混合</w:t>
      </w:r>
      <w:r w:rsidRPr="003A5C9F">
        <w:rPr>
          <w:rFonts w:asciiTheme="minorEastAsia" w:eastAsiaTheme="minorEastAsia" w:hAnsiTheme="minorEastAsia" w:cs="Times New Roman"/>
          <w:color w:val="auto"/>
          <w:kern w:val="2"/>
          <w:sz w:val="21"/>
          <w:szCs w:val="20"/>
        </w:rPr>
        <w:t>A单位净值为</w:t>
      </w:r>
      <w:r w:rsidR="00FB7881" w:rsidRPr="003A5C9F">
        <w:rPr>
          <w:rFonts w:asciiTheme="minorEastAsia" w:eastAsiaTheme="minorEastAsia" w:hAnsiTheme="minorEastAsia" w:cs="Times New Roman"/>
          <w:color w:val="auto"/>
          <w:kern w:val="2"/>
          <w:sz w:val="21"/>
          <w:szCs w:val="20"/>
        </w:rPr>
        <w:t>1.</w:t>
      </w:r>
      <w:r w:rsidR="009755E0" w:rsidRPr="003A5C9F">
        <w:rPr>
          <w:rFonts w:asciiTheme="minorEastAsia" w:eastAsiaTheme="minorEastAsia" w:hAnsiTheme="minorEastAsia" w:cs="Times New Roman"/>
          <w:color w:val="auto"/>
          <w:kern w:val="2"/>
          <w:sz w:val="21"/>
          <w:szCs w:val="20"/>
        </w:rPr>
        <w:t>0</w:t>
      </w:r>
      <w:r w:rsidR="009755E0">
        <w:rPr>
          <w:rFonts w:asciiTheme="minorEastAsia" w:eastAsiaTheme="minorEastAsia" w:hAnsiTheme="minorEastAsia" w:cs="Times New Roman" w:hint="eastAsia"/>
          <w:color w:val="auto"/>
          <w:kern w:val="2"/>
          <w:sz w:val="21"/>
          <w:szCs w:val="20"/>
        </w:rPr>
        <w:t>52</w:t>
      </w:r>
      <w:r w:rsidRPr="003A5C9F">
        <w:rPr>
          <w:rFonts w:asciiTheme="minorEastAsia" w:eastAsiaTheme="minorEastAsia" w:hAnsiTheme="minorEastAsia" w:cs="Times New Roman" w:hint="eastAsia"/>
          <w:color w:val="auto"/>
          <w:kern w:val="2"/>
          <w:sz w:val="21"/>
          <w:szCs w:val="20"/>
        </w:rPr>
        <w:t>元，份额为</w:t>
      </w:r>
      <w:r w:rsidR="00FB7881" w:rsidRPr="003A5C9F">
        <w:rPr>
          <w:rFonts w:asciiTheme="minorEastAsia" w:eastAsiaTheme="minorEastAsia" w:hAnsiTheme="minorEastAsia" w:cs="Times New Roman"/>
          <w:color w:val="auto"/>
          <w:kern w:val="2"/>
          <w:sz w:val="21"/>
          <w:szCs w:val="20"/>
        </w:rPr>
        <w:t>6,574,134.06</w:t>
      </w:r>
      <w:r w:rsidRPr="003A5C9F">
        <w:rPr>
          <w:rFonts w:asciiTheme="minorEastAsia" w:eastAsiaTheme="minorEastAsia" w:hAnsiTheme="minorEastAsia" w:cs="Times New Roman" w:hint="eastAsia"/>
          <w:color w:val="auto"/>
          <w:kern w:val="2"/>
          <w:sz w:val="21"/>
          <w:szCs w:val="20"/>
        </w:rPr>
        <w:t>份，资产净值为</w:t>
      </w:r>
      <w:r w:rsidR="00FB7881" w:rsidRPr="003A5C9F">
        <w:rPr>
          <w:rFonts w:asciiTheme="minorEastAsia" w:eastAsiaTheme="minorEastAsia" w:hAnsiTheme="minorEastAsia" w:cs="Times New Roman"/>
          <w:color w:val="auto"/>
          <w:kern w:val="2"/>
          <w:sz w:val="21"/>
          <w:szCs w:val="20"/>
        </w:rPr>
        <w:t>6,915,984.63</w:t>
      </w:r>
      <w:r w:rsidRPr="003A5C9F">
        <w:rPr>
          <w:rFonts w:asciiTheme="minorEastAsia" w:eastAsiaTheme="minorEastAsia" w:hAnsiTheme="minorEastAsia" w:cs="Times New Roman" w:hint="eastAsia"/>
          <w:color w:val="auto"/>
          <w:kern w:val="2"/>
          <w:sz w:val="21"/>
          <w:szCs w:val="20"/>
        </w:rPr>
        <w:t>元；大成</w:t>
      </w:r>
      <w:r w:rsidR="00F00EE4" w:rsidRPr="003A5C9F">
        <w:rPr>
          <w:rFonts w:asciiTheme="minorEastAsia" w:eastAsiaTheme="minorEastAsia" w:hAnsiTheme="minorEastAsia" w:cs="Times New Roman" w:hint="eastAsia"/>
          <w:color w:val="auto"/>
          <w:kern w:val="2"/>
          <w:sz w:val="21"/>
          <w:szCs w:val="20"/>
        </w:rPr>
        <w:t>景沛</w:t>
      </w:r>
      <w:r w:rsidRPr="003A5C9F">
        <w:rPr>
          <w:rFonts w:asciiTheme="minorEastAsia" w:eastAsiaTheme="minorEastAsia" w:hAnsiTheme="minorEastAsia" w:cs="Times New Roman" w:hint="eastAsia"/>
          <w:color w:val="auto"/>
          <w:kern w:val="2"/>
          <w:sz w:val="21"/>
          <w:szCs w:val="20"/>
        </w:rPr>
        <w:t>灵活配置混合</w:t>
      </w:r>
      <w:r w:rsidRPr="003A5C9F">
        <w:rPr>
          <w:rFonts w:asciiTheme="minorEastAsia" w:eastAsiaTheme="minorEastAsia" w:hAnsiTheme="minorEastAsia" w:cs="Times New Roman"/>
          <w:color w:val="auto"/>
          <w:kern w:val="2"/>
          <w:sz w:val="21"/>
          <w:szCs w:val="20"/>
        </w:rPr>
        <w:t>C单位净值为</w:t>
      </w:r>
      <w:r w:rsidR="00FB7881" w:rsidRPr="003A5C9F">
        <w:rPr>
          <w:rFonts w:asciiTheme="minorEastAsia" w:eastAsiaTheme="minorEastAsia" w:hAnsiTheme="minorEastAsia" w:cs="Times New Roman"/>
          <w:color w:val="auto"/>
          <w:kern w:val="2"/>
          <w:sz w:val="21"/>
          <w:szCs w:val="20"/>
        </w:rPr>
        <w:t>1.</w:t>
      </w:r>
      <w:r w:rsidR="009755E0" w:rsidRPr="003A5C9F">
        <w:rPr>
          <w:rFonts w:asciiTheme="minorEastAsia" w:eastAsiaTheme="minorEastAsia" w:hAnsiTheme="minorEastAsia" w:cs="Times New Roman"/>
          <w:color w:val="auto"/>
          <w:kern w:val="2"/>
          <w:sz w:val="21"/>
          <w:szCs w:val="20"/>
        </w:rPr>
        <w:t>0</w:t>
      </w:r>
      <w:r w:rsidR="009755E0">
        <w:rPr>
          <w:rFonts w:asciiTheme="minorEastAsia" w:eastAsiaTheme="minorEastAsia" w:hAnsiTheme="minorEastAsia" w:cs="Times New Roman" w:hint="eastAsia"/>
          <w:color w:val="auto"/>
          <w:kern w:val="2"/>
          <w:sz w:val="21"/>
          <w:szCs w:val="20"/>
        </w:rPr>
        <w:t>52</w:t>
      </w:r>
      <w:r w:rsidRPr="003A5C9F">
        <w:rPr>
          <w:rFonts w:asciiTheme="minorEastAsia" w:eastAsiaTheme="minorEastAsia" w:hAnsiTheme="minorEastAsia" w:cs="Times New Roman" w:hint="eastAsia"/>
          <w:color w:val="auto"/>
          <w:kern w:val="2"/>
          <w:sz w:val="21"/>
          <w:szCs w:val="20"/>
        </w:rPr>
        <w:t>元</w:t>
      </w:r>
      <w:r w:rsidRPr="003A5C9F">
        <w:rPr>
          <w:rFonts w:asciiTheme="minorEastAsia" w:eastAsiaTheme="minorEastAsia" w:hAnsiTheme="minorEastAsia" w:cs="Times New Roman"/>
          <w:color w:val="auto"/>
          <w:kern w:val="2"/>
          <w:sz w:val="21"/>
          <w:szCs w:val="20"/>
        </w:rPr>
        <w:t xml:space="preserve">, </w:t>
      </w:r>
      <w:r w:rsidRPr="003A5C9F">
        <w:rPr>
          <w:rFonts w:asciiTheme="minorEastAsia" w:eastAsiaTheme="minorEastAsia" w:hAnsiTheme="minorEastAsia" w:cs="Times New Roman" w:hint="eastAsia"/>
          <w:color w:val="auto"/>
          <w:kern w:val="2"/>
          <w:sz w:val="21"/>
          <w:szCs w:val="20"/>
        </w:rPr>
        <w:t>份额为</w:t>
      </w:r>
      <w:r w:rsidRPr="003A5C9F">
        <w:rPr>
          <w:rFonts w:asciiTheme="minorEastAsia" w:eastAsiaTheme="minorEastAsia" w:hAnsiTheme="minorEastAsia" w:cs="Times New Roman"/>
          <w:color w:val="auto"/>
          <w:kern w:val="2"/>
          <w:sz w:val="21"/>
          <w:szCs w:val="20"/>
        </w:rPr>
        <w:t>0份，资产净值为0元。</w:t>
      </w:r>
    </w:p>
    <w:p w:rsidR="00BD5A1E" w:rsidRPr="003D21AE" w:rsidRDefault="001133A2">
      <w:pPr>
        <w:widowControl/>
        <w:jc w:val="left"/>
        <w:rPr>
          <w:rFonts w:asciiTheme="minorEastAsia" w:eastAsiaTheme="minorEastAsia" w:hAnsiTheme="minorEastAsia" w:cs="宋体"/>
          <w:b/>
          <w:color w:val="000000"/>
          <w:kern w:val="0"/>
          <w:szCs w:val="21"/>
        </w:rPr>
      </w:pPr>
      <w:r w:rsidRPr="003D21AE">
        <w:rPr>
          <w:rFonts w:asciiTheme="minorEastAsia" w:eastAsiaTheme="minorEastAsia" w:hAnsiTheme="minorEastAsia"/>
          <w:b/>
          <w:szCs w:val="21"/>
        </w:rPr>
        <w:br w:type="page"/>
      </w:r>
    </w:p>
    <w:p w:rsidR="00151936" w:rsidRPr="003D21AE" w:rsidRDefault="007374CC" w:rsidP="008A1CA6">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四</w:t>
      </w:r>
      <w:r w:rsidR="00151936" w:rsidRPr="003D21AE">
        <w:rPr>
          <w:rFonts w:asciiTheme="minorEastAsia" w:eastAsiaTheme="minorEastAsia" w:hAnsiTheme="minorEastAsia" w:hint="eastAsia"/>
          <w:b/>
        </w:rPr>
        <w:t>、基金财产分配</w:t>
      </w:r>
    </w:p>
    <w:p w:rsidR="005B7BB7" w:rsidRPr="00C013B0" w:rsidRDefault="00A77AD6" w:rsidP="00FB7C03">
      <w:pPr>
        <w:spacing w:line="360" w:lineRule="auto"/>
        <w:ind w:firstLineChars="202" w:firstLine="424"/>
        <w:rPr>
          <w:rFonts w:asciiTheme="minorEastAsia" w:eastAsiaTheme="minorEastAsia" w:hAnsiTheme="minorEastAsia"/>
        </w:rPr>
      </w:pPr>
      <w:r w:rsidRPr="003D21AE">
        <w:rPr>
          <w:rFonts w:asciiTheme="minorEastAsia" w:eastAsiaTheme="minorEastAsia" w:hAnsiTheme="minorEastAsia" w:hint="eastAsia"/>
        </w:rPr>
        <w:t>自</w:t>
      </w:r>
      <w:r w:rsidR="000A3148">
        <w:rPr>
          <w:rFonts w:asciiTheme="minorEastAsia" w:eastAsiaTheme="minorEastAsia" w:hAnsiTheme="minorEastAsia" w:hint="eastAsia"/>
        </w:rPr>
        <w:t>2018年10月31</w:t>
      </w:r>
      <w:r w:rsidR="000A3148" w:rsidRPr="00C013B0">
        <w:rPr>
          <w:rFonts w:asciiTheme="minorEastAsia" w:eastAsiaTheme="minorEastAsia" w:hAnsiTheme="minorEastAsia" w:hint="eastAsia"/>
        </w:rPr>
        <w:t>日</w:t>
      </w:r>
      <w:r w:rsidRPr="00C013B0">
        <w:rPr>
          <w:rFonts w:asciiTheme="minorEastAsia" w:eastAsiaTheme="minorEastAsia" w:hAnsiTheme="minorEastAsia" w:hint="eastAsia"/>
        </w:rPr>
        <w:t>至</w:t>
      </w:r>
      <w:r w:rsidR="00084270" w:rsidRPr="003A5C9F">
        <w:rPr>
          <w:rFonts w:asciiTheme="minorEastAsia" w:eastAsiaTheme="minorEastAsia" w:hAnsiTheme="minorEastAsia"/>
        </w:rPr>
        <w:t>2018年11月6日</w:t>
      </w:r>
      <w:r w:rsidRPr="00C013B0">
        <w:rPr>
          <w:rFonts w:asciiTheme="minorEastAsia" w:eastAsiaTheme="minorEastAsia" w:hAnsiTheme="minorEastAsia" w:hint="eastAsia"/>
        </w:rPr>
        <w:t>止</w:t>
      </w:r>
      <w:r w:rsidR="00FB7C03" w:rsidRPr="00C013B0">
        <w:rPr>
          <w:rFonts w:asciiTheme="minorEastAsia" w:eastAsiaTheme="minorEastAsia" w:hAnsiTheme="minorEastAsia" w:hint="eastAsia"/>
        </w:rPr>
        <w:t>为清算期间，基金财产清算小组对本基金的资产、负债进行清算，全部清算工作按清算原则和清算手续进行。具体清算情况如下：</w:t>
      </w:r>
    </w:p>
    <w:p w:rsidR="005B7BB7" w:rsidRPr="00C013B0" w:rsidRDefault="005B7BB7" w:rsidP="005B7BB7">
      <w:pPr>
        <w:spacing w:line="360" w:lineRule="auto"/>
        <w:jc w:val="left"/>
        <w:rPr>
          <w:rFonts w:asciiTheme="minorEastAsia" w:eastAsiaTheme="minorEastAsia" w:hAnsiTheme="minorEastAsia"/>
          <w:b/>
        </w:rPr>
      </w:pPr>
      <w:r w:rsidRPr="00C013B0">
        <w:rPr>
          <w:rFonts w:asciiTheme="minorEastAsia" w:eastAsiaTheme="minorEastAsia" w:hAnsiTheme="minorEastAsia"/>
          <w:b/>
        </w:rPr>
        <w:t>1、资产处置情况</w:t>
      </w:r>
    </w:p>
    <w:p w:rsidR="005B7BB7" w:rsidRPr="00C013B0" w:rsidRDefault="005B7BB7" w:rsidP="005B7BB7">
      <w:pPr>
        <w:spacing w:line="360" w:lineRule="auto"/>
        <w:jc w:val="left"/>
        <w:rPr>
          <w:rFonts w:asciiTheme="minorEastAsia" w:eastAsiaTheme="minorEastAsia" w:hAnsiTheme="minorEastAsia"/>
        </w:rPr>
      </w:pPr>
      <w:r w:rsidRPr="00C013B0">
        <w:rPr>
          <w:rFonts w:asciiTheme="minorEastAsia" w:eastAsiaTheme="minorEastAsia" w:hAnsiTheme="minorEastAsia"/>
        </w:rPr>
        <w:t>(1)</w:t>
      </w:r>
      <w:r w:rsidR="00FB7C03" w:rsidRPr="00C013B0">
        <w:rPr>
          <w:rFonts w:asciiTheme="minorEastAsia" w:eastAsiaTheme="minorEastAsia" w:hAnsiTheme="minorEastAsia" w:hint="eastAsia"/>
        </w:rPr>
        <w:t>本基金最后运作日</w:t>
      </w:r>
      <w:r w:rsidRPr="00C013B0">
        <w:rPr>
          <w:rFonts w:asciiTheme="minorEastAsia" w:eastAsiaTheme="minorEastAsia" w:hAnsiTheme="minorEastAsia" w:hint="eastAsia"/>
        </w:rPr>
        <w:t>银行存款为人民币</w:t>
      </w:r>
      <w:r w:rsidR="00FB7881" w:rsidRPr="00C013B0">
        <w:rPr>
          <w:rFonts w:asciiTheme="minorEastAsia" w:eastAsiaTheme="minorEastAsia" w:hAnsiTheme="minorEastAsia"/>
        </w:rPr>
        <w:t>6,784,480.61</w:t>
      </w:r>
      <w:r w:rsidRPr="00C013B0">
        <w:rPr>
          <w:rFonts w:asciiTheme="minorEastAsia" w:eastAsiaTheme="minorEastAsia" w:hAnsiTheme="minorEastAsia" w:hint="eastAsia"/>
        </w:rPr>
        <w:t>元。</w:t>
      </w:r>
    </w:p>
    <w:p w:rsidR="00BC58F2" w:rsidRPr="003D21AE" w:rsidRDefault="00BC58F2">
      <w:pPr>
        <w:spacing w:line="360" w:lineRule="auto"/>
        <w:jc w:val="left"/>
        <w:rPr>
          <w:rFonts w:asciiTheme="minorEastAsia" w:eastAsiaTheme="minorEastAsia" w:hAnsiTheme="minorEastAsia"/>
        </w:rPr>
      </w:pPr>
      <w:r w:rsidRPr="00C013B0">
        <w:rPr>
          <w:rFonts w:asciiTheme="minorEastAsia" w:eastAsiaTheme="minorEastAsia" w:hAnsiTheme="minorEastAsia"/>
        </w:rPr>
        <w:t>(2)</w:t>
      </w:r>
      <w:r w:rsidR="00FB7C03" w:rsidRPr="00C013B0">
        <w:rPr>
          <w:rFonts w:asciiTheme="minorEastAsia" w:eastAsiaTheme="minorEastAsia" w:hAnsiTheme="minorEastAsia" w:hint="eastAsia"/>
        </w:rPr>
        <w:t>本基金最后运作日</w:t>
      </w:r>
      <w:r w:rsidRPr="00C013B0">
        <w:rPr>
          <w:rFonts w:asciiTheme="minorEastAsia" w:eastAsiaTheme="minorEastAsia" w:hAnsiTheme="minorEastAsia" w:hint="eastAsia"/>
        </w:rPr>
        <w:t>结算保证金为人民币</w:t>
      </w:r>
      <w:r w:rsidR="00FB7881" w:rsidRPr="00C013B0">
        <w:rPr>
          <w:rFonts w:asciiTheme="minorEastAsia" w:eastAsiaTheme="minorEastAsia" w:hAnsiTheme="minorEastAsia"/>
        </w:rPr>
        <w:t>47,669.25</w:t>
      </w:r>
      <w:r w:rsidRPr="00C013B0">
        <w:rPr>
          <w:rFonts w:asciiTheme="minorEastAsia" w:eastAsiaTheme="minorEastAsia" w:hAnsiTheme="minorEastAsia" w:hint="eastAsia"/>
        </w:rPr>
        <w:t>元</w:t>
      </w:r>
      <w:r w:rsidR="00084270" w:rsidRPr="00C013B0">
        <w:rPr>
          <w:rFonts w:asciiTheme="minorEastAsia" w:eastAsiaTheme="minorEastAsia" w:hAnsiTheme="minorEastAsia" w:hint="eastAsia"/>
        </w:rPr>
        <w:t>，该款项已于</w:t>
      </w:r>
      <w:r w:rsidR="00084270" w:rsidRPr="003A5C9F">
        <w:rPr>
          <w:rFonts w:asciiTheme="minorEastAsia" w:eastAsiaTheme="minorEastAsia" w:hAnsiTheme="minorEastAsia"/>
        </w:rPr>
        <w:t>2018年11月2日</w:t>
      </w:r>
      <w:r w:rsidR="00FF423E" w:rsidRPr="00FF423E">
        <w:rPr>
          <w:rFonts w:asciiTheme="minorEastAsia" w:eastAsiaTheme="minorEastAsia" w:hAnsiTheme="minorEastAsia" w:hint="eastAsia"/>
        </w:rPr>
        <w:t>返还托管账户</w:t>
      </w:r>
      <w:r w:rsidR="00084270" w:rsidRPr="00C013B0">
        <w:rPr>
          <w:rFonts w:asciiTheme="minorEastAsia" w:eastAsiaTheme="minorEastAsia" w:hAnsiTheme="minorEastAsia" w:hint="eastAsia"/>
        </w:rPr>
        <w:t>。</w:t>
      </w:r>
    </w:p>
    <w:p w:rsidR="005B7BB7" w:rsidRPr="003D21AE" w:rsidRDefault="00D33036"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(3)</w:t>
      </w:r>
      <w:r w:rsidR="00FB7C03" w:rsidRPr="003D21AE">
        <w:rPr>
          <w:rFonts w:asciiTheme="minorEastAsia" w:eastAsiaTheme="minorEastAsia" w:hAnsiTheme="minorEastAsia" w:hint="eastAsia"/>
        </w:rPr>
        <w:t>本基金最后运作日</w:t>
      </w:r>
      <w:r w:rsidR="005B7BB7" w:rsidRPr="003D21AE">
        <w:rPr>
          <w:rFonts w:asciiTheme="minorEastAsia" w:eastAsiaTheme="minorEastAsia" w:hAnsiTheme="minorEastAsia" w:hint="eastAsia"/>
        </w:rPr>
        <w:t>应收利息为人民币</w:t>
      </w:r>
      <w:r w:rsidR="00FB7881">
        <w:rPr>
          <w:rFonts w:asciiTheme="minorEastAsia" w:eastAsiaTheme="minorEastAsia" w:hAnsiTheme="minorEastAsia"/>
          <w:color w:val="000000"/>
          <w:sz w:val="22"/>
          <w:szCs w:val="22"/>
        </w:rPr>
        <w:t>5,519.77</w:t>
      </w:r>
      <w:r w:rsidR="005B7BB7" w:rsidRPr="003D21AE">
        <w:rPr>
          <w:rFonts w:asciiTheme="minorEastAsia" w:eastAsiaTheme="minorEastAsia" w:hAnsiTheme="minorEastAsia" w:hint="eastAsia"/>
        </w:rPr>
        <w:t>元</w:t>
      </w:r>
      <w:r w:rsidR="0062758A">
        <w:rPr>
          <w:rFonts w:asciiTheme="minorEastAsia" w:eastAsiaTheme="minorEastAsia" w:hAnsiTheme="minorEastAsia" w:hint="eastAsia"/>
        </w:rPr>
        <w:t>。</w:t>
      </w:r>
    </w:p>
    <w:p w:rsidR="00BC58F2" w:rsidRPr="003D21AE" w:rsidRDefault="00D33036"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(4)</w:t>
      </w:r>
      <w:r w:rsidR="00FB7C03" w:rsidRPr="003D21AE">
        <w:rPr>
          <w:rFonts w:asciiTheme="minorEastAsia" w:eastAsiaTheme="minorEastAsia" w:hAnsiTheme="minorEastAsia" w:hint="eastAsia"/>
        </w:rPr>
        <w:t>本基金最后运作日</w:t>
      </w:r>
      <w:r w:rsidR="00BC58F2" w:rsidRPr="003D21AE">
        <w:rPr>
          <w:rFonts w:asciiTheme="minorEastAsia" w:eastAsiaTheme="minorEastAsia" w:hAnsiTheme="minorEastAsia" w:hint="eastAsia"/>
        </w:rPr>
        <w:t>交易性金融资产</w:t>
      </w:r>
      <w:r w:rsidR="001970FF" w:rsidRPr="003D21AE">
        <w:rPr>
          <w:rFonts w:asciiTheme="minorEastAsia" w:eastAsiaTheme="minorEastAsia" w:hAnsiTheme="minorEastAsia" w:hint="eastAsia"/>
        </w:rPr>
        <w:t>为</w:t>
      </w:r>
      <w:r w:rsidR="00BC58F2" w:rsidRPr="003D21AE">
        <w:rPr>
          <w:rFonts w:asciiTheme="minorEastAsia" w:eastAsiaTheme="minorEastAsia" w:hAnsiTheme="minorEastAsia" w:hint="eastAsia"/>
        </w:rPr>
        <w:t>人民币</w:t>
      </w:r>
      <w:r w:rsidR="00FB7881">
        <w:rPr>
          <w:rFonts w:asciiTheme="minorEastAsia" w:eastAsiaTheme="minorEastAsia" w:hAnsiTheme="minorEastAsia"/>
        </w:rPr>
        <w:t>341,395.10</w:t>
      </w:r>
      <w:r w:rsidR="0061256F" w:rsidRPr="003D21AE">
        <w:rPr>
          <w:rFonts w:asciiTheme="minorEastAsia" w:eastAsiaTheme="minorEastAsia" w:hAnsiTheme="minorEastAsia" w:hint="eastAsia"/>
        </w:rPr>
        <w:t>元，为本基金持有的下述未变现</w:t>
      </w:r>
      <w:r w:rsidR="00BC58F2" w:rsidRPr="003D21AE">
        <w:rPr>
          <w:rFonts w:asciiTheme="minorEastAsia" w:eastAsiaTheme="minorEastAsia" w:hAnsiTheme="minorEastAsia" w:hint="eastAsia"/>
        </w:rPr>
        <w:t>资产：</w:t>
      </w:r>
    </w:p>
    <w:tbl>
      <w:tblPr>
        <w:tblStyle w:val="a8"/>
        <w:tblW w:w="5000" w:type="pct"/>
        <w:tblLayout w:type="fixed"/>
        <w:tblLook w:val="04A0"/>
      </w:tblPr>
      <w:tblGrid>
        <w:gridCol w:w="1664"/>
        <w:gridCol w:w="1527"/>
        <w:gridCol w:w="1524"/>
        <w:gridCol w:w="1888"/>
        <w:gridCol w:w="1919"/>
      </w:tblGrid>
      <w:tr w:rsidR="00DC2732" w:rsidRPr="003D21AE" w:rsidTr="003A5C9F">
        <w:tc>
          <w:tcPr>
            <w:tcW w:w="976" w:type="pct"/>
            <w:vAlign w:val="center"/>
          </w:tcPr>
          <w:p w:rsidR="00EF5635" w:rsidRPr="003D21AE" w:rsidRDefault="00EF5635" w:rsidP="00CB7A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证券名称</w:t>
            </w:r>
          </w:p>
        </w:tc>
        <w:tc>
          <w:tcPr>
            <w:tcW w:w="896" w:type="pct"/>
            <w:vAlign w:val="center"/>
          </w:tcPr>
          <w:p w:rsidR="00EF5635" w:rsidRPr="003D21AE" w:rsidRDefault="00EF5635" w:rsidP="00CB7A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证券代码</w:t>
            </w:r>
          </w:p>
        </w:tc>
        <w:tc>
          <w:tcPr>
            <w:tcW w:w="894" w:type="pct"/>
            <w:vAlign w:val="center"/>
          </w:tcPr>
          <w:p w:rsidR="00EF5635" w:rsidRPr="003D21AE" w:rsidRDefault="00EF5635" w:rsidP="00CB7A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数量</w:t>
            </w:r>
          </w:p>
        </w:tc>
        <w:tc>
          <w:tcPr>
            <w:tcW w:w="1108" w:type="pct"/>
          </w:tcPr>
          <w:p w:rsidR="00DC2732" w:rsidRDefault="00EF5635" w:rsidP="003A5C9F">
            <w:pPr>
              <w:spacing w:line="360" w:lineRule="auto"/>
              <w:jc w:val="left"/>
              <w:rPr>
                <w:rFonts w:asciiTheme="minorEastAsia" w:eastAsiaTheme="minorEastAsia" w:hAnsiTheme="minorEastAsia"/>
                <w:b/>
              </w:rPr>
            </w:pPr>
            <w:r w:rsidRPr="00EF5635">
              <w:rPr>
                <w:rFonts w:asciiTheme="minorEastAsia" w:eastAsiaTheme="minorEastAsia" w:hAnsiTheme="minorEastAsia" w:hint="eastAsia"/>
                <w:b/>
              </w:rPr>
              <w:t>最后运作日估值</w:t>
            </w:r>
          </w:p>
          <w:p w:rsidR="00EF5635" w:rsidRPr="003D21AE" w:rsidRDefault="00EF5635">
            <w:pPr>
              <w:spacing w:line="360" w:lineRule="auto"/>
              <w:jc w:val="center"/>
              <w:rPr>
                <w:rFonts w:asciiTheme="minorEastAsia" w:eastAsiaTheme="minorEastAsia" w:hAnsiTheme="minorEastAsia"/>
                <w:b/>
              </w:rPr>
            </w:pPr>
            <w:r w:rsidRPr="00EF5635">
              <w:rPr>
                <w:rFonts w:asciiTheme="minorEastAsia" w:eastAsiaTheme="minorEastAsia" w:hAnsiTheme="minorEastAsia" w:hint="eastAsia"/>
                <w:b/>
              </w:rPr>
              <w:t>价格（元）</w:t>
            </w:r>
          </w:p>
        </w:tc>
        <w:tc>
          <w:tcPr>
            <w:tcW w:w="1126" w:type="pct"/>
            <w:vAlign w:val="center"/>
          </w:tcPr>
          <w:p w:rsidR="003E0BA4" w:rsidRDefault="00EF5635" w:rsidP="00CB7A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最后运作日估值</w:t>
            </w:r>
          </w:p>
          <w:p w:rsidR="00EF5635" w:rsidRPr="003D21AE" w:rsidRDefault="00EF5635" w:rsidP="00CB7A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金额（元）</w:t>
            </w:r>
          </w:p>
        </w:tc>
      </w:tr>
      <w:tr w:rsidR="00DC2732" w:rsidRPr="00AE1B39" w:rsidTr="003A5C9F">
        <w:tc>
          <w:tcPr>
            <w:tcW w:w="976" w:type="pct"/>
            <w:vAlign w:val="center"/>
          </w:tcPr>
          <w:p w:rsidR="00EF5635" w:rsidRPr="003D21AE" w:rsidRDefault="00EF5635" w:rsidP="00CB7AD2">
            <w:pPr>
              <w:spacing w:line="360" w:lineRule="auto"/>
              <w:jc w:val="center"/>
              <w:rPr>
                <w:rFonts w:asciiTheme="minorEastAsia" w:eastAsiaTheme="minorEastAsia" w:hAnsiTheme="minorEastAsia"/>
              </w:rPr>
            </w:pPr>
            <w:r>
              <w:rPr>
                <w:rFonts w:asciiTheme="minorEastAsia" w:eastAsiaTheme="minorEastAsia" w:hAnsiTheme="minorEastAsia" w:hint="eastAsia"/>
              </w:rPr>
              <w:t>信威集团</w:t>
            </w:r>
          </w:p>
        </w:tc>
        <w:tc>
          <w:tcPr>
            <w:tcW w:w="896" w:type="pct"/>
            <w:vAlign w:val="center"/>
          </w:tcPr>
          <w:p w:rsidR="00EF5635" w:rsidRPr="003D21AE" w:rsidRDefault="00EF5635" w:rsidP="00CB7AD2">
            <w:pPr>
              <w:spacing w:line="360" w:lineRule="auto"/>
              <w:jc w:val="center"/>
              <w:rPr>
                <w:rFonts w:asciiTheme="minorEastAsia" w:eastAsiaTheme="minorEastAsia" w:hAnsiTheme="minorEastAsia"/>
              </w:rPr>
            </w:pPr>
            <w:r>
              <w:rPr>
                <w:rFonts w:asciiTheme="minorEastAsia" w:eastAsiaTheme="minorEastAsia" w:hAnsiTheme="minorEastAsia" w:hint="eastAsia"/>
              </w:rPr>
              <w:t>600485</w:t>
            </w:r>
          </w:p>
        </w:tc>
        <w:tc>
          <w:tcPr>
            <w:tcW w:w="894" w:type="pct"/>
            <w:vAlign w:val="center"/>
          </w:tcPr>
          <w:p w:rsidR="00EF5635" w:rsidRPr="003D21AE" w:rsidRDefault="00EF5635" w:rsidP="00CB7AD2">
            <w:pPr>
              <w:spacing w:line="360" w:lineRule="auto"/>
              <w:jc w:val="right"/>
              <w:rPr>
                <w:rFonts w:asciiTheme="minorEastAsia" w:eastAsiaTheme="minorEastAsia" w:hAnsiTheme="minorEastAsia"/>
              </w:rPr>
            </w:pPr>
            <w:r>
              <w:rPr>
                <w:rFonts w:asciiTheme="minorEastAsia" w:eastAsiaTheme="minorEastAsia" w:hAnsiTheme="minorEastAsia" w:hint="eastAsia"/>
              </w:rPr>
              <w:t>39,605</w:t>
            </w:r>
          </w:p>
        </w:tc>
        <w:tc>
          <w:tcPr>
            <w:tcW w:w="1108" w:type="pct"/>
          </w:tcPr>
          <w:p w:rsidR="00EF5635" w:rsidRPr="00B42D55" w:rsidDel="00B42D55" w:rsidRDefault="00EF5635" w:rsidP="00CB7AD2">
            <w:pPr>
              <w:spacing w:line="360" w:lineRule="auto"/>
              <w:jc w:val="right"/>
              <w:rPr>
                <w:rFonts w:asciiTheme="minorEastAsia" w:eastAsiaTheme="minorEastAsia" w:hAnsiTheme="minorEastAsia"/>
              </w:rPr>
            </w:pPr>
            <w:r>
              <w:rPr>
                <w:rFonts w:asciiTheme="minorEastAsia" w:eastAsiaTheme="minorEastAsia" w:hAnsiTheme="minorEastAsia" w:hint="eastAsia"/>
              </w:rPr>
              <w:t>8.62</w:t>
            </w:r>
          </w:p>
        </w:tc>
        <w:tc>
          <w:tcPr>
            <w:tcW w:w="1126" w:type="pct"/>
            <w:vAlign w:val="center"/>
          </w:tcPr>
          <w:p w:rsidR="00EF5635" w:rsidRPr="00B42D55" w:rsidRDefault="00EF5635" w:rsidP="00CB7AD2">
            <w:pPr>
              <w:spacing w:line="360" w:lineRule="auto"/>
              <w:jc w:val="right"/>
              <w:rPr>
                <w:rFonts w:asciiTheme="minorEastAsia" w:eastAsiaTheme="minorEastAsia" w:hAnsiTheme="minorEastAsia"/>
              </w:rPr>
            </w:pPr>
            <w:r w:rsidRPr="003A5C9F">
              <w:rPr>
                <w:rFonts w:asciiTheme="minorEastAsia" w:eastAsiaTheme="minorEastAsia" w:hAnsiTheme="minorEastAsia"/>
              </w:rPr>
              <w:t>341,395.10</w:t>
            </w:r>
          </w:p>
        </w:tc>
      </w:tr>
    </w:tbl>
    <w:p w:rsidR="005B7BB7" w:rsidRPr="00600A27" w:rsidRDefault="00EF5635" w:rsidP="005B7BB7">
      <w:pPr>
        <w:spacing w:line="360" w:lineRule="auto"/>
        <w:jc w:val="left"/>
        <w:rPr>
          <w:rFonts w:asciiTheme="minorEastAsia" w:eastAsiaTheme="minorEastAsia" w:hAnsiTheme="minorEastAsia"/>
          <w:b/>
        </w:rPr>
      </w:pPr>
      <w:r w:rsidRPr="00EF5635">
        <w:rPr>
          <w:rFonts w:asciiTheme="minorEastAsia" w:eastAsiaTheme="minorEastAsia" w:hAnsiTheme="minorEastAsia" w:hint="eastAsia"/>
        </w:rPr>
        <w:t>截至本次清算期结束日（2018年</w:t>
      </w:r>
      <w:r>
        <w:rPr>
          <w:rFonts w:asciiTheme="minorEastAsia" w:eastAsiaTheme="minorEastAsia" w:hAnsiTheme="minorEastAsia" w:hint="eastAsia"/>
        </w:rPr>
        <w:t>11</w:t>
      </w:r>
      <w:r w:rsidRPr="00EF5635">
        <w:rPr>
          <w:rFonts w:asciiTheme="minorEastAsia" w:eastAsiaTheme="minorEastAsia" w:hAnsiTheme="minorEastAsia" w:hint="eastAsia"/>
        </w:rPr>
        <w:t>月</w:t>
      </w:r>
      <w:r>
        <w:rPr>
          <w:rFonts w:asciiTheme="minorEastAsia" w:eastAsiaTheme="minorEastAsia" w:hAnsiTheme="minorEastAsia" w:hint="eastAsia"/>
        </w:rPr>
        <w:t>6</w:t>
      </w:r>
      <w:r w:rsidRPr="00EF5635">
        <w:rPr>
          <w:rFonts w:asciiTheme="minorEastAsia" w:eastAsiaTheme="minorEastAsia" w:hAnsiTheme="minorEastAsia" w:hint="eastAsia"/>
        </w:rPr>
        <w:t>日），本基金所持</w:t>
      </w:r>
      <w:r>
        <w:rPr>
          <w:rFonts w:asciiTheme="minorEastAsia" w:eastAsiaTheme="minorEastAsia" w:hAnsiTheme="minorEastAsia" w:hint="eastAsia"/>
        </w:rPr>
        <w:t>流通受限</w:t>
      </w:r>
      <w:r w:rsidRPr="00EF5635">
        <w:rPr>
          <w:rFonts w:asciiTheme="minorEastAsia" w:eastAsiaTheme="minorEastAsia" w:hAnsiTheme="minorEastAsia" w:hint="eastAsia"/>
        </w:rPr>
        <w:t>股票尚未</w:t>
      </w:r>
      <w:r>
        <w:rPr>
          <w:rFonts w:asciiTheme="minorEastAsia" w:eastAsiaTheme="minorEastAsia" w:hAnsiTheme="minorEastAsia" w:hint="eastAsia"/>
        </w:rPr>
        <w:t>复牌</w:t>
      </w:r>
      <w:r w:rsidRPr="00EF5635">
        <w:rPr>
          <w:rFonts w:asciiTheme="minorEastAsia" w:eastAsiaTheme="minorEastAsia" w:hAnsiTheme="minorEastAsia" w:hint="eastAsia"/>
        </w:rPr>
        <w:t>，故需进行二次清算。本基金将于上述未变现资产全部变现后进入二次清算程序，并将清算后的全部剩余财产扣除基金财产清算费用、缴纳税款并清偿债务后，按基金份额持有人持有的基金份额比例进行二次分配</w:t>
      </w:r>
      <w:r>
        <w:rPr>
          <w:rFonts w:asciiTheme="minorEastAsia" w:eastAsiaTheme="minorEastAsia" w:hAnsiTheme="minorEastAsia" w:hint="eastAsia"/>
        </w:rPr>
        <w:t>。</w:t>
      </w:r>
      <w:r w:rsidRPr="00EF5635">
        <w:rPr>
          <w:rFonts w:asciiTheme="minorEastAsia" w:eastAsiaTheme="minorEastAsia" w:hAnsiTheme="minorEastAsia" w:hint="eastAsia"/>
        </w:rPr>
        <w:cr/>
      </w:r>
      <w:r w:rsidR="005B7BB7" w:rsidRPr="00600A27">
        <w:rPr>
          <w:rFonts w:asciiTheme="minorEastAsia" w:eastAsiaTheme="minorEastAsia" w:hAnsiTheme="minorEastAsia" w:hint="eastAsia"/>
          <w:b/>
        </w:rPr>
        <w:t>2、负债清偿情况</w:t>
      </w:r>
      <w:r w:rsidR="005B7BB7" w:rsidRPr="00600A27">
        <w:rPr>
          <w:rFonts w:asciiTheme="minorEastAsia" w:eastAsiaTheme="minorEastAsia" w:hAnsiTheme="minorEastAsia" w:hint="eastAsia"/>
          <w:b/>
        </w:rPr>
        <w:tab/>
      </w:r>
    </w:p>
    <w:p w:rsidR="005B7BB7" w:rsidRPr="007A6BB6" w:rsidRDefault="005B7BB7" w:rsidP="002F59F5">
      <w:pPr>
        <w:spacing w:line="360" w:lineRule="auto"/>
        <w:jc w:val="left"/>
        <w:rPr>
          <w:rFonts w:asciiTheme="minorEastAsia" w:eastAsiaTheme="minorEastAsia" w:hAnsiTheme="minorEastAsia"/>
        </w:rPr>
      </w:pPr>
      <w:r w:rsidRPr="007A6BB6">
        <w:rPr>
          <w:rFonts w:asciiTheme="minorEastAsia" w:eastAsiaTheme="minorEastAsia" w:hAnsiTheme="minorEastAsia"/>
        </w:rPr>
        <w:t>(1)</w:t>
      </w:r>
      <w:r w:rsidR="00FB7C03" w:rsidRPr="007A6BB6">
        <w:rPr>
          <w:rFonts w:asciiTheme="minorEastAsia" w:eastAsiaTheme="minorEastAsia" w:hAnsiTheme="minorEastAsia"/>
        </w:rPr>
        <w:t xml:space="preserve"> 本基金最后运作日</w:t>
      </w:r>
      <w:r w:rsidRPr="007A6BB6">
        <w:rPr>
          <w:rFonts w:asciiTheme="minorEastAsia" w:eastAsiaTheme="minorEastAsia" w:hAnsiTheme="minorEastAsia" w:hint="eastAsia"/>
        </w:rPr>
        <w:t>应付管理人报酬为人民币</w:t>
      </w:r>
      <w:r w:rsidR="00FB7881" w:rsidRPr="007A6BB6">
        <w:rPr>
          <w:rFonts w:asciiTheme="minorEastAsia" w:eastAsiaTheme="minorEastAsia" w:hAnsiTheme="minorEastAsia"/>
        </w:rPr>
        <w:t>3,553.78</w:t>
      </w:r>
      <w:r w:rsidR="003505D8" w:rsidRPr="007A6BB6">
        <w:rPr>
          <w:rFonts w:asciiTheme="minorEastAsia" w:eastAsiaTheme="minorEastAsia" w:hAnsiTheme="minorEastAsia" w:hint="eastAsia"/>
        </w:rPr>
        <w:t>元</w:t>
      </w:r>
      <w:r w:rsidR="000C76E4" w:rsidRPr="007A6BB6">
        <w:rPr>
          <w:rFonts w:asciiTheme="minorEastAsia" w:eastAsiaTheme="minorEastAsia" w:hAnsiTheme="minorEastAsia" w:hint="eastAsia"/>
        </w:rPr>
        <w:t>，该款项已于</w:t>
      </w:r>
      <w:r w:rsidR="000C76E4" w:rsidRPr="007A6BB6">
        <w:rPr>
          <w:rFonts w:asciiTheme="minorEastAsia" w:eastAsiaTheme="minorEastAsia" w:hAnsiTheme="minorEastAsia"/>
        </w:rPr>
        <w:t>2018年</w:t>
      </w:r>
      <w:r w:rsidR="00920903" w:rsidRPr="003A5C9F">
        <w:rPr>
          <w:rFonts w:asciiTheme="minorEastAsia" w:eastAsiaTheme="minorEastAsia" w:hAnsiTheme="minorEastAsia"/>
        </w:rPr>
        <w:t>11</w:t>
      </w:r>
      <w:r w:rsidR="000C76E4" w:rsidRPr="007A6BB6">
        <w:rPr>
          <w:rFonts w:asciiTheme="minorEastAsia" w:eastAsiaTheme="minorEastAsia" w:hAnsiTheme="minorEastAsia" w:hint="eastAsia"/>
        </w:rPr>
        <w:t>月</w:t>
      </w:r>
      <w:r w:rsidR="000C76E4" w:rsidRPr="007A6BB6">
        <w:rPr>
          <w:rFonts w:asciiTheme="minorEastAsia" w:eastAsiaTheme="minorEastAsia" w:hAnsiTheme="minorEastAsia"/>
        </w:rPr>
        <w:t>1日</w:t>
      </w:r>
      <w:r w:rsidR="000C76E4" w:rsidRPr="007A6BB6">
        <w:rPr>
          <w:rFonts w:asciiTheme="minorEastAsia" w:eastAsiaTheme="minorEastAsia" w:hAnsiTheme="minorEastAsia" w:hint="eastAsia"/>
        </w:rPr>
        <w:t>支付</w:t>
      </w:r>
      <w:r w:rsidRPr="007A6BB6">
        <w:rPr>
          <w:rFonts w:asciiTheme="minorEastAsia" w:eastAsiaTheme="minorEastAsia" w:hAnsiTheme="minorEastAsia" w:hint="eastAsia"/>
        </w:rPr>
        <w:t>。</w:t>
      </w:r>
    </w:p>
    <w:p w:rsidR="000C76E4" w:rsidRPr="002F59F5" w:rsidRDefault="005B7BB7" w:rsidP="002F59F5">
      <w:pPr>
        <w:spacing w:line="360" w:lineRule="auto"/>
        <w:jc w:val="left"/>
        <w:rPr>
          <w:rFonts w:asciiTheme="minorEastAsia" w:eastAsiaTheme="minorEastAsia" w:hAnsiTheme="minorEastAsia"/>
        </w:rPr>
      </w:pPr>
      <w:r w:rsidRPr="007A6BB6">
        <w:rPr>
          <w:rFonts w:asciiTheme="minorEastAsia" w:eastAsiaTheme="minorEastAsia" w:hAnsiTheme="minorEastAsia"/>
        </w:rPr>
        <w:t>(2)</w:t>
      </w:r>
      <w:r w:rsidR="00451B6C" w:rsidRPr="007A6BB6">
        <w:rPr>
          <w:rFonts w:asciiTheme="minorEastAsia" w:eastAsiaTheme="minorEastAsia" w:hAnsiTheme="minorEastAsia"/>
        </w:rPr>
        <w:t xml:space="preserve"> 本基金最后运作日</w:t>
      </w:r>
      <w:r w:rsidRPr="007A6BB6">
        <w:rPr>
          <w:rFonts w:asciiTheme="minorEastAsia" w:eastAsiaTheme="minorEastAsia" w:hAnsiTheme="minorEastAsia" w:hint="eastAsia"/>
        </w:rPr>
        <w:t>应付托管费为人民币</w:t>
      </w:r>
      <w:r w:rsidR="00FB7881" w:rsidRPr="007A6BB6">
        <w:rPr>
          <w:rFonts w:asciiTheme="minorEastAsia" w:eastAsiaTheme="minorEastAsia" w:hAnsiTheme="minorEastAsia"/>
        </w:rPr>
        <w:t>592.30</w:t>
      </w:r>
      <w:r w:rsidRPr="007A6BB6">
        <w:rPr>
          <w:rFonts w:asciiTheme="minorEastAsia" w:eastAsiaTheme="minorEastAsia" w:hAnsiTheme="minorEastAsia" w:hint="eastAsia"/>
        </w:rPr>
        <w:t>元</w:t>
      </w:r>
      <w:r w:rsidR="000C76E4" w:rsidRPr="007A6BB6">
        <w:rPr>
          <w:rFonts w:asciiTheme="minorEastAsia" w:eastAsiaTheme="minorEastAsia" w:hAnsiTheme="minorEastAsia" w:hint="eastAsia"/>
        </w:rPr>
        <w:t>，该款项已于</w:t>
      </w:r>
      <w:r w:rsidR="000C76E4" w:rsidRPr="007A6BB6">
        <w:rPr>
          <w:rFonts w:asciiTheme="minorEastAsia" w:eastAsiaTheme="minorEastAsia" w:hAnsiTheme="minorEastAsia"/>
        </w:rPr>
        <w:t>2018年</w:t>
      </w:r>
      <w:r w:rsidR="00920903" w:rsidRPr="003A5C9F">
        <w:rPr>
          <w:rFonts w:asciiTheme="minorEastAsia" w:eastAsiaTheme="minorEastAsia" w:hAnsiTheme="minorEastAsia"/>
        </w:rPr>
        <w:t>11</w:t>
      </w:r>
      <w:r w:rsidR="000C76E4" w:rsidRPr="007A6BB6">
        <w:rPr>
          <w:rFonts w:asciiTheme="minorEastAsia" w:eastAsiaTheme="minorEastAsia" w:hAnsiTheme="minorEastAsia" w:hint="eastAsia"/>
        </w:rPr>
        <w:t>月</w:t>
      </w:r>
      <w:r w:rsidR="000C76E4" w:rsidRPr="007A6BB6">
        <w:rPr>
          <w:rFonts w:asciiTheme="minorEastAsia" w:eastAsiaTheme="minorEastAsia" w:hAnsiTheme="minorEastAsia"/>
        </w:rPr>
        <w:t>1日</w:t>
      </w:r>
      <w:r w:rsidR="000C76E4" w:rsidRPr="007A6BB6">
        <w:rPr>
          <w:rFonts w:asciiTheme="minorEastAsia" w:eastAsiaTheme="minorEastAsia" w:hAnsiTheme="minorEastAsia" w:hint="eastAsia"/>
        </w:rPr>
        <w:t>支付。</w:t>
      </w:r>
    </w:p>
    <w:p w:rsidR="005B7BB7" w:rsidRPr="003D21AE" w:rsidRDefault="005B7BB7"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(3)</w:t>
      </w:r>
      <w:r w:rsidR="00451B6C" w:rsidRPr="003D21AE">
        <w:rPr>
          <w:rFonts w:asciiTheme="minorEastAsia" w:eastAsiaTheme="minorEastAsia" w:hAnsiTheme="minorEastAsia" w:hint="eastAsia"/>
        </w:rPr>
        <w:t xml:space="preserve"> 本基金最后运作日</w:t>
      </w:r>
      <w:r w:rsidR="007374CC" w:rsidRPr="003D21AE">
        <w:rPr>
          <w:rFonts w:asciiTheme="minorEastAsia" w:eastAsiaTheme="minorEastAsia" w:hAnsiTheme="minorEastAsia" w:hint="eastAsia"/>
        </w:rPr>
        <w:t>应付交易费用为人民币</w:t>
      </w:r>
      <w:r w:rsidR="00FB7881">
        <w:rPr>
          <w:rFonts w:asciiTheme="minorEastAsia" w:eastAsiaTheme="minorEastAsia" w:hAnsiTheme="minorEastAsia"/>
        </w:rPr>
        <w:t>54,634.02</w:t>
      </w:r>
      <w:r w:rsidR="007374CC" w:rsidRPr="003D21AE">
        <w:rPr>
          <w:rFonts w:asciiTheme="minorEastAsia" w:eastAsiaTheme="minorEastAsia" w:hAnsiTheme="minorEastAsia" w:hint="eastAsia"/>
        </w:rPr>
        <w:t>元</w:t>
      </w:r>
      <w:r w:rsidR="003505D8" w:rsidRPr="003D21AE">
        <w:rPr>
          <w:rFonts w:asciiTheme="minorEastAsia" w:eastAsiaTheme="minorEastAsia" w:hAnsiTheme="minorEastAsia" w:hint="eastAsia"/>
        </w:rPr>
        <w:t>。</w:t>
      </w:r>
    </w:p>
    <w:p w:rsidR="0083459B" w:rsidRPr="003D21AE" w:rsidRDefault="0051640D">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(4)</w:t>
      </w:r>
      <w:r w:rsidR="00451B6C" w:rsidRPr="003D21AE">
        <w:rPr>
          <w:rFonts w:asciiTheme="minorEastAsia" w:eastAsiaTheme="minorEastAsia" w:hAnsiTheme="minorEastAsia" w:hint="eastAsia"/>
        </w:rPr>
        <w:t>本基金最后运作日</w:t>
      </w:r>
      <w:r w:rsidR="007374CC" w:rsidRPr="003D21AE">
        <w:rPr>
          <w:rFonts w:asciiTheme="minorEastAsia" w:eastAsiaTheme="minorEastAsia" w:hAnsiTheme="minorEastAsia" w:hint="eastAsia"/>
        </w:rPr>
        <w:t>其他负债为人民币</w:t>
      </w:r>
      <w:r w:rsidR="00FB7881">
        <w:rPr>
          <w:rFonts w:asciiTheme="minorEastAsia" w:eastAsiaTheme="minorEastAsia" w:hAnsiTheme="minorEastAsia"/>
        </w:rPr>
        <w:t>204,300.00</w:t>
      </w:r>
      <w:r w:rsidR="007374CC" w:rsidRPr="003D21AE">
        <w:rPr>
          <w:rFonts w:asciiTheme="minorEastAsia" w:eastAsiaTheme="minorEastAsia" w:hAnsiTheme="minorEastAsia" w:hint="eastAsia"/>
        </w:rPr>
        <w:t>元</w:t>
      </w:r>
      <w:r w:rsidR="003505D8" w:rsidRPr="003D21AE">
        <w:rPr>
          <w:rFonts w:asciiTheme="minorEastAsia" w:eastAsiaTheme="minorEastAsia" w:hAnsiTheme="minorEastAsia" w:hint="eastAsia"/>
        </w:rPr>
        <w:t>，</w:t>
      </w:r>
      <w:r w:rsidR="00E91BC2" w:rsidRPr="003D21AE">
        <w:rPr>
          <w:rFonts w:asciiTheme="minorEastAsia" w:eastAsiaTheme="minorEastAsia" w:hAnsiTheme="minorEastAsia" w:hint="eastAsia"/>
        </w:rPr>
        <w:t>该款项包含截至合同终止日本基金预提审计费</w:t>
      </w:r>
      <w:r w:rsidR="00B42D55">
        <w:rPr>
          <w:rFonts w:asciiTheme="minorEastAsia" w:eastAsiaTheme="minorEastAsia" w:hAnsiTheme="minorEastAsia" w:hint="eastAsia"/>
        </w:rPr>
        <w:t>4</w:t>
      </w:r>
      <w:r w:rsidR="00B42D55" w:rsidRPr="003D21AE">
        <w:rPr>
          <w:rFonts w:asciiTheme="minorEastAsia" w:eastAsiaTheme="minorEastAsia" w:hAnsiTheme="minorEastAsia"/>
        </w:rPr>
        <w:t>5</w:t>
      </w:r>
      <w:r w:rsidR="00E91BC2" w:rsidRPr="003D21AE">
        <w:rPr>
          <w:rFonts w:asciiTheme="minorEastAsia" w:eastAsiaTheme="minorEastAsia" w:hAnsiTheme="minorEastAsia" w:hint="eastAsia"/>
        </w:rPr>
        <w:t>,</w:t>
      </w:r>
      <w:r w:rsidR="00E91BC2" w:rsidRPr="003D21AE">
        <w:rPr>
          <w:rFonts w:asciiTheme="minorEastAsia" w:eastAsiaTheme="minorEastAsia" w:hAnsiTheme="minorEastAsia"/>
        </w:rPr>
        <w:t>000</w:t>
      </w:r>
      <w:r w:rsidR="00E91BC2" w:rsidRPr="003D21AE">
        <w:rPr>
          <w:rFonts w:asciiTheme="minorEastAsia" w:eastAsiaTheme="minorEastAsia" w:hAnsiTheme="minorEastAsia" w:hint="eastAsia"/>
        </w:rPr>
        <w:t>.00元，预提信息披露费</w:t>
      </w:r>
      <w:r w:rsidR="00B42D55">
        <w:rPr>
          <w:rFonts w:asciiTheme="minorEastAsia" w:eastAsiaTheme="minorEastAsia" w:hAnsiTheme="minorEastAsia" w:hint="eastAsia"/>
        </w:rPr>
        <w:t>15</w:t>
      </w:r>
      <w:r w:rsidR="00B42D55" w:rsidRPr="003D21AE">
        <w:rPr>
          <w:rFonts w:asciiTheme="minorEastAsia" w:eastAsiaTheme="minorEastAsia" w:hAnsiTheme="minorEastAsia"/>
        </w:rPr>
        <w:t>0</w:t>
      </w:r>
      <w:r w:rsidR="00E91BC2" w:rsidRPr="003D21AE">
        <w:rPr>
          <w:rFonts w:asciiTheme="minorEastAsia" w:eastAsiaTheme="minorEastAsia" w:hAnsiTheme="minorEastAsia" w:hint="eastAsia"/>
        </w:rPr>
        <w:t>,</w:t>
      </w:r>
      <w:r w:rsidR="00E91BC2" w:rsidRPr="003D21AE">
        <w:rPr>
          <w:rFonts w:asciiTheme="minorEastAsia" w:eastAsiaTheme="minorEastAsia" w:hAnsiTheme="minorEastAsia"/>
        </w:rPr>
        <w:t>000</w:t>
      </w:r>
      <w:r w:rsidR="00E91BC2" w:rsidRPr="003D21AE">
        <w:rPr>
          <w:rFonts w:asciiTheme="minorEastAsia" w:eastAsiaTheme="minorEastAsia" w:hAnsiTheme="minorEastAsia" w:hint="eastAsia"/>
        </w:rPr>
        <w:t>.00元，预提上清所、中债登账户维护费9,300.00元。</w:t>
      </w:r>
    </w:p>
    <w:p w:rsidR="005B7BB7" w:rsidRPr="003D21AE" w:rsidRDefault="005B7BB7" w:rsidP="005B7BB7">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3、</w:t>
      </w:r>
      <w:r w:rsidR="00451B6C" w:rsidRPr="003D21AE">
        <w:rPr>
          <w:rFonts w:asciiTheme="minorEastAsia" w:eastAsiaTheme="minorEastAsia" w:hAnsiTheme="minorEastAsia" w:hint="eastAsia"/>
          <w:b/>
        </w:rPr>
        <w:t>清算</w:t>
      </w:r>
      <w:r w:rsidR="008A26BA" w:rsidRPr="003D21AE">
        <w:rPr>
          <w:rFonts w:asciiTheme="minorEastAsia" w:eastAsiaTheme="minorEastAsia" w:hAnsiTheme="minorEastAsia" w:hint="eastAsia"/>
          <w:b/>
        </w:rPr>
        <w:t>期间</w:t>
      </w:r>
      <w:r w:rsidRPr="003D21AE">
        <w:rPr>
          <w:rFonts w:asciiTheme="minorEastAsia" w:eastAsiaTheme="minorEastAsia" w:hAnsiTheme="minorEastAsia" w:hint="eastAsia"/>
          <w:b/>
        </w:rPr>
        <w:t>损益情况</w:t>
      </w:r>
    </w:p>
    <w:tbl>
      <w:tblPr>
        <w:tblStyle w:val="a8"/>
        <w:tblW w:w="0" w:type="auto"/>
        <w:tblLook w:val="04A0"/>
      </w:tblPr>
      <w:tblGrid>
        <w:gridCol w:w="4410"/>
        <w:gridCol w:w="4112"/>
      </w:tblGrid>
      <w:tr w:rsidR="0083459B" w:rsidRPr="003D21AE" w:rsidTr="003A5C9F">
        <w:trPr>
          <w:trHeight w:val="774"/>
        </w:trPr>
        <w:tc>
          <w:tcPr>
            <w:tcW w:w="8522" w:type="dxa"/>
            <w:gridSpan w:val="2"/>
          </w:tcPr>
          <w:p w:rsidR="0020039F" w:rsidRPr="003D21AE" w:rsidRDefault="00451B6C" w:rsidP="00BD5A1E">
            <w:pPr>
              <w:spacing w:line="276" w:lineRule="auto"/>
              <w:jc w:val="center"/>
              <w:rPr>
                <w:rFonts w:asciiTheme="minorEastAsia" w:eastAsiaTheme="minorEastAsia" w:hAnsiTheme="minorEastAsia"/>
              </w:rPr>
            </w:pPr>
            <w:r w:rsidRPr="00EC3010">
              <w:rPr>
                <w:rFonts w:asciiTheme="minorEastAsia" w:eastAsiaTheme="minorEastAsia" w:hAnsiTheme="minorEastAsia" w:hint="eastAsia"/>
              </w:rPr>
              <w:t>清算</w:t>
            </w:r>
            <w:r w:rsidR="0020039F" w:rsidRPr="00992C09">
              <w:rPr>
                <w:rFonts w:asciiTheme="minorEastAsia" w:eastAsiaTheme="minorEastAsia" w:hAnsiTheme="minorEastAsia" w:hint="eastAsia"/>
              </w:rPr>
              <w:t>期间损益情况</w:t>
            </w:r>
          </w:p>
          <w:p w:rsidR="00E05487" w:rsidRPr="003D21AE" w:rsidRDefault="00E05487" w:rsidP="00BD5A1E">
            <w:pPr>
              <w:spacing w:line="276" w:lineRule="auto"/>
              <w:jc w:val="right"/>
              <w:rPr>
                <w:rFonts w:asciiTheme="minorEastAsia" w:eastAsiaTheme="minorEastAsia" w:hAnsiTheme="minorEastAsia"/>
              </w:rPr>
            </w:pPr>
            <w:r w:rsidRPr="003D21AE">
              <w:rPr>
                <w:rFonts w:asciiTheme="minorEastAsia" w:eastAsiaTheme="minorEastAsia" w:hAnsiTheme="minorEastAsia" w:hint="eastAsia"/>
              </w:rPr>
              <w:t>单位：人民币元</w:t>
            </w:r>
          </w:p>
        </w:tc>
      </w:tr>
      <w:tr w:rsidR="00950E81" w:rsidRPr="003D21AE" w:rsidTr="005A643C">
        <w:trPr>
          <w:trHeight w:val="454"/>
        </w:trPr>
        <w:tc>
          <w:tcPr>
            <w:tcW w:w="8522" w:type="dxa"/>
            <w:gridSpan w:val="2"/>
          </w:tcPr>
          <w:p w:rsidR="00950E81" w:rsidRPr="003D21AE" w:rsidRDefault="00950E81"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项目</w:t>
            </w:r>
          </w:p>
        </w:tc>
      </w:tr>
      <w:tr w:rsidR="00950E81" w:rsidRPr="003D21AE" w:rsidTr="003A5C9F">
        <w:trPr>
          <w:trHeight w:val="454"/>
        </w:trPr>
        <w:tc>
          <w:tcPr>
            <w:tcW w:w="4410" w:type="dxa"/>
            <w:vAlign w:val="center"/>
          </w:tcPr>
          <w:p w:rsidR="00950E81" w:rsidRPr="003D21AE" w:rsidRDefault="00930979" w:rsidP="003A5C9F">
            <w:pPr>
              <w:spacing w:line="276" w:lineRule="auto"/>
              <w:rPr>
                <w:rFonts w:asciiTheme="minorEastAsia" w:eastAsiaTheme="minorEastAsia" w:hAnsiTheme="minorEastAsia"/>
              </w:rPr>
            </w:pPr>
            <w:r w:rsidRPr="003D21AE">
              <w:rPr>
                <w:rFonts w:asciiTheme="minorEastAsia" w:eastAsiaTheme="minorEastAsia" w:hAnsiTheme="minorEastAsia" w:hint="eastAsia"/>
              </w:rPr>
              <w:t>一、</w:t>
            </w:r>
            <w:r w:rsidR="00451B6C" w:rsidRPr="003D21AE">
              <w:rPr>
                <w:rFonts w:asciiTheme="minorEastAsia" w:eastAsiaTheme="minorEastAsia" w:hAnsiTheme="minorEastAsia" w:hint="eastAsia"/>
              </w:rPr>
              <w:t>清算</w:t>
            </w:r>
            <w:r w:rsidRPr="003D21AE">
              <w:rPr>
                <w:rFonts w:asciiTheme="minorEastAsia" w:eastAsiaTheme="minorEastAsia" w:hAnsiTheme="minorEastAsia" w:hint="eastAsia"/>
              </w:rPr>
              <w:t>期间</w:t>
            </w:r>
            <w:r w:rsidR="00451B6C" w:rsidRPr="003D21AE">
              <w:rPr>
                <w:rFonts w:asciiTheme="minorEastAsia" w:eastAsiaTheme="minorEastAsia" w:hAnsiTheme="minorEastAsia" w:hint="eastAsia"/>
              </w:rPr>
              <w:t>收入</w:t>
            </w:r>
          </w:p>
        </w:tc>
        <w:tc>
          <w:tcPr>
            <w:tcW w:w="4112" w:type="dxa"/>
          </w:tcPr>
          <w:p w:rsidR="00950E81" w:rsidRPr="003D21AE" w:rsidRDefault="00950E81" w:rsidP="00BD5A1E">
            <w:pPr>
              <w:spacing w:line="276" w:lineRule="auto"/>
              <w:jc w:val="left"/>
              <w:rPr>
                <w:rFonts w:asciiTheme="minorEastAsia" w:eastAsiaTheme="minorEastAsia" w:hAnsiTheme="minorEastAsia"/>
              </w:rPr>
            </w:pPr>
          </w:p>
        </w:tc>
      </w:tr>
      <w:tr w:rsidR="003D21AE" w:rsidRPr="003D21AE" w:rsidTr="003A5C9F">
        <w:trPr>
          <w:trHeight w:val="454"/>
        </w:trPr>
        <w:tc>
          <w:tcPr>
            <w:tcW w:w="4410" w:type="dxa"/>
            <w:vAlign w:val="center"/>
          </w:tcPr>
          <w:p w:rsidR="003D21AE" w:rsidRPr="003D21AE" w:rsidRDefault="003D21AE" w:rsidP="003A5C9F">
            <w:pPr>
              <w:spacing w:line="276" w:lineRule="auto"/>
              <w:ind w:firstLineChars="200" w:firstLine="420"/>
              <w:rPr>
                <w:rFonts w:asciiTheme="minorEastAsia" w:eastAsiaTheme="minorEastAsia" w:hAnsiTheme="minorEastAsia"/>
              </w:rPr>
            </w:pPr>
            <w:r w:rsidRPr="003D21AE">
              <w:rPr>
                <w:rFonts w:asciiTheme="minorEastAsia" w:eastAsiaTheme="minorEastAsia" w:hAnsiTheme="minorEastAsia" w:hint="eastAsia"/>
              </w:rPr>
              <w:t>存款利息收入（注1）</w:t>
            </w:r>
          </w:p>
        </w:tc>
        <w:tc>
          <w:tcPr>
            <w:tcW w:w="4112" w:type="dxa"/>
            <w:vAlign w:val="center"/>
          </w:tcPr>
          <w:p w:rsidR="003D21AE" w:rsidRPr="003D21AE" w:rsidRDefault="00AE1B39" w:rsidP="00992C09">
            <w:pPr>
              <w:jc w:val="right"/>
              <w:rPr>
                <w:rFonts w:asciiTheme="minorEastAsia" w:eastAsiaTheme="minorEastAsia" w:hAnsiTheme="minorEastAsia"/>
                <w:highlight w:val="yellow"/>
              </w:rPr>
            </w:pPr>
            <w:r>
              <w:rPr>
                <w:rFonts w:asciiTheme="minorEastAsia" w:eastAsiaTheme="minorEastAsia" w:hAnsiTheme="minorEastAsia"/>
                <w:color w:val="000000"/>
                <w:sz w:val="22"/>
                <w:szCs w:val="22"/>
              </w:rPr>
              <w:t>958.37</w:t>
            </w:r>
          </w:p>
        </w:tc>
      </w:tr>
      <w:tr w:rsidR="00385BB7" w:rsidRPr="003D21AE" w:rsidTr="003A5C9F">
        <w:trPr>
          <w:trHeight w:val="454"/>
        </w:trPr>
        <w:tc>
          <w:tcPr>
            <w:tcW w:w="4410" w:type="dxa"/>
            <w:vAlign w:val="center"/>
          </w:tcPr>
          <w:p w:rsidR="00385BB7" w:rsidRPr="003D21AE" w:rsidRDefault="00385BB7" w:rsidP="003A5C9F">
            <w:pPr>
              <w:spacing w:line="276" w:lineRule="auto"/>
              <w:rPr>
                <w:rFonts w:asciiTheme="minorEastAsia" w:eastAsiaTheme="minorEastAsia" w:hAnsiTheme="minorEastAsia"/>
              </w:rPr>
            </w:pPr>
            <w:r w:rsidRPr="003D21AE">
              <w:rPr>
                <w:rFonts w:asciiTheme="minorEastAsia" w:eastAsiaTheme="minorEastAsia" w:hAnsiTheme="minorEastAsia" w:hint="eastAsia"/>
              </w:rPr>
              <w:t>清算期间收入小计①</w:t>
            </w:r>
          </w:p>
        </w:tc>
        <w:tc>
          <w:tcPr>
            <w:tcW w:w="4112" w:type="dxa"/>
            <w:vAlign w:val="center"/>
          </w:tcPr>
          <w:p w:rsidR="00385BB7" w:rsidRPr="003D21AE" w:rsidRDefault="00AE1B39" w:rsidP="00992C09">
            <w:pPr>
              <w:jc w:val="right"/>
              <w:rPr>
                <w:rFonts w:asciiTheme="minorEastAsia" w:eastAsiaTheme="minorEastAsia" w:hAnsiTheme="minorEastAsia"/>
                <w:highlight w:val="yellow"/>
              </w:rPr>
            </w:pPr>
            <w:r>
              <w:rPr>
                <w:rFonts w:asciiTheme="minorEastAsia" w:eastAsiaTheme="minorEastAsia" w:hAnsiTheme="minorEastAsia"/>
                <w:color w:val="000000"/>
                <w:sz w:val="22"/>
                <w:szCs w:val="22"/>
              </w:rPr>
              <w:t>958.37</w:t>
            </w:r>
          </w:p>
        </w:tc>
      </w:tr>
      <w:tr w:rsidR="00950E81" w:rsidRPr="003D21AE" w:rsidTr="003A5C9F">
        <w:trPr>
          <w:trHeight w:val="454"/>
        </w:trPr>
        <w:tc>
          <w:tcPr>
            <w:tcW w:w="4410" w:type="dxa"/>
            <w:vAlign w:val="center"/>
          </w:tcPr>
          <w:p w:rsidR="00950E81" w:rsidRPr="003D21AE" w:rsidRDefault="00950E81" w:rsidP="003A5C9F">
            <w:pPr>
              <w:spacing w:line="276" w:lineRule="auto"/>
              <w:rPr>
                <w:rFonts w:asciiTheme="minorEastAsia" w:eastAsiaTheme="minorEastAsia" w:hAnsiTheme="minorEastAsia"/>
              </w:rPr>
            </w:pPr>
            <w:r w:rsidRPr="003D21AE">
              <w:rPr>
                <w:rFonts w:asciiTheme="minorEastAsia" w:eastAsiaTheme="minorEastAsia" w:hAnsiTheme="minorEastAsia" w:hint="eastAsia"/>
              </w:rPr>
              <w:t>二、清算</w:t>
            </w:r>
            <w:r w:rsidR="00451B6C" w:rsidRPr="003D21AE">
              <w:rPr>
                <w:rFonts w:asciiTheme="minorEastAsia" w:eastAsiaTheme="minorEastAsia" w:hAnsiTheme="minorEastAsia" w:hint="eastAsia"/>
              </w:rPr>
              <w:t>期间</w:t>
            </w:r>
            <w:r w:rsidRPr="003D21AE">
              <w:rPr>
                <w:rFonts w:asciiTheme="minorEastAsia" w:eastAsiaTheme="minorEastAsia" w:hAnsiTheme="minorEastAsia" w:hint="eastAsia"/>
              </w:rPr>
              <w:t>费用</w:t>
            </w:r>
          </w:p>
        </w:tc>
        <w:tc>
          <w:tcPr>
            <w:tcW w:w="4112" w:type="dxa"/>
            <w:vAlign w:val="center"/>
          </w:tcPr>
          <w:p w:rsidR="00950E81" w:rsidRPr="003D21AE" w:rsidRDefault="00950E81" w:rsidP="003A5C9F">
            <w:pPr>
              <w:spacing w:line="276" w:lineRule="auto"/>
              <w:jc w:val="right"/>
              <w:rPr>
                <w:rFonts w:asciiTheme="minorEastAsia" w:eastAsiaTheme="minorEastAsia" w:hAnsiTheme="minorEastAsia" w:cs="Arial"/>
                <w:szCs w:val="21"/>
              </w:rPr>
            </w:pPr>
          </w:p>
        </w:tc>
      </w:tr>
      <w:tr w:rsidR="005A643C" w:rsidRPr="003D21AE" w:rsidTr="003A5C9F">
        <w:trPr>
          <w:trHeight w:val="454"/>
        </w:trPr>
        <w:tc>
          <w:tcPr>
            <w:tcW w:w="4410" w:type="dxa"/>
            <w:tcBorders>
              <w:top w:val="single" w:sz="4" w:space="0" w:color="auto"/>
              <w:bottom w:val="single" w:sz="4" w:space="0" w:color="auto"/>
            </w:tcBorders>
            <w:vAlign w:val="center"/>
          </w:tcPr>
          <w:p w:rsidR="005A643C" w:rsidRPr="003D21AE" w:rsidRDefault="005A643C" w:rsidP="003A5C9F">
            <w:pPr>
              <w:widowControl/>
              <w:spacing w:line="276" w:lineRule="auto"/>
              <w:ind w:firstLineChars="200" w:firstLine="420"/>
              <w:rPr>
                <w:rFonts w:asciiTheme="minorEastAsia" w:eastAsiaTheme="minorEastAsia" w:hAnsiTheme="minorEastAsia"/>
              </w:rPr>
            </w:pPr>
            <w:r w:rsidRPr="003D21AE">
              <w:rPr>
                <w:rFonts w:asciiTheme="minorEastAsia" w:eastAsiaTheme="minorEastAsia" w:hAnsiTheme="minorEastAsia" w:hint="eastAsia"/>
              </w:rPr>
              <w:t>银行手续费（注2）</w:t>
            </w:r>
          </w:p>
        </w:tc>
        <w:tc>
          <w:tcPr>
            <w:tcW w:w="4112" w:type="dxa"/>
            <w:tcBorders>
              <w:top w:val="single" w:sz="4" w:space="0" w:color="auto"/>
              <w:bottom w:val="single" w:sz="4" w:space="0" w:color="auto"/>
            </w:tcBorders>
            <w:vAlign w:val="center"/>
          </w:tcPr>
          <w:p w:rsidR="005A643C" w:rsidRPr="003D21AE" w:rsidRDefault="00920903" w:rsidP="00992C09">
            <w:pPr>
              <w:jc w:val="righ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w:t>
            </w:r>
            <w:r w:rsidRPr="003D21AE">
              <w:rPr>
                <w:rFonts w:asciiTheme="minorEastAsia" w:eastAsiaTheme="minorEastAsia" w:hAnsiTheme="minorEastAsia" w:hint="eastAsia"/>
                <w:color w:val="000000"/>
                <w:sz w:val="22"/>
                <w:szCs w:val="22"/>
              </w:rPr>
              <w:t>00</w:t>
            </w:r>
            <w:r w:rsidR="00524082">
              <w:rPr>
                <w:rFonts w:asciiTheme="minorEastAsia" w:eastAsiaTheme="minorEastAsia" w:hAnsiTheme="minorEastAsia" w:hint="eastAsia"/>
                <w:color w:val="000000"/>
                <w:sz w:val="22"/>
                <w:szCs w:val="22"/>
              </w:rPr>
              <w:t>.00</w:t>
            </w:r>
          </w:p>
        </w:tc>
      </w:tr>
      <w:tr w:rsidR="004A15FB" w:rsidRPr="003D21AE" w:rsidTr="003A5C9F">
        <w:trPr>
          <w:trHeight w:val="454"/>
        </w:trPr>
        <w:tc>
          <w:tcPr>
            <w:tcW w:w="4410" w:type="dxa"/>
            <w:tcBorders>
              <w:top w:val="single" w:sz="4" w:space="0" w:color="auto"/>
              <w:bottom w:val="single" w:sz="4" w:space="0" w:color="auto"/>
            </w:tcBorders>
            <w:vAlign w:val="center"/>
          </w:tcPr>
          <w:p w:rsidR="004A15FB" w:rsidRPr="003D21AE" w:rsidRDefault="004A15FB" w:rsidP="003A5C9F">
            <w:pPr>
              <w:widowControl/>
              <w:spacing w:line="276" w:lineRule="auto"/>
              <w:rPr>
                <w:rFonts w:asciiTheme="minorEastAsia" w:eastAsiaTheme="minorEastAsia" w:hAnsiTheme="minorEastAsia"/>
              </w:rPr>
            </w:pPr>
            <w:r w:rsidRPr="003D21AE">
              <w:rPr>
                <w:rFonts w:asciiTheme="minorEastAsia" w:eastAsiaTheme="minorEastAsia" w:hAnsiTheme="minorEastAsia" w:hint="eastAsia"/>
              </w:rPr>
              <w:t>清算期间费用小计②</w:t>
            </w:r>
          </w:p>
        </w:tc>
        <w:tc>
          <w:tcPr>
            <w:tcW w:w="4112" w:type="dxa"/>
            <w:tcBorders>
              <w:top w:val="single" w:sz="4" w:space="0" w:color="auto"/>
              <w:bottom w:val="single" w:sz="4" w:space="0" w:color="auto"/>
            </w:tcBorders>
            <w:vAlign w:val="center"/>
          </w:tcPr>
          <w:p w:rsidR="004A15FB" w:rsidRPr="003D21AE" w:rsidRDefault="00AE1B39" w:rsidP="00992C09">
            <w:pPr>
              <w:jc w:val="righ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600.00</w:t>
            </w:r>
          </w:p>
        </w:tc>
      </w:tr>
      <w:tr w:rsidR="004A15FB" w:rsidRPr="003D21AE" w:rsidTr="003A5C9F">
        <w:trPr>
          <w:trHeight w:val="454"/>
        </w:trPr>
        <w:tc>
          <w:tcPr>
            <w:tcW w:w="4410" w:type="dxa"/>
            <w:tcBorders>
              <w:top w:val="single" w:sz="4" w:space="0" w:color="auto"/>
            </w:tcBorders>
            <w:vAlign w:val="center"/>
          </w:tcPr>
          <w:p w:rsidR="004A15FB" w:rsidRPr="003D21AE" w:rsidRDefault="004A15FB" w:rsidP="003A5C9F">
            <w:pPr>
              <w:widowControl/>
              <w:spacing w:line="276" w:lineRule="auto"/>
              <w:rPr>
                <w:rFonts w:asciiTheme="minorEastAsia" w:eastAsiaTheme="minorEastAsia" w:hAnsiTheme="minorEastAsia"/>
              </w:rPr>
            </w:pPr>
            <w:r w:rsidRPr="003D21AE">
              <w:rPr>
                <w:rFonts w:asciiTheme="minorEastAsia" w:eastAsiaTheme="minorEastAsia" w:hAnsiTheme="minorEastAsia" w:hint="eastAsia"/>
              </w:rPr>
              <w:t>三、清算期间净收益①-②</w:t>
            </w:r>
          </w:p>
        </w:tc>
        <w:tc>
          <w:tcPr>
            <w:tcW w:w="4112" w:type="dxa"/>
            <w:tcBorders>
              <w:top w:val="single" w:sz="4" w:space="0" w:color="auto"/>
            </w:tcBorders>
            <w:vAlign w:val="center"/>
          </w:tcPr>
          <w:p w:rsidR="004A15FB" w:rsidRPr="003D21AE" w:rsidRDefault="00BC2960" w:rsidP="00992C09">
            <w:pPr>
              <w:jc w:val="righ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358.37</w:t>
            </w:r>
          </w:p>
        </w:tc>
      </w:tr>
    </w:tbl>
    <w:p w:rsidR="0083459B" w:rsidRPr="004D4803" w:rsidRDefault="00E05487" w:rsidP="002F6A7E">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注1</w:t>
      </w:r>
      <w:r w:rsidR="00D37B58" w:rsidRPr="003D21AE">
        <w:rPr>
          <w:rFonts w:asciiTheme="minorEastAsia" w:eastAsiaTheme="minorEastAsia" w:hAnsiTheme="minorEastAsia" w:hint="eastAsia"/>
        </w:rPr>
        <w:t>：存款利息收入为</w:t>
      </w:r>
      <w:r w:rsidRPr="003D21AE">
        <w:rPr>
          <w:rFonts w:asciiTheme="minorEastAsia" w:eastAsiaTheme="minorEastAsia" w:hAnsiTheme="minorEastAsia" w:hint="eastAsia"/>
        </w:rPr>
        <w:t>自</w:t>
      </w:r>
      <w:r w:rsidR="000A3148">
        <w:rPr>
          <w:rFonts w:asciiTheme="minorEastAsia" w:eastAsiaTheme="minorEastAsia" w:hAnsiTheme="minorEastAsia" w:hint="eastAsia"/>
        </w:rPr>
        <w:t>2018年10月31日</w:t>
      </w:r>
      <w:r w:rsidRPr="003D21AE">
        <w:rPr>
          <w:rFonts w:asciiTheme="minorEastAsia" w:eastAsiaTheme="minorEastAsia" w:hAnsiTheme="minorEastAsia" w:hint="eastAsia"/>
        </w:rPr>
        <w:t>至</w:t>
      </w:r>
      <w:r w:rsidR="00084270" w:rsidRPr="003A5C9F">
        <w:rPr>
          <w:rFonts w:asciiTheme="minorEastAsia" w:eastAsiaTheme="minorEastAsia" w:hAnsiTheme="minorEastAsia"/>
        </w:rPr>
        <w:t>2018年11月6日</w:t>
      </w:r>
      <w:r w:rsidR="00D37B58" w:rsidRPr="004D4803">
        <w:rPr>
          <w:rFonts w:asciiTheme="minorEastAsia" w:eastAsiaTheme="minorEastAsia" w:hAnsiTheme="minorEastAsia" w:hint="eastAsia"/>
        </w:rPr>
        <w:t>期间的银行存款利息和结算</w:t>
      </w:r>
      <w:r w:rsidR="00930979" w:rsidRPr="004D4803">
        <w:rPr>
          <w:rFonts w:asciiTheme="minorEastAsia" w:eastAsiaTheme="minorEastAsia" w:hAnsiTheme="minorEastAsia" w:hint="eastAsia"/>
        </w:rPr>
        <w:t>保证金利息</w:t>
      </w:r>
      <w:r w:rsidRPr="004D4803">
        <w:rPr>
          <w:rFonts w:asciiTheme="minorEastAsia" w:eastAsiaTheme="minorEastAsia" w:hAnsiTheme="minorEastAsia" w:hint="eastAsia"/>
        </w:rPr>
        <w:t>。</w:t>
      </w:r>
      <w:r w:rsidR="002F6A7E" w:rsidRPr="004D4803">
        <w:rPr>
          <w:rFonts w:asciiTheme="minorEastAsia" w:eastAsiaTheme="minorEastAsia" w:hAnsiTheme="minorEastAsia" w:hint="eastAsia"/>
        </w:rPr>
        <w:t>为保护基金份额持有人利益，加快清盘速度，基金管理人将以自有资金先行垫付该笔款项（该金额可能与实际结息金额存在略微差异），供清盘分配使用。</w:t>
      </w:r>
    </w:p>
    <w:p w:rsidR="00E05487" w:rsidRPr="003D21AE" w:rsidRDefault="00E05487" w:rsidP="005B7BB7">
      <w:pPr>
        <w:spacing w:line="360" w:lineRule="auto"/>
        <w:jc w:val="left"/>
        <w:rPr>
          <w:rFonts w:asciiTheme="minorEastAsia" w:eastAsiaTheme="minorEastAsia" w:hAnsiTheme="minorEastAsia"/>
        </w:rPr>
      </w:pPr>
      <w:r w:rsidRPr="004D4803">
        <w:rPr>
          <w:rFonts w:asciiTheme="minorEastAsia" w:eastAsiaTheme="minorEastAsia" w:hAnsiTheme="minorEastAsia" w:hint="eastAsia"/>
        </w:rPr>
        <w:t>注</w:t>
      </w:r>
      <w:r w:rsidRPr="004D4803">
        <w:rPr>
          <w:rFonts w:asciiTheme="minorEastAsia" w:eastAsiaTheme="minorEastAsia" w:hAnsiTheme="minorEastAsia"/>
        </w:rPr>
        <w:t>2</w:t>
      </w:r>
      <w:r w:rsidR="005B3270" w:rsidRPr="004D4803">
        <w:rPr>
          <w:rFonts w:asciiTheme="minorEastAsia" w:eastAsiaTheme="minorEastAsia" w:hAnsiTheme="minorEastAsia" w:hint="eastAsia"/>
        </w:rPr>
        <w:t>：</w:t>
      </w:r>
      <w:r w:rsidR="00D37B58" w:rsidRPr="004D4803">
        <w:rPr>
          <w:rFonts w:asciiTheme="minorEastAsia" w:eastAsiaTheme="minorEastAsia" w:hAnsiTheme="minorEastAsia" w:hint="eastAsia"/>
        </w:rPr>
        <w:t>银行手续费为</w:t>
      </w:r>
      <w:r w:rsidR="00920903" w:rsidRPr="004D4803">
        <w:rPr>
          <w:rFonts w:asciiTheme="minorEastAsia" w:eastAsiaTheme="minorEastAsia" w:hAnsiTheme="minorEastAsia" w:hint="eastAsia"/>
        </w:rPr>
        <w:t>预估</w:t>
      </w:r>
      <w:r w:rsidR="005B3270" w:rsidRPr="004D4803">
        <w:rPr>
          <w:rFonts w:asciiTheme="minorEastAsia" w:eastAsiaTheme="minorEastAsia" w:hAnsiTheme="minorEastAsia" w:hint="eastAsia"/>
        </w:rPr>
        <w:t>清算期间</w:t>
      </w:r>
      <w:r w:rsidR="00D37B58" w:rsidRPr="003D21AE">
        <w:rPr>
          <w:rFonts w:asciiTheme="minorEastAsia" w:eastAsiaTheme="minorEastAsia" w:hAnsiTheme="minorEastAsia" w:hint="eastAsia"/>
        </w:rPr>
        <w:t>本基金托管账户的</w:t>
      </w:r>
      <w:r w:rsidR="005B3270" w:rsidRPr="003D21AE">
        <w:rPr>
          <w:rFonts w:asciiTheme="minorEastAsia" w:eastAsiaTheme="minorEastAsia" w:hAnsiTheme="minorEastAsia" w:hint="eastAsia"/>
        </w:rPr>
        <w:t>银行</w:t>
      </w:r>
      <w:r w:rsidR="008A25BB" w:rsidRPr="003D21AE">
        <w:rPr>
          <w:rFonts w:asciiTheme="minorEastAsia" w:eastAsiaTheme="minorEastAsia" w:hAnsiTheme="minorEastAsia" w:hint="eastAsia"/>
        </w:rPr>
        <w:t>汇划费</w:t>
      </w:r>
      <w:r w:rsidR="00775BCB">
        <w:rPr>
          <w:rFonts w:asciiTheme="minorEastAsia" w:eastAsiaTheme="minorEastAsia" w:hAnsiTheme="minorEastAsia" w:hint="eastAsia"/>
        </w:rPr>
        <w:t>，</w:t>
      </w:r>
      <w:r w:rsidR="00D11427">
        <w:rPr>
          <w:rFonts w:asciiTheme="minorEastAsia" w:eastAsiaTheme="minorEastAsia" w:hAnsiTheme="minorEastAsia" w:hint="eastAsia"/>
        </w:rPr>
        <w:t>费用</w:t>
      </w:r>
      <w:r w:rsidR="00775BCB">
        <w:rPr>
          <w:rFonts w:asciiTheme="minorEastAsia" w:eastAsiaTheme="minorEastAsia" w:hAnsiTheme="minorEastAsia" w:hint="eastAsia"/>
        </w:rPr>
        <w:t>以实际发生为准</w:t>
      </w:r>
      <w:r w:rsidR="00992C09">
        <w:rPr>
          <w:rFonts w:asciiTheme="minorEastAsia" w:eastAsiaTheme="minorEastAsia" w:hAnsiTheme="minorEastAsia" w:hint="eastAsia"/>
        </w:rPr>
        <w:t>，</w:t>
      </w:r>
      <w:r w:rsidR="00A80E0E">
        <w:rPr>
          <w:rFonts w:asciiTheme="minorEastAsia" w:eastAsiaTheme="minorEastAsia" w:hAnsiTheme="minorEastAsia" w:hint="eastAsia"/>
        </w:rPr>
        <w:t>差</w:t>
      </w:r>
      <w:r w:rsidR="003E0BA4">
        <w:rPr>
          <w:rFonts w:asciiTheme="minorEastAsia" w:eastAsiaTheme="minorEastAsia" w:hAnsiTheme="minorEastAsia" w:hint="eastAsia"/>
        </w:rPr>
        <w:t>额</w:t>
      </w:r>
      <w:r w:rsidR="00A80E0E">
        <w:rPr>
          <w:rFonts w:asciiTheme="minorEastAsia" w:eastAsiaTheme="minorEastAsia" w:hAnsiTheme="minorEastAsia" w:hint="eastAsia"/>
        </w:rPr>
        <w:t>计入</w:t>
      </w:r>
      <w:r w:rsidR="00A80E0E" w:rsidRPr="00A80E0E">
        <w:rPr>
          <w:rFonts w:asciiTheme="minorEastAsia" w:eastAsiaTheme="minorEastAsia" w:hAnsiTheme="minorEastAsia" w:hint="eastAsia"/>
          <w:color w:val="000000"/>
          <w:kern w:val="0"/>
          <w:szCs w:val="21"/>
        </w:rPr>
        <w:t>基金财产</w:t>
      </w:r>
      <w:r w:rsidR="005B3270" w:rsidRPr="003D21AE">
        <w:rPr>
          <w:rFonts w:asciiTheme="minorEastAsia" w:eastAsiaTheme="minorEastAsia" w:hAnsiTheme="minorEastAsia" w:hint="eastAsia"/>
        </w:rPr>
        <w:t>。</w:t>
      </w:r>
    </w:p>
    <w:p w:rsidR="00E6695B" w:rsidRPr="003D21AE" w:rsidRDefault="004C5D87" w:rsidP="005B7BB7">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4、资产处置及负债清偿后的剩余财产分配情况</w:t>
      </w:r>
    </w:p>
    <w:p w:rsidR="009251C7" w:rsidRPr="003D21AE" w:rsidRDefault="00E6695B" w:rsidP="009251C7">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单位：人民币元</w:t>
      </w:r>
    </w:p>
    <w:tbl>
      <w:tblPr>
        <w:tblW w:w="5000" w:type="pct"/>
        <w:tblLayout w:type="fixed"/>
        <w:tblLook w:val="04A0"/>
      </w:tblPr>
      <w:tblGrid>
        <w:gridCol w:w="4728"/>
        <w:gridCol w:w="2154"/>
        <w:gridCol w:w="1640"/>
      </w:tblGrid>
      <w:tr w:rsidR="00DA59C3" w:rsidRPr="003D21AE" w:rsidTr="006A32EF">
        <w:trPr>
          <w:trHeight w:val="315"/>
        </w:trPr>
        <w:tc>
          <w:tcPr>
            <w:tcW w:w="27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A59C3" w:rsidRPr="003D21AE" w:rsidRDefault="00DA59C3" w:rsidP="00BD5A1E">
            <w:pPr>
              <w:widowControl/>
              <w:spacing w:line="276" w:lineRule="auto"/>
              <w:jc w:val="left"/>
              <w:rPr>
                <w:rFonts w:asciiTheme="minorEastAsia" w:eastAsiaTheme="minorEastAsia" w:hAnsiTheme="minorEastAsia"/>
                <w:b/>
                <w:color w:val="000000"/>
                <w:kern w:val="0"/>
                <w:szCs w:val="21"/>
              </w:rPr>
            </w:pPr>
            <w:r w:rsidRPr="003D21AE">
              <w:rPr>
                <w:rFonts w:asciiTheme="minorEastAsia" w:eastAsiaTheme="minorEastAsia" w:hAnsiTheme="minorEastAsia" w:hint="eastAsia"/>
                <w:b/>
                <w:color w:val="000000"/>
                <w:kern w:val="0"/>
                <w:szCs w:val="21"/>
              </w:rPr>
              <w:t>项目</w:t>
            </w:r>
          </w:p>
        </w:tc>
        <w:tc>
          <w:tcPr>
            <w:tcW w:w="1264" w:type="pct"/>
            <w:tcBorders>
              <w:top w:val="single" w:sz="8" w:space="0" w:color="auto"/>
              <w:left w:val="nil"/>
              <w:bottom w:val="single" w:sz="8" w:space="0" w:color="auto"/>
              <w:right w:val="single" w:sz="8" w:space="0" w:color="auto"/>
            </w:tcBorders>
            <w:shd w:val="clear" w:color="auto" w:fill="auto"/>
            <w:vAlign w:val="center"/>
            <w:hideMark/>
          </w:tcPr>
          <w:p w:rsidR="00DA59C3" w:rsidRPr="003D21AE" w:rsidRDefault="00DA59C3" w:rsidP="00BD5A1E">
            <w:pPr>
              <w:widowControl/>
              <w:spacing w:line="276" w:lineRule="auto"/>
              <w:jc w:val="left"/>
              <w:rPr>
                <w:rFonts w:asciiTheme="minorEastAsia" w:eastAsiaTheme="minorEastAsia" w:hAnsiTheme="minorEastAsia"/>
                <w:b/>
                <w:color w:val="000000"/>
                <w:kern w:val="0"/>
                <w:szCs w:val="21"/>
              </w:rPr>
            </w:pPr>
            <w:r w:rsidRPr="003D21AE">
              <w:rPr>
                <w:rFonts w:asciiTheme="minorEastAsia" w:eastAsiaTheme="minorEastAsia" w:hAnsiTheme="minorEastAsia"/>
                <w:b/>
                <w:color w:val="000000"/>
                <w:kern w:val="0"/>
                <w:szCs w:val="21"/>
              </w:rPr>
              <w:t>A</w:t>
            </w:r>
            <w:r w:rsidRPr="003D21AE">
              <w:rPr>
                <w:rFonts w:asciiTheme="minorEastAsia" w:eastAsiaTheme="minorEastAsia" w:hAnsiTheme="minorEastAsia" w:hint="eastAsia"/>
                <w:b/>
                <w:color w:val="000000"/>
                <w:kern w:val="0"/>
                <w:szCs w:val="21"/>
              </w:rPr>
              <w:t>类份额</w:t>
            </w:r>
          </w:p>
        </w:tc>
        <w:tc>
          <w:tcPr>
            <w:tcW w:w="962" w:type="pct"/>
            <w:tcBorders>
              <w:top w:val="single" w:sz="8" w:space="0" w:color="auto"/>
              <w:left w:val="nil"/>
              <w:bottom w:val="single" w:sz="8" w:space="0" w:color="auto"/>
              <w:right w:val="single" w:sz="8" w:space="0" w:color="auto"/>
            </w:tcBorders>
            <w:shd w:val="clear" w:color="auto" w:fill="auto"/>
            <w:vAlign w:val="center"/>
            <w:hideMark/>
          </w:tcPr>
          <w:p w:rsidR="00DA59C3" w:rsidRPr="003D21AE" w:rsidRDefault="00451B6C" w:rsidP="00BD5A1E">
            <w:pPr>
              <w:widowControl/>
              <w:spacing w:line="276" w:lineRule="auto"/>
              <w:jc w:val="left"/>
              <w:rPr>
                <w:rFonts w:asciiTheme="minorEastAsia" w:eastAsiaTheme="minorEastAsia" w:hAnsiTheme="minorEastAsia"/>
                <w:b/>
                <w:color w:val="000000"/>
                <w:kern w:val="0"/>
                <w:szCs w:val="21"/>
              </w:rPr>
            </w:pPr>
            <w:r w:rsidRPr="003D21AE">
              <w:rPr>
                <w:rFonts w:asciiTheme="minorEastAsia" w:eastAsiaTheme="minorEastAsia" w:hAnsiTheme="minorEastAsia" w:hint="eastAsia"/>
                <w:b/>
                <w:color w:val="000000"/>
                <w:kern w:val="0"/>
                <w:szCs w:val="21"/>
              </w:rPr>
              <w:t>C</w:t>
            </w:r>
            <w:r w:rsidR="00DA59C3" w:rsidRPr="003D21AE">
              <w:rPr>
                <w:rFonts w:asciiTheme="minorEastAsia" w:eastAsiaTheme="minorEastAsia" w:hAnsiTheme="minorEastAsia" w:hint="eastAsia"/>
                <w:b/>
                <w:color w:val="000000"/>
                <w:kern w:val="0"/>
                <w:szCs w:val="21"/>
              </w:rPr>
              <w:t>类份额</w:t>
            </w:r>
          </w:p>
        </w:tc>
      </w:tr>
      <w:tr w:rsidR="00FF4539" w:rsidRPr="003D21AE" w:rsidTr="006A32EF">
        <w:trPr>
          <w:trHeight w:val="315"/>
        </w:trPr>
        <w:tc>
          <w:tcPr>
            <w:tcW w:w="2774" w:type="pct"/>
            <w:tcBorders>
              <w:top w:val="nil"/>
              <w:left w:val="single" w:sz="8" w:space="0" w:color="auto"/>
              <w:bottom w:val="single" w:sz="8" w:space="0" w:color="auto"/>
              <w:right w:val="single" w:sz="8" w:space="0" w:color="auto"/>
            </w:tcBorders>
            <w:shd w:val="clear" w:color="auto" w:fill="auto"/>
            <w:vAlign w:val="center"/>
            <w:hideMark/>
          </w:tcPr>
          <w:p w:rsidR="00FF4539" w:rsidRPr="003D21AE" w:rsidRDefault="00FF4539" w:rsidP="00451B6C">
            <w:pPr>
              <w:widowControl/>
              <w:spacing w:line="276" w:lineRule="auto"/>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一、</w:t>
            </w:r>
            <w:r w:rsidR="00451B6C" w:rsidRPr="003D21AE">
              <w:rPr>
                <w:rFonts w:asciiTheme="minorEastAsia" w:eastAsiaTheme="minorEastAsia" w:hAnsiTheme="minorEastAsia" w:hint="eastAsia"/>
                <w:color w:val="000000"/>
                <w:kern w:val="0"/>
                <w:szCs w:val="21"/>
              </w:rPr>
              <w:t>最后运作日</w:t>
            </w:r>
            <w:r w:rsidR="000A3148">
              <w:rPr>
                <w:rFonts w:asciiTheme="minorEastAsia" w:eastAsiaTheme="minorEastAsia" w:hAnsiTheme="minorEastAsia"/>
                <w:color w:val="000000"/>
                <w:kern w:val="0"/>
                <w:szCs w:val="21"/>
              </w:rPr>
              <w:t>2018年10月30日</w:t>
            </w:r>
            <w:r w:rsidRPr="003D21AE">
              <w:rPr>
                <w:rFonts w:asciiTheme="minorEastAsia" w:eastAsiaTheme="minorEastAsia" w:hAnsiTheme="minorEastAsia" w:hint="eastAsia"/>
                <w:color w:val="000000"/>
                <w:kern w:val="0"/>
                <w:szCs w:val="21"/>
              </w:rPr>
              <w:t>基金净资产</w:t>
            </w:r>
          </w:p>
        </w:tc>
        <w:tc>
          <w:tcPr>
            <w:tcW w:w="1264" w:type="pct"/>
            <w:tcBorders>
              <w:top w:val="nil"/>
              <w:left w:val="nil"/>
              <w:bottom w:val="single" w:sz="8" w:space="0" w:color="auto"/>
              <w:right w:val="single" w:sz="8" w:space="0" w:color="auto"/>
            </w:tcBorders>
            <w:shd w:val="clear" w:color="auto" w:fill="auto"/>
            <w:hideMark/>
          </w:tcPr>
          <w:p w:rsidR="00FF4539" w:rsidRPr="003D21AE" w:rsidRDefault="00FB7881" w:rsidP="00D37B58">
            <w:pPr>
              <w:widowControl/>
              <w:spacing w:line="276" w:lineRule="auto"/>
              <w:jc w:val="right"/>
              <w:rPr>
                <w:rFonts w:asciiTheme="minorEastAsia" w:eastAsiaTheme="minorEastAsia" w:hAnsiTheme="minorEastAsia"/>
                <w:color w:val="000000"/>
                <w:kern w:val="0"/>
                <w:szCs w:val="21"/>
              </w:rPr>
            </w:pPr>
            <w:r>
              <w:rPr>
                <w:rFonts w:asciiTheme="minorEastAsia" w:eastAsiaTheme="minorEastAsia" w:hAnsiTheme="minorEastAsia"/>
              </w:rPr>
              <w:t>6,915,984.63</w:t>
            </w:r>
          </w:p>
        </w:tc>
        <w:tc>
          <w:tcPr>
            <w:tcW w:w="962" w:type="pct"/>
            <w:tcBorders>
              <w:top w:val="nil"/>
              <w:left w:val="nil"/>
              <w:bottom w:val="single" w:sz="8" w:space="0" w:color="auto"/>
              <w:right w:val="single" w:sz="8" w:space="0" w:color="auto"/>
            </w:tcBorders>
            <w:shd w:val="clear" w:color="auto" w:fill="auto"/>
          </w:tcPr>
          <w:p w:rsidR="00FF4539" w:rsidRPr="003D21AE" w:rsidRDefault="00820ADB" w:rsidP="00BD5A1E">
            <w:pPr>
              <w:widowControl/>
              <w:spacing w:line="276" w:lineRule="auto"/>
              <w:jc w:val="righ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w:t>
            </w:r>
          </w:p>
        </w:tc>
      </w:tr>
      <w:tr w:rsidR="00FF4539" w:rsidRPr="003D21AE" w:rsidTr="006A32EF">
        <w:trPr>
          <w:trHeight w:val="315"/>
        </w:trPr>
        <w:tc>
          <w:tcPr>
            <w:tcW w:w="2774" w:type="pct"/>
            <w:tcBorders>
              <w:top w:val="nil"/>
              <w:left w:val="single" w:sz="8" w:space="0" w:color="auto"/>
              <w:bottom w:val="single" w:sz="8" w:space="0" w:color="auto"/>
              <w:right w:val="single" w:sz="8" w:space="0" w:color="auto"/>
            </w:tcBorders>
            <w:shd w:val="clear" w:color="auto" w:fill="auto"/>
            <w:vAlign w:val="center"/>
            <w:hideMark/>
          </w:tcPr>
          <w:p w:rsidR="00FF4539" w:rsidRPr="003D21AE" w:rsidRDefault="007A6FFF" w:rsidP="00BD5A1E">
            <w:pPr>
              <w:widowControl/>
              <w:spacing w:line="276" w:lineRule="auto"/>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加：清算期间净收益</w:t>
            </w:r>
          </w:p>
        </w:tc>
        <w:tc>
          <w:tcPr>
            <w:tcW w:w="1264" w:type="pct"/>
            <w:tcBorders>
              <w:top w:val="nil"/>
              <w:left w:val="nil"/>
              <w:bottom w:val="single" w:sz="8" w:space="0" w:color="auto"/>
              <w:right w:val="single" w:sz="8" w:space="0" w:color="auto"/>
            </w:tcBorders>
            <w:shd w:val="clear" w:color="auto" w:fill="auto"/>
            <w:hideMark/>
          </w:tcPr>
          <w:p w:rsidR="00FF4539" w:rsidRPr="003D21AE" w:rsidRDefault="001224C6" w:rsidP="00385BB7">
            <w:pPr>
              <w:widowControl/>
              <w:spacing w:line="276" w:lineRule="auto"/>
              <w:jc w:val="right"/>
              <w:rPr>
                <w:rFonts w:asciiTheme="minorEastAsia" w:eastAsiaTheme="minorEastAsia" w:hAnsiTheme="minorEastAsia"/>
                <w:color w:val="000000"/>
                <w:kern w:val="0"/>
                <w:szCs w:val="21"/>
                <w:highlight w:val="yellow"/>
              </w:rPr>
            </w:pPr>
            <w:r>
              <w:rPr>
                <w:rFonts w:asciiTheme="minorEastAsia" w:eastAsiaTheme="minorEastAsia" w:hAnsiTheme="minorEastAsia" w:hint="eastAsia"/>
                <w:color w:val="000000"/>
                <w:sz w:val="22"/>
                <w:szCs w:val="22"/>
              </w:rPr>
              <w:t>358.37</w:t>
            </w:r>
          </w:p>
        </w:tc>
        <w:tc>
          <w:tcPr>
            <w:tcW w:w="962" w:type="pct"/>
            <w:tcBorders>
              <w:top w:val="nil"/>
              <w:left w:val="nil"/>
              <w:bottom w:val="single" w:sz="8" w:space="0" w:color="auto"/>
              <w:right w:val="single" w:sz="8" w:space="0" w:color="auto"/>
            </w:tcBorders>
            <w:shd w:val="clear" w:color="auto" w:fill="auto"/>
          </w:tcPr>
          <w:p w:rsidR="00FF4539" w:rsidRPr="003D21AE" w:rsidRDefault="00820ADB" w:rsidP="00BD5A1E">
            <w:pPr>
              <w:widowControl/>
              <w:spacing w:line="276" w:lineRule="auto"/>
              <w:jc w:val="righ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w:t>
            </w:r>
          </w:p>
        </w:tc>
      </w:tr>
      <w:tr w:rsidR="001224C6" w:rsidRPr="003D21AE" w:rsidTr="006A32EF">
        <w:trPr>
          <w:trHeight w:val="315"/>
        </w:trPr>
        <w:tc>
          <w:tcPr>
            <w:tcW w:w="2774" w:type="pct"/>
            <w:tcBorders>
              <w:top w:val="nil"/>
              <w:left w:val="single" w:sz="8" w:space="0" w:color="auto"/>
              <w:bottom w:val="single" w:sz="8" w:space="0" w:color="auto"/>
              <w:right w:val="single" w:sz="8" w:space="0" w:color="auto"/>
            </w:tcBorders>
            <w:shd w:val="clear" w:color="auto" w:fill="auto"/>
            <w:vAlign w:val="center"/>
          </w:tcPr>
          <w:p w:rsidR="001224C6" w:rsidRPr="003D21AE" w:rsidRDefault="001224C6" w:rsidP="00BD5A1E">
            <w:pPr>
              <w:widowControl/>
              <w:spacing w:line="276" w:lineRule="auto"/>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减：</w:t>
            </w:r>
            <w:r w:rsidR="004D4803" w:rsidRPr="004D4803">
              <w:rPr>
                <w:rFonts w:asciiTheme="minorEastAsia" w:eastAsiaTheme="minorEastAsia" w:hAnsiTheme="minorEastAsia" w:hint="eastAsia"/>
                <w:color w:val="000000"/>
                <w:kern w:val="0"/>
                <w:szCs w:val="21"/>
              </w:rPr>
              <w:t>最后运作日赎回款</w:t>
            </w:r>
            <w:r w:rsidR="004D4803">
              <w:rPr>
                <w:rFonts w:asciiTheme="minorEastAsia" w:eastAsiaTheme="minorEastAsia" w:hAnsiTheme="minorEastAsia" w:hint="eastAsia"/>
                <w:color w:val="000000"/>
                <w:kern w:val="0"/>
                <w:szCs w:val="21"/>
              </w:rPr>
              <w:t>、转出款</w:t>
            </w:r>
          </w:p>
        </w:tc>
        <w:tc>
          <w:tcPr>
            <w:tcW w:w="1264" w:type="pct"/>
            <w:tcBorders>
              <w:top w:val="nil"/>
              <w:left w:val="nil"/>
              <w:bottom w:val="single" w:sz="8" w:space="0" w:color="auto"/>
              <w:right w:val="single" w:sz="8" w:space="0" w:color="auto"/>
            </w:tcBorders>
            <w:shd w:val="clear" w:color="auto" w:fill="auto"/>
          </w:tcPr>
          <w:p w:rsidR="001224C6" w:rsidRDefault="001224C6" w:rsidP="00385BB7">
            <w:pPr>
              <w:widowControl/>
              <w:spacing w:line="276" w:lineRule="auto"/>
              <w:jc w:val="right"/>
              <w:rPr>
                <w:rFonts w:asciiTheme="minorEastAsia" w:eastAsiaTheme="minorEastAsia" w:hAnsiTheme="minorEastAsia"/>
                <w:color w:val="000000"/>
                <w:sz w:val="22"/>
                <w:szCs w:val="22"/>
              </w:rPr>
            </w:pPr>
            <w:r w:rsidRPr="001224C6">
              <w:rPr>
                <w:rFonts w:asciiTheme="minorEastAsia" w:eastAsiaTheme="minorEastAsia" w:hAnsiTheme="minorEastAsia"/>
                <w:color w:val="000000"/>
                <w:sz w:val="22"/>
                <w:szCs w:val="22"/>
              </w:rPr>
              <w:t>102.02</w:t>
            </w:r>
          </w:p>
        </w:tc>
        <w:tc>
          <w:tcPr>
            <w:tcW w:w="962" w:type="pct"/>
            <w:tcBorders>
              <w:top w:val="nil"/>
              <w:left w:val="nil"/>
              <w:bottom w:val="single" w:sz="8" w:space="0" w:color="auto"/>
              <w:right w:val="single" w:sz="8" w:space="0" w:color="auto"/>
            </w:tcBorders>
            <w:shd w:val="clear" w:color="auto" w:fill="auto"/>
          </w:tcPr>
          <w:p w:rsidR="001224C6" w:rsidRPr="003D21AE" w:rsidRDefault="007C3794" w:rsidP="00BD5A1E">
            <w:pPr>
              <w:widowControl/>
              <w:spacing w:line="276" w:lineRule="auto"/>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p>
        </w:tc>
      </w:tr>
      <w:tr w:rsidR="00DA59C3" w:rsidRPr="003D21AE" w:rsidTr="006A32EF">
        <w:trPr>
          <w:trHeight w:val="315"/>
        </w:trPr>
        <w:tc>
          <w:tcPr>
            <w:tcW w:w="27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A59C3" w:rsidRPr="003D21AE" w:rsidRDefault="00451B6C" w:rsidP="00F77378">
            <w:pPr>
              <w:widowControl/>
              <w:spacing w:line="276" w:lineRule="auto"/>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二、</w:t>
            </w:r>
            <w:r w:rsidR="00084270">
              <w:rPr>
                <w:rFonts w:asciiTheme="minorEastAsia" w:eastAsiaTheme="minorEastAsia" w:hAnsiTheme="minorEastAsia" w:hint="eastAsia"/>
                <w:color w:val="000000"/>
                <w:kern w:val="0"/>
                <w:szCs w:val="21"/>
              </w:rPr>
              <w:t>2018年11月6日</w:t>
            </w:r>
            <w:r w:rsidRPr="003D21AE">
              <w:rPr>
                <w:rFonts w:asciiTheme="minorEastAsia" w:eastAsiaTheme="minorEastAsia" w:hAnsiTheme="minorEastAsia" w:hint="eastAsia"/>
                <w:color w:val="000000"/>
                <w:kern w:val="0"/>
                <w:szCs w:val="21"/>
              </w:rPr>
              <w:t>基金净资产</w:t>
            </w:r>
          </w:p>
        </w:tc>
        <w:tc>
          <w:tcPr>
            <w:tcW w:w="1264" w:type="pct"/>
            <w:tcBorders>
              <w:top w:val="single" w:sz="8" w:space="0" w:color="auto"/>
              <w:left w:val="nil"/>
              <w:bottom w:val="single" w:sz="8" w:space="0" w:color="auto"/>
              <w:right w:val="single" w:sz="8" w:space="0" w:color="auto"/>
            </w:tcBorders>
            <w:shd w:val="clear" w:color="auto" w:fill="auto"/>
            <w:vAlign w:val="center"/>
            <w:hideMark/>
          </w:tcPr>
          <w:p w:rsidR="00DA59C3" w:rsidRPr="003D21AE" w:rsidRDefault="001224C6" w:rsidP="003D21AE">
            <w:pPr>
              <w:jc w:val="right"/>
              <w:rPr>
                <w:rFonts w:asciiTheme="minorEastAsia" w:eastAsiaTheme="minorEastAsia" w:hAnsiTheme="minorEastAsia"/>
                <w:color w:val="000000"/>
                <w:kern w:val="0"/>
                <w:szCs w:val="21"/>
                <w:highlight w:val="yellow"/>
              </w:rPr>
            </w:pPr>
            <w:r w:rsidRPr="001224C6">
              <w:rPr>
                <w:rFonts w:asciiTheme="minorEastAsia" w:eastAsiaTheme="minorEastAsia" w:hAnsiTheme="minorEastAsia"/>
                <w:color w:val="000000"/>
                <w:szCs w:val="21"/>
              </w:rPr>
              <w:t xml:space="preserve">6,916,240.98 </w:t>
            </w:r>
          </w:p>
        </w:tc>
        <w:tc>
          <w:tcPr>
            <w:tcW w:w="962" w:type="pct"/>
            <w:tcBorders>
              <w:top w:val="single" w:sz="8" w:space="0" w:color="auto"/>
              <w:left w:val="nil"/>
              <w:bottom w:val="single" w:sz="8" w:space="0" w:color="auto"/>
              <w:right w:val="single" w:sz="8" w:space="0" w:color="auto"/>
            </w:tcBorders>
            <w:shd w:val="clear" w:color="auto" w:fill="auto"/>
            <w:vAlign w:val="center"/>
            <w:hideMark/>
          </w:tcPr>
          <w:p w:rsidR="00DA59C3" w:rsidRPr="003D21AE" w:rsidRDefault="00DA59C3" w:rsidP="00820ADB">
            <w:pPr>
              <w:widowControl/>
              <w:spacing w:line="276" w:lineRule="auto"/>
              <w:jc w:val="right"/>
              <w:rPr>
                <w:rFonts w:asciiTheme="minorEastAsia" w:eastAsiaTheme="minorEastAsia" w:hAnsiTheme="minorEastAsia"/>
                <w:color w:val="000000"/>
                <w:kern w:val="0"/>
                <w:szCs w:val="21"/>
              </w:rPr>
            </w:pPr>
            <w:r w:rsidRPr="003D21AE">
              <w:rPr>
                <w:rFonts w:asciiTheme="minorEastAsia" w:eastAsiaTheme="minorEastAsia" w:hAnsiTheme="minorEastAsia"/>
                <w:color w:val="000000"/>
                <w:kern w:val="0"/>
                <w:szCs w:val="21"/>
              </w:rPr>
              <w:t xml:space="preserve">　</w:t>
            </w:r>
            <w:r w:rsidR="00820ADB" w:rsidRPr="003D21AE">
              <w:rPr>
                <w:rFonts w:asciiTheme="minorEastAsia" w:eastAsiaTheme="minorEastAsia" w:hAnsiTheme="minorEastAsia" w:hint="eastAsia"/>
                <w:color w:val="000000"/>
                <w:kern w:val="0"/>
                <w:szCs w:val="21"/>
              </w:rPr>
              <w:t>-</w:t>
            </w:r>
          </w:p>
        </w:tc>
      </w:tr>
      <w:tr w:rsidR="00EF5635" w:rsidRPr="003D21AE" w:rsidTr="006A32EF">
        <w:trPr>
          <w:trHeight w:val="315"/>
        </w:trPr>
        <w:tc>
          <w:tcPr>
            <w:tcW w:w="2774" w:type="pct"/>
            <w:tcBorders>
              <w:top w:val="single" w:sz="8" w:space="0" w:color="auto"/>
              <w:left w:val="single" w:sz="8" w:space="0" w:color="auto"/>
              <w:bottom w:val="single" w:sz="8" w:space="0" w:color="auto"/>
              <w:right w:val="single" w:sz="8" w:space="0" w:color="auto"/>
            </w:tcBorders>
            <w:shd w:val="clear" w:color="auto" w:fill="auto"/>
            <w:vAlign w:val="center"/>
          </w:tcPr>
          <w:p w:rsidR="00EF5635" w:rsidRPr="003D21AE" w:rsidRDefault="00EF5635">
            <w:pPr>
              <w:widowControl/>
              <w:spacing w:line="276" w:lineRule="auto"/>
              <w:jc w:val="left"/>
              <w:rPr>
                <w:rFonts w:asciiTheme="minorEastAsia" w:eastAsiaTheme="minorEastAsia" w:hAnsiTheme="minorEastAsia"/>
                <w:color w:val="000000"/>
                <w:kern w:val="0"/>
                <w:szCs w:val="21"/>
              </w:rPr>
            </w:pPr>
            <w:r>
              <w:t>减：</w:t>
            </w:r>
            <w:r w:rsidRPr="003A5C9F">
              <w:rPr>
                <w:rFonts w:asciiTheme="minorEastAsia" w:eastAsiaTheme="minorEastAsia" w:hAnsiTheme="minorEastAsia" w:hint="eastAsia"/>
                <w:color w:val="000000"/>
                <w:kern w:val="0"/>
                <w:szCs w:val="21"/>
              </w:rPr>
              <w:t>2018年</w:t>
            </w:r>
            <w:r w:rsidRPr="003A5C9F">
              <w:rPr>
                <w:rFonts w:asciiTheme="minorEastAsia" w:eastAsiaTheme="minorEastAsia" w:hAnsiTheme="minorEastAsia"/>
                <w:color w:val="000000"/>
                <w:kern w:val="0"/>
                <w:szCs w:val="21"/>
              </w:rPr>
              <w:t>11</w:t>
            </w:r>
            <w:r w:rsidRPr="003A5C9F">
              <w:rPr>
                <w:rFonts w:asciiTheme="minorEastAsia" w:eastAsiaTheme="minorEastAsia" w:hAnsiTheme="minorEastAsia" w:hint="eastAsia"/>
                <w:color w:val="000000"/>
                <w:kern w:val="0"/>
                <w:szCs w:val="21"/>
              </w:rPr>
              <w:t>月</w:t>
            </w:r>
            <w:r w:rsidRPr="003A5C9F">
              <w:rPr>
                <w:rFonts w:asciiTheme="minorEastAsia" w:eastAsiaTheme="minorEastAsia" w:hAnsiTheme="minorEastAsia"/>
                <w:color w:val="000000"/>
                <w:kern w:val="0"/>
                <w:szCs w:val="21"/>
              </w:rPr>
              <w:t>6</w:t>
            </w:r>
            <w:r w:rsidRPr="003A5C9F">
              <w:rPr>
                <w:rFonts w:asciiTheme="minorEastAsia" w:eastAsiaTheme="minorEastAsia" w:hAnsiTheme="minorEastAsia" w:hint="eastAsia"/>
                <w:color w:val="000000"/>
                <w:kern w:val="0"/>
                <w:szCs w:val="21"/>
              </w:rPr>
              <w:t>日</w:t>
            </w:r>
            <w:r>
              <w:rPr>
                <w:rFonts w:asciiTheme="minorEastAsia" w:eastAsiaTheme="minorEastAsia" w:hAnsiTheme="minorEastAsia" w:hint="eastAsia"/>
                <w:color w:val="000000"/>
                <w:kern w:val="0"/>
                <w:szCs w:val="21"/>
              </w:rPr>
              <w:t>流通受限</w:t>
            </w:r>
            <w:r w:rsidRPr="003A5C9F">
              <w:rPr>
                <w:rFonts w:asciiTheme="minorEastAsia" w:eastAsiaTheme="minorEastAsia" w:hAnsiTheme="minorEastAsia" w:hint="eastAsia"/>
                <w:color w:val="000000"/>
                <w:kern w:val="0"/>
                <w:szCs w:val="21"/>
              </w:rPr>
              <w:t>证</w:t>
            </w:r>
            <w:r>
              <w:t>券市值</w:t>
            </w:r>
          </w:p>
        </w:tc>
        <w:tc>
          <w:tcPr>
            <w:tcW w:w="1264" w:type="pct"/>
            <w:tcBorders>
              <w:top w:val="single" w:sz="8" w:space="0" w:color="auto"/>
              <w:left w:val="nil"/>
              <w:bottom w:val="single" w:sz="8" w:space="0" w:color="auto"/>
              <w:right w:val="single" w:sz="8" w:space="0" w:color="auto"/>
            </w:tcBorders>
            <w:shd w:val="clear" w:color="auto" w:fill="auto"/>
            <w:vAlign w:val="center"/>
          </w:tcPr>
          <w:p w:rsidR="00EF5635" w:rsidRPr="001224C6" w:rsidRDefault="00EF5635" w:rsidP="003D21AE">
            <w:pPr>
              <w:jc w:val="right"/>
              <w:rPr>
                <w:rFonts w:asciiTheme="minorEastAsia" w:eastAsiaTheme="minorEastAsia" w:hAnsiTheme="minorEastAsia"/>
                <w:color w:val="000000"/>
                <w:szCs w:val="21"/>
              </w:rPr>
            </w:pPr>
            <w:r w:rsidRPr="00772513">
              <w:rPr>
                <w:rFonts w:asciiTheme="minorEastAsia" w:eastAsiaTheme="minorEastAsia" w:hAnsiTheme="minorEastAsia"/>
              </w:rPr>
              <w:t>341,395.10</w:t>
            </w:r>
          </w:p>
        </w:tc>
        <w:tc>
          <w:tcPr>
            <w:tcW w:w="962" w:type="pct"/>
            <w:tcBorders>
              <w:top w:val="single" w:sz="8" w:space="0" w:color="auto"/>
              <w:left w:val="nil"/>
              <w:bottom w:val="single" w:sz="8" w:space="0" w:color="auto"/>
              <w:right w:val="single" w:sz="8" w:space="0" w:color="auto"/>
            </w:tcBorders>
            <w:shd w:val="clear" w:color="auto" w:fill="auto"/>
            <w:vAlign w:val="center"/>
          </w:tcPr>
          <w:p w:rsidR="00EF5635" w:rsidRPr="00EF5635" w:rsidRDefault="00EF5635" w:rsidP="00820ADB">
            <w:pPr>
              <w:widowControl/>
              <w:spacing w:line="276" w:lineRule="auto"/>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p>
        </w:tc>
      </w:tr>
      <w:tr w:rsidR="00EF5635" w:rsidRPr="003D21AE" w:rsidTr="006A32EF">
        <w:trPr>
          <w:trHeight w:val="315"/>
        </w:trPr>
        <w:tc>
          <w:tcPr>
            <w:tcW w:w="2774" w:type="pct"/>
            <w:tcBorders>
              <w:top w:val="single" w:sz="8" w:space="0" w:color="auto"/>
              <w:left w:val="single" w:sz="8" w:space="0" w:color="auto"/>
              <w:bottom w:val="single" w:sz="8" w:space="0" w:color="auto"/>
              <w:right w:val="single" w:sz="8" w:space="0" w:color="auto"/>
            </w:tcBorders>
            <w:shd w:val="clear" w:color="auto" w:fill="auto"/>
            <w:vAlign w:val="center"/>
          </w:tcPr>
          <w:p w:rsidR="00EF5635" w:rsidRPr="003D21AE" w:rsidRDefault="00EF5635" w:rsidP="002C6435">
            <w:pPr>
              <w:widowControl/>
              <w:spacing w:line="276" w:lineRule="auto"/>
              <w:jc w:val="left"/>
              <w:rPr>
                <w:rFonts w:asciiTheme="minorEastAsia" w:eastAsiaTheme="minorEastAsia" w:hAnsiTheme="minorEastAsia"/>
                <w:color w:val="000000"/>
                <w:kern w:val="0"/>
                <w:szCs w:val="21"/>
              </w:rPr>
            </w:pPr>
            <w:r>
              <w:t>三、</w:t>
            </w:r>
            <w:r w:rsidRPr="003A5C9F">
              <w:rPr>
                <w:rFonts w:asciiTheme="minorEastAsia" w:eastAsiaTheme="minorEastAsia" w:hAnsiTheme="minorEastAsia" w:hint="eastAsia"/>
                <w:color w:val="000000"/>
                <w:kern w:val="0"/>
                <w:szCs w:val="21"/>
              </w:rPr>
              <w:t>2018年</w:t>
            </w:r>
            <w:r w:rsidRPr="003A5C9F">
              <w:rPr>
                <w:rFonts w:asciiTheme="minorEastAsia" w:eastAsiaTheme="minorEastAsia" w:hAnsiTheme="minorEastAsia"/>
                <w:color w:val="000000"/>
                <w:kern w:val="0"/>
                <w:szCs w:val="21"/>
              </w:rPr>
              <w:t>11</w:t>
            </w:r>
            <w:r w:rsidRPr="003A5C9F">
              <w:rPr>
                <w:rFonts w:asciiTheme="minorEastAsia" w:eastAsiaTheme="minorEastAsia" w:hAnsiTheme="minorEastAsia" w:hint="eastAsia"/>
                <w:color w:val="000000"/>
                <w:kern w:val="0"/>
                <w:szCs w:val="21"/>
              </w:rPr>
              <w:t>月</w:t>
            </w:r>
            <w:r w:rsidRPr="003A5C9F">
              <w:rPr>
                <w:rFonts w:asciiTheme="minorEastAsia" w:eastAsiaTheme="minorEastAsia" w:hAnsiTheme="minorEastAsia"/>
                <w:color w:val="000000"/>
                <w:kern w:val="0"/>
                <w:szCs w:val="21"/>
              </w:rPr>
              <w:t>6</w:t>
            </w:r>
            <w:r w:rsidRPr="003A5C9F">
              <w:rPr>
                <w:rFonts w:asciiTheme="minorEastAsia" w:eastAsiaTheme="minorEastAsia" w:hAnsiTheme="minorEastAsia" w:hint="eastAsia"/>
                <w:color w:val="000000"/>
                <w:kern w:val="0"/>
                <w:szCs w:val="21"/>
              </w:rPr>
              <w:t>日基金</w:t>
            </w:r>
            <w:r w:rsidR="000D32DA">
              <w:rPr>
                <w:rFonts w:asciiTheme="minorEastAsia" w:eastAsiaTheme="minorEastAsia" w:hAnsiTheme="minorEastAsia" w:hint="eastAsia"/>
                <w:color w:val="000000"/>
                <w:kern w:val="0"/>
                <w:szCs w:val="21"/>
              </w:rPr>
              <w:t>首次</w:t>
            </w:r>
            <w:r w:rsidRPr="003A5C9F">
              <w:rPr>
                <w:rFonts w:asciiTheme="minorEastAsia" w:eastAsiaTheme="minorEastAsia" w:hAnsiTheme="minorEastAsia" w:hint="eastAsia"/>
                <w:color w:val="000000"/>
                <w:kern w:val="0"/>
                <w:szCs w:val="21"/>
              </w:rPr>
              <w:t>可供分配净</w:t>
            </w:r>
            <w:r>
              <w:t>资产</w:t>
            </w:r>
          </w:p>
        </w:tc>
        <w:tc>
          <w:tcPr>
            <w:tcW w:w="1264" w:type="pct"/>
            <w:tcBorders>
              <w:top w:val="single" w:sz="8" w:space="0" w:color="auto"/>
              <w:left w:val="nil"/>
              <w:bottom w:val="single" w:sz="8" w:space="0" w:color="auto"/>
              <w:right w:val="single" w:sz="8" w:space="0" w:color="auto"/>
            </w:tcBorders>
            <w:shd w:val="clear" w:color="auto" w:fill="auto"/>
            <w:vAlign w:val="center"/>
          </w:tcPr>
          <w:p w:rsidR="00EF5635" w:rsidRPr="001224C6" w:rsidRDefault="00EF5635" w:rsidP="003D21AE">
            <w:pPr>
              <w:jc w:val="right"/>
              <w:rPr>
                <w:rFonts w:asciiTheme="minorEastAsia" w:eastAsiaTheme="minorEastAsia" w:hAnsiTheme="minorEastAsia"/>
                <w:color w:val="000000"/>
                <w:szCs w:val="21"/>
              </w:rPr>
            </w:pPr>
            <w:r w:rsidRPr="00EF5635">
              <w:rPr>
                <w:rFonts w:asciiTheme="minorEastAsia" w:eastAsiaTheme="minorEastAsia" w:hAnsiTheme="minorEastAsia"/>
                <w:color w:val="000000"/>
                <w:szCs w:val="21"/>
              </w:rPr>
              <w:t>6,574,845.88</w:t>
            </w:r>
          </w:p>
        </w:tc>
        <w:tc>
          <w:tcPr>
            <w:tcW w:w="962" w:type="pct"/>
            <w:tcBorders>
              <w:top w:val="single" w:sz="8" w:space="0" w:color="auto"/>
              <w:left w:val="nil"/>
              <w:bottom w:val="single" w:sz="8" w:space="0" w:color="auto"/>
              <w:right w:val="single" w:sz="8" w:space="0" w:color="auto"/>
            </w:tcBorders>
            <w:shd w:val="clear" w:color="auto" w:fill="auto"/>
            <w:vAlign w:val="center"/>
          </w:tcPr>
          <w:p w:rsidR="00EF5635" w:rsidRPr="003D21AE" w:rsidRDefault="005E0693" w:rsidP="00820ADB">
            <w:pPr>
              <w:widowControl/>
              <w:spacing w:line="276" w:lineRule="auto"/>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p>
        </w:tc>
      </w:tr>
    </w:tbl>
    <w:p w:rsidR="00BE6ED0" w:rsidRPr="008765CB" w:rsidRDefault="007A6FFF" w:rsidP="000B1202">
      <w:pPr>
        <w:spacing w:beforeLines="50" w:line="360" w:lineRule="auto"/>
        <w:ind w:firstLine="420"/>
        <w:jc w:val="left"/>
        <w:rPr>
          <w:rFonts w:asciiTheme="minorEastAsia" w:eastAsiaTheme="minorEastAsia" w:hAnsiTheme="minorEastAsia"/>
        </w:rPr>
        <w:pPrChange w:id="3" w:author="ZHONGM" w:date="2018-11-30T00:33:00Z">
          <w:pPr>
            <w:spacing w:beforeLines="50" w:line="360" w:lineRule="auto"/>
            <w:ind w:firstLine="420"/>
            <w:jc w:val="left"/>
          </w:pPr>
        </w:pPrChange>
      </w:pPr>
      <w:r w:rsidRPr="003D21AE">
        <w:rPr>
          <w:rFonts w:asciiTheme="minorEastAsia" w:eastAsiaTheme="minorEastAsia" w:hAnsiTheme="minorEastAsia" w:hint="eastAsia"/>
        </w:rPr>
        <w:t>资产处置及负债清偿后，于</w:t>
      </w:r>
      <w:r w:rsidR="00084270">
        <w:rPr>
          <w:rFonts w:asciiTheme="minorEastAsia" w:eastAsiaTheme="minorEastAsia" w:hAnsiTheme="minorEastAsia" w:hint="eastAsia"/>
        </w:rPr>
        <w:t>2018年11月6日</w:t>
      </w:r>
      <w:r w:rsidRPr="008765CB">
        <w:rPr>
          <w:rFonts w:asciiTheme="minorEastAsia" w:eastAsiaTheme="minorEastAsia" w:hAnsiTheme="minorEastAsia" w:hint="eastAsia"/>
        </w:rPr>
        <w:t>本基金剩余财产为人民币</w:t>
      </w:r>
      <w:r w:rsidR="00EF5635" w:rsidRPr="00EF5635">
        <w:rPr>
          <w:rFonts w:asciiTheme="minorEastAsia" w:eastAsiaTheme="minorEastAsia" w:hAnsiTheme="minorEastAsia"/>
        </w:rPr>
        <w:t>6,574,845.88</w:t>
      </w:r>
      <w:r w:rsidRPr="008765CB">
        <w:rPr>
          <w:rFonts w:asciiTheme="minorEastAsia" w:eastAsiaTheme="minorEastAsia" w:hAnsiTheme="minorEastAsia" w:hint="eastAsia"/>
        </w:rPr>
        <w:t>元，根据</w:t>
      </w:r>
      <w:r w:rsidR="00B114AF" w:rsidRPr="008765CB">
        <w:rPr>
          <w:rFonts w:asciiTheme="minorEastAsia" w:eastAsiaTheme="minorEastAsia" w:hAnsiTheme="minorEastAsia" w:hint="eastAsia"/>
        </w:rPr>
        <w:t>本</w:t>
      </w:r>
      <w:r w:rsidRPr="008765CB">
        <w:rPr>
          <w:rFonts w:asciiTheme="minorEastAsia" w:eastAsiaTheme="minorEastAsia" w:hAnsiTheme="minorEastAsia" w:hint="eastAsia"/>
        </w:rPr>
        <w:t>基金</w:t>
      </w:r>
      <w:r w:rsidR="00B114AF" w:rsidRPr="008765CB">
        <w:rPr>
          <w:rFonts w:asciiTheme="minorEastAsia" w:eastAsiaTheme="minorEastAsia" w:hAnsiTheme="minorEastAsia" w:hint="eastAsia"/>
        </w:rPr>
        <w:t>的基金</w:t>
      </w:r>
      <w:r w:rsidRPr="008765CB">
        <w:rPr>
          <w:rFonts w:asciiTheme="minorEastAsia" w:eastAsiaTheme="minorEastAsia" w:hAnsiTheme="minorEastAsia" w:hint="eastAsia"/>
        </w:rPr>
        <w:t>合同约定</w:t>
      </w:r>
      <w:r w:rsidR="00BE6ED0" w:rsidRPr="008765CB">
        <w:rPr>
          <w:rFonts w:asciiTheme="minorEastAsia" w:eastAsiaTheme="minorEastAsia" w:hAnsiTheme="minorEastAsia" w:hint="eastAsia"/>
        </w:rPr>
        <w:t>，</w:t>
      </w:r>
      <w:r w:rsidR="00B114AF" w:rsidRPr="008765CB">
        <w:rPr>
          <w:rFonts w:asciiTheme="minorEastAsia" w:eastAsiaTheme="minorEastAsia" w:hAnsiTheme="minorEastAsia" w:hint="eastAsia"/>
        </w:rPr>
        <w:t>依据基金财产清算的分配方案，</w:t>
      </w:r>
      <w:r w:rsidR="006D113D" w:rsidRPr="008765CB">
        <w:rPr>
          <w:rFonts w:asciiTheme="minorEastAsia" w:eastAsiaTheme="minorEastAsia" w:hAnsiTheme="minorEastAsia" w:hint="eastAsia"/>
        </w:rPr>
        <w:t>将基金财产清算后的全部剩余资产扣除基金财产清算费用、交纳所欠税款并清偿基金债务后，按基金份额持有人持有的基金份额比例进行分配</w:t>
      </w:r>
      <w:r w:rsidR="00BE6ED0" w:rsidRPr="008765CB">
        <w:rPr>
          <w:rFonts w:asciiTheme="minorEastAsia" w:eastAsiaTheme="minorEastAsia" w:hAnsiTheme="minorEastAsia" w:hint="eastAsia"/>
        </w:rPr>
        <w:t>。</w:t>
      </w:r>
      <w:r w:rsidR="001D74D8">
        <w:t>由于本基金截至清算期结束日（</w:t>
      </w:r>
      <w:r w:rsidR="001D74D8" w:rsidRPr="00772513">
        <w:rPr>
          <w:rFonts w:asciiTheme="minorEastAsia" w:eastAsiaTheme="minorEastAsia" w:hAnsiTheme="minorEastAsia"/>
          <w:color w:val="000000"/>
          <w:kern w:val="0"/>
          <w:szCs w:val="21"/>
        </w:rPr>
        <w:t>2018年</w:t>
      </w:r>
      <w:r w:rsidR="001D74D8" w:rsidRPr="00772513">
        <w:rPr>
          <w:rFonts w:asciiTheme="minorEastAsia" w:eastAsiaTheme="minorEastAsia" w:hAnsiTheme="minorEastAsia" w:hint="eastAsia"/>
          <w:color w:val="000000"/>
          <w:kern w:val="0"/>
          <w:szCs w:val="21"/>
        </w:rPr>
        <w:t>11</w:t>
      </w:r>
      <w:r w:rsidR="001D74D8" w:rsidRPr="00772513">
        <w:rPr>
          <w:rFonts w:asciiTheme="minorEastAsia" w:eastAsiaTheme="minorEastAsia" w:hAnsiTheme="minorEastAsia"/>
          <w:color w:val="000000"/>
          <w:kern w:val="0"/>
          <w:szCs w:val="21"/>
        </w:rPr>
        <w:t>月</w:t>
      </w:r>
      <w:r w:rsidR="001D74D8" w:rsidRPr="00772513">
        <w:rPr>
          <w:rFonts w:asciiTheme="minorEastAsia" w:eastAsiaTheme="minorEastAsia" w:hAnsiTheme="minorEastAsia" w:hint="eastAsia"/>
          <w:color w:val="000000"/>
          <w:kern w:val="0"/>
          <w:szCs w:val="21"/>
        </w:rPr>
        <w:t>6</w:t>
      </w:r>
      <w:r w:rsidR="001D74D8" w:rsidRPr="00772513">
        <w:rPr>
          <w:rFonts w:asciiTheme="minorEastAsia" w:eastAsiaTheme="minorEastAsia" w:hAnsiTheme="minorEastAsia"/>
          <w:color w:val="000000"/>
          <w:kern w:val="0"/>
          <w:szCs w:val="21"/>
        </w:rPr>
        <w:t>日</w:t>
      </w:r>
      <w:r w:rsidR="001D74D8">
        <w:t>）所持</w:t>
      </w:r>
      <w:r w:rsidR="001D74D8">
        <w:rPr>
          <w:rFonts w:asciiTheme="minorEastAsia" w:eastAsiaTheme="minorEastAsia" w:hAnsiTheme="minorEastAsia" w:hint="eastAsia"/>
          <w:color w:val="000000"/>
          <w:kern w:val="0"/>
          <w:szCs w:val="21"/>
        </w:rPr>
        <w:t>流通受限</w:t>
      </w:r>
      <w:r w:rsidR="001D74D8" w:rsidRPr="00772513">
        <w:rPr>
          <w:rFonts w:asciiTheme="minorEastAsia" w:eastAsiaTheme="minorEastAsia" w:hAnsiTheme="minorEastAsia"/>
          <w:color w:val="000000"/>
          <w:kern w:val="0"/>
          <w:szCs w:val="21"/>
        </w:rPr>
        <w:t>证</w:t>
      </w:r>
      <w:r w:rsidR="001D74D8">
        <w:t>券尚未</w:t>
      </w:r>
      <w:r w:rsidR="001D74D8">
        <w:rPr>
          <w:rFonts w:hint="eastAsia"/>
        </w:rPr>
        <w:t>复牌</w:t>
      </w:r>
      <w:r w:rsidR="001D74D8">
        <w:t>，故需进行二次清算。本基金将于未变现资产全部变现后进入二次清算程序，并将清算后的全部剩余财产扣除基金财产清算费用、缴纳税款并清偿债务后，按基金份额持有人持有的基金份额比例进行二次分配。</w:t>
      </w:r>
    </w:p>
    <w:p w:rsidR="00EA37C7" w:rsidRPr="002F6A7E" w:rsidRDefault="00084270" w:rsidP="005A6382">
      <w:pPr>
        <w:spacing w:line="360" w:lineRule="auto"/>
        <w:ind w:firstLine="43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2018年11月6日</w:t>
      </w:r>
      <w:r w:rsidR="005A6382">
        <w:rPr>
          <w:rFonts w:asciiTheme="minorEastAsia" w:eastAsiaTheme="minorEastAsia" w:hAnsiTheme="minorEastAsia" w:hint="eastAsia"/>
          <w:color w:val="000000"/>
          <w:kern w:val="0"/>
          <w:szCs w:val="21"/>
        </w:rPr>
        <w:t>至</w:t>
      </w:r>
      <w:r w:rsidR="000D32DA">
        <w:rPr>
          <w:rFonts w:asciiTheme="minorEastAsia" w:eastAsiaTheme="minorEastAsia" w:hAnsiTheme="minorEastAsia" w:hint="eastAsia"/>
          <w:color w:val="000000"/>
          <w:kern w:val="0"/>
          <w:szCs w:val="21"/>
        </w:rPr>
        <w:t>最后一次</w:t>
      </w:r>
      <w:r w:rsidR="005A6382">
        <w:rPr>
          <w:rFonts w:asciiTheme="minorEastAsia" w:eastAsiaTheme="minorEastAsia" w:hAnsiTheme="minorEastAsia" w:hint="eastAsia"/>
          <w:color w:val="000000"/>
          <w:kern w:val="0"/>
          <w:szCs w:val="21"/>
        </w:rPr>
        <w:t>清算款划出日前一日的银行存款孳生的利息归基金份额持有人所有，以上利息均按实际适用的利率计算。</w:t>
      </w:r>
      <w:r w:rsidR="00876E65" w:rsidRPr="00876E65">
        <w:rPr>
          <w:rFonts w:asciiTheme="minorEastAsia" w:eastAsiaTheme="minorEastAsia" w:hAnsiTheme="minorEastAsia" w:hint="eastAsia"/>
          <w:color w:val="000000"/>
          <w:kern w:val="0"/>
          <w:szCs w:val="21"/>
        </w:rPr>
        <w:t>基金管理人垫付的资金以及垫付资金到账日起孳生的利息将于清算期后返还给基金管理人。</w:t>
      </w:r>
    </w:p>
    <w:p w:rsidR="00C10BF9" w:rsidRPr="003D21AE" w:rsidRDefault="00C10BF9" w:rsidP="00C10BF9">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5、基金财产清算报告的告知安排</w:t>
      </w:r>
    </w:p>
    <w:p w:rsidR="00C10BF9" w:rsidRPr="003D21AE" w:rsidRDefault="00C10BF9" w:rsidP="00085D0D">
      <w:pPr>
        <w:spacing w:line="360" w:lineRule="auto"/>
        <w:ind w:firstLineChars="200" w:firstLine="420"/>
        <w:jc w:val="left"/>
        <w:rPr>
          <w:rFonts w:asciiTheme="minorEastAsia" w:eastAsiaTheme="minorEastAsia" w:hAnsiTheme="minorEastAsia"/>
        </w:rPr>
      </w:pPr>
      <w:r w:rsidRPr="003D21AE">
        <w:rPr>
          <w:rFonts w:asciiTheme="minorEastAsia" w:eastAsiaTheme="minorEastAsia" w:hAnsiTheme="minorEastAsia" w:hint="eastAsia"/>
        </w:rPr>
        <w:t>本清算报告已经基金托管人复核，在经会计师事务所审计、律师事务所出具法律意见书后，报中国证监会备案并向基金份额持有人公告。</w:t>
      </w:r>
    </w:p>
    <w:p w:rsidR="00151936" w:rsidRPr="003D21AE" w:rsidRDefault="00151936" w:rsidP="008A1CA6">
      <w:pPr>
        <w:spacing w:line="360" w:lineRule="auto"/>
        <w:jc w:val="left"/>
        <w:rPr>
          <w:rFonts w:asciiTheme="minorEastAsia" w:eastAsiaTheme="minorEastAsia" w:hAnsiTheme="minorEastAsia"/>
        </w:rPr>
      </w:pPr>
    </w:p>
    <w:p w:rsidR="00151936" w:rsidRPr="003D21AE" w:rsidRDefault="000F3327" w:rsidP="008A1CA6">
      <w:pPr>
        <w:spacing w:line="360" w:lineRule="auto"/>
        <w:jc w:val="center"/>
        <w:rPr>
          <w:rFonts w:asciiTheme="minorEastAsia" w:eastAsiaTheme="minorEastAsia" w:hAnsiTheme="minorEastAsia"/>
          <w:b/>
        </w:rPr>
      </w:pPr>
      <w:r>
        <w:rPr>
          <w:rFonts w:asciiTheme="minorEastAsia" w:eastAsiaTheme="minorEastAsia" w:hAnsiTheme="minorEastAsia" w:hint="eastAsia"/>
          <w:b/>
        </w:rPr>
        <w:t>五</w:t>
      </w:r>
      <w:r w:rsidR="00151936" w:rsidRPr="003D21AE">
        <w:rPr>
          <w:rFonts w:asciiTheme="minorEastAsia" w:eastAsiaTheme="minorEastAsia" w:hAnsiTheme="minorEastAsia" w:hint="eastAsia"/>
          <w:b/>
        </w:rPr>
        <w:t>、备查文件目录</w:t>
      </w:r>
    </w:p>
    <w:p w:rsidR="00151936" w:rsidRPr="003D21AE" w:rsidRDefault="00151936"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1、备查文件目录</w:t>
      </w:r>
    </w:p>
    <w:p w:rsidR="00151936" w:rsidRPr="000330E5" w:rsidRDefault="00151936" w:rsidP="008A1CA6">
      <w:pPr>
        <w:spacing w:line="360" w:lineRule="auto"/>
        <w:jc w:val="left"/>
        <w:rPr>
          <w:rFonts w:asciiTheme="minorEastAsia" w:eastAsiaTheme="minorEastAsia" w:hAnsiTheme="minorEastAsia"/>
        </w:rPr>
      </w:pPr>
      <w:r w:rsidRPr="000330E5">
        <w:rPr>
          <w:rFonts w:asciiTheme="minorEastAsia" w:eastAsiaTheme="minorEastAsia" w:hAnsiTheme="minorEastAsia" w:hint="eastAsia"/>
        </w:rPr>
        <w:t>（1）《</w:t>
      </w:r>
      <w:r w:rsidR="00085D0D" w:rsidRPr="000330E5">
        <w:rPr>
          <w:rFonts w:asciiTheme="minorEastAsia" w:eastAsiaTheme="minorEastAsia" w:hAnsiTheme="minorEastAsia" w:hint="eastAsia"/>
        </w:rPr>
        <w:t>大成</w:t>
      </w:r>
      <w:r w:rsidR="00F00EE4">
        <w:rPr>
          <w:rFonts w:asciiTheme="minorEastAsia" w:eastAsiaTheme="minorEastAsia" w:hAnsiTheme="minorEastAsia" w:hint="eastAsia"/>
        </w:rPr>
        <w:t>景沛</w:t>
      </w:r>
      <w:r w:rsidR="00085D0D" w:rsidRPr="000330E5">
        <w:rPr>
          <w:rFonts w:asciiTheme="minorEastAsia" w:eastAsiaTheme="minorEastAsia" w:hAnsiTheme="minorEastAsia" w:hint="eastAsia"/>
        </w:rPr>
        <w:t>灵活配置混合型证券投资基金清算</w:t>
      </w:r>
      <w:r w:rsidR="00427A88" w:rsidRPr="000330E5">
        <w:rPr>
          <w:rFonts w:asciiTheme="minorEastAsia" w:eastAsiaTheme="minorEastAsia" w:hAnsiTheme="minorEastAsia" w:hint="eastAsia"/>
        </w:rPr>
        <w:t>审计报告</w:t>
      </w:r>
      <w:r w:rsidR="00112B3F" w:rsidRPr="000330E5">
        <w:rPr>
          <w:rFonts w:asciiTheme="minorEastAsia" w:eastAsiaTheme="minorEastAsia" w:hAnsiTheme="minorEastAsia" w:hint="eastAsia"/>
        </w:rPr>
        <w:t>》</w:t>
      </w:r>
    </w:p>
    <w:p w:rsidR="00197A7D" w:rsidRPr="003D21AE" w:rsidRDefault="00197A7D" w:rsidP="008A1CA6">
      <w:pPr>
        <w:spacing w:line="360" w:lineRule="auto"/>
        <w:jc w:val="left"/>
        <w:rPr>
          <w:rFonts w:asciiTheme="minorEastAsia" w:eastAsiaTheme="minorEastAsia" w:hAnsiTheme="minorEastAsia"/>
        </w:rPr>
      </w:pPr>
      <w:r w:rsidRPr="000330E5">
        <w:rPr>
          <w:rFonts w:asciiTheme="minorEastAsia" w:eastAsiaTheme="minorEastAsia" w:hAnsiTheme="minorEastAsia" w:hint="eastAsia"/>
        </w:rPr>
        <w:t>（2）</w:t>
      </w:r>
      <w:r w:rsidRPr="000330E5">
        <w:rPr>
          <w:rFonts w:asciiTheme="minorEastAsia" w:eastAsiaTheme="minorEastAsia" w:hAnsiTheme="minorEastAsia"/>
          <w:szCs w:val="21"/>
        </w:rPr>
        <w:t>《</w:t>
      </w:r>
      <w:r w:rsidR="00085D0D" w:rsidRPr="000330E5">
        <w:rPr>
          <w:rFonts w:asciiTheme="minorEastAsia" w:eastAsiaTheme="minorEastAsia" w:hAnsiTheme="minorEastAsia" w:hint="eastAsia"/>
          <w:szCs w:val="21"/>
        </w:rPr>
        <w:t>大成</w:t>
      </w:r>
      <w:r w:rsidR="00F00EE4">
        <w:rPr>
          <w:rFonts w:asciiTheme="minorEastAsia" w:eastAsiaTheme="minorEastAsia" w:hAnsiTheme="minorEastAsia" w:hint="eastAsia"/>
          <w:szCs w:val="21"/>
        </w:rPr>
        <w:t>景沛</w:t>
      </w:r>
      <w:r w:rsidR="00085D0D" w:rsidRPr="000330E5">
        <w:rPr>
          <w:rFonts w:asciiTheme="minorEastAsia" w:eastAsiaTheme="minorEastAsia" w:hAnsiTheme="minorEastAsia" w:hint="eastAsia"/>
          <w:szCs w:val="21"/>
        </w:rPr>
        <w:t>灵活配置混合型证券投资基金清算事宜之法律意见</w:t>
      </w:r>
      <w:r w:rsidRPr="000330E5">
        <w:rPr>
          <w:rFonts w:asciiTheme="minorEastAsia" w:eastAsiaTheme="minorEastAsia" w:hAnsiTheme="minorEastAsia"/>
          <w:szCs w:val="21"/>
        </w:rPr>
        <w:t>》</w:t>
      </w:r>
    </w:p>
    <w:p w:rsidR="00151936" w:rsidRPr="003D21AE" w:rsidRDefault="00112B3F"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2、</w:t>
      </w:r>
      <w:r w:rsidR="00151936" w:rsidRPr="003D21AE">
        <w:rPr>
          <w:rFonts w:asciiTheme="minorEastAsia" w:eastAsiaTheme="minorEastAsia" w:hAnsiTheme="minorEastAsia" w:hint="eastAsia"/>
        </w:rPr>
        <w:t>存放地点</w:t>
      </w:r>
    </w:p>
    <w:p w:rsidR="00151936" w:rsidRPr="003D21AE" w:rsidRDefault="00151936"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基金管理人的办公住所。</w:t>
      </w:r>
    </w:p>
    <w:p w:rsidR="00151936" w:rsidRPr="003D21AE" w:rsidRDefault="00112B3F"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3、</w:t>
      </w:r>
      <w:r w:rsidR="00151936" w:rsidRPr="003D21AE">
        <w:rPr>
          <w:rFonts w:asciiTheme="minorEastAsia" w:eastAsiaTheme="minorEastAsia" w:hAnsiTheme="minorEastAsia" w:hint="eastAsia"/>
        </w:rPr>
        <w:t>查阅方式</w:t>
      </w:r>
    </w:p>
    <w:p w:rsidR="00151936" w:rsidRPr="003D21AE" w:rsidRDefault="00151936"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投资者可在营业时间</w:t>
      </w:r>
      <w:r w:rsidR="00112B3F" w:rsidRPr="003D21AE">
        <w:rPr>
          <w:rFonts w:asciiTheme="minorEastAsia" w:eastAsiaTheme="minorEastAsia" w:hAnsiTheme="minorEastAsia" w:hint="eastAsia"/>
        </w:rPr>
        <w:t>内至基金管理人的办公场所</w:t>
      </w:r>
      <w:r w:rsidRPr="003D21AE">
        <w:rPr>
          <w:rFonts w:asciiTheme="minorEastAsia" w:eastAsiaTheme="minorEastAsia" w:hAnsiTheme="minorEastAsia" w:hint="eastAsia"/>
        </w:rPr>
        <w:t>免费查阅</w:t>
      </w:r>
      <w:r w:rsidR="00112B3F" w:rsidRPr="003D21AE">
        <w:rPr>
          <w:rFonts w:asciiTheme="minorEastAsia" w:eastAsiaTheme="minorEastAsia" w:hAnsiTheme="minorEastAsia" w:hint="eastAsia"/>
        </w:rPr>
        <w:t>。</w:t>
      </w:r>
    </w:p>
    <w:p w:rsidR="00151936" w:rsidRPr="003D21AE" w:rsidRDefault="00151936" w:rsidP="008A1CA6">
      <w:pPr>
        <w:spacing w:line="360" w:lineRule="auto"/>
        <w:jc w:val="left"/>
        <w:rPr>
          <w:rFonts w:asciiTheme="minorEastAsia" w:eastAsiaTheme="minorEastAsia" w:hAnsiTheme="minorEastAsia"/>
        </w:rPr>
      </w:pPr>
    </w:p>
    <w:p w:rsidR="00151936" w:rsidRPr="003D21AE" w:rsidRDefault="00151936" w:rsidP="008A1CA6">
      <w:pPr>
        <w:spacing w:line="360" w:lineRule="auto"/>
        <w:jc w:val="left"/>
        <w:rPr>
          <w:rFonts w:asciiTheme="minorEastAsia" w:eastAsiaTheme="minorEastAsia" w:hAnsiTheme="minorEastAsia"/>
        </w:rPr>
      </w:pPr>
    </w:p>
    <w:p w:rsidR="00427A88" w:rsidRPr="003D21AE" w:rsidRDefault="004A15FB" w:rsidP="008A1CA6">
      <w:pPr>
        <w:spacing w:line="360" w:lineRule="auto"/>
        <w:jc w:val="right"/>
        <w:rPr>
          <w:rFonts w:asciiTheme="minorEastAsia" w:eastAsiaTheme="minorEastAsia" w:hAnsiTheme="minorEastAsia"/>
        </w:rPr>
      </w:pPr>
      <w:r w:rsidRPr="003D21AE">
        <w:rPr>
          <w:rFonts w:asciiTheme="minorEastAsia" w:eastAsiaTheme="minorEastAsia" w:hAnsiTheme="minorEastAsia" w:hint="eastAsia"/>
          <w:szCs w:val="24"/>
        </w:rPr>
        <w:t>大成</w:t>
      </w:r>
      <w:r w:rsidR="00F00EE4">
        <w:rPr>
          <w:rFonts w:asciiTheme="minorEastAsia" w:eastAsiaTheme="minorEastAsia" w:hAnsiTheme="minorEastAsia" w:hint="eastAsia"/>
          <w:szCs w:val="24"/>
        </w:rPr>
        <w:t>景沛</w:t>
      </w:r>
      <w:r w:rsidRPr="003D21AE">
        <w:rPr>
          <w:rFonts w:asciiTheme="minorEastAsia" w:eastAsiaTheme="minorEastAsia" w:hAnsiTheme="minorEastAsia" w:hint="eastAsia"/>
          <w:szCs w:val="24"/>
        </w:rPr>
        <w:t>灵活配置混合型证券投资基金</w:t>
      </w:r>
      <w:r w:rsidRPr="003D21AE">
        <w:rPr>
          <w:rFonts w:asciiTheme="minorEastAsia" w:eastAsiaTheme="minorEastAsia" w:hAnsiTheme="minorEastAsia" w:hint="eastAsia"/>
        </w:rPr>
        <w:t>财产清算小组</w:t>
      </w:r>
    </w:p>
    <w:p w:rsidR="00151936" w:rsidRPr="003D21AE" w:rsidRDefault="00084270" w:rsidP="008A1CA6">
      <w:pPr>
        <w:spacing w:line="360" w:lineRule="auto"/>
        <w:jc w:val="right"/>
        <w:rPr>
          <w:rFonts w:asciiTheme="minorEastAsia" w:eastAsiaTheme="minorEastAsia" w:hAnsiTheme="minorEastAsia"/>
        </w:rPr>
      </w:pPr>
      <w:r>
        <w:rPr>
          <w:rFonts w:asciiTheme="minorEastAsia" w:eastAsiaTheme="minorEastAsia" w:hAnsiTheme="minorEastAsia" w:hint="eastAsia"/>
        </w:rPr>
        <w:t>2018年11月6日</w:t>
      </w:r>
    </w:p>
    <w:sectPr w:rsidR="00151936" w:rsidRPr="003D21AE" w:rsidSect="003A5C9F">
      <w:headerReference w:type="default"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A04" w:rsidRDefault="00B75A04" w:rsidP="005B7BB7">
      <w:r>
        <w:separator/>
      </w:r>
    </w:p>
  </w:endnote>
  <w:endnote w:type="continuationSeparator" w:id="1">
    <w:p w:rsidR="00B75A04" w:rsidRDefault="00B75A04" w:rsidP="005B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222622"/>
      <w:docPartObj>
        <w:docPartGallery w:val="Page Numbers (Bottom of Page)"/>
        <w:docPartUnique/>
      </w:docPartObj>
    </w:sdtPr>
    <w:sdtContent>
      <w:p w:rsidR="00EF5635" w:rsidRDefault="008E4DC7">
        <w:pPr>
          <w:pStyle w:val="a7"/>
          <w:jc w:val="center"/>
        </w:pPr>
        <w:r>
          <w:fldChar w:fldCharType="begin"/>
        </w:r>
        <w:r w:rsidR="00EF5635">
          <w:instrText>PAGE   \* MERGEFORMAT</w:instrText>
        </w:r>
        <w:r>
          <w:fldChar w:fldCharType="separate"/>
        </w:r>
        <w:r w:rsidR="000B1202" w:rsidRPr="000B1202">
          <w:rPr>
            <w:noProof/>
            <w:lang w:val="zh-CN"/>
          </w:rPr>
          <w:t>1</w:t>
        </w:r>
        <w:r>
          <w:fldChar w:fldCharType="end"/>
        </w:r>
      </w:p>
    </w:sdtContent>
  </w:sdt>
  <w:p w:rsidR="00EF5635" w:rsidRDefault="00EF56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A04" w:rsidRDefault="00B75A04" w:rsidP="005B7BB7">
      <w:r>
        <w:separator/>
      </w:r>
    </w:p>
  </w:footnote>
  <w:footnote w:type="continuationSeparator" w:id="1">
    <w:p w:rsidR="00B75A04" w:rsidRDefault="00B75A04" w:rsidP="005B7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35" w:rsidRDefault="00EF5635" w:rsidP="005B7BB7">
    <w:pPr>
      <w:pStyle w:val="a6"/>
      <w:jc w:val="right"/>
    </w:pPr>
    <w:r>
      <w:rPr>
        <w:rFonts w:ascii="宋体" w:hAnsi="宋体" w:hint="eastAsia"/>
        <w:szCs w:val="24"/>
      </w:rPr>
      <w:t>大成景沛灵活配置混合型证券投资基金清算</w:t>
    </w:r>
    <w:r>
      <w:rPr>
        <w:rFonts w:hint="eastAsia"/>
      </w:rPr>
      <w:t>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836"/>
    <w:rsid w:val="000128F0"/>
    <w:rsid w:val="00020C35"/>
    <w:rsid w:val="000330E5"/>
    <w:rsid w:val="00055A29"/>
    <w:rsid w:val="00064B54"/>
    <w:rsid w:val="00081F8A"/>
    <w:rsid w:val="00082949"/>
    <w:rsid w:val="00084270"/>
    <w:rsid w:val="00085D0D"/>
    <w:rsid w:val="00087078"/>
    <w:rsid w:val="0009177E"/>
    <w:rsid w:val="000977B9"/>
    <w:rsid w:val="000A27BA"/>
    <w:rsid w:val="000A3148"/>
    <w:rsid w:val="000B1202"/>
    <w:rsid w:val="000C76E4"/>
    <w:rsid w:val="000D0A84"/>
    <w:rsid w:val="000D32DA"/>
    <w:rsid w:val="000D615E"/>
    <w:rsid w:val="000F3327"/>
    <w:rsid w:val="000F738E"/>
    <w:rsid w:val="00103570"/>
    <w:rsid w:val="00112B3F"/>
    <w:rsid w:val="001133A2"/>
    <w:rsid w:val="001224C6"/>
    <w:rsid w:val="00151936"/>
    <w:rsid w:val="00152688"/>
    <w:rsid w:val="00157F30"/>
    <w:rsid w:val="00165DE8"/>
    <w:rsid w:val="001662E8"/>
    <w:rsid w:val="001679D7"/>
    <w:rsid w:val="00171D4A"/>
    <w:rsid w:val="001970FF"/>
    <w:rsid w:val="00197A7D"/>
    <w:rsid w:val="001B0A23"/>
    <w:rsid w:val="001B7A5F"/>
    <w:rsid w:val="001C33AC"/>
    <w:rsid w:val="001D74D8"/>
    <w:rsid w:val="001D7A7E"/>
    <w:rsid w:val="001E3FE3"/>
    <w:rsid w:val="001E40B4"/>
    <w:rsid w:val="001F292B"/>
    <w:rsid w:val="001F7395"/>
    <w:rsid w:val="0020039F"/>
    <w:rsid w:val="00200BC9"/>
    <w:rsid w:val="002011B9"/>
    <w:rsid w:val="00203EEF"/>
    <w:rsid w:val="00214DB3"/>
    <w:rsid w:val="00216A13"/>
    <w:rsid w:val="002233A2"/>
    <w:rsid w:val="00241BEC"/>
    <w:rsid w:val="00241DE5"/>
    <w:rsid w:val="00242527"/>
    <w:rsid w:val="00243905"/>
    <w:rsid w:val="002465AA"/>
    <w:rsid w:val="00246634"/>
    <w:rsid w:val="002527DF"/>
    <w:rsid w:val="002571E1"/>
    <w:rsid w:val="00267534"/>
    <w:rsid w:val="00283C3D"/>
    <w:rsid w:val="00287F5A"/>
    <w:rsid w:val="00295B3A"/>
    <w:rsid w:val="002B729A"/>
    <w:rsid w:val="002C2350"/>
    <w:rsid w:val="002C6435"/>
    <w:rsid w:val="002D770D"/>
    <w:rsid w:val="002F2FD9"/>
    <w:rsid w:val="002F59F5"/>
    <w:rsid w:val="002F6839"/>
    <w:rsid w:val="002F6A7E"/>
    <w:rsid w:val="00301575"/>
    <w:rsid w:val="0030205E"/>
    <w:rsid w:val="00304A72"/>
    <w:rsid w:val="003059F0"/>
    <w:rsid w:val="003260A3"/>
    <w:rsid w:val="00333AF0"/>
    <w:rsid w:val="00337182"/>
    <w:rsid w:val="003505D8"/>
    <w:rsid w:val="00360D29"/>
    <w:rsid w:val="00362C48"/>
    <w:rsid w:val="00363F8D"/>
    <w:rsid w:val="00384FB8"/>
    <w:rsid w:val="00385BB7"/>
    <w:rsid w:val="00395575"/>
    <w:rsid w:val="003A2BF2"/>
    <w:rsid w:val="003A43D0"/>
    <w:rsid w:val="003A5C9F"/>
    <w:rsid w:val="003C3428"/>
    <w:rsid w:val="003D1212"/>
    <w:rsid w:val="003D21AE"/>
    <w:rsid w:val="003D2E9E"/>
    <w:rsid w:val="003D5070"/>
    <w:rsid w:val="003D6877"/>
    <w:rsid w:val="003E0BA4"/>
    <w:rsid w:val="003E2104"/>
    <w:rsid w:val="0040039A"/>
    <w:rsid w:val="00402CDE"/>
    <w:rsid w:val="004219A6"/>
    <w:rsid w:val="00427A88"/>
    <w:rsid w:val="00451B6C"/>
    <w:rsid w:val="0046346C"/>
    <w:rsid w:val="004634B8"/>
    <w:rsid w:val="004864A5"/>
    <w:rsid w:val="00486F59"/>
    <w:rsid w:val="004A15FB"/>
    <w:rsid w:val="004B4579"/>
    <w:rsid w:val="004C5D87"/>
    <w:rsid w:val="004D1F36"/>
    <w:rsid w:val="004D24AB"/>
    <w:rsid w:val="004D3A99"/>
    <w:rsid w:val="004D4803"/>
    <w:rsid w:val="004E7623"/>
    <w:rsid w:val="004E7F2C"/>
    <w:rsid w:val="004F20EC"/>
    <w:rsid w:val="00500A0E"/>
    <w:rsid w:val="0051529E"/>
    <w:rsid w:val="0051640D"/>
    <w:rsid w:val="00524082"/>
    <w:rsid w:val="005611FE"/>
    <w:rsid w:val="00577C79"/>
    <w:rsid w:val="00583617"/>
    <w:rsid w:val="00590B4D"/>
    <w:rsid w:val="005A011A"/>
    <w:rsid w:val="005A6382"/>
    <w:rsid w:val="005A643C"/>
    <w:rsid w:val="005B3270"/>
    <w:rsid w:val="005B7BB7"/>
    <w:rsid w:val="005D468C"/>
    <w:rsid w:val="005E0693"/>
    <w:rsid w:val="005E0C7A"/>
    <w:rsid w:val="005E3FAC"/>
    <w:rsid w:val="005E5C1B"/>
    <w:rsid w:val="005E7101"/>
    <w:rsid w:val="005E7E47"/>
    <w:rsid w:val="005F2E24"/>
    <w:rsid w:val="00600A27"/>
    <w:rsid w:val="00604D52"/>
    <w:rsid w:val="00605CB0"/>
    <w:rsid w:val="0061038B"/>
    <w:rsid w:val="0061256F"/>
    <w:rsid w:val="00620856"/>
    <w:rsid w:val="0062758A"/>
    <w:rsid w:val="0064052B"/>
    <w:rsid w:val="0064363A"/>
    <w:rsid w:val="00662C9B"/>
    <w:rsid w:val="00665B05"/>
    <w:rsid w:val="006A306D"/>
    <w:rsid w:val="006A32EF"/>
    <w:rsid w:val="006A7C1F"/>
    <w:rsid w:val="006D113D"/>
    <w:rsid w:val="006D2CFC"/>
    <w:rsid w:val="006E0C35"/>
    <w:rsid w:val="006F0665"/>
    <w:rsid w:val="006F5474"/>
    <w:rsid w:val="00700598"/>
    <w:rsid w:val="007074E0"/>
    <w:rsid w:val="007167E2"/>
    <w:rsid w:val="007374CC"/>
    <w:rsid w:val="00775BCB"/>
    <w:rsid w:val="007A6BB6"/>
    <w:rsid w:val="007A6FFF"/>
    <w:rsid w:val="007B2155"/>
    <w:rsid w:val="007B4A8E"/>
    <w:rsid w:val="007B58C2"/>
    <w:rsid w:val="007C3794"/>
    <w:rsid w:val="007E1ADB"/>
    <w:rsid w:val="007E23C3"/>
    <w:rsid w:val="007F7FA7"/>
    <w:rsid w:val="0080054A"/>
    <w:rsid w:val="00804BF4"/>
    <w:rsid w:val="00806CEC"/>
    <w:rsid w:val="00820ADB"/>
    <w:rsid w:val="00821E6F"/>
    <w:rsid w:val="0083459B"/>
    <w:rsid w:val="00834D12"/>
    <w:rsid w:val="0085420D"/>
    <w:rsid w:val="0086464B"/>
    <w:rsid w:val="008765CB"/>
    <w:rsid w:val="00876E65"/>
    <w:rsid w:val="008905D2"/>
    <w:rsid w:val="00895F6F"/>
    <w:rsid w:val="00897331"/>
    <w:rsid w:val="0089773F"/>
    <w:rsid w:val="008A1CA6"/>
    <w:rsid w:val="008A1E14"/>
    <w:rsid w:val="008A25BB"/>
    <w:rsid w:val="008A26BA"/>
    <w:rsid w:val="008B32A6"/>
    <w:rsid w:val="008C54C4"/>
    <w:rsid w:val="008E4DC7"/>
    <w:rsid w:val="008E7098"/>
    <w:rsid w:val="008F168C"/>
    <w:rsid w:val="008F2E11"/>
    <w:rsid w:val="00903A6D"/>
    <w:rsid w:val="009142A6"/>
    <w:rsid w:val="00920903"/>
    <w:rsid w:val="009251C7"/>
    <w:rsid w:val="009267F2"/>
    <w:rsid w:val="0092773F"/>
    <w:rsid w:val="00930979"/>
    <w:rsid w:val="00934485"/>
    <w:rsid w:val="00943BE3"/>
    <w:rsid w:val="0094733D"/>
    <w:rsid w:val="00950E81"/>
    <w:rsid w:val="009537A4"/>
    <w:rsid w:val="009544F3"/>
    <w:rsid w:val="00962482"/>
    <w:rsid w:val="00963A23"/>
    <w:rsid w:val="009755E0"/>
    <w:rsid w:val="009847C6"/>
    <w:rsid w:val="00992C09"/>
    <w:rsid w:val="009C232F"/>
    <w:rsid w:val="009C28B8"/>
    <w:rsid w:val="009C6355"/>
    <w:rsid w:val="009C684F"/>
    <w:rsid w:val="009F197E"/>
    <w:rsid w:val="00A108FD"/>
    <w:rsid w:val="00A17542"/>
    <w:rsid w:val="00A21020"/>
    <w:rsid w:val="00A246A4"/>
    <w:rsid w:val="00A401F5"/>
    <w:rsid w:val="00A4329B"/>
    <w:rsid w:val="00A5105F"/>
    <w:rsid w:val="00A541C8"/>
    <w:rsid w:val="00A77AD6"/>
    <w:rsid w:val="00A80E0E"/>
    <w:rsid w:val="00A86686"/>
    <w:rsid w:val="00A92BB0"/>
    <w:rsid w:val="00A92F7C"/>
    <w:rsid w:val="00AB3419"/>
    <w:rsid w:val="00AC313C"/>
    <w:rsid w:val="00AD1670"/>
    <w:rsid w:val="00AE1B39"/>
    <w:rsid w:val="00AE4062"/>
    <w:rsid w:val="00B05F92"/>
    <w:rsid w:val="00B114AF"/>
    <w:rsid w:val="00B154CA"/>
    <w:rsid w:val="00B42D55"/>
    <w:rsid w:val="00B46405"/>
    <w:rsid w:val="00B50B5B"/>
    <w:rsid w:val="00B52F42"/>
    <w:rsid w:val="00B64836"/>
    <w:rsid w:val="00B75A04"/>
    <w:rsid w:val="00B877FC"/>
    <w:rsid w:val="00B90339"/>
    <w:rsid w:val="00BB37CE"/>
    <w:rsid w:val="00BC0B7A"/>
    <w:rsid w:val="00BC2960"/>
    <w:rsid w:val="00BC2987"/>
    <w:rsid w:val="00BC33D4"/>
    <w:rsid w:val="00BC3EB9"/>
    <w:rsid w:val="00BC58F2"/>
    <w:rsid w:val="00BD1F1C"/>
    <w:rsid w:val="00BD5A1E"/>
    <w:rsid w:val="00BE6ED0"/>
    <w:rsid w:val="00C013B0"/>
    <w:rsid w:val="00C10BF9"/>
    <w:rsid w:val="00C16D68"/>
    <w:rsid w:val="00C30912"/>
    <w:rsid w:val="00C36983"/>
    <w:rsid w:val="00C40FCA"/>
    <w:rsid w:val="00C47511"/>
    <w:rsid w:val="00C479DE"/>
    <w:rsid w:val="00C57E2F"/>
    <w:rsid w:val="00C61630"/>
    <w:rsid w:val="00C70585"/>
    <w:rsid w:val="00C70722"/>
    <w:rsid w:val="00C738DD"/>
    <w:rsid w:val="00C74B30"/>
    <w:rsid w:val="00CA5C59"/>
    <w:rsid w:val="00CA7A77"/>
    <w:rsid w:val="00CB2D30"/>
    <w:rsid w:val="00CB30A9"/>
    <w:rsid w:val="00CB7AD2"/>
    <w:rsid w:val="00CC2109"/>
    <w:rsid w:val="00CE4CE5"/>
    <w:rsid w:val="00CF7C0E"/>
    <w:rsid w:val="00D00E15"/>
    <w:rsid w:val="00D03C44"/>
    <w:rsid w:val="00D07F0B"/>
    <w:rsid w:val="00D11427"/>
    <w:rsid w:val="00D20C95"/>
    <w:rsid w:val="00D321D7"/>
    <w:rsid w:val="00D32EEA"/>
    <w:rsid w:val="00D33036"/>
    <w:rsid w:val="00D37B58"/>
    <w:rsid w:val="00D56281"/>
    <w:rsid w:val="00D71B55"/>
    <w:rsid w:val="00D90029"/>
    <w:rsid w:val="00DA59C3"/>
    <w:rsid w:val="00DB7F3C"/>
    <w:rsid w:val="00DC2732"/>
    <w:rsid w:val="00DC2BA0"/>
    <w:rsid w:val="00DD2CF5"/>
    <w:rsid w:val="00E04AC5"/>
    <w:rsid w:val="00E05487"/>
    <w:rsid w:val="00E12E0F"/>
    <w:rsid w:val="00E14AD9"/>
    <w:rsid w:val="00E40FD8"/>
    <w:rsid w:val="00E442C8"/>
    <w:rsid w:val="00E502E5"/>
    <w:rsid w:val="00E5544F"/>
    <w:rsid w:val="00E6695B"/>
    <w:rsid w:val="00E71AFD"/>
    <w:rsid w:val="00E723A8"/>
    <w:rsid w:val="00E8174F"/>
    <w:rsid w:val="00E91BC2"/>
    <w:rsid w:val="00E96708"/>
    <w:rsid w:val="00EA3772"/>
    <w:rsid w:val="00EA37C7"/>
    <w:rsid w:val="00EC3010"/>
    <w:rsid w:val="00EC7E94"/>
    <w:rsid w:val="00ED0DDA"/>
    <w:rsid w:val="00ED5375"/>
    <w:rsid w:val="00EE3188"/>
    <w:rsid w:val="00EF3B56"/>
    <w:rsid w:val="00EF5635"/>
    <w:rsid w:val="00EF7C68"/>
    <w:rsid w:val="00F00EE4"/>
    <w:rsid w:val="00F058BC"/>
    <w:rsid w:val="00F1013B"/>
    <w:rsid w:val="00F13A80"/>
    <w:rsid w:val="00F25CA6"/>
    <w:rsid w:val="00F26B90"/>
    <w:rsid w:val="00F37A44"/>
    <w:rsid w:val="00F6330C"/>
    <w:rsid w:val="00F641CF"/>
    <w:rsid w:val="00F65DCD"/>
    <w:rsid w:val="00F672A3"/>
    <w:rsid w:val="00F7217C"/>
    <w:rsid w:val="00F77378"/>
    <w:rsid w:val="00F83E68"/>
    <w:rsid w:val="00F90DD1"/>
    <w:rsid w:val="00F92032"/>
    <w:rsid w:val="00FB3E07"/>
    <w:rsid w:val="00FB7881"/>
    <w:rsid w:val="00FB7C03"/>
    <w:rsid w:val="00FD166D"/>
    <w:rsid w:val="00FF423E"/>
    <w:rsid w:val="00FF4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w:rsid w:val="00963A23"/>
    <w:rPr>
      <w:rFonts w:ascii="Times New Roman" w:eastAsia="宋体" w:hAnsi="Times New Roman"/>
    </w:rPr>
  </w:style>
  <w:style w:type="paragraph" w:customStyle="1" w:styleId="Default">
    <w:name w:val="Default"/>
    <w:rsid w:val="008905D2"/>
    <w:pPr>
      <w:widowControl w:val="0"/>
      <w:autoSpaceDE w:val="0"/>
      <w:autoSpaceDN w:val="0"/>
      <w:adjustRightInd w:val="0"/>
    </w:pPr>
    <w:rPr>
      <w:rFonts w:ascii="宋体" w:eastAsia="宋体" w:cs="宋体"/>
      <w:color w:val="000000"/>
      <w:kern w:val="0"/>
      <w:sz w:val="24"/>
      <w:szCs w:val="24"/>
    </w:rPr>
  </w:style>
  <w:style w:type="paragraph" w:styleId="a4">
    <w:name w:val="Normal (Web)"/>
    <w:basedOn w:val="a"/>
    <w:rsid w:val="00CB2D30"/>
    <w:pPr>
      <w:widowControl/>
      <w:spacing w:before="100" w:beforeAutospacing="1" w:after="100" w:afterAutospacing="1"/>
      <w:jc w:val="left"/>
    </w:pPr>
    <w:rPr>
      <w:rFonts w:ascii="宋体" w:hAnsi="宋体"/>
      <w:kern w:val="0"/>
      <w:sz w:val="24"/>
    </w:rPr>
  </w:style>
  <w:style w:type="paragraph" w:customStyle="1" w:styleId="a5">
    <w:name w:val="样式 普通(网站) + 五号"/>
    <w:basedOn w:val="a4"/>
    <w:rsid w:val="00CB2D30"/>
    <w:rPr>
      <w:rFonts w:ascii="Times New Roman" w:hAnsi="Times New Roman"/>
      <w:kern w:val="2"/>
      <w:sz w:val="21"/>
    </w:rPr>
  </w:style>
  <w:style w:type="paragraph" w:styleId="a6">
    <w:name w:val="header"/>
    <w:basedOn w:val="a"/>
    <w:link w:val="Char"/>
    <w:uiPriority w:val="99"/>
    <w:unhideWhenUsed/>
    <w:rsid w:val="005B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B7BB7"/>
    <w:rPr>
      <w:rFonts w:ascii="Times New Roman" w:eastAsia="宋体" w:hAnsi="Times New Roman" w:cs="Times New Roman"/>
      <w:sz w:val="18"/>
      <w:szCs w:val="18"/>
    </w:rPr>
  </w:style>
  <w:style w:type="paragraph" w:styleId="a7">
    <w:name w:val="footer"/>
    <w:basedOn w:val="a"/>
    <w:link w:val="Char0"/>
    <w:uiPriority w:val="99"/>
    <w:unhideWhenUsed/>
    <w:rsid w:val="005B7BB7"/>
    <w:pPr>
      <w:tabs>
        <w:tab w:val="center" w:pos="4153"/>
        <w:tab w:val="right" w:pos="8306"/>
      </w:tabs>
      <w:snapToGrid w:val="0"/>
      <w:jc w:val="left"/>
    </w:pPr>
    <w:rPr>
      <w:sz w:val="18"/>
      <w:szCs w:val="18"/>
    </w:rPr>
  </w:style>
  <w:style w:type="character" w:customStyle="1" w:styleId="Char0">
    <w:name w:val="页脚 Char"/>
    <w:basedOn w:val="a0"/>
    <w:link w:val="a7"/>
    <w:uiPriority w:val="99"/>
    <w:rsid w:val="005B7BB7"/>
    <w:rPr>
      <w:rFonts w:ascii="Times New Roman" w:eastAsia="宋体" w:hAnsi="Times New Roman" w:cs="Times New Roman"/>
      <w:sz w:val="18"/>
      <w:szCs w:val="18"/>
    </w:rPr>
  </w:style>
  <w:style w:type="table" w:styleId="a8">
    <w:name w:val="Table Grid"/>
    <w:basedOn w:val="a1"/>
    <w:uiPriority w:val="59"/>
    <w:rsid w:val="00B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74B30"/>
    <w:rPr>
      <w:sz w:val="16"/>
      <w:szCs w:val="16"/>
    </w:rPr>
  </w:style>
  <w:style w:type="paragraph" w:styleId="aa">
    <w:name w:val="annotation text"/>
    <w:basedOn w:val="a"/>
    <w:link w:val="Char1"/>
    <w:uiPriority w:val="99"/>
    <w:unhideWhenUsed/>
    <w:rsid w:val="00C74B30"/>
    <w:rPr>
      <w:sz w:val="20"/>
    </w:rPr>
  </w:style>
  <w:style w:type="character" w:customStyle="1" w:styleId="Char1">
    <w:name w:val="批注文字 Char"/>
    <w:basedOn w:val="a0"/>
    <w:link w:val="aa"/>
    <w:uiPriority w:val="99"/>
    <w:rsid w:val="00C74B30"/>
    <w:rPr>
      <w:rFonts w:ascii="Times New Roman" w:eastAsia="宋体" w:hAnsi="Times New Roman" w:cs="Times New Roman"/>
      <w:sz w:val="20"/>
      <w:szCs w:val="20"/>
    </w:rPr>
  </w:style>
  <w:style w:type="paragraph" w:styleId="ab">
    <w:name w:val="annotation subject"/>
    <w:basedOn w:val="aa"/>
    <w:next w:val="aa"/>
    <w:link w:val="Char2"/>
    <w:uiPriority w:val="99"/>
    <w:semiHidden/>
    <w:unhideWhenUsed/>
    <w:rsid w:val="00C74B30"/>
    <w:rPr>
      <w:b/>
      <w:bCs/>
    </w:rPr>
  </w:style>
  <w:style w:type="character" w:customStyle="1" w:styleId="Char2">
    <w:name w:val="批注主题 Char"/>
    <w:basedOn w:val="Char1"/>
    <w:link w:val="ab"/>
    <w:uiPriority w:val="99"/>
    <w:semiHidden/>
    <w:rsid w:val="00C74B30"/>
    <w:rPr>
      <w:rFonts w:ascii="Times New Roman" w:eastAsia="宋体" w:hAnsi="Times New Roman" w:cs="Times New Roman"/>
      <w:b/>
      <w:bCs/>
      <w:sz w:val="20"/>
      <w:szCs w:val="20"/>
    </w:rPr>
  </w:style>
  <w:style w:type="paragraph" w:styleId="ac">
    <w:name w:val="Balloon Text"/>
    <w:basedOn w:val="a"/>
    <w:link w:val="Char3"/>
    <w:uiPriority w:val="99"/>
    <w:semiHidden/>
    <w:unhideWhenUsed/>
    <w:rsid w:val="00C74B30"/>
    <w:rPr>
      <w:rFonts w:ascii="Segoe UI" w:hAnsi="Segoe UI" w:cs="Segoe UI"/>
      <w:sz w:val="18"/>
      <w:szCs w:val="18"/>
    </w:rPr>
  </w:style>
  <w:style w:type="character" w:customStyle="1" w:styleId="Char3">
    <w:name w:val="批注框文本 Char"/>
    <w:basedOn w:val="a0"/>
    <w:link w:val="ac"/>
    <w:uiPriority w:val="99"/>
    <w:semiHidden/>
    <w:rsid w:val="00C74B30"/>
    <w:rPr>
      <w:rFonts w:ascii="Segoe UI" w:eastAsia="宋体" w:hAnsi="Segoe UI" w:cs="Segoe UI"/>
      <w:sz w:val="18"/>
      <w:szCs w:val="18"/>
    </w:rPr>
  </w:style>
  <w:style w:type="paragraph" w:styleId="ad">
    <w:name w:val="List Paragraph"/>
    <w:basedOn w:val="a"/>
    <w:uiPriority w:val="34"/>
    <w:qFormat/>
    <w:rsid w:val="009142A6"/>
    <w:pPr>
      <w:ind w:firstLineChars="200" w:firstLine="420"/>
    </w:pPr>
  </w:style>
</w:styles>
</file>

<file path=word/webSettings.xml><?xml version="1.0" encoding="utf-8"?>
<w:webSettings xmlns:r="http://schemas.openxmlformats.org/officeDocument/2006/relationships" xmlns:w="http://schemas.openxmlformats.org/wordprocessingml/2006/main">
  <w:divs>
    <w:div w:id="171184601">
      <w:bodyDiv w:val="1"/>
      <w:marLeft w:val="0"/>
      <w:marRight w:val="0"/>
      <w:marTop w:val="0"/>
      <w:marBottom w:val="0"/>
      <w:divBdr>
        <w:top w:val="none" w:sz="0" w:space="0" w:color="auto"/>
        <w:left w:val="none" w:sz="0" w:space="0" w:color="auto"/>
        <w:bottom w:val="none" w:sz="0" w:space="0" w:color="auto"/>
        <w:right w:val="none" w:sz="0" w:space="0" w:color="auto"/>
      </w:divBdr>
    </w:div>
    <w:div w:id="220096972">
      <w:bodyDiv w:val="1"/>
      <w:marLeft w:val="0"/>
      <w:marRight w:val="0"/>
      <w:marTop w:val="0"/>
      <w:marBottom w:val="0"/>
      <w:divBdr>
        <w:top w:val="none" w:sz="0" w:space="0" w:color="auto"/>
        <w:left w:val="none" w:sz="0" w:space="0" w:color="auto"/>
        <w:bottom w:val="none" w:sz="0" w:space="0" w:color="auto"/>
        <w:right w:val="none" w:sz="0" w:space="0" w:color="auto"/>
      </w:divBdr>
    </w:div>
    <w:div w:id="360593628">
      <w:bodyDiv w:val="1"/>
      <w:marLeft w:val="0"/>
      <w:marRight w:val="0"/>
      <w:marTop w:val="0"/>
      <w:marBottom w:val="0"/>
      <w:divBdr>
        <w:top w:val="none" w:sz="0" w:space="0" w:color="auto"/>
        <w:left w:val="none" w:sz="0" w:space="0" w:color="auto"/>
        <w:bottom w:val="none" w:sz="0" w:space="0" w:color="auto"/>
        <w:right w:val="none" w:sz="0" w:space="0" w:color="auto"/>
      </w:divBdr>
    </w:div>
    <w:div w:id="467479122">
      <w:bodyDiv w:val="1"/>
      <w:marLeft w:val="0"/>
      <w:marRight w:val="0"/>
      <w:marTop w:val="0"/>
      <w:marBottom w:val="0"/>
      <w:divBdr>
        <w:top w:val="none" w:sz="0" w:space="0" w:color="auto"/>
        <w:left w:val="none" w:sz="0" w:space="0" w:color="auto"/>
        <w:bottom w:val="none" w:sz="0" w:space="0" w:color="auto"/>
        <w:right w:val="none" w:sz="0" w:space="0" w:color="auto"/>
      </w:divBdr>
    </w:div>
    <w:div w:id="479615882">
      <w:bodyDiv w:val="1"/>
      <w:marLeft w:val="0"/>
      <w:marRight w:val="0"/>
      <w:marTop w:val="0"/>
      <w:marBottom w:val="0"/>
      <w:divBdr>
        <w:top w:val="none" w:sz="0" w:space="0" w:color="auto"/>
        <w:left w:val="none" w:sz="0" w:space="0" w:color="auto"/>
        <w:bottom w:val="none" w:sz="0" w:space="0" w:color="auto"/>
        <w:right w:val="none" w:sz="0" w:space="0" w:color="auto"/>
      </w:divBdr>
    </w:div>
    <w:div w:id="491063782">
      <w:bodyDiv w:val="1"/>
      <w:marLeft w:val="0"/>
      <w:marRight w:val="0"/>
      <w:marTop w:val="0"/>
      <w:marBottom w:val="0"/>
      <w:divBdr>
        <w:top w:val="none" w:sz="0" w:space="0" w:color="auto"/>
        <w:left w:val="none" w:sz="0" w:space="0" w:color="auto"/>
        <w:bottom w:val="none" w:sz="0" w:space="0" w:color="auto"/>
        <w:right w:val="none" w:sz="0" w:space="0" w:color="auto"/>
      </w:divBdr>
    </w:div>
    <w:div w:id="515460135">
      <w:bodyDiv w:val="1"/>
      <w:marLeft w:val="0"/>
      <w:marRight w:val="0"/>
      <w:marTop w:val="0"/>
      <w:marBottom w:val="0"/>
      <w:divBdr>
        <w:top w:val="none" w:sz="0" w:space="0" w:color="auto"/>
        <w:left w:val="none" w:sz="0" w:space="0" w:color="auto"/>
        <w:bottom w:val="none" w:sz="0" w:space="0" w:color="auto"/>
        <w:right w:val="none" w:sz="0" w:space="0" w:color="auto"/>
      </w:divBdr>
    </w:div>
    <w:div w:id="521163642">
      <w:bodyDiv w:val="1"/>
      <w:marLeft w:val="0"/>
      <w:marRight w:val="0"/>
      <w:marTop w:val="0"/>
      <w:marBottom w:val="0"/>
      <w:divBdr>
        <w:top w:val="none" w:sz="0" w:space="0" w:color="auto"/>
        <w:left w:val="none" w:sz="0" w:space="0" w:color="auto"/>
        <w:bottom w:val="none" w:sz="0" w:space="0" w:color="auto"/>
        <w:right w:val="none" w:sz="0" w:space="0" w:color="auto"/>
      </w:divBdr>
    </w:div>
    <w:div w:id="545990453">
      <w:bodyDiv w:val="1"/>
      <w:marLeft w:val="0"/>
      <w:marRight w:val="0"/>
      <w:marTop w:val="0"/>
      <w:marBottom w:val="0"/>
      <w:divBdr>
        <w:top w:val="none" w:sz="0" w:space="0" w:color="auto"/>
        <w:left w:val="none" w:sz="0" w:space="0" w:color="auto"/>
        <w:bottom w:val="none" w:sz="0" w:space="0" w:color="auto"/>
        <w:right w:val="none" w:sz="0" w:space="0" w:color="auto"/>
      </w:divBdr>
    </w:div>
    <w:div w:id="589386598">
      <w:bodyDiv w:val="1"/>
      <w:marLeft w:val="0"/>
      <w:marRight w:val="0"/>
      <w:marTop w:val="0"/>
      <w:marBottom w:val="0"/>
      <w:divBdr>
        <w:top w:val="none" w:sz="0" w:space="0" w:color="auto"/>
        <w:left w:val="none" w:sz="0" w:space="0" w:color="auto"/>
        <w:bottom w:val="none" w:sz="0" w:space="0" w:color="auto"/>
        <w:right w:val="none" w:sz="0" w:space="0" w:color="auto"/>
      </w:divBdr>
    </w:div>
    <w:div w:id="618801721">
      <w:bodyDiv w:val="1"/>
      <w:marLeft w:val="0"/>
      <w:marRight w:val="0"/>
      <w:marTop w:val="0"/>
      <w:marBottom w:val="0"/>
      <w:divBdr>
        <w:top w:val="none" w:sz="0" w:space="0" w:color="auto"/>
        <w:left w:val="none" w:sz="0" w:space="0" w:color="auto"/>
        <w:bottom w:val="none" w:sz="0" w:space="0" w:color="auto"/>
        <w:right w:val="none" w:sz="0" w:space="0" w:color="auto"/>
      </w:divBdr>
    </w:div>
    <w:div w:id="690454186">
      <w:bodyDiv w:val="1"/>
      <w:marLeft w:val="0"/>
      <w:marRight w:val="0"/>
      <w:marTop w:val="0"/>
      <w:marBottom w:val="0"/>
      <w:divBdr>
        <w:top w:val="none" w:sz="0" w:space="0" w:color="auto"/>
        <w:left w:val="none" w:sz="0" w:space="0" w:color="auto"/>
        <w:bottom w:val="none" w:sz="0" w:space="0" w:color="auto"/>
        <w:right w:val="none" w:sz="0" w:space="0" w:color="auto"/>
      </w:divBdr>
    </w:div>
    <w:div w:id="704067083">
      <w:bodyDiv w:val="1"/>
      <w:marLeft w:val="0"/>
      <w:marRight w:val="0"/>
      <w:marTop w:val="0"/>
      <w:marBottom w:val="0"/>
      <w:divBdr>
        <w:top w:val="none" w:sz="0" w:space="0" w:color="auto"/>
        <w:left w:val="none" w:sz="0" w:space="0" w:color="auto"/>
        <w:bottom w:val="none" w:sz="0" w:space="0" w:color="auto"/>
        <w:right w:val="none" w:sz="0" w:space="0" w:color="auto"/>
      </w:divBdr>
    </w:div>
    <w:div w:id="720180212">
      <w:bodyDiv w:val="1"/>
      <w:marLeft w:val="0"/>
      <w:marRight w:val="0"/>
      <w:marTop w:val="0"/>
      <w:marBottom w:val="0"/>
      <w:divBdr>
        <w:top w:val="none" w:sz="0" w:space="0" w:color="auto"/>
        <w:left w:val="none" w:sz="0" w:space="0" w:color="auto"/>
        <w:bottom w:val="none" w:sz="0" w:space="0" w:color="auto"/>
        <w:right w:val="none" w:sz="0" w:space="0" w:color="auto"/>
      </w:divBdr>
    </w:div>
    <w:div w:id="805973746">
      <w:bodyDiv w:val="1"/>
      <w:marLeft w:val="0"/>
      <w:marRight w:val="0"/>
      <w:marTop w:val="0"/>
      <w:marBottom w:val="0"/>
      <w:divBdr>
        <w:top w:val="none" w:sz="0" w:space="0" w:color="auto"/>
        <w:left w:val="none" w:sz="0" w:space="0" w:color="auto"/>
        <w:bottom w:val="none" w:sz="0" w:space="0" w:color="auto"/>
        <w:right w:val="none" w:sz="0" w:space="0" w:color="auto"/>
      </w:divBdr>
    </w:div>
    <w:div w:id="847982118">
      <w:bodyDiv w:val="1"/>
      <w:marLeft w:val="0"/>
      <w:marRight w:val="0"/>
      <w:marTop w:val="0"/>
      <w:marBottom w:val="0"/>
      <w:divBdr>
        <w:top w:val="none" w:sz="0" w:space="0" w:color="auto"/>
        <w:left w:val="none" w:sz="0" w:space="0" w:color="auto"/>
        <w:bottom w:val="none" w:sz="0" w:space="0" w:color="auto"/>
        <w:right w:val="none" w:sz="0" w:space="0" w:color="auto"/>
      </w:divBdr>
    </w:div>
    <w:div w:id="953244874">
      <w:bodyDiv w:val="1"/>
      <w:marLeft w:val="0"/>
      <w:marRight w:val="0"/>
      <w:marTop w:val="0"/>
      <w:marBottom w:val="0"/>
      <w:divBdr>
        <w:top w:val="none" w:sz="0" w:space="0" w:color="auto"/>
        <w:left w:val="none" w:sz="0" w:space="0" w:color="auto"/>
        <w:bottom w:val="none" w:sz="0" w:space="0" w:color="auto"/>
        <w:right w:val="none" w:sz="0" w:space="0" w:color="auto"/>
      </w:divBdr>
    </w:div>
    <w:div w:id="1001279555">
      <w:bodyDiv w:val="1"/>
      <w:marLeft w:val="0"/>
      <w:marRight w:val="0"/>
      <w:marTop w:val="0"/>
      <w:marBottom w:val="0"/>
      <w:divBdr>
        <w:top w:val="none" w:sz="0" w:space="0" w:color="auto"/>
        <w:left w:val="none" w:sz="0" w:space="0" w:color="auto"/>
        <w:bottom w:val="none" w:sz="0" w:space="0" w:color="auto"/>
        <w:right w:val="none" w:sz="0" w:space="0" w:color="auto"/>
      </w:divBdr>
    </w:div>
    <w:div w:id="1036272725">
      <w:bodyDiv w:val="1"/>
      <w:marLeft w:val="0"/>
      <w:marRight w:val="0"/>
      <w:marTop w:val="0"/>
      <w:marBottom w:val="0"/>
      <w:divBdr>
        <w:top w:val="none" w:sz="0" w:space="0" w:color="auto"/>
        <w:left w:val="none" w:sz="0" w:space="0" w:color="auto"/>
        <w:bottom w:val="none" w:sz="0" w:space="0" w:color="auto"/>
        <w:right w:val="none" w:sz="0" w:space="0" w:color="auto"/>
      </w:divBdr>
    </w:div>
    <w:div w:id="1043823839">
      <w:bodyDiv w:val="1"/>
      <w:marLeft w:val="0"/>
      <w:marRight w:val="0"/>
      <w:marTop w:val="0"/>
      <w:marBottom w:val="0"/>
      <w:divBdr>
        <w:top w:val="none" w:sz="0" w:space="0" w:color="auto"/>
        <w:left w:val="none" w:sz="0" w:space="0" w:color="auto"/>
        <w:bottom w:val="none" w:sz="0" w:space="0" w:color="auto"/>
        <w:right w:val="none" w:sz="0" w:space="0" w:color="auto"/>
      </w:divBdr>
    </w:div>
    <w:div w:id="1133786943">
      <w:bodyDiv w:val="1"/>
      <w:marLeft w:val="0"/>
      <w:marRight w:val="0"/>
      <w:marTop w:val="0"/>
      <w:marBottom w:val="0"/>
      <w:divBdr>
        <w:top w:val="none" w:sz="0" w:space="0" w:color="auto"/>
        <w:left w:val="none" w:sz="0" w:space="0" w:color="auto"/>
        <w:bottom w:val="none" w:sz="0" w:space="0" w:color="auto"/>
        <w:right w:val="none" w:sz="0" w:space="0" w:color="auto"/>
      </w:divBdr>
    </w:div>
    <w:div w:id="1190605677">
      <w:bodyDiv w:val="1"/>
      <w:marLeft w:val="0"/>
      <w:marRight w:val="0"/>
      <w:marTop w:val="0"/>
      <w:marBottom w:val="0"/>
      <w:divBdr>
        <w:top w:val="none" w:sz="0" w:space="0" w:color="auto"/>
        <w:left w:val="none" w:sz="0" w:space="0" w:color="auto"/>
        <w:bottom w:val="none" w:sz="0" w:space="0" w:color="auto"/>
        <w:right w:val="none" w:sz="0" w:space="0" w:color="auto"/>
      </w:divBdr>
    </w:div>
    <w:div w:id="1209761728">
      <w:bodyDiv w:val="1"/>
      <w:marLeft w:val="0"/>
      <w:marRight w:val="0"/>
      <w:marTop w:val="0"/>
      <w:marBottom w:val="0"/>
      <w:divBdr>
        <w:top w:val="none" w:sz="0" w:space="0" w:color="auto"/>
        <w:left w:val="none" w:sz="0" w:space="0" w:color="auto"/>
        <w:bottom w:val="none" w:sz="0" w:space="0" w:color="auto"/>
        <w:right w:val="none" w:sz="0" w:space="0" w:color="auto"/>
      </w:divBdr>
    </w:div>
    <w:div w:id="1251626309">
      <w:bodyDiv w:val="1"/>
      <w:marLeft w:val="0"/>
      <w:marRight w:val="0"/>
      <w:marTop w:val="0"/>
      <w:marBottom w:val="0"/>
      <w:divBdr>
        <w:top w:val="none" w:sz="0" w:space="0" w:color="auto"/>
        <w:left w:val="none" w:sz="0" w:space="0" w:color="auto"/>
        <w:bottom w:val="none" w:sz="0" w:space="0" w:color="auto"/>
        <w:right w:val="none" w:sz="0" w:space="0" w:color="auto"/>
      </w:divBdr>
    </w:div>
    <w:div w:id="1266886665">
      <w:bodyDiv w:val="1"/>
      <w:marLeft w:val="0"/>
      <w:marRight w:val="0"/>
      <w:marTop w:val="0"/>
      <w:marBottom w:val="0"/>
      <w:divBdr>
        <w:top w:val="none" w:sz="0" w:space="0" w:color="auto"/>
        <w:left w:val="none" w:sz="0" w:space="0" w:color="auto"/>
        <w:bottom w:val="none" w:sz="0" w:space="0" w:color="auto"/>
        <w:right w:val="none" w:sz="0" w:space="0" w:color="auto"/>
      </w:divBdr>
    </w:div>
    <w:div w:id="1280376964">
      <w:bodyDiv w:val="1"/>
      <w:marLeft w:val="0"/>
      <w:marRight w:val="0"/>
      <w:marTop w:val="0"/>
      <w:marBottom w:val="0"/>
      <w:divBdr>
        <w:top w:val="none" w:sz="0" w:space="0" w:color="auto"/>
        <w:left w:val="none" w:sz="0" w:space="0" w:color="auto"/>
        <w:bottom w:val="none" w:sz="0" w:space="0" w:color="auto"/>
        <w:right w:val="none" w:sz="0" w:space="0" w:color="auto"/>
      </w:divBdr>
    </w:div>
    <w:div w:id="1313483070">
      <w:bodyDiv w:val="1"/>
      <w:marLeft w:val="0"/>
      <w:marRight w:val="0"/>
      <w:marTop w:val="0"/>
      <w:marBottom w:val="0"/>
      <w:divBdr>
        <w:top w:val="none" w:sz="0" w:space="0" w:color="auto"/>
        <w:left w:val="none" w:sz="0" w:space="0" w:color="auto"/>
        <w:bottom w:val="none" w:sz="0" w:space="0" w:color="auto"/>
        <w:right w:val="none" w:sz="0" w:space="0" w:color="auto"/>
      </w:divBdr>
    </w:div>
    <w:div w:id="1349943247">
      <w:bodyDiv w:val="1"/>
      <w:marLeft w:val="0"/>
      <w:marRight w:val="0"/>
      <w:marTop w:val="0"/>
      <w:marBottom w:val="0"/>
      <w:divBdr>
        <w:top w:val="none" w:sz="0" w:space="0" w:color="auto"/>
        <w:left w:val="none" w:sz="0" w:space="0" w:color="auto"/>
        <w:bottom w:val="none" w:sz="0" w:space="0" w:color="auto"/>
        <w:right w:val="none" w:sz="0" w:space="0" w:color="auto"/>
      </w:divBdr>
    </w:div>
    <w:div w:id="1352343575">
      <w:bodyDiv w:val="1"/>
      <w:marLeft w:val="0"/>
      <w:marRight w:val="0"/>
      <w:marTop w:val="0"/>
      <w:marBottom w:val="0"/>
      <w:divBdr>
        <w:top w:val="none" w:sz="0" w:space="0" w:color="auto"/>
        <w:left w:val="none" w:sz="0" w:space="0" w:color="auto"/>
        <w:bottom w:val="none" w:sz="0" w:space="0" w:color="auto"/>
        <w:right w:val="none" w:sz="0" w:space="0" w:color="auto"/>
      </w:divBdr>
    </w:div>
    <w:div w:id="1401556047">
      <w:bodyDiv w:val="1"/>
      <w:marLeft w:val="0"/>
      <w:marRight w:val="0"/>
      <w:marTop w:val="0"/>
      <w:marBottom w:val="0"/>
      <w:divBdr>
        <w:top w:val="none" w:sz="0" w:space="0" w:color="auto"/>
        <w:left w:val="none" w:sz="0" w:space="0" w:color="auto"/>
        <w:bottom w:val="none" w:sz="0" w:space="0" w:color="auto"/>
        <w:right w:val="none" w:sz="0" w:space="0" w:color="auto"/>
      </w:divBdr>
    </w:div>
    <w:div w:id="1405490151">
      <w:bodyDiv w:val="1"/>
      <w:marLeft w:val="0"/>
      <w:marRight w:val="0"/>
      <w:marTop w:val="0"/>
      <w:marBottom w:val="0"/>
      <w:divBdr>
        <w:top w:val="none" w:sz="0" w:space="0" w:color="auto"/>
        <w:left w:val="none" w:sz="0" w:space="0" w:color="auto"/>
        <w:bottom w:val="none" w:sz="0" w:space="0" w:color="auto"/>
        <w:right w:val="none" w:sz="0" w:space="0" w:color="auto"/>
      </w:divBdr>
    </w:div>
    <w:div w:id="1544319010">
      <w:bodyDiv w:val="1"/>
      <w:marLeft w:val="0"/>
      <w:marRight w:val="0"/>
      <w:marTop w:val="0"/>
      <w:marBottom w:val="0"/>
      <w:divBdr>
        <w:top w:val="none" w:sz="0" w:space="0" w:color="auto"/>
        <w:left w:val="none" w:sz="0" w:space="0" w:color="auto"/>
        <w:bottom w:val="none" w:sz="0" w:space="0" w:color="auto"/>
        <w:right w:val="none" w:sz="0" w:space="0" w:color="auto"/>
      </w:divBdr>
    </w:div>
    <w:div w:id="1631204781">
      <w:bodyDiv w:val="1"/>
      <w:marLeft w:val="0"/>
      <w:marRight w:val="0"/>
      <w:marTop w:val="0"/>
      <w:marBottom w:val="0"/>
      <w:divBdr>
        <w:top w:val="none" w:sz="0" w:space="0" w:color="auto"/>
        <w:left w:val="none" w:sz="0" w:space="0" w:color="auto"/>
        <w:bottom w:val="none" w:sz="0" w:space="0" w:color="auto"/>
        <w:right w:val="none" w:sz="0" w:space="0" w:color="auto"/>
      </w:divBdr>
    </w:div>
    <w:div w:id="1659310221">
      <w:bodyDiv w:val="1"/>
      <w:marLeft w:val="0"/>
      <w:marRight w:val="0"/>
      <w:marTop w:val="0"/>
      <w:marBottom w:val="0"/>
      <w:divBdr>
        <w:top w:val="none" w:sz="0" w:space="0" w:color="auto"/>
        <w:left w:val="none" w:sz="0" w:space="0" w:color="auto"/>
        <w:bottom w:val="none" w:sz="0" w:space="0" w:color="auto"/>
        <w:right w:val="none" w:sz="0" w:space="0" w:color="auto"/>
      </w:divBdr>
    </w:div>
    <w:div w:id="1788111781">
      <w:bodyDiv w:val="1"/>
      <w:marLeft w:val="0"/>
      <w:marRight w:val="0"/>
      <w:marTop w:val="0"/>
      <w:marBottom w:val="0"/>
      <w:divBdr>
        <w:top w:val="none" w:sz="0" w:space="0" w:color="auto"/>
        <w:left w:val="none" w:sz="0" w:space="0" w:color="auto"/>
        <w:bottom w:val="none" w:sz="0" w:space="0" w:color="auto"/>
        <w:right w:val="none" w:sz="0" w:space="0" w:color="auto"/>
      </w:divBdr>
    </w:div>
    <w:div w:id="1823623806">
      <w:bodyDiv w:val="1"/>
      <w:marLeft w:val="0"/>
      <w:marRight w:val="0"/>
      <w:marTop w:val="0"/>
      <w:marBottom w:val="0"/>
      <w:divBdr>
        <w:top w:val="none" w:sz="0" w:space="0" w:color="auto"/>
        <w:left w:val="none" w:sz="0" w:space="0" w:color="auto"/>
        <w:bottom w:val="none" w:sz="0" w:space="0" w:color="auto"/>
        <w:right w:val="none" w:sz="0" w:space="0" w:color="auto"/>
      </w:divBdr>
    </w:div>
    <w:div w:id="1848134539">
      <w:bodyDiv w:val="1"/>
      <w:marLeft w:val="0"/>
      <w:marRight w:val="0"/>
      <w:marTop w:val="0"/>
      <w:marBottom w:val="0"/>
      <w:divBdr>
        <w:top w:val="none" w:sz="0" w:space="0" w:color="auto"/>
        <w:left w:val="none" w:sz="0" w:space="0" w:color="auto"/>
        <w:bottom w:val="none" w:sz="0" w:space="0" w:color="auto"/>
        <w:right w:val="none" w:sz="0" w:space="0" w:color="auto"/>
      </w:divBdr>
    </w:div>
    <w:div w:id="1926304835">
      <w:bodyDiv w:val="1"/>
      <w:marLeft w:val="0"/>
      <w:marRight w:val="0"/>
      <w:marTop w:val="0"/>
      <w:marBottom w:val="0"/>
      <w:divBdr>
        <w:top w:val="none" w:sz="0" w:space="0" w:color="auto"/>
        <w:left w:val="none" w:sz="0" w:space="0" w:color="auto"/>
        <w:bottom w:val="none" w:sz="0" w:space="0" w:color="auto"/>
        <w:right w:val="none" w:sz="0" w:space="0" w:color="auto"/>
      </w:divBdr>
    </w:div>
    <w:div w:id="1962225409">
      <w:bodyDiv w:val="1"/>
      <w:marLeft w:val="0"/>
      <w:marRight w:val="0"/>
      <w:marTop w:val="0"/>
      <w:marBottom w:val="0"/>
      <w:divBdr>
        <w:top w:val="none" w:sz="0" w:space="0" w:color="auto"/>
        <w:left w:val="none" w:sz="0" w:space="0" w:color="auto"/>
        <w:bottom w:val="none" w:sz="0" w:space="0" w:color="auto"/>
        <w:right w:val="none" w:sz="0" w:space="0" w:color="auto"/>
      </w:divBdr>
    </w:div>
    <w:div w:id="1966425103">
      <w:bodyDiv w:val="1"/>
      <w:marLeft w:val="0"/>
      <w:marRight w:val="0"/>
      <w:marTop w:val="0"/>
      <w:marBottom w:val="0"/>
      <w:divBdr>
        <w:top w:val="none" w:sz="0" w:space="0" w:color="auto"/>
        <w:left w:val="none" w:sz="0" w:space="0" w:color="auto"/>
        <w:bottom w:val="none" w:sz="0" w:space="0" w:color="auto"/>
        <w:right w:val="none" w:sz="0" w:space="0" w:color="auto"/>
      </w:divBdr>
    </w:div>
    <w:div w:id="1994260720">
      <w:bodyDiv w:val="1"/>
      <w:marLeft w:val="0"/>
      <w:marRight w:val="0"/>
      <w:marTop w:val="0"/>
      <w:marBottom w:val="0"/>
      <w:divBdr>
        <w:top w:val="none" w:sz="0" w:space="0" w:color="auto"/>
        <w:left w:val="none" w:sz="0" w:space="0" w:color="auto"/>
        <w:bottom w:val="none" w:sz="0" w:space="0" w:color="auto"/>
        <w:right w:val="none" w:sz="0" w:space="0" w:color="auto"/>
      </w:divBdr>
    </w:div>
    <w:div w:id="2039500183">
      <w:bodyDiv w:val="1"/>
      <w:marLeft w:val="0"/>
      <w:marRight w:val="0"/>
      <w:marTop w:val="0"/>
      <w:marBottom w:val="0"/>
      <w:divBdr>
        <w:top w:val="none" w:sz="0" w:space="0" w:color="auto"/>
        <w:left w:val="none" w:sz="0" w:space="0" w:color="auto"/>
        <w:bottom w:val="none" w:sz="0" w:space="0" w:color="auto"/>
        <w:right w:val="none" w:sz="0" w:space="0" w:color="auto"/>
      </w:divBdr>
    </w:div>
    <w:div w:id="2087873307">
      <w:bodyDiv w:val="1"/>
      <w:marLeft w:val="0"/>
      <w:marRight w:val="0"/>
      <w:marTop w:val="0"/>
      <w:marBottom w:val="0"/>
      <w:divBdr>
        <w:top w:val="none" w:sz="0" w:space="0" w:color="auto"/>
        <w:left w:val="none" w:sz="0" w:space="0" w:color="auto"/>
        <w:bottom w:val="none" w:sz="0" w:space="0" w:color="auto"/>
        <w:right w:val="none" w:sz="0" w:space="0" w:color="auto"/>
      </w:divBdr>
    </w:div>
    <w:div w:id="2089493409">
      <w:bodyDiv w:val="1"/>
      <w:marLeft w:val="0"/>
      <w:marRight w:val="0"/>
      <w:marTop w:val="0"/>
      <w:marBottom w:val="0"/>
      <w:divBdr>
        <w:top w:val="none" w:sz="0" w:space="0" w:color="auto"/>
        <w:left w:val="none" w:sz="0" w:space="0" w:color="auto"/>
        <w:bottom w:val="none" w:sz="0" w:space="0" w:color="auto"/>
        <w:right w:val="none" w:sz="0" w:space="0" w:color="auto"/>
      </w:divBdr>
    </w:div>
    <w:div w:id="21325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9124-5195-4C6E-BB0B-64F07A5D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张昕</dc:creator>
  <cp:lastModifiedBy>ZHONGM</cp:lastModifiedBy>
  <cp:revision>2</cp:revision>
  <cp:lastPrinted>2018-11-05T09:18:00Z</cp:lastPrinted>
  <dcterms:created xsi:type="dcterms:W3CDTF">2018-11-29T16:33:00Z</dcterms:created>
  <dcterms:modified xsi:type="dcterms:W3CDTF">2018-11-29T16:33:00Z</dcterms:modified>
</cp:coreProperties>
</file>