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bookmarkStart w:id="0" w:name="_GoBack"/>
      <w:bookmarkEnd w:id="0"/>
      <w:r w:rsidRPr="00DD205B">
        <w:rPr>
          <w:rFonts w:asciiTheme="minorEastAsia" w:hAnsiTheme="minorEastAsia" w:cs="宋体" w:hint="eastAsia"/>
          <w:b/>
          <w:kern w:val="0"/>
          <w:sz w:val="32"/>
          <w:szCs w:val="32"/>
        </w:rPr>
        <w:t>关于</w:t>
      </w:r>
      <w:r w:rsidR="00FB5AC6">
        <w:rPr>
          <w:rFonts w:asciiTheme="minorEastAsia" w:hAnsiTheme="minorEastAsia" w:cs="宋体" w:hint="eastAsia"/>
          <w:b/>
          <w:kern w:val="0"/>
          <w:sz w:val="32"/>
          <w:szCs w:val="32"/>
        </w:rPr>
        <w:t>泰达宏利启智灵活配置混合型证券投资基金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根据《中华人民共和国证券投资基金法》、《公开募集证券投资基金运作管理办法》、</w:t>
      </w:r>
      <w:r w:rsidR="00093F8C" w:rsidRPr="00DD205B">
        <w:rPr>
          <w:rFonts w:asciiTheme="minorEastAsia" w:hAnsiTheme="minorEastAsia" w:cs="Times New Roman" w:hint="eastAsia"/>
        </w:rPr>
        <w:t>《</w:t>
      </w:r>
      <w:r w:rsidR="00FB5AC6">
        <w:rPr>
          <w:rFonts w:asciiTheme="minorEastAsia" w:hAnsiTheme="minorEastAsia" w:cs="Times New Roman" w:hint="eastAsia"/>
        </w:rPr>
        <w:t>泰达宏利启智灵活配置混合型证券投资基金</w:t>
      </w:r>
      <w:r w:rsidR="00093F8C" w:rsidRPr="00DD205B">
        <w:rPr>
          <w:rFonts w:asciiTheme="minorEastAsia" w:hAnsiTheme="minorEastAsia" w:cs="Times New Roman" w:hint="eastAsia"/>
        </w:rPr>
        <w:t>基金合同》</w:t>
      </w:r>
      <w:r w:rsidRPr="00DD205B">
        <w:rPr>
          <w:rFonts w:asciiTheme="minorEastAsia" w:hAnsiTheme="minorEastAsia" w:cs="Times New Roman" w:hint="eastAsia"/>
        </w:rPr>
        <w:t>（以下简称“《基金合同》”）的有关规定，</w:t>
      </w:r>
      <w:r w:rsidR="00FB5AC6">
        <w:rPr>
          <w:rFonts w:asciiTheme="minorEastAsia" w:hAnsiTheme="minorEastAsia" w:cs="Times New Roman" w:hint="eastAsia"/>
        </w:rPr>
        <w:t>泰达宏利启智灵活配置混合型证券投资基金</w:t>
      </w:r>
      <w:r w:rsidRPr="00DD205B">
        <w:rPr>
          <w:rFonts w:asciiTheme="minorEastAsia" w:hAnsiTheme="minorEastAsia" w:cs="Times New Roman" w:hint="eastAsia"/>
        </w:rPr>
        <w:t>（以下简称“本基金”）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4C0D7A">
        <w:rPr>
          <w:rFonts w:asciiTheme="minorEastAsia" w:hAnsiTheme="minorEastAsia" w:cs="Times New Roman"/>
        </w:rPr>
        <w:t>11</w:t>
      </w:r>
      <w:r w:rsidR="00885926" w:rsidRPr="00DD205B">
        <w:rPr>
          <w:rFonts w:asciiTheme="minorEastAsia" w:hAnsiTheme="minorEastAsia" w:cs="Times New Roman" w:hint="eastAsia"/>
        </w:rPr>
        <w:t>月</w:t>
      </w:r>
      <w:r w:rsidR="002F5D19">
        <w:rPr>
          <w:rFonts w:asciiTheme="minorEastAsia" w:hAnsiTheme="minorEastAsia" w:cs="Times New Roman"/>
        </w:rPr>
        <w:t>2</w:t>
      </w:r>
      <w:r w:rsidR="004C0D7A">
        <w:rPr>
          <w:rFonts w:asciiTheme="minorEastAsia" w:hAnsiTheme="minorEastAsia" w:cs="Times New Roman"/>
        </w:rPr>
        <w:t>9</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4C0D7A">
        <w:rPr>
          <w:rFonts w:asciiTheme="minorEastAsia" w:hAnsiTheme="minorEastAsia" w:cs="Times New Roman"/>
        </w:rPr>
        <w:t>11</w:t>
      </w:r>
      <w:r w:rsidR="00885926" w:rsidRPr="00DD205B">
        <w:rPr>
          <w:rFonts w:asciiTheme="minorEastAsia" w:hAnsiTheme="minorEastAsia" w:cs="Times New Roman" w:hint="eastAsia"/>
        </w:rPr>
        <w:t>月</w:t>
      </w:r>
      <w:r w:rsidR="004C0D7A">
        <w:rPr>
          <w:rFonts w:asciiTheme="minorEastAsia" w:hAnsiTheme="minorEastAsia" w:cs="Times New Roman"/>
        </w:rPr>
        <w:t>30</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2F5D19"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FB5AC6">
        <w:rPr>
          <w:rFonts w:asciiTheme="minorEastAsia" w:hAnsiTheme="minorEastAsia" w:cs="Times New Roman" w:hint="eastAsia"/>
          <w:sz w:val="24"/>
          <w:szCs w:val="24"/>
        </w:rPr>
        <w:t>泰达宏利启智灵活配置混合型证券投资基金</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2B0375" w:rsidRPr="00492BB4">
        <w:rPr>
          <w:rFonts w:hint="eastAsia"/>
          <w:sz w:val="24"/>
        </w:rPr>
        <w:t>003247</w:t>
      </w:r>
      <w:r w:rsidR="00093F8C" w:rsidRPr="00DD205B">
        <w:rPr>
          <w:rFonts w:asciiTheme="minorEastAsia" w:hAnsiTheme="minorEastAsia" w:hint="eastAsia"/>
          <w:sz w:val="24"/>
          <w:szCs w:val="24"/>
        </w:rPr>
        <w:t>/</w:t>
      </w:r>
      <w:r w:rsidR="002F5D19">
        <w:rPr>
          <w:rFonts w:asciiTheme="minorEastAsia" w:hAnsiTheme="minorEastAsia"/>
          <w:sz w:val="24"/>
          <w:szCs w:val="24"/>
        </w:rPr>
        <w:t>C</w:t>
      </w:r>
      <w:r w:rsidR="008B45AC" w:rsidRPr="00DD205B">
        <w:rPr>
          <w:rFonts w:asciiTheme="minorEastAsia" w:hAnsiTheme="minorEastAsia" w:hint="eastAsia"/>
          <w:sz w:val="24"/>
          <w:szCs w:val="24"/>
        </w:rPr>
        <w:t>类</w:t>
      </w:r>
      <w:r w:rsidR="002B0375" w:rsidRPr="00492BB4">
        <w:rPr>
          <w:rFonts w:hint="eastAsia"/>
          <w:sz w:val="24"/>
        </w:rPr>
        <w:t>003248</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w:t>
      </w:r>
      <w:r w:rsidR="002B0375" w:rsidRPr="006B43D3">
        <w:rPr>
          <w:bCs/>
          <w:sz w:val="24"/>
        </w:rPr>
        <w:t>契约型</w:t>
      </w:r>
      <w:r w:rsidR="002B0375" w:rsidRPr="006B43D3">
        <w:rPr>
          <w:rFonts w:hint="eastAsia"/>
          <w:bCs/>
          <w:sz w:val="24"/>
        </w:rPr>
        <w:t>开放式</w:t>
      </w:r>
      <w:r w:rsidR="002B0375" w:rsidRPr="006B43D3">
        <w:rPr>
          <w:bCs/>
          <w:sz w:val="24"/>
        </w:rPr>
        <w:t>、</w:t>
      </w:r>
      <w:r w:rsidR="002B0375">
        <w:rPr>
          <w:rFonts w:hint="eastAsia"/>
          <w:bCs/>
          <w:sz w:val="24"/>
        </w:rPr>
        <w:t>混合</w:t>
      </w:r>
      <w:r w:rsidR="002B0375" w:rsidRPr="006B43D3">
        <w:rPr>
          <w:rFonts w:hint="eastAsia"/>
          <w:bCs/>
          <w:sz w:val="24"/>
        </w:rPr>
        <w:t>型</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2B0375">
        <w:rPr>
          <w:rFonts w:asciiTheme="minorEastAsia" w:hAnsiTheme="minorEastAsia" w:cs="Times New Roman"/>
          <w:sz w:val="24"/>
          <w:szCs w:val="24"/>
        </w:rPr>
        <w:t>2016</w:t>
      </w:r>
      <w:r w:rsidRPr="00DD205B">
        <w:rPr>
          <w:rFonts w:asciiTheme="minorEastAsia" w:hAnsiTheme="minorEastAsia" w:cs="Times New Roman" w:hint="eastAsia"/>
          <w:sz w:val="24"/>
          <w:szCs w:val="24"/>
        </w:rPr>
        <w:t>年</w:t>
      </w:r>
      <w:r w:rsidR="002B0375">
        <w:rPr>
          <w:rFonts w:asciiTheme="minorEastAsia" w:hAnsiTheme="minorEastAsia" w:cs="Times New Roman" w:hint="eastAsia"/>
          <w:sz w:val="24"/>
          <w:szCs w:val="24"/>
        </w:rPr>
        <w:t>8</w:t>
      </w:r>
      <w:r w:rsidRPr="00DD205B">
        <w:rPr>
          <w:rFonts w:asciiTheme="minorEastAsia" w:hAnsiTheme="minorEastAsia" w:cs="Times New Roman" w:hint="eastAsia"/>
          <w:sz w:val="24"/>
          <w:szCs w:val="24"/>
        </w:rPr>
        <w:t>月</w:t>
      </w:r>
      <w:r w:rsidR="002B0375">
        <w:rPr>
          <w:rFonts w:asciiTheme="minorEastAsia" w:hAnsiTheme="minorEastAsia" w:cs="Times New Roman"/>
          <w:sz w:val="24"/>
          <w:szCs w:val="24"/>
        </w:rPr>
        <w:t>30</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2B0375" w:rsidRDefault="00007006" w:rsidP="00821BB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w:t>
      </w:r>
      <w:r w:rsidR="002B0375" w:rsidRPr="002B0375">
        <w:rPr>
          <w:rFonts w:asciiTheme="minorEastAsia" w:hAnsiTheme="minorEastAsia" w:cs="Times New Roman" w:hint="eastAsia"/>
          <w:sz w:val="24"/>
          <w:szCs w:val="24"/>
        </w:rPr>
        <w:t>江苏银行股份有限公司</w:t>
      </w:r>
    </w:p>
    <w:p w:rsidR="002F5D19" w:rsidRDefault="00007006" w:rsidP="00DD205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w:t>
      </w:r>
      <w:r w:rsidR="00FB5AC6">
        <w:rPr>
          <w:rFonts w:asciiTheme="minorEastAsia" w:hAnsiTheme="minorEastAsia" w:cs="Times New Roman" w:hint="eastAsia"/>
          <w:sz w:val="24"/>
          <w:szCs w:val="24"/>
        </w:rPr>
        <w:t>泰达宏利启智灵活配置混合型证券投资基金</w:t>
      </w:r>
      <w:r w:rsidR="00093F8C"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w:t>
      </w:r>
      <w:r w:rsidR="00FB5AC6">
        <w:rPr>
          <w:rFonts w:asciiTheme="minorEastAsia" w:hAnsiTheme="minorEastAsia" w:cs="Times New Roman" w:hint="eastAsia"/>
          <w:sz w:val="24"/>
          <w:szCs w:val="24"/>
        </w:rPr>
        <w:t>泰达宏利启智灵活配置混合型证券投资基金</w:t>
      </w:r>
      <w:r w:rsidR="00093F8C" w:rsidRPr="00DD205B">
        <w:rPr>
          <w:rFonts w:asciiTheme="minorEastAsia" w:hAnsiTheme="minorEastAsia" w:cs="Times New Roman" w:hint="eastAsia"/>
          <w:sz w:val="24"/>
          <w:szCs w:val="24"/>
        </w:rPr>
        <w:t>招募说明书》</w:t>
      </w:r>
      <w:r w:rsidRPr="00DD205B">
        <w:rPr>
          <w:rFonts w:asciiTheme="minorEastAsia" w:hAnsiTheme="minorEastAsia" w:cs="Times New Roman" w:hint="eastAsia"/>
          <w:sz w:val="24"/>
          <w:szCs w:val="24"/>
        </w:rPr>
        <w:t>。</w:t>
      </w:r>
    </w:p>
    <w:p w:rsidR="00553082" w:rsidRPr="00DD205B" w:rsidRDefault="00007006" w:rsidP="00DD205B">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4C0D7A">
        <w:rPr>
          <w:rFonts w:asciiTheme="minorEastAsia" w:hAnsiTheme="minorEastAsia" w:cs="Times New Roman" w:hint="eastAsia"/>
          <w:sz w:val="24"/>
          <w:szCs w:val="24"/>
        </w:rPr>
        <w:t>5</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2F5D19">
        <w:rPr>
          <w:rFonts w:asciiTheme="minorEastAsia" w:hAnsiTheme="minorEastAsia" w:cs="Times New Roman" w:hint="eastAsia"/>
          <w:sz w:val="24"/>
          <w:szCs w:val="24"/>
        </w:rPr>
        <w:t>备案</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w:t>
      </w:r>
      <w:r w:rsidR="004C0D7A">
        <w:rPr>
          <w:rFonts w:asciiTheme="minorEastAsia" w:hAnsiTheme="minorEastAsia" w:cs="Times New Roman" w:hint="eastAsia"/>
          <w:sz w:val="24"/>
          <w:szCs w:val="24"/>
        </w:rPr>
        <w:t>19</w:t>
      </w:r>
      <w:r w:rsidR="00CF49D5" w:rsidRPr="00DD205B">
        <w:rPr>
          <w:rFonts w:asciiTheme="minorEastAsia" w:hAnsiTheme="minorEastAsia" w:cs="Times New Roman" w:hint="eastAsia"/>
          <w:sz w:val="24"/>
          <w:szCs w:val="24"/>
        </w:rPr>
        <w:t>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8B45AC"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hint="eastAsia"/>
          <w:sz w:val="24"/>
        </w:rPr>
        <w:t>至201</w:t>
      </w:r>
      <w:r w:rsidR="002F5D19">
        <w:rPr>
          <w:rFonts w:asciiTheme="minorEastAsia" w:hAnsiTheme="minorEastAsia"/>
          <w:sz w:val="24"/>
        </w:rPr>
        <w:t>8</w:t>
      </w:r>
      <w:r w:rsidRPr="00DD205B">
        <w:rPr>
          <w:rFonts w:asciiTheme="minorEastAsia" w:hAnsiTheme="minorEastAsia" w:hint="eastAsia"/>
          <w:sz w:val="24"/>
        </w:rPr>
        <w:t>年</w:t>
      </w:r>
      <w:r w:rsidR="00821BBB">
        <w:rPr>
          <w:rFonts w:asciiTheme="minorEastAsia" w:hAnsiTheme="minorEastAsia"/>
          <w:sz w:val="24"/>
        </w:rPr>
        <w:t>11</w:t>
      </w:r>
      <w:r w:rsidRPr="00DD205B">
        <w:rPr>
          <w:rFonts w:asciiTheme="minorEastAsia" w:hAnsiTheme="minorEastAsia" w:hint="eastAsia"/>
          <w:sz w:val="24"/>
        </w:rPr>
        <w:t>月</w:t>
      </w:r>
      <w:r w:rsidR="004C0D7A">
        <w:rPr>
          <w:rFonts w:asciiTheme="minorEastAsia" w:hAnsiTheme="minorEastAsia"/>
          <w:sz w:val="24"/>
        </w:rPr>
        <w:t>29</w:t>
      </w:r>
      <w:r w:rsidRPr="00DD205B">
        <w:rPr>
          <w:rFonts w:asciiTheme="minorEastAsia" w:hAnsiTheme="minorEastAsia" w:hint="eastAsia"/>
          <w:sz w:val="24"/>
        </w:rPr>
        <w:t>日，</w:t>
      </w:r>
      <w:r w:rsidR="00236F3D">
        <w:rPr>
          <w:rFonts w:asciiTheme="minorEastAsia" w:hAnsiTheme="minorEastAsia" w:hint="eastAsia"/>
          <w:sz w:val="24"/>
        </w:rPr>
        <w:t>本基金</w:t>
      </w:r>
      <w:r w:rsidR="00007006"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00007006" w:rsidRPr="00DD205B">
        <w:rPr>
          <w:rFonts w:asciiTheme="minorEastAsia" w:hAnsiTheme="minorEastAsia" w:cs="Times New Roman" w:hint="eastAsia"/>
          <w:sz w:val="24"/>
          <w:szCs w:val="24"/>
        </w:rPr>
        <w:t>连续</w:t>
      </w:r>
      <w:r w:rsidR="00007006" w:rsidRPr="00DD205B">
        <w:rPr>
          <w:rFonts w:asciiTheme="minorEastAsia" w:hAnsiTheme="minorEastAsia" w:cs="Times New Roman"/>
          <w:sz w:val="24"/>
          <w:szCs w:val="24"/>
        </w:rPr>
        <w:t>60</w:t>
      </w:r>
      <w:r w:rsidR="00007006" w:rsidRPr="00DD205B">
        <w:rPr>
          <w:rFonts w:asciiTheme="minorEastAsia" w:hAnsiTheme="minorEastAsia" w:cs="Times New Roman" w:hint="eastAsia"/>
          <w:sz w:val="24"/>
          <w:szCs w:val="24"/>
        </w:rPr>
        <w:t>个工作日基金资产净值低于</w:t>
      </w:r>
      <w:r w:rsidR="00007006" w:rsidRPr="00DD205B">
        <w:rPr>
          <w:rFonts w:asciiTheme="minorEastAsia" w:hAnsiTheme="minorEastAsia" w:cs="Times New Roman"/>
          <w:sz w:val="24"/>
          <w:szCs w:val="24"/>
        </w:rPr>
        <w:t>5000</w:t>
      </w:r>
      <w:r w:rsidR="00007006"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00007006" w:rsidRPr="00DD205B">
        <w:rPr>
          <w:rFonts w:asciiTheme="minorEastAsia" w:hAnsiTheme="minorEastAsia" w:cs="Times New Roman" w:hint="eastAsia"/>
          <w:sz w:val="24"/>
          <w:szCs w:val="24"/>
        </w:rPr>
        <w:t>。为维护基金份额持有人利益，根据</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约定，本基</w:t>
      </w:r>
      <w:r w:rsidR="00007006" w:rsidRPr="00DD205B">
        <w:rPr>
          <w:rFonts w:asciiTheme="minorEastAsia" w:hAnsiTheme="minorEastAsia" w:cs="Times New Roman" w:hint="eastAsia"/>
          <w:sz w:val="24"/>
          <w:szCs w:val="24"/>
        </w:rPr>
        <w:lastRenderedPageBreak/>
        <w:t>金管理人应终止本基金合同并依法履行基金财产清算程序</w:t>
      </w:r>
      <w:r w:rsidRPr="00DD205B">
        <w:rPr>
          <w:rFonts w:asciiTheme="minorEastAsia" w:hAnsiTheme="minorEastAsia" w:hint="eastAsia"/>
          <w:sz w:val="24"/>
        </w:rPr>
        <w:t>，</w:t>
      </w:r>
      <w:r w:rsidR="004C0D7A" w:rsidRPr="00DD205B">
        <w:rPr>
          <w:rFonts w:asciiTheme="minorEastAsia" w:hAnsiTheme="minorEastAsia" w:hint="eastAsia"/>
          <w:sz w:val="24"/>
        </w:rPr>
        <w:t>无</w:t>
      </w:r>
      <w:r w:rsidRPr="00DD205B">
        <w:rPr>
          <w:rFonts w:asciiTheme="minorEastAsia" w:hAnsiTheme="minorEastAsia" w:hint="eastAsia"/>
          <w:sz w:val="24"/>
        </w:rPr>
        <w:t>需召开基金份额持有人大会</w:t>
      </w:r>
      <w:r w:rsidR="00007006"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w:t>
      </w:r>
      <w:r w:rsidR="002F5D19">
        <w:rPr>
          <w:rFonts w:asciiTheme="minorEastAsia" w:hAnsiTheme="minorEastAsia" w:cs="Times New Roman"/>
          <w:sz w:val="24"/>
          <w:szCs w:val="24"/>
        </w:rPr>
        <w:t>8</w:t>
      </w:r>
      <w:r w:rsidR="00276B6B">
        <w:rPr>
          <w:rFonts w:asciiTheme="minorEastAsia" w:hAnsiTheme="minorEastAsia" w:cs="Times New Roman" w:hint="eastAsia"/>
          <w:sz w:val="24"/>
          <w:szCs w:val="24"/>
        </w:rPr>
        <w:t>年</w:t>
      </w:r>
      <w:r w:rsidR="00821BBB">
        <w:rPr>
          <w:rFonts w:asciiTheme="minorEastAsia" w:hAnsiTheme="minorEastAsia" w:cs="Times New Roman"/>
          <w:sz w:val="24"/>
          <w:szCs w:val="24"/>
        </w:rPr>
        <w:t>11</w:t>
      </w:r>
      <w:r w:rsidR="00CA3939" w:rsidRPr="00DD205B">
        <w:rPr>
          <w:rFonts w:asciiTheme="minorEastAsia" w:hAnsiTheme="minorEastAsia" w:cs="Times New Roman" w:hint="eastAsia"/>
          <w:sz w:val="24"/>
          <w:szCs w:val="24"/>
        </w:rPr>
        <w:t>月</w:t>
      </w:r>
      <w:r w:rsidR="004C0D7A">
        <w:rPr>
          <w:rFonts w:asciiTheme="minorEastAsia" w:hAnsiTheme="minorEastAsia" w:cs="Times New Roman" w:hint="eastAsia"/>
          <w:sz w:val="24"/>
          <w:szCs w:val="24"/>
        </w:rPr>
        <w:t>29</w:t>
      </w:r>
      <w:r w:rsidR="00CA3939" w:rsidRPr="00DD205B">
        <w:rPr>
          <w:rFonts w:asciiTheme="minorEastAsia" w:hAnsiTheme="minorEastAsia" w:cs="Times New Roman" w:hint="eastAsia"/>
          <w:sz w:val="24"/>
          <w:szCs w:val="24"/>
        </w:rPr>
        <w:t>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w:t>
      </w:r>
      <w:r w:rsidR="002F5D19">
        <w:rPr>
          <w:rFonts w:asciiTheme="minorEastAsia" w:hAnsiTheme="minorEastAsia" w:cs="Times New Roman"/>
          <w:sz w:val="24"/>
          <w:szCs w:val="24"/>
        </w:rPr>
        <w:t>8</w:t>
      </w:r>
      <w:r w:rsidR="00F874EC" w:rsidRPr="00DD205B">
        <w:rPr>
          <w:rFonts w:asciiTheme="minorEastAsia" w:hAnsiTheme="minorEastAsia" w:cs="Times New Roman"/>
          <w:sz w:val="24"/>
          <w:szCs w:val="24"/>
        </w:rPr>
        <w:t>年</w:t>
      </w:r>
      <w:r w:rsidR="0075178A">
        <w:rPr>
          <w:rFonts w:asciiTheme="minorEastAsia" w:hAnsiTheme="minorEastAsia" w:cs="Times New Roman"/>
          <w:sz w:val="24"/>
          <w:szCs w:val="24"/>
        </w:rPr>
        <w:t>11</w:t>
      </w:r>
      <w:r w:rsidRPr="00DD205B">
        <w:rPr>
          <w:rFonts w:asciiTheme="minorEastAsia" w:hAnsiTheme="minorEastAsia" w:cs="Times New Roman"/>
          <w:sz w:val="24"/>
          <w:szCs w:val="24"/>
        </w:rPr>
        <w:t>月</w:t>
      </w:r>
      <w:r w:rsidR="0075178A">
        <w:rPr>
          <w:rFonts w:asciiTheme="minorEastAsia" w:hAnsiTheme="minorEastAsia" w:cs="Times New Roman"/>
          <w:sz w:val="24"/>
          <w:szCs w:val="24"/>
        </w:rPr>
        <w:t>30</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停止收取基金管理费、基金托管费</w:t>
      </w:r>
      <w:r w:rsidR="004C0D7A">
        <w:rPr>
          <w:rFonts w:asciiTheme="minorEastAsia" w:hAnsiTheme="minorEastAsia" w:cs="Times New Roman" w:hint="eastAsia"/>
          <w:sz w:val="24"/>
          <w:szCs w:val="24"/>
        </w:rPr>
        <w:t>、</w:t>
      </w:r>
      <w:r w:rsidR="004C0D7A">
        <w:rPr>
          <w:rFonts w:asciiTheme="minorEastAsia" w:hAnsiTheme="minorEastAsia" w:cs="Times New Roman"/>
          <w:sz w:val="24"/>
          <w:szCs w:val="24"/>
        </w:rPr>
        <w:t>销售服务费</w:t>
      </w:r>
      <w:r w:rsidRPr="00DD205B">
        <w:rPr>
          <w:rFonts w:asciiTheme="minorEastAsia" w:hAnsiTheme="minorEastAsia" w:cs="Times New Roman"/>
          <w:sz w:val="24"/>
          <w:szCs w:val="24"/>
        </w:rPr>
        <w:t xml:space="preserve">。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4C0D7A" w:rsidRPr="004C0D7A">
        <w:rPr>
          <w:rFonts w:asciiTheme="minorEastAsia" w:hAnsiTheme="minorEastAsia" w:cs="Times New Roman" w:hint="eastAsia"/>
          <w:sz w:val="24"/>
          <w:szCs w:val="24"/>
        </w:rPr>
        <w:t>中国证监会指定的人员</w:t>
      </w:r>
      <w:r w:rsidRPr="00DD205B">
        <w:rPr>
          <w:rFonts w:asciiTheme="minorEastAsia" w:hAnsiTheme="minorEastAsia" w:cs="Times New Roman"/>
          <w:sz w:val="24"/>
          <w:szCs w:val="24"/>
        </w:rPr>
        <w:t xml:space="preserve">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清算费用是指基金财产清算小组在进行基金清算过程中发生的所有合理费用，清算费用由基金财产清算小组优先从基金财产中支付。</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w:t>
      </w:r>
      <w:r w:rsidR="002F5D19" w:rsidRPr="002F5D19">
        <w:rPr>
          <w:rFonts w:asciiTheme="minorEastAsia" w:hAnsiTheme="minorEastAsia" w:cs="Times New Roman" w:hint="eastAsia"/>
          <w:sz w:val="24"/>
          <w:szCs w:val="24"/>
        </w:rPr>
        <w:t>基金</w:t>
      </w:r>
      <w:r w:rsidR="002F5D19" w:rsidRPr="002F5D19">
        <w:rPr>
          <w:rFonts w:asciiTheme="minorEastAsia" w:hAnsiTheme="minorEastAsia" w:cs="Times New Roman" w:hint="eastAsia"/>
          <w:sz w:val="24"/>
          <w:szCs w:val="24"/>
        </w:rPr>
        <w:lastRenderedPageBreak/>
        <w:t>财产清算费用、</w:t>
      </w:r>
      <w:r w:rsidRPr="00DD205B">
        <w:rPr>
          <w:rFonts w:asciiTheme="minorEastAsia" w:hAnsiTheme="minorEastAsia" w:cs="Times New Roman"/>
          <w:sz w:val="24"/>
          <w:szCs w:val="24"/>
        </w:rPr>
        <w:t>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625B05" w:rsidP="00625B05">
      <w:pPr>
        <w:spacing w:line="360" w:lineRule="auto"/>
        <w:ind w:firstLineChars="200" w:firstLine="480"/>
        <w:rPr>
          <w:rFonts w:asciiTheme="minorEastAsia" w:hAnsiTheme="minorEastAsia" w:cs="Times New Roman"/>
          <w:sz w:val="24"/>
          <w:szCs w:val="24"/>
        </w:rPr>
      </w:pPr>
      <w:r w:rsidRPr="00625B05">
        <w:rPr>
          <w:rFonts w:asciiTheme="minorEastAsia" w:hAnsiTheme="minorEastAsia" w:cs="Times New Roman" w:hint="eastAsia"/>
          <w:sz w:val="24"/>
          <w:szCs w:val="24"/>
        </w:rPr>
        <w:t>若因本基金所持证券的流动性受到限制而不能及时变现，则本基金可能需要进行多次清算。</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w:t>
      </w:r>
      <w:r w:rsidR="002F5D19">
        <w:rPr>
          <w:rFonts w:ascii="宋体" w:eastAsia="宋体" w:hAnsi="宋体" w:cs="Times New Roman"/>
          <w:sz w:val="24"/>
          <w:szCs w:val="24"/>
        </w:rPr>
        <w:t>8</w:t>
      </w:r>
      <w:r w:rsidR="00007006" w:rsidRPr="00DD205B">
        <w:rPr>
          <w:rFonts w:ascii="宋体" w:eastAsia="宋体" w:hAnsi="宋体" w:cs="Times New Roman" w:hint="eastAsia"/>
          <w:sz w:val="24"/>
          <w:szCs w:val="24"/>
        </w:rPr>
        <w:t>年</w:t>
      </w:r>
      <w:r w:rsidR="0075178A">
        <w:rPr>
          <w:rFonts w:ascii="宋体" w:eastAsia="宋体" w:hAnsi="宋体" w:cs="Times New Roman"/>
          <w:sz w:val="24"/>
          <w:szCs w:val="24"/>
        </w:rPr>
        <w:t>11</w:t>
      </w:r>
      <w:r w:rsidR="007B134A" w:rsidRPr="00DD205B">
        <w:rPr>
          <w:rFonts w:ascii="宋体" w:eastAsia="宋体" w:hAnsi="宋体" w:cs="Times New Roman" w:hint="eastAsia"/>
          <w:sz w:val="24"/>
          <w:szCs w:val="24"/>
        </w:rPr>
        <w:t>月</w:t>
      </w:r>
      <w:r w:rsidR="0075178A">
        <w:rPr>
          <w:rFonts w:ascii="宋体" w:eastAsia="宋体" w:hAnsi="宋体" w:cs="Times New Roman"/>
          <w:sz w:val="24"/>
          <w:szCs w:val="24"/>
        </w:rPr>
        <w:t>30</w:t>
      </w:r>
      <w:r w:rsidR="007B134A" w:rsidRPr="00DD205B">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F8E" w:rsidRDefault="00712F8E" w:rsidP="004A00AA">
      <w:r>
        <w:separator/>
      </w:r>
    </w:p>
  </w:endnote>
  <w:endnote w:type="continuationSeparator" w:id="1">
    <w:p w:rsidR="00712F8E" w:rsidRDefault="00712F8E"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F8E" w:rsidRDefault="00712F8E" w:rsidP="004A00AA">
      <w:r>
        <w:separator/>
      </w:r>
    </w:p>
  </w:footnote>
  <w:footnote w:type="continuationSeparator" w:id="1">
    <w:p w:rsidR="00712F8E" w:rsidRDefault="00712F8E"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276A"/>
    <w:rsid w:val="0002302E"/>
    <w:rsid w:val="000264C6"/>
    <w:rsid w:val="00031D8A"/>
    <w:rsid w:val="000351AA"/>
    <w:rsid w:val="000405B9"/>
    <w:rsid w:val="00052D4B"/>
    <w:rsid w:val="00093F8C"/>
    <w:rsid w:val="000A610B"/>
    <w:rsid w:val="000B11CF"/>
    <w:rsid w:val="000C603B"/>
    <w:rsid w:val="000D1002"/>
    <w:rsid w:val="000F6AA5"/>
    <w:rsid w:val="0013027E"/>
    <w:rsid w:val="00146396"/>
    <w:rsid w:val="001529D8"/>
    <w:rsid w:val="001558B2"/>
    <w:rsid w:val="001931C8"/>
    <w:rsid w:val="001933CA"/>
    <w:rsid w:val="001E6E79"/>
    <w:rsid w:val="00232088"/>
    <w:rsid w:val="00236F3D"/>
    <w:rsid w:val="002536FF"/>
    <w:rsid w:val="00276B6B"/>
    <w:rsid w:val="002809F9"/>
    <w:rsid w:val="0028393F"/>
    <w:rsid w:val="002908E7"/>
    <w:rsid w:val="002B0375"/>
    <w:rsid w:val="002D3105"/>
    <w:rsid w:val="002D7E5A"/>
    <w:rsid w:val="002F5D19"/>
    <w:rsid w:val="00320E23"/>
    <w:rsid w:val="00376F37"/>
    <w:rsid w:val="00377BF4"/>
    <w:rsid w:val="0039367A"/>
    <w:rsid w:val="003A6821"/>
    <w:rsid w:val="003E52DA"/>
    <w:rsid w:val="00417AB8"/>
    <w:rsid w:val="00456BFD"/>
    <w:rsid w:val="00463450"/>
    <w:rsid w:val="004778C5"/>
    <w:rsid w:val="00492652"/>
    <w:rsid w:val="00495416"/>
    <w:rsid w:val="004A00AA"/>
    <w:rsid w:val="004A6BD0"/>
    <w:rsid w:val="004B2286"/>
    <w:rsid w:val="004C0D7A"/>
    <w:rsid w:val="004C5C75"/>
    <w:rsid w:val="004D7EB2"/>
    <w:rsid w:val="00517D1F"/>
    <w:rsid w:val="0053757C"/>
    <w:rsid w:val="00546D1D"/>
    <w:rsid w:val="00553082"/>
    <w:rsid w:val="00557A44"/>
    <w:rsid w:val="00585696"/>
    <w:rsid w:val="005B6B2B"/>
    <w:rsid w:val="005E59A8"/>
    <w:rsid w:val="00625B05"/>
    <w:rsid w:val="00643C31"/>
    <w:rsid w:val="00660340"/>
    <w:rsid w:val="00662680"/>
    <w:rsid w:val="00663F39"/>
    <w:rsid w:val="006647D2"/>
    <w:rsid w:val="00671853"/>
    <w:rsid w:val="00677925"/>
    <w:rsid w:val="00693718"/>
    <w:rsid w:val="00693763"/>
    <w:rsid w:val="00693CC1"/>
    <w:rsid w:val="006A0DD1"/>
    <w:rsid w:val="006A105E"/>
    <w:rsid w:val="006C01C3"/>
    <w:rsid w:val="006C3BF1"/>
    <w:rsid w:val="006D72C3"/>
    <w:rsid w:val="006E0790"/>
    <w:rsid w:val="006E45AF"/>
    <w:rsid w:val="00700885"/>
    <w:rsid w:val="00712E18"/>
    <w:rsid w:val="00712F8E"/>
    <w:rsid w:val="0074529B"/>
    <w:rsid w:val="0075178A"/>
    <w:rsid w:val="007518C7"/>
    <w:rsid w:val="0079078F"/>
    <w:rsid w:val="007A2BF5"/>
    <w:rsid w:val="007B134A"/>
    <w:rsid w:val="007B7E67"/>
    <w:rsid w:val="007C5583"/>
    <w:rsid w:val="007D2B50"/>
    <w:rsid w:val="008004F6"/>
    <w:rsid w:val="00804B30"/>
    <w:rsid w:val="00810AA6"/>
    <w:rsid w:val="00821BBB"/>
    <w:rsid w:val="00836F39"/>
    <w:rsid w:val="008471CA"/>
    <w:rsid w:val="0085623D"/>
    <w:rsid w:val="00885926"/>
    <w:rsid w:val="008B45AC"/>
    <w:rsid w:val="008C265E"/>
    <w:rsid w:val="008C545B"/>
    <w:rsid w:val="008D643F"/>
    <w:rsid w:val="008D76E0"/>
    <w:rsid w:val="00942954"/>
    <w:rsid w:val="009471D8"/>
    <w:rsid w:val="00947980"/>
    <w:rsid w:val="00970D61"/>
    <w:rsid w:val="00981A0F"/>
    <w:rsid w:val="00990CBC"/>
    <w:rsid w:val="00997943"/>
    <w:rsid w:val="009C1B41"/>
    <w:rsid w:val="009C7A9F"/>
    <w:rsid w:val="009D2774"/>
    <w:rsid w:val="009E7725"/>
    <w:rsid w:val="009F74CB"/>
    <w:rsid w:val="00A22B94"/>
    <w:rsid w:val="00A47340"/>
    <w:rsid w:val="00A63A93"/>
    <w:rsid w:val="00A729CF"/>
    <w:rsid w:val="00A94E3E"/>
    <w:rsid w:val="00AA77A5"/>
    <w:rsid w:val="00AD1A3E"/>
    <w:rsid w:val="00AE1ECF"/>
    <w:rsid w:val="00B2367D"/>
    <w:rsid w:val="00B72C5E"/>
    <w:rsid w:val="00B7537C"/>
    <w:rsid w:val="00B755F2"/>
    <w:rsid w:val="00B939FF"/>
    <w:rsid w:val="00B95478"/>
    <w:rsid w:val="00BC69D7"/>
    <w:rsid w:val="00C10857"/>
    <w:rsid w:val="00C1245D"/>
    <w:rsid w:val="00C1661E"/>
    <w:rsid w:val="00C20474"/>
    <w:rsid w:val="00C2640E"/>
    <w:rsid w:val="00C27EA5"/>
    <w:rsid w:val="00C7340B"/>
    <w:rsid w:val="00C86924"/>
    <w:rsid w:val="00C93AD2"/>
    <w:rsid w:val="00CA3939"/>
    <w:rsid w:val="00CD5F3F"/>
    <w:rsid w:val="00CE72C7"/>
    <w:rsid w:val="00CF49D5"/>
    <w:rsid w:val="00D0682C"/>
    <w:rsid w:val="00D10158"/>
    <w:rsid w:val="00D32AD7"/>
    <w:rsid w:val="00DB1B49"/>
    <w:rsid w:val="00DC0B88"/>
    <w:rsid w:val="00DC230B"/>
    <w:rsid w:val="00DC5194"/>
    <w:rsid w:val="00DC70F8"/>
    <w:rsid w:val="00DC7F9F"/>
    <w:rsid w:val="00DD205B"/>
    <w:rsid w:val="00DE15BC"/>
    <w:rsid w:val="00E02324"/>
    <w:rsid w:val="00E316EA"/>
    <w:rsid w:val="00E439B0"/>
    <w:rsid w:val="00E64A46"/>
    <w:rsid w:val="00E879CB"/>
    <w:rsid w:val="00EA1505"/>
    <w:rsid w:val="00EF717A"/>
    <w:rsid w:val="00F05EC9"/>
    <w:rsid w:val="00F07DC0"/>
    <w:rsid w:val="00F13A45"/>
    <w:rsid w:val="00F30B85"/>
    <w:rsid w:val="00F35312"/>
    <w:rsid w:val="00F45EBF"/>
    <w:rsid w:val="00F874EC"/>
    <w:rsid w:val="00FB5AC6"/>
    <w:rsid w:val="00FC286A"/>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 w:id="1796369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1653</Characters>
  <Application>Microsoft Office Word</Application>
  <DocSecurity>4</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2018-11-29T16:33:00Z</dcterms:created>
  <dcterms:modified xsi:type="dcterms:W3CDTF">2018-11-29T16:33:00Z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