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40" w:rsidRPr="00B46532" w:rsidRDefault="00702C55" w:rsidP="00B46532">
      <w:pPr>
        <w:widowControl/>
        <w:adjustRightInd w:val="0"/>
        <w:snapToGrid w:val="0"/>
        <w:spacing w:line="360" w:lineRule="auto"/>
        <w:jc w:val="center"/>
        <w:rPr>
          <w:rFonts w:ascii="宋体" w:eastAsia="宋体" w:hAnsi="宋体" w:cs="宋体"/>
          <w:b/>
          <w:color w:val="000000"/>
          <w:kern w:val="0"/>
          <w:sz w:val="27"/>
          <w:szCs w:val="27"/>
        </w:rPr>
      </w:pPr>
      <w:bookmarkStart w:id="0" w:name="_GoBack"/>
      <w:bookmarkEnd w:id="0"/>
      <w:r w:rsidRPr="00702C55">
        <w:rPr>
          <w:rFonts w:ascii="宋体" w:eastAsia="宋体" w:hAnsi="宋体" w:cs="宋体" w:hint="eastAsia"/>
          <w:b/>
          <w:color w:val="000000"/>
          <w:kern w:val="0"/>
          <w:sz w:val="27"/>
          <w:szCs w:val="27"/>
        </w:rPr>
        <w:t>中欧瑾悠灵活配置混合型证券投资基金</w:t>
      </w:r>
      <w:r w:rsidR="00D511BE" w:rsidRPr="00B46532">
        <w:rPr>
          <w:rFonts w:ascii="宋体" w:eastAsia="宋体" w:hAnsi="宋体" w:cs="宋体" w:hint="eastAsia"/>
          <w:b/>
          <w:color w:val="000000"/>
          <w:kern w:val="0"/>
          <w:sz w:val="27"/>
          <w:szCs w:val="27"/>
        </w:rPr>
        <w:t>清算报告</w:t>
      </w:r>
    </w:p>
    <w:p w:rsidR="00B46532" w:rsidRPr="00B46532" w:rsidRDefault="00B46532" w:rsidP="00B46532">
      <w:pPr>
        <w:widowControl/>
        <w:adjustRightInd w:val="0"/>
        <w:snapToGrid w:val="0"/>
        <w:spacing w:line="360" w:lineRule="auto"/>
        <w:jc w:val="left"/>
        <w:rPr>
          <w:rFonts w:ascii="宋体" w:eastAsia="宋体" w:hAnsi="宋体" w:cs="宋体"/>
          <w:color w:val="000000"/>
          <w:kern w:val="0"/>
          <w:sz w:val="27"/>
          <w:szCs w:val="27"/>
        </w:rPr>
      </w:pPr>
    </w:p>
    <w:p w:rsidR="00AD5C40" w:rsidRPr="00B46532" w:rsidRDefault="00AD5C40"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基金管理人：</w:t>
      </w:r>
      <w:r w:rsidR="00BF3BD3" w:rsidRPr="00B46532">
        <w:rPr>
          <w:rFonts w:ascii="宋体" w:eastAsia="宋体" w:hAnsi="宋体" w:cs="宋体" w:hint="eastAsia"/>
          <w:color w:val="000000"/>
          <w:kern w:val="0"/>
          <w:sz w:val="24"/>
          <w:szCs w:val="24"/>
        </w:rPr>
        <w:t>中欧基金管理有限公司</w:t>
      </w:r>
    </w:p>
    <w:p w:rsidR="00AD5C40" w:rsidRDefault="00AD5C40"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基金托管人：</w:t>
      </w:r>
      <w:r w:rsidR="00702C55" w:rsidRPr="00702C55">
        <w:rPr>
          <w:rFonts w:ascii="宋体" w:eastAsia="宋体" w:hAnsi="宋体" w:cs="宋体" w:hint="eastAsia"/>
          <w:color w:val="000000"/>
          <w:kern w:val="0"/>
          <w:sz w:val="24"/>
          <w:szCs w:val="24"/>
        </w:rPr>
        <w:t>中国民生银行股份有限公司</w:t>
      </w:r>
    </w:p>
    <w:p w:rsidR="00DC006E" w:rsidRPr="00DC006E" w:rsidRDefault="00DC006E" w:rsidP="00B46532">
      <w:pPr>
        <w:widowControl/>
        <w:adjustRightInd w:val="0"/>
        <w:snapToGri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报告出具日期</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2018年</w:t>
      </w:r>
      <w:r w:rsidR="00C17079">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C17079">
        <w:rPr>
          <w:rFonts w:ascii="宋体" w:eastAsia="宋体" w:hAnsi="宋体" w:cs="宋体" w:hint="eastAsia"/>
          <w:color w:val="000000"/>
          <w:kern w:val="0"/>
          <w:sz w:val="24"/>
          <w:szCs w:val="24"/>
        </w:rPr>
        <w:t>14</w:t>
      </w:r>
      <w:r>
        <w:rPr>
          <w:rFonts w:ascii="宋体" w:eastAsia="宋体" w:hAnsi="宋体" w:cs="宋体" w:hint="eastAsia"/>
          <w:color w:val="000000"/>
          <w:kern w:val="0"/>
          <w:sz w:val="24"/>
          <w:szCs w:val="24"/>
        </w:rPr>
        <w:t>日</w:t>
      </w:r>
    </w:p>
    <w:p w:rsidR="00AD5C40" w:rsidRPr="00B46532" w:rsidRDefault="008730F0" w:rsidP="00B46532">
      <w:pPr>
        <w:widowControl/>
        <w:adjustRightInd w:val="0"/>
        <w:snapToGri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报告</w:t>
      </w:r>
      <w:r w:rsidR="00AD5C40" w:rsidRPr="00B46532">
        <w:rPr>
          <w:rFonts w:ascii="宋体" w:eastAsia="宋体" w:hAnsi="宋体" w:cs="宋体" w:hint="eastAsia"/>
          <w:color w:val="000000"/>
          <w:kern w:val="0"/>
          <w:sz w:val="24"/>
          <w:szCs w:val="24"/>
        </w:rPr>
        <w:t>公告日期：2018年</w:t>
      </w:r>
      <w:r w:rsidR="002F4352">
        <w:rPr>
          <w:rFonts w:ascii="宋体" w:eastAsia="宋体" w:hAnsi="宋体" w:cs="宋体" w:hint="eastAsia"/>
          <w:color w:val="000000"/>
          <w:kern w:val="0"/>
          <w:sz w:val="24"/>
          <w:szCs w:val="24"/>
        </w:rPr>
        <w:t>11</w:t>
      </w:r>
      <w:r w:rsidR="00AD5C40" w:rsidRPr="00B46532">
        <w:rPr>
          <w:rFonts w:ascii="宋体" w:eastAsia="宋体" w:hAnsi="宋体" w:cs="宋体" w:hint="eastAsia"/>
          <w:color w:val="000000"/>
          <w:kern w:val="0"/>
          <w:sz w:val="24"/>
          <w:szCs w:val="24"/>
        </w:rPr>
        <w:t>月</w:t>
      </w:r>
      <w:r w:rsidR="002F4352">
        <w:rPr>
          <w:rFonts w:ascii="宋体" w:eastAsia="宋体" w:hAnsi="宋体" w:cs="宋体" w:hint="eastAsia"/>
          <w:color w:val="000000"/>
          <w:kern w:val="0"/>
          <w:sz w:val="24"/>
          <w:szCs w:val="24"/>
        </w:rPr>
        <w:t>30</w:t>
      </w:r>
      <w:r w:rsidR="00AD5C40" w:rsidRPr="00B46532">
        <w:rPr>
          <w:rFonts w:ascii="宋体" w:eastAsia="宋体" w:hAnsi="宋体" w:cs="宋体" w:hint="eastAsia"/>
          <w:color w:val="000000"/>
          <w:kern w:val="0"/>
          <w:sz w:val="24"/>
          <w:szCs w:val="24"/>
        </w:rPr>
        <w:t>日</w:t>
      </w:r>
    </w:p>
    <w:p w:rsidR="00B46532" w:rsidRPr="008C2088" w:rsidRDefault="00B46532" w:rsidP="00B46532">
      <w:pPr>
        <w:widowControl/>
        <w:adjustRightInd w:val="0"/>
        <w:snapToGrid w:val="0"/>
        <w:spacing w:line="360" w:lineRule="auto"/>
        <w:jc w:val="left"/>
        <w:rPr>
          <w:rFonts w:ascii="宋体" w:eastAsia="宋体" w:hAnsi="宋体" w:cs="宋体"/>
          <w:color w:val="000000"/>
          <w:kern w:val="0"/>
          <w:sz w:val="24"/>
          <w:szCs w:val="24"/>
        </w:rPr>
      </w:pPr>
    </w:p>
    <w:p w:rsidR="00AD5C40" w:rsidRPr="00B46532" w:rsidRDefault="009F08B2"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一、</w:t>
      </w:r>
      <w:r w:rsidR="00AD5C40" w:rsidRPr="00B46532">
        <w:rPr>
          <w:rFonts w:ascii="宋体" w:eastAsia="宋体" w:hAnsi="宋体" w:cs="宋体" w:hint="eastAsia"/>
          <w:color w:val="000000"/>
          <w:kern w:val="0"/>
          <w:sz w:val="24"/>
          <w:szCs w:val="24"/>
        </w:rPr>
        <w:t>重要提示</w:t>
      </w:r>
    </w:p>
    <w:p w:rsidR="00576A20" w:rsidRDefault="00702C55" w:rsidP="00B46532">
      <w:pPr>
        <w:widowControl/>
        <w:adjustRightInd w:val="0"/>
        <w:snapToGrid w:val="0"/>
        <w:spacing w:line="360" w:lineRule="auto"/>
        <w:ind w:firstLineChars="200" w:firstLine="480"/>
        <w:jc w:val="left"/>
        <w:rPr>
          <w:rFonts w:ascii="宋体" w:eastAsia="宋体" w:hAnsi="宋体" w:cs="宋体"/>
          <w:color w:val="000000"/>
          <w:kern w:val="0"/>
          <w:sz w:val="24"/>
          <w:szCs w:val="24"/>
        </w:rPr>
      </w:pPr>
      <w:r w:rsidRPr="00702C55">
        <w:rPr>
          <w:rFonts w:ascii="宋体" w:eastAsia="宋体" w:hAnsi="宋体" w:cs="宋体" w:hint="eastAsia"/>
          <w:color w:val="000000"/>
          <w:kern w:val="0"/>
          <w:sz w:val="24"/>
          <w:szCs w:val="24"/>
        </w:rPr>
        <w:t>中欧瑾悠灵活配置混合型证券投资基金 (以下简称“本基金”)，系经中国证券监督管理委员会证监许可[2016]第1667号文《关于准予中欧瑾悠灵活配置混合型证券投资基金注册的批复》准予注册，由基金管理人中欧基金管理有限公司向社会公开发行募集，基金合同于2016年8月22日生效，首次募集规模为300,095,845.40份基金份额。本基金为契约型开放式，存续期不定。本基金的基金管理人和登记机构均为中欧基金管理有限公司，基金托管人为中国民生银行股份有限公司。</w:t>
      </w:r>
    </w:p>
    <w:p w:rsidR="008C2088" w:rsidRDefault="00702C55" w:rsidP="00702C55">
      <w:pPr>
        <w:widowControl/>
        <w:adjustRightInd w:val="0"/>
        <w:snapToGrid w:val="0"/>
        <w:spacing w:line="360" w:lineRule="auto"/>
        <w:ind w:firstLineChars="200" w:firstLine="480"/>
        <w:jc w:val="left"/>
        <w:rPr>
          <w:rFonts w:ascii="宋体" w:eastAsia="宋体" w:hAnsi="宋体"/>
          <w:color w:val="000000"/>
          <w:sz w:val="24"/>
          <w:szCs w:val="24"/>
        </w:rPr>
      </w:pPr>
      <w:r w:rsidRPr="00702C55">
        <w:rPr>
          <w:rFonts w:ascii="宋体" w:eastAsia="宋体" w:hAnsi="宋体" w:hint="eastAsia"/>
          <w:color w:val="000000"/>
          <w:sz w:val="24"/>
          <w:szCs w:val="24"/>
        </w:rPr>
        <w:t>根据《</w:t>
      </w:r>
      <w:r w:rsidRPr="00702C55">
        <w:rPr>
          <w:rFonts w:ascii="宋体" w:eastAsia="宋体" w:hAnsi="宋体" w:cs="宋体" w:hint="eastAsia"/>
          <w:color w:val="000000"/>
          <w:kern w:val="0"/>
          <w:sz w:val="24"/>
          <w:szCs w:val="24"/>
        </w:rPr>
        <w:t>中欧瑾悠灵活配置混合型证券投资基金</w:t>
      </w:r>
      <w:r w:rsidRPr="00702C55">
        <w:rPr>
          <w:rFonts w:ascii="宋体" w:eastAsia="宋体" w:hAnsi="宋体" w:hint="eastAsia"/>
          <w:color w:val="000000"/>
          <w:sz w:val="24"/>
          <w:szCs w:val="24"/>
        </w:rPr>
        <w:t>基金合同》“第五部分 基金备案”中“基金合同生效后，连续20个工作日出现基金份额持有人数量不满200人或者基金资产净值低于5000万元情形的，本基金将根据基金合同第十九部分的约定进行基金财产清算并终止，而无须召开基金份额持有人大会。”</w:t>
      </w:r>
      <w:r w:rsidR="00C715FD" w:rsidRPr="00C715FD">
        <w:rPr>
          <w:rFonts w:ascii="宋体" w:eastAsia="宋体" w:hAnsi="宋体" w:hint="eastAsia"/>
          <w:color w:val="000000"/>
          <w:sz w:val="24"/>
          <w:szCs w:val="24"/>
        </w:rPr>
        <w:t>截至2018年7月10日日终</w:t>
      </w:r>
      <w:r w:rsidR="00C715FD">
        <w:rPr>
          <w:rFonts w:ascii="宋体" w:eastAsia="宋体" w:hAnsi="宋体" w:hint="eastAsia"/>
          <w:color w:val="000000"/>
          <w:sz w:val="24"/>
          <w:szCs w:val="24"/>
        </w:rPr>
        <w:t>，</w:t>
      </w:r>
      <w:r w:rsidRPr="00702C55">
        <w:rPr>
          <w:rFonts w:ascii="宋体" w:eastAsia="宋体" w:hAnsi="宋体" w:hint="eastAsia"/>
          <w:color w:val="000000"/>
          <w:sz w:val="24"/>
          <w:szCs w:val="24"/>
        </w:rPr>
        <w:t>本基金已连续20个工作日基金资产净值低于5000万元。为维护基金份额持有人利益，根据基金合同约定，不需召开基金份额持有人大会，本基金管理人可以</w:t>
      </w:r>
      <w:r w:rsidR="00015C47" w:rsidRPr="00702C55">
        <w:rPr>
          <w:rFonts w:ascii="宋体" w:eastAsia="宋体" w:hAnsi="宋体" w:hint="eastAsia"/>
          <w:color w:val="000000"/>
          <w:sz w:val="24"/>
          <w:szCs w:val="24"/>
        </w:rPr>
        <w:t>依法履行基金财产清算程序并</w:t>
      </w:r>
      <w:r w:rsidRPr="00702C55">
        <w:rPr>
          <w:rFonts w:ascii="宋体" w:eastAsia="宋体" w:hAnsi="宋体" w:hint="eastAsia"/>
          <w:color w:val="000000"/>
          <w:sz w:val="24"/>
          <w:szCs w:val="24"/>
        </w:rPr>
        <w:t>终止本基金合同。</w:t>
      </w:r>
    </w:p>
    <w:p w:rsidR="00F9769D" w:rsidRPr="00B46532" w:rsidRDefault="00F9769D">
      <w:pPr>
        <w:widowControl/>
        <w:adjustRightInd w:val="0"/>
        <w:snapToGrid w:val="0"/>
        <w:spacing w:line="360" w:lineRule="auto"/>
        <w:ind w:firstLineChars="200" w:firstLine="480"/>
        <w:jc w:val="left"/>
        <w:rPr>
          <w:rFonts w:ascii="宋体" w:eastAsia="宋体" w:hAnsi="宋体"/>
          <w:color w:val="000000"/>
          <w:sz w:val="24"/>
          <w:szCs w:val="24"/>
        </w:rPr>
      </w:pPr>
      <w:r w:rsidRPr="00B46532">
        <w:rPr>
          <w:rFonts w:ascii="宋体" w:eastAsia="宋体" w:hAnsi="宋体" w:hint="eastAsia"/>
          <w:color w:val="000000"/>
          <w:sz w:val="24"/>
          <w:szCs w:val="24"/>
        </w:rPr>
        <w:t>本基金从201</w:t>
      </w:r>
      <w:r w:rsidRPr="00B46532">
        <w:rPr>
          <w:rFonts w:ascii="宋体" w:eastAsia="宋体" w:hAnsi="宋体"/>
          <w:color w:val="000000"/>
          <w:sz w:val="24"/>
          <w:szCs w:val="24"/>
        </w:rPr>
        <w:t>8</w:t>
      </w:r>
      <w:r w:rsidRPr="00B46532">
        <w:rPr>
          <w:rFonts w:ascii="宋体" w:eastAsia="宋体" w:hAnsi="宋体" w:hint="eastAsia"/>
          <w:color w:val="000000"/>
          <w:sz w:val="24"/>
          <w:szCs w:val="24"/>
        </w:rPr>
        <w:t>年</w:t>
      </w:r>
      <w:r w:rsidR="008C2088">
        <w:rPr>
          <w:rFonts w:ascii="宋体" w:eastAsia="宋体" w:hAnsi="宋体"/>
          <w:color w:val="000000"/>
          <w:sz w:val="24"/>
          <w:szCs w:val="24"/>
        </w:rPr>
        <w:t>7</w:t>
      </w:r>
      <w:r w:rsidRPr="00B46532">
        <w:rPr>
          <w:rFonts w:ascii="宋体" w:eastAsia="宋体" w:hAnsi="宋体" w:hint="eastAsia"/>
          <w:color w:val="000000"/>
          <w:sz w:val="24"/>
          <w:szCs w:val="24"/>
        </w:rPr>
        <w:t>月</w:t>
      </w:r>
      <w:r w:rsidR="00702C55">
        <w:rPr>
          <w:rFonts w:ascii="宋体" w:eastAsia="宋体" w:hAnsi="宋体"/>
          <w:color w:val="000000"/>
          <w:sz w:val="24"/>
          <w:szCs w:val="24"/>
        </w:rPr>
        <w:t>11</w:t>
      </w:r>
      <w:r w:rsidRPr="00B46532">
        <w:rPr>
          <w:rFonts w:ascii="宋体" w:eastAsia="宋体" w:hAnsi="宋体" w:hint="eastAsia"/>
          <w:color w:val="000000"/>
          <w:sz w:val="24"/>
          <w:szCs w:val="24"/>
        </w:rPr>
        <w:t>日起进入清算</w:t>
      </w:r>
      <w:r w:rsidR="00942E06">
        <w:rPr>
          <w:rFonts w:ascii="宋体" w:eastAsia="宋体" w:hAnsi="宋体" w:hint="eastAsia"/>
          <w:color w:val="000000"/>
          <w:sz w:val="24"/>
          <w:szCs w:val="24"/>
        </w:rPr>
        <w:t>程序</w:t>
      </w:r>
      <w:r w:rsidRPr="00B46532">
        <w:rPr>
          <w:rFonts w:ascii="宋体" w:eastAsia="宋体" w:hAnsi="宋体" w:hint="eastAsia"/>
          <w:color w:val="000000"/>
          <w:sz w:val="24"/>
          <w:szCs w:val="24"/>
        </w:rPr>
        <w:t>，由本基金管理人中欧基金管理有限公司、基金托管人</w:t>
      </w:r>
      <w:r w:rsidR="008C2088">
        <w:rPr>
          <w:rFonts w:ascii="宋体" w:eastAsia="宋体" w:hAnsi="宋体" w:hint="eastAsia"/>
          <w:color w:val="000000"/>
          <w:sz w:val="24"/>
          <w:szCs w:val="24"/>
        </w:rPr>
        <w:t>中国</w:t>
      </w:r>
      <w:r w:rsidR="00702C55">
        <w:rPr>
          <w:rFonts w:ascii="宋体" w:eastAsia="宋体" w:hAnsi="宋体" w:hint="eastAsia"/>
          <w:color w:val="000000"/>
          <w:sz w:val="24"/>
          <w:szCs w:val="24"/>
        </w:rPr>
        <w:t>民生</w:t>
      </w:r>
      <w:r w:rsidRPr="00B46532">
        <w:rPr>
          <w:rFonts w:ascii="宋体" w:eastAsia="宋体" w:hAnsi="宋体" w:hint="eastAsia"/>
          <w:color w:val="000000"/>
          <w:sz w:val="24"/>
          <w:szCs w:val="24"/>
        </w:rPr>
        <w:t>银行股份有限公司、</w:t>
      </w:r>
      <w:r w:rsidR="005E43EF">
        <w:rPr>
          <w:rFonts w:ascii="Times New Roman" w:eastAsia="宋体" w:hAnsi="Times New Roman" w:hint="eastAsia"/>
          <w:kern w:val="0"/>
          <w:sz w:val="24"/>
          <w:szCs w:val="24"/>
        </w:rPr>
        <w:t>安永华明会计师事务所（特殊普通合伙）</w:t>
      </w:r>
      <w:r w:rsidR="0069682A">
        <w:rPr>
          <w:rFonts w:ascii="Times New Roman" w:eastAsia="宋体" w:hAnsi="Times New Roman" w:hint="eastAsia"/>
          <w:kern w:val="0"/>
          <w:sz w:val="24"/>
          <w:szCs w:val="24"/>
        </w:rPr>
        <w:t>注册会计师</w:t>
      </w:r>
      <w:r w:rsidRPr="00B46532">
        <w:rPr>
          <w:rFonts w:ascii="宋体" w:eastAsia="宋体" w:hAnsi="宋体" w:hint="eastAsia"/>
          <w:color w:val="000000"/>
          <w:sz w:val="24"/>
          <w:szCs w:val="24"/>
        </w:rPr>
        <w:t>和上海市通力律师事务所律师组成基金财产清算小组履行基金财产清算程序，并由</w:t>
      </w:r>
      <w:r w:rsidR="005E43EF">
        <w:rPr>
          <w:rFonts w:ascii="Times New Roman" w:eastAsia="宋体" w:hAnsi="Times New Roman" w:hint="eastAsia"/>
          <w:kern w:val="0"/>
          <w:sz w:val="24"/>
          <w:szCs w:val="24"/>
        </w:rPr>
        <w:t>安永华明会计师事务所（特殊普通合伙）</w:t>
      </w:r>
      <w:r w:rsidRPr="00B46532">
        <w:rPr>
          <w:rFonts w:ascii="宋体" w:eastAsia="宋体" w:hAnsi="宋体" w:hint="eastAsia"/>
          <w:color w:val="000000"/>
          <w:sz w:val="24"/>
          <w:szCs w:val="24"/>
        </w:rPr>
        <w:t>对清算报告进行审计，上海市通力律师事务所对清算报告出具法律意见。</w:t>
      </w:r>
    </w:p>
    <w:p w:rsidR="00B46532" w:rsidRPr="00B46532" w:rsidRDefault="00B46532" w:rsidP="00B46532">
      <w:pPr>
        <w:widowControl/>
        <w:adjustRightInd w:val="0"/>
        <w:snapToGrid w:val="0"/>
        <w:spacing w:line="360" w:lineRule="auto"/>
        <w:ind w:firstLineChars="200" w:firstLine="480"/>
        <w:jc w:val="left"/>
        <w:rPr>
          <w:rFonts w:ascii="宋体" w:eastAsia="宋体" w:hAnsi="宋体"/>
          <w:color w:val="000000"/>
          <w:sz w:val="24"/>
          <w:szCs w:val="24"/>
        </w:rPr>
      </w:pPr>
    </w:p>
    <w:p w:rsidR="00AD5C40" w:rsidRPr="00B46532" w:rsidRDefault="009F08B2" w:rsidP="00B46532">
      <w:pPr>
        <w:widowControl/>
        <w:adjustRightInd w:val="0"/>
        <w:snapToGrid w:val="0"/>
        <w:spacing w:line="360" w:lineRule="auto"/>
        <w:jc w:val="left"/>
        <w:rPr>
          <w:rFonts w:ascii="宋体" w:eastAsia="宋体" w:hAnsi="宋体" w:cs="宋体"/>
          <w:color w:val="000000"/>
          <w:kern w:val="0"/>
          <w:sz w:val="24"/>
          <w:szCs w:val="24"/>
        </w:rPr>
      </w:pPr>
      <w:r w:rsidRPr="00B46532">
        <w:rPr>
          <w:rFonts w:ascii="宋体" w:eastAsia="宋体" w:hAnsi="宋体" w:cs="宋体" w:hint="eastAsia"/>
          <w:color w:val="000000"/>
          <w:kern w:val="0"/>
          <w:sz w:val="24"/>
          <w:szCs w:val="24"/>
        </w:rPr>
        <w:t>二、</w:t>
      </w:r>
      <w:r w:rsidR="00AD5C40" w:rsidRPr="00B46532">
        <w:rPr>
          <w:rFonts w:ascii="宋体" w:eastAsia="宋体" w:hAnsi="宋体" w:cs="宋体" w:hint="eastAsia"/>
          <w:color w:val="000000"/>
          <w:kern w:val="0"/>
          <w:sz w:val="24"/>
          <w:szCs w:val="24"/>
        </w:rPr>
        <w:t>基金概况</w:t>
      </w:r>
    </w:p>
    <w:p w:rsidR="00D511BE"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lastRenderedPageBreak/>
        <w:t>1、基金名称：</w:t>
      </w:r>
      <w:r w:rsidR="008C2088" w:rsidRPr="008C2088">
        <w:rPr>
          <w:rFonts w:hint="eastAsia"/>
          <w:color w:val="000000"/>
        </w:rPr>
        <w:t>中欧</w:t>
      </w:r>
      <w:r w:rsidR="00702C55">
        <w:rPr>
          <w:rFonts w:hint="eastAsia"/>
          <w:color w:val="000000"/>
        </w:rPr>
        <w:t>瑾悠灵活配置混合</w:t>
      </w:r>
      <w:r w:rsidR="008C2088" w:rsidRPr="008C2088">
        <w:rPr>
          <w:rFonts w:hint="eastAsia"/>
          <w:color w:val="000000"/>
        </w:rPr>
        <w:t>型证券投资基金</w:t>
      </w:r>
      <w:r w:rsidRPr="00B46532">
        <w:rPr>
          <w:rFonts w:hint="eastAsia"/>
          <w:color w:val="000000"/>
        </w:rPr>
        <w:t>。</w:t>
      </w:r>
    </w:p>
    <w:p w:rsidR="00D511BE"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基金简称：中欧</w:t>
      </w:r>
      <w:r w:rsidR="00702C55">
        <w:rPr>
          <w:rFonts w:hint="eastAsia"/>
          <w:color w:val="000000"/>
        </w:rPr>
        <w:t>瑾悠</w:t>
      </w:r>
      <w:r w:rsidR="003E1A94">
        <w:rPr>
          <w:rFonts w:hint="eastAsia"/>
          <w:color w:val="000000"/>
        </w:rPr>
        <w:t>灵活配置</w:t>
      </w:r>
      <w:r w:rsidR="00702C55">
        <w:rPr>
          <w:color w:val="000000"/>
        </w:rPr>
        <w:t>混合</w:t>
      </w:r>
      <w:r w:rsidR="00D511BE">
        <w:rPr>
          <w:rFonts w:hint="eastAsia"/>
          <w:color w:val="000000"/>
        </w:rPr>
        <w:t>A；</w:t>
      </w:r>
      <w:r w:rsidR="00D511BE">
        <w:rPr>
          <w:color w:val="000000"/>
        </w:rPr>
        <w:t>中欧</w:t>
      </w:r>
      <w:r w:rsidR="00702C55">
        <w:rPr>
          <w:rFonts w:hint="eastAsia"/>
          <w:color w:val="000000"/>
        </w:rPr>
        <w:t>瑾悠</w:t>
      </w:r>
      <w:r w:rsidR="003E1A94">
        <w:rPr>
          <w:rFonts w:hint="eastAsia"/>
          <w:color w:val="000000"/>
        </w:rPr>
        <w:t>灵活配置</w:t>
      </w:r>
      <w:r w:rsidR="00702C55">
        <w:rPr>
          <w:rFonts w:hint="eastAsia"/>
          <w:color w:val="000000"/>
        </w:rPr>
        <w:t>混合</w:t>
      </w:r>
      <w:r w:rsidR="008C2088">
        <w:rPr>
          <w:color w:val="000000"/>
        </w:rPr>
        <w:t>C</w:t>
      </w:r>
      <w:r w:rsidRPr="00B46532">
        <w:rPr>
          <w:rFonts w:hint="eastAsia"/>
          <w:color w:val="000000"/>
        </w:rPr>
        <w:t>。</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基金代码：</w:t>
      </w:r>
      <w:r w:rsidR="00702C55">
        <w:rPr>
          <w:color w:val="000000"/>
        </w:rPr>
        <w:t>003148</w:t>
      </w:r>
      <w:r w:rsidR="00D511BE">
        <w:rPr>
          <w:rFonts w:hint="eastAsia"/>
          <w:color w:val="000000"/>
        </w:rPr>
        <w:t>；</w:t>
      </w:r>
      <w:r w:rsidR="00702C55">
        <w:rPr>
          <w:color w:val="000000"/>
        </w:rPr>
        <w:t>003149</w:t>
      </w:r>
      <w:r w:rsidR="00D511BE">
        <w:rPr>
          <w:rFonts w:hint="eastAsia"/>
          <w:color w:val="000000"/>
        </w:rPr>
        <w:t>。</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2、基金运作方式：契约型、开放式</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3、基金合同生效日：20</w:t>
      </w:r>
      <w:r w:rsidR="00702C55">
        <w:rPr>
          <w:color w:val="000000"/>
        </w:rPr>
        <w:t>16</w:t>
      </w:r>
      <w:r w:rsidRPr="00B46532">
        <w:rPr>
          <w:rFonts w:hint="eastAsia"/>
          <w:color w:val="000000"/>
        </w:rPr>
        <w:t>年</w:t>
      </w:r>
      <w:r w:rsidR="00702C55">
        <w:rPr>
          <w:color w:val="000000"/>
        </w:rPr>
        <w:t>8</w:t>
      </w:r>
      <w:r w:rsidRPr="00B46532">
        <w:rPr>
          <w:rFonts w:hint="eastAsia"/>
          <w:color w:val="000000"/>
        </w:rPr>
        <w:t>月</w:t>
      </w:r>
      <w:r w:rsidR="00702C55">
        <w:rPr>
          <w:color w:val="000000"/>
        </w:rPr>
        <w:t>22</w:t>
      </w:r>
      <w:r w:rsidRPr="00B46532">
        <w:rPr>
          <w:rFonts w:hint="eastAsia"/>
          <w:color w:val="000000"/>
        </w:rPr>
        <w:t>日</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4、基金运作终止日：201</w:t>
      </w:r>
      <w:r w:rsidRPr="00B46532">
        <w:rPr>
          <w:color w:val="000000"/>
        </w:rPr>
        <w:t>8</w:t>
      </w:r>
      <w:r w:rsidRPr="00B46532">
        <w:rPr>
          <w:rFonts w:hint="eastAsia"/>
          <w:color w:val="000000"/>
        </w:rPr>
        <w:t>年</w:t>
      </w:r>
      <w:r w:rsidR="008C2088">
        <w:rPr>
          <w:color w:val="000000"/>
        </w:rPr>
        <w:t>7</w:t>
      </w:r>
      <w:r w:rsidRPr="00B46532">
        <w:rPr>
          <w:rFonts w:hint="eastAsia"/>
          <w:color w:val="000000"/>
        </w:rPr>
        <w:t>月</w:t>
      </w:r>
      <w:r w:rsidR="00702C55">
        <w:rPr>
          <w:color w:val="000000"/>
        </w:rPr>
        <w:t>10</w:t>
      </w:r>
      <w:r w:rsidRPr="00B46532">
        <w:rPr>
          <w:rFonts w:hint="eastAsia"/>
          <w:color w:val="000000"/>
        </w:rPr>
        <w:t>日。</w:t>
      </w:r>
      <w:r w:rsidRPr="005E43EF">
        <w:rPr>
          <w:rFonts w:hint="eastAsia"/>
          <w:color w:val="000000"/>
        </w:rPr>
        <w:t>基金份额总额：</w:t>
      </w:r>
      <w:r w:rsidR="00702C55" w:rsidRPr="00B46532">
        <w:rPr>
          <w:rFonts w:hint="eastAsia"/>
          <w:color w:val="000000"/>
        </w:rPr>
        <w:t>中欧</w:t>
      </w:r>
      <w:r w:rsidR="00702C55">
        <w:rPr>
          <w:rFonts w:hint="eastAsia"/>
          <w:color w:val="000000"/>
        </w:rPr>
        <w:t>瑾悠</w:t>
      </w:r>
      <w:r w:rsidR="003E1A94">
        <w:rPr>
          <w:rFonts w:hint="eastAsia"/>
          <w:color w:val="000000"/>
        </w:rPr>
        <w:t>灵活配置</w:t>
      </w:r>
      <w:r w:rsidR="00702C55">
        <w:rPr>
          <w:color w:val="000000"/>
        </w:rPr>
        <w:t>混合</w:t>
      </w:r>
      <w:r w:rsidR="00702C55">
        <w:rPr>
          <w:rFonts w:hint="eastAsia"/>
          <w:color w:val="000000"/>
        </w:rPr>
        <w:t>A</w:t>
      </w:r>
      <w:r w:rsidR="009A34A8" w:rsidRPr="009A34A8">
        <w:rPr>
          <w:color w:val="000000"/>
        </w:rPr>
        <w:t>3,660,789.29</w:t>
      </w:r>
      <w:r w:rsidR="005E43EF">
        <w:rPr>
          <w:rFonts w:hint="eastAsia"/>
          <w:color w:val="000000"/>
        </w:rPr>
        <w:t>份；</w:t>
      </w:r>
      <w:r w:rsidR="00702C55">
        <w:rPr>
          <w:color w:val="000000"/>
        </w:rPr>
        <w:t>中欧</w:t>
      </w:r>
      <w:r w:rsidR="00702C55">
        <w:rPr>
          <w:rFonts w:hint="eastAsia"/>
          <w:color w:val="000000"/>
        </w:rPr>
        <w:t>瑾悠</w:t>
      </w:r>
      <w:r w:rsidR="003E1A94">
        <w:rPr>
          <w:rFonts w:hint="eastAsia"/>
          <w:color w:val="000000"/>
        </w:rPr>
        <w:t>灵活配置</w:t>
      </w:r>
      <w:r w:rsidR="00702C55">
        <w:rPr>
          <w:rFonts w:hint="eastAsia"/>
          <w:color w:val="000000"/>
        </w:rPr>
        <w:t>混合</w:t>
      </w:r>
      <w:r w:rsidR="00702C55">
        <w:rPr>
          <w:color w:val="000000"/>
        </w:rPr>
        <w:t>C</w:t>
      </w:r>
      <w:r w:rsidR="009A34A8" w:rsidRPr="009A34A8">
        <w:rPr>
          <w:color w:val="000000"/>
        </w:rPr>
        <w:t>3,376.24</w:t>
      </w:r>
      <w:r w:rsidRPr="005E43EF">
        <w:rPr>
          <w:rFonts w:hint="eastAsia"/>
          <w:color w:val="000000"/>
        </w:rPr>
        <w:t>份。</w:t>
      </w:r>
    </w:p>
    <w:p w:rsidR="009F08B2" w:rsidRPr="00D511BE" w:rsidRDefault="009F08B2" w:rsidP="00702C55">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5、投资目标：</w:t>
      </w:r>
      <w:r w:rsidR="00702C55" w:rsidRPr="00702C55">
        <w:rPr>
          <w:color w:val="000000"/>
        </w:rPr>
        <w:t>在有效控制投资组合风险的前提下，通过积极主动的资产配置，力争获得超越业绩比较基准的收益。</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6、投资策略：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（1）</w:t>
      </w:r>
      <w:r w:rsidRPr="002E6604">
        <w:rPr>
          <w:rFonts w:hint="eastAsia"/>
          <w:color w:val="000000"/>
        </w:rPr>
        <w:t>大类资产配置策略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本基金运用自上而下和自下而上相结合的方法进行大类资产配置，强调通过自上而下的宏观分析与自下而上的市场趋势分析有机结合进行前瞻性的决</w:t>
      </w:r>
      <w:r w:rsidRPr="002E6604">
        <w:rPr>
          <w:color w:val="000000"/>
        </w:rPr>
        <w:t xml:space="preserve">策。综合考虑本基金的投资目标、市场发展趋势、风险控制要求等因素，制定本基金资产的大类资产配置比例。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（2）</w:t>
      </w:r>
      <w:r w:rsidRPr="002E6604">
        <w:rPr>
          <w:rFonts w:hint="eastAsia"/>
          <w:color w:val="000000"/>
        </w:rPr>
        <w:t>股票投资策略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本基金坚持自上而下与自下而上相结合的投资理念，在以整个宏观策略为前提下，把握结构性调整机会，将行业分析与个股精选相结合，寻找出表现优异的子行业和优质个股。</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1</w:t>
      </w:r>
      <w:r w:rsidRPr="002E6604">
        <w:rPr>
          <w:rFonts w:hint="eastAsia"/>
          <w:color w:val="000000"/>
        </w:rPr>
        <w:t>）行业分析</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在综合考虑行业的周期、竞争格局、技术进步、政府政策、社会习惯的改变等因素后，精选出行业地位高、行业的发展空间大的子行业。</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2</w:t>
      </w:r>
      <w:r w:rsidRPr="002E6604">
        <w:rPr>
          <w:rFonts w:hint="eastAsia"/>
          <w:color w:val="000000"/>
        </w:rPr>
        <w:t>）个股选择</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本基金在选择个股时关注如下几个方面：</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color w:val="000000"/>
        </w:rPr>
        <w:t>①</w:t>
      </w:r>
      <w:r w:rsidRPr="002E6604">
        <w:rPr>
          <w:rFonts w:hint="eastAsia"/>
          <w:color w:val="000000"/>
        </w:rPr>
        <w:t>基本面</w:t>
      </w:r>
    </w:p>
    <w:p w:rsidR="002E6604" w:rsidRPr="002E6604" w:rsidRDefault="002E6604" w:rsidP="002E6604">
      <w:pPr>
        <w:pStyle w:val="a3"/>
        <w:numPr>
          <w:ilvl w:val="0"/>
          <w:numId w:val="6"/>
        </w:numPr>
        <w:adjustRightInd w:val="0"/>
        <w:snapToGrid w:val="0"/>
        <w:spacing w:before="0" w:beforeAutospacing="0" w:after="0" w:afterAutospacing="0" w:line="360" w:lineRule="auto"/>
        <w:rPr>
          <w:color w:val="000000"/>
        </w:rPr>
      </w:pPr>
      <w:r w:rsidRPr="002E6604">
        <w:rPr>
          <w:rFonts w:hint="eastAsia"/>
          <w:color w:val="000000"/>
        </w:rPr>
        <w:t>主营业务竞争力强，包括技术、品牌、政策或者规模等方面</w:t>
      </w:r>
    </w:p>
    <w:p w:rsidR="002E6604" w:rsidRPr="002E6604" w:rsidRDefault="002E6604" w:rsidP="002E6604">
      <w:pPr>
        <w:pStyle w:val="a3"/>
        <w:numPr>
          <w:ilvl w:val="0"/>
          <w:numId w:val="6"/>
        </w:numPr>
        <w:adjustRightInd w:val="0"/>
        <w:snapToGrid w:val="0"/>
        <w:spacing w:before="0" w:beforeAutospacing="0" w:after="0" w:afterAutospacing="0" w:line="360" w:lineRule="auto"/>
        <w:rPr>
          <w:color w:val="000000"/>
        </w:rPr>
      </w:pPr>
      <w:r w:rsidRPr="002E6604">
        <w:rPr>
          <w:rFonts w:hint="eastAsia"/>
          <w:color w:val="000000"/>
        </w:rPr>
        <w:t>盈利能力强，不仅有短期的业绩与盈利支撑，盈利的稳定性、持续性好，具有长期的投资空间</w:t>
      </w:r>
    </w:p>
    <w:p w:rsidR="002E6604" w:rsidRPr="002E6604" w:rsidRDefault="002E6604" w:rsidP="002E6604">
      <w:pPr>
        <w:pStyle w:val="a3"/>
        <w:numPr>
          <w:ilvl w:val="0"/>
          <w:numId w:val="6"/>
        </w:numPr>
        <w:adjustRightInd w:val="0"/>
        <w:snapToGrid w:val="0"/>
        <w:spacing w:before="0" w:beforeAutospacing="0" w:after="0" w:afterAutospacing="0" w:line="360" w:lineRule="auto"/>
        <w:rPr>
          <w:color w:val="000000"/>
        </w:rPr>
      </w:pPr>
      <w:r w:rsidRPr="002E6604">
        <w:rPr>
          <w:rFonts w:hint="eastAsia"/>
          <w:color w:val="000000"/>
        </w:rPr>
        <w:t>良好的治理结构</w:t>
      </w:r>
    </w:p>
    <w:p w:rsidR="002E6604" w:rsidRPr="002E6604" w:rsidRDefault="002E6604" w:rsidP="002E6604">
      <w:pPr>
        <w:pStyle w:val="a3"/>
        <w:numPr>
          <w:ilvl w:val="0"/>
          <w:numId w:val="6"/>
        </w:numPr>
        <w:adjustRightInd w:val="0"/>
        <w:snapToGrid w:val="0"/>
        <w:spacing w:before="0" w:beforeAutospacing="0" w:after="0" w:afterAutospacing="0" w:line="360" w:lineRule="auto"/>
        <w:rPr>
          <w:color w:val="000000"/>
        </w:rPr>
      </w:pPr>
      <w:r w:rsidRPr="002E6604">
        <w:rPr>
          <w:rFonts w:hint="eastAsia"/>
          <w:color w:val="000000"/>
        </w:rPr>
        <w:t>管理层能力强</w:t>
      </w:r>
    </w:p>
    <w:p w:rsidR="002E6604" w:rsidRPr="002E6604" w:rsidRDefault="002E6604" w:rsidP="002E6604">
      <w:pPr>
        <w:pStyle w:val="a3"/>
        <w:numPr>
          <w:ilvl w:val="0"/>
          <w:numId w:val="6"/>
        </w:numPr>
        <w:adjustRightInd w:val="0"/>
        <w:snapToGrid w:val="0"/>
        <w:spacing w:before="0" w:beforeAutospacing="0" w:after="0" w:afterAutospacing="0" w:line="360" w:lineRule="auto"/>
        <w:rPr>
          <w:color w:val="000000"/>
        </w:rPr>
      </w:pPr>
      <w:r w:rsidRPr="002E6604">
        <w:rPr>
          <w:rFonts w:hint="eastAsia"/>
          <w:color w:val="000000"/>
        </w:rPr>
        <w:lastRenderedPageBreak/>
        <w:t>商业模式优越</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color w:val="000000"/>
        </w:rPr>
        <w:t>②</w:t>
      </w:r>
      <w:r w:rsidRPr="002E6604">
        <w:rPr>
          <w:rFonts w:hint="eastAsia"/>
          <w:color w:val="000000"/>
        </w:rPr>
        <w:t>估值水平</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除了关注个股的基本面之外，还要考查个股业绩的增长性和估值的匹配程度，如果估值比较合理或者低估就会选择买入并坚持持有，相反如果估值已透支了未来几年的增长，即业绩增长的速度与股价和市盈率不相匹配，那么就会相应减持这种股票。</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（3）</w:t>
      </w:r>
      <w:r w:rsidRPr="002E6604">
        <w:rPr>
          <w:rFonts w:hint="eastAsia"/>
          <w:color w:val="000000"/>
        </w:rPr>
        <w:t>债券投资策略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本基金将采取久期偏离、期限结构配置、类属配置、个券选择等积极的投资策略，构建债券投资组合。</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1</w:t>
      </w:r>
      <w:r w:rsidRPr="002E6604">
        <w:rPr>
          <w:rFonts w:hint="eastAsia"/>
          <w:color w:val="000000"/>
        </w:rPr>
        <w:t>）久期偏离</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本基金通过对宏观经济走势、货币政策和财政政策、市场结构变化等方面的定性分析和定量分析，预测利率的变化趋势，从而采取久期偏离策略，根据</w:t>
      </w:r>
      <w:r w:rsidRPr="002E6604">
        <w:rPr>
          <w:color w:val="000000"/>
        </w:rPr>
        <w:t xml:space="preserve">对利率水平的预期调整组合久期。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2</w:t>
      </w:r>
      <w:r w:rsidRPr="002E6604">
        <w:rPr>
          <w:rFonts w:hint="eastAsia"/>
          <w:color w:val="000000"/>
        </w:rPr>
        <w:t>）期限结构配置</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本基金将根据对利率走势、收益率曲线的变化情况的判断，适时采用哑铃型或梯型或子弹型投资策略，在长期、中期和短期债券间进行配置，以便最大限度的避免投资组合收益受债券利率变动的负面影响。</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3</w:t>
      </w:r>
      <w:r w:rsidRPr="002E6604">
        <w:rPr>
          <w:rFonts w:hint="eastAsia"/>
          <w:color w:val="000000"/>
        </w:rPr>
        <w:t>）类属配置</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类属配置指债券组合中各债券种类间的配置，包括债券在国债、央行票据、金融债、企业债、可转换债券等债券品种间的分布，债券在浮动利率债券和固定利率债券间的分布。</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4</w:t>
      </w:r>
      <w:r w:rsidRPr="002E6604">
        <w:rPr>
          <w:rFonts w:hint="eastAsia"/>
          <w:color w:val="000000"/>
        </w:rPr>
        <w:t>）个券选择</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个券选择是指通过比较个券的流动性、到期收益率、信用等级、税收因素，确定一定期限下的债券品种的过程。</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（4）</w:t>
      </w:r>
      <w:r w:rsidRPr="002E6604">
        <w:rPr>
          <w:rFonts w:hint="eastAsia"/>
          <w:color w:val="000000"/>
        </w:rPr>
        <w:t>股指期货投资策略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本基金投资股指期货将根据风险管理的原则，主要选择流动性好、交易活跃的股指期货合约。本基金力争利用股指期货的杠杆作用，降低股票仓位频繁调整的交易成本。</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（5）</w:t>
      </w:r>
      <w:r w:rsidRPr="002E6604">
        <w:rPr>
          <w:rFonts w:hint="eastAsia"/>
          <w:color w:val="000000"/>
        </w:rPr>
        <w:t>国债期货投资策略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基金资产的长期稳定增值。</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w:t>
      </w:r>
      <w:r>
        <w:rPr>
          <w:color w:val="000000"/>
        </w:rPr>
        <w:t>6</w:t>
      </w:r>
      <w:r>
        <w:rPr>
          <w:rFonts w:hint="eastAsia"/>
          <w:color w:val="000000"/>
        </w:rPr>
        <w:t>）</w:t>
      </w:r>
      <w:r w:rsidRPr="002E6604">
        <w:rPr>
          <w:rFonts w:hint="eastAsia"/>
          <w:color w:val="000000"/>
        </w:rPr>
        <w:t>资产支持证券投资策略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资产支持证券是指由金融机构作为发起机构，将信贷资产信托给受托机构，由受托机构向投资机构发行，以该财产所产生的现金支付其收益的证券。本基金通过对资产支持证券资产池结构和质量的跟踪考察、分析资产支持证券的发行条款、预估提前偿还率变化对资产支持证券未来现金流的影响，谨慎投资资产支持证券。</w:t>
      </w:r>
    </w:p>
    <w:p w:rsidR="00A4215E"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（7）</w:t>
      </w:r>
      <w:r w:rsidRPr="002E6604">
        <w:rPr>
          <w:rFonts w:hint="eastAsia"/>
          <w:color w:val="000000"/>
        </w:rPr>
        <w:t>中小企业私募债投资策略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 xml:space="preserve">与传统的信用债券相比，中小企业私募债券由于以非公开方式发行和转让，普遍具有高风险和高收益的显著特点。本基金将运用基本面研究，结合公司财务分析方法对债券发行人信用风险进行分析和度量，选择风险与收益相匹配的更优品种进行投资。具体为：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color w:val="000000"/>
        </w:rPr>
        <w:t>①</w:t>
      </w:r>
      <w:r w:rsidRPr="002E6604">
        <w:rPr>
          <w:color w:val="000000"/>
        </w:rPr>
        <w:t xml:space="preserve">研究债券发行人的公司背景、产业发展趋势、行业政策、盈利状况、竞争地位、治理结构等基本面信息，分析企业的长期运作风险；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 xml:space="preserve">②运用财务评价体系对债券发行人的资产流动性、盈利能力、偿债能力、成长能力、现金流水平等方面进行综合评价，评估发行人财务风险；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 xml:space="preserve">③利用历史数据、市场价格以及资产质量等信息，估算私募债券发行人的违约率及违约损失率；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 xml:space="preserve">④考察债券发行人的增信措施，如担保、抵押、质押、银行授信、偿债基金、有序偿债安排等；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 xml:space="preserve">⑤综合上述分析结果，确定信用利差的合理水平，利用市场的相对失衡，选择具有投资价值的品种进行投资。 </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（8）</w:t>
      </w:r>
      <w:r w:rsidRPr="002E6604">
        <w:rPr>
          <w:rFonts w:hint="eastAsia"/>
          <w:color w:val="000000"/>
        </w:rPr>
        <w:t>权证投资策略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本基金的权证投资以控制风险和锁定收益为主要目的。在个券层面上，本基金通过对权证标的公司的基本面研究和未来走势预判，估算权证合理价值，同时还充分考虑个券的流动性，谨慎进行投资。</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（9）</w:t>
      </w:r>
      <w:r w:rsidRPr="002E6604">
        <w:rPr>
          <w:rFonts w:hint="eastAsia"/>
          <w:color w:val="000000"/>
        </w:rPr>
        <w:t>股票期权投资策略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将按照风险管理的原则，以套期保值为主要目的，参与股票期权的投资。本基金将在有效控制风险的前提下，选择流动性好、交易活跃的期权合约进行投资。本基金将基于对证券市场的预判，并结合股指期权定价模型，选择估值合理的期权合约。</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基金管理人将根据审慎原则，建立股票期权交易决策部门或小组，按照有关要求做好人员培训工作，确保投资、风控等核心岗位人员具备股票期权业务知识和相应的专业能力，同时授权特定的管理人员负责股票期权的投资审批事项，以防范期权投资的风险。</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（10）</w:t>
      </w:r>
      <w:r w:rsidRPr="002E6604">
        <w:rPr>
          <w:rFonts w:hint="eastAsia"/>
          <w:color w:val="000000"/>
        </w:rPr>
        <w:t>可转换债券及可交换债券投资策略</w:t>
      </w:r>
    </w:p>
    <w:p w:rsidR="002E6604" w:rsidRPr="002E6604"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可转换债券和可交换债券的价值主要取决于其股权价值、债券价值和内嵌</w:t>
      </w:r>
      <w:r w:rsidRPr="002E6604">
        <w:rPr>
          <w:color w:val="000000"/>
        </w:rPr>
        <w:t>期权价值，本基金管理人将对可转换债券和可交换债券的价值进行评估，选择具有较高投资价值的可转换债券、可交换债券进行投资。此外，本基金可根据新发可转债和可交换债券的预计中签率、模型定价结果，参与可转债和可交换债券新券的申购。</w:t>
      </w:r>
    </w:p>
    <w:p w:rsidR="00BF7EEA" w:rsidRDefault="00BF7EEA"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7、</w:t>
      </w:r>
      <w:r w:rsidRPr="00DB00EE">
        <w:rPr>
          <w:rFonts w:hint="eastAsia"/>
          <w:color w:val="000000"/>
        </w:rPr>
        <w:t>业绩比较基准</w:t>
      </w:r>
      <w:r w:rsidR="002E6604" w:rsidRPr="002E6604">
        <w:rPr>
          <w:color w:val="000000"/>
        </w:rPr>
        <w:t>：沪深300</w:t>
      </w:r>
      <w:r w:rsidR="002E6604" w:rsidRPr="002E6604">
        <w:rPr>
          <w:rFonts w:hint="eastAsia"/>
          <w:color w:val="000000"/>
        </w:rPr>
        <w:t>指数收益率×</w:t>
      </w:r>
      <w:r w:rsidR="002E6604" w:rsidRPr="002E6604">
        <w:rPr>
          <w:color w:val="000000"/>
        </w:rPr>
        <w:t>50%+</w:t>
      </w:r>
      <w:r w:rsidR="002E6604" w:rsidRPr="002E6604">
        <w:rPr>
          <w:rFonts w:hint="eastAsia"/>
          <w:color w:val="000000"/>
        </w:rPr>
        <w:t>中债综合指数收益率×</w:t>
      </w:r>
      <w:r w:rsidR="002E6604" w:rsidRPr="002E6604">
        <w:rPr>
          <w:color w:val="000000"/>
        </w:rPr>
        <w:t>50%</w:t>
      </w:r>
    </w:p>
    <w:p w:rsidR="002E6604" w:rsidRPr="002E6604" w:rsidRDefault="00BF7EEA" w:rsidP="002E6604">
      <w:pPr>
        <w:pStyle w:val="a3"/>
        <w:adjustRightInd w:val="0"/>
        <w:snapToGrid w:val="0"/>
        <w:spacing w:before="0" w:beforeAutospacing="0" w:after="0" w:afterAutospacing="0" w:line="360" w:lineRule="auto"/>
        <w:ind w:firstLineChars="200" w:firstLine="480"/>
        <w:rPr>
          <w:color w:val="000000"/>
        </w:rPr>
      </w:pPr>
      <w:r>
        <w:rPr>
          <w:rFonts w:hint="eastAsia"/>
          <w:color w:val="000000"/>
        </w:rPr>
        <w:t>8、风险收益特征：</w:t>
      </w:r>
    </w:p>
    <w:p w:rsidR="00BF7EEA"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color w:val="000000"/>
        </w:rPr>
        <w:t>本基金为混合型基金，其预期收益及预期风险水平高于债券型基金和货币市场基金，但低于股票型基金，属于中等预期收益和预期风险水平的投资品种。</w:t>
      </w:r>
    </w:p>
    <w:p w:rsidR="00BF7EEA" w:rsidRDefault="00BF7EEA" w:rsidP="00BF7EEA">
      <w:pPr>
        <w:pStyle w:val="a3"/>
        <w:adjustRightInd w:val="0"/>
        <w:snapToGrid w:val="0"/>
        <w:spacing w:before="0" w:beforeAutospacing="0" w:after="0" w:afterAutospacing="0" w:line="360" w:lineRule="auto"/>
        <w:ind w:firstLineChars="200" w:firstLine="480"/>
        <w:rPr>
          <w:color w:val="000000"/>
        </w:rPr>
      </w:pPr>
      <w:r>
        <w:rPr>
          <w:rFonts w:hint="eastAsia"/>
          <w:color w:val="000000"/>
        </w:rPr>
        <w:t>9、基金管理人：中欧基金管理有限公司</w:t>
      </w:r>
    </w:p>
    <w:p w:rsidR="00BF7EEA" w:rsidRPr="00B46532" w:rsidRDefault="00BF7EEA" w:rsidP="002751B8">
      <w:pPr>
        <w:pStyle w:val="a3"/>
        <w:adjustRightInd w:val="0"/>
        <w:snapToGrid w:val="0"/>
        <w:spacing w:before="0" w:beforeAutospacing="0" w:after="0" w:afterAutospacing="0" w:line="360" w:lineRule="auto"/>
        <w:ind w:firstLineChars="200" w:firstLine="480"/>
        <w:rPr>
          <w:color w:val="000000"/>
        </w:rPr>
      </w:pPr>
      <w:r>
        <w:rPr>
          <w:rFonts w:hint="eastAsia"/>
          <w:color w:val="000000"/>
        </w:rPr>
        <w:t>10、基金托管人：</w:t>
      </w:r>
      <w:r w:rsidR="008C2088">
        <w:rPr>
          <w:rFonts w:hint="eastAsia"/>
          <w:color w:val="000000"/>
        </w:rPr>
        <w:t>中国</w:t>
      </w:r>
      <w:r w:rsidR="002E6604">
        <w:rPr>
          <w:rFonts w:hint="eastAsia"/>
          <w:color w:val="000000"/>
        </w:rPr>
        <w:t>民生</w:t>
      </w:r>
      <w:r>
        <w:rPr>
          <w:rFonts w:hint="eastAsia"/>
          <w:color w:val="000000"/>
        </w:rPr>
        <w:t>银行股份有限公司</w:t>
      </w:r>
    </w:p>
    <w:p w:rsidR="009F08B2" w:rsidRPr="00B46532" w:rsidRDefault="009F08B2" w:rsidP="00B46532">
      <w:pPr>
        <w:pStyle w:val="a3"/>
        <w:adjustRightInd w:val="0"/>
        <w:snapToGrid w:val="0"/>
        <w:spacing w:before="0" w:beforeAutospacing="0" w:after="0" w:afterAutospacing="0" w:line="360" w:lineRule="auto"/>
        <w:ind w:firstLineChars="200" w:firstLine="480"/>
        <w:rPr>
          <w:color w:val="000000"/>
        </w:rPr>
      </w:pPr>
    </w:p>
    <w:p w:rsidR="00AD5C40" w:rsidRPr="002E6604" w:rsidRDefault="009F08B2" w:rsidP="00B46532">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三、</w:t>
      </w:r>
      <w:r w:rsidR="00AD5C40" w:rsidRPr="002E6604">
        <w:rPr>
          <w:rFonts w:hint="eastAsia"/>
          <w:color w:val="000000"/>
        </w:rPr>
        <w:t>基金最后运作日</w:t>
      </w:r>
      <w:r w:rsidR="002751B8" w:rsidRPr="002E6604">
        <w:rPr>
          <w:rFonts w:hint="eastAsia"/>
          <w:color w:val="000000"/>
        </w:rPr>
        <w:t>资产负债表</w:t>
      </w:r>
      <w:r w:rsidR="00AD5C40" w:rsidRPr="002E6604">
        <w:rPr>
          <w:rFonts w:hint="eastAsia"/>
          <w:color w:val="000000"/>
        </w:rPr>
        <w:t>（经审计）</w:t>
      </w:r>
    </w:p>
    <w:p w:rsidR="00AF5710" w:rsidRPr="002E6604" w:rsidRDefault="00AD5C40" w:rsidP="00A4215E">
      <w:pPr>
        <w:pStyle w:val="a3"/>
        <w:adjustRightInd w:val="0"/>
        <w:snapToGrid w:val="0"/>
        <w:spacing w:before="0" w:beforeAutospacing="0" w:after="0" w:afterAutospacing="0" w:line="360" w:lineRule="auto"/>
        <w:ind w:firstLineChars="200" w:firstLine="480"/>
        <w:jc w:val="right"/>
        <w:rPr>
          <w:color w:val="000000"/>
        </w:rPr>
      </w:pPr>
      <w:r w:rsidRPr="002E6604">
        <w:rPr>
          <w:rFonts w:hint="eastAsia"/>
          <w:color w:val="000000"/>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3595"/>
      </w:tblGrid>
      <w:tr w:rsidR="00702C55" w:rsidRPr="002E6604" w:rsidTr="000A1292">
        <w:tc>
          <w:tcPr>
            <w:tcW w:w="2891" w:type="pct"/>
            <w:tcBorders>
              <w:top w:val="single" w:sz="4" w:space="0" w:color="auto"/>
            </w:tcBorders>
            <w:vAlign w:val="center"/>
          </w:tcPr>
          <w:p w:rsidR="00702C55" w:rsidRPr="002E6604" w:rsidRDefault="00702C55" w:rsidP="000A1292">
            <w:pPr>
              <w:pStyle w:val="a3"/>
              <w:spacing w:before="0" w:beforeAutospacing="0" w:after="0" w:afterAutospacing="0" w:line="240" w:lineRule="atLeast"/>
              <w:rPr>
                <w:b/>
                <w:sz w:val="22"/>
                <w:szCs w:val="22"/>
              </w:rPr>
            </w:pPr>
            <w:bookmarkStart w:id="1" w:name="资产"/>
          </w:p>
        </w:tc>
        <w:tc>
          <w:tcPr>
            <w:tcW w:w="2109" w:type="pct"/>
            <w:tcBorders>
              <w:top w:val="single" w:sz="4" w:space="0" w:color="auto"/>
            </w:tcBorders>
            <w:vAlign w:val="center"/>
          </w:tcPr>
          <w:p w:rsidR="00702C55" w:rsidRPr="002E6604" w:rsidRDefault="00702C55" w:rsidP="000A1292">
            <w:pPr>
              <w:pStyle w:val="a3"/>
              <w:spacing w:before="0" w:beforeAutospacing="0" w:after="0" w:afterAutospacing="0" w:line="240" w:lineRule="atLeast"/>
              <w:jc w:val="right"/>
              <w:rPr>
                <w:b/>
                <w:sz w:val="22"/>
                <w:szCs w:val="22"/>
              </w:rPr>
            </w:pPr>
            <w:r w:rsidRPr="002E6604">
              <w:rPr>
                <w:rFonts w:hint="eastAsia"/>
                <w:b/>
                <w:sz w:val="22"/>
                <w:szCs w:val="22"/>
              </w:rPr>
              <w:t>最后运作日</w:t>
            </w:r>
          </w:p>
          <w:p w:rsidR="00702C55" w:rsidRPr="002E6604" w:rsidRDefault="00702C55" w:rsidP="000A1292">
            <w:pPr>
              <w:pStyle w:val="a3"/>
              <w:spacing w:before="0" w:beforeAutospacing="0" w:after="0" w:afterAutospacing="0" w:line="240" w:lineRule="atLeast"/>
              <w:jc w:val="right"/>
              <w:rPr>
                <w:b/>
                <w:sz w:val="22"/>
                <w:szCs w:val="22"/>
              </w:rPr>
            </w:pPr>
            <w:r w:rsidRPr="002E6604">
              <w:rPr>
                <w:rFonts w:hint="eastAsia"/>
                <w:b/>
                <w:sz w:val="22"/>
                <w:szCs w:val="22"/>
              </w:rPr>
              <w:t>2018年</w:t>
            </w:r>
            <w:r w:rsidRPr="002E6604">
              <w:rPr>
                <w:b/>
                <w:sz w:val="22"/>
                <w:szCs w:val="22"/>
              </w:rPr>
              <w:t>7</w:t>
            </w:r>
            <w:r w:rsidRPr="002E6604">
              <w:rPr>
                <w:rFonts w:hint="eastAsia"/>
                <w:b/>
                <w:sz w:val="22"/>
                <w:szCs w:val="22"/>
              </w:rPr>
              <w:t>月</w:t>
            </w:r>
            <w:r w:rsidRPr="002E6604">
              <w:rPr>
                <w:b/>
                <w:sz w:val="22"/>
                <w:szCs w:val="22"/>
              </w:rPr>
              <w:t>1</w:t>
            </w:r>
            <w:r w:rsidRPr="002E6604">
              <w:rPr>
                <w:rFonts w:hint="eastAsia"/>
                <w:b/>
                <w:sz w:val="22"/>
                <w:szCs w:val="22"/>
              </w:rPr>
              <w:t>0日</w:t>
            </w:r>
          </w:p>
        </w:tc>
      </w:tr>
      <w:tr w:rsidR="00702C55" w:rsidRPr="002E6604" w:rsidTr="000A1292">
        <w:tc>
          <w:tcPr>
            <w:tcW w:w="2891" w:type="pct"/>
            <w:vAlign w:val="center"/>
          </w:tcPr>
          <w:p w:rsidR="00702C55" w:rsidRPr="002E6604" w:rsidRDefault="00702C55" w:rsidP="000A1292">
            <w:pPr>
              <w:pStyle w:val="a3"/>
              <w:rPr>
                <w:b/>
                <w:sz w:val="22"/>
                <w:szCs w:val="22"/>
              </w:rPr>
            </w:pPr>
            <w:r w:rsidRPr="002E6604">
              <w:rPr>
                <w:rFonts w:hint="eastAsia"/>
                <w:b/>
                <w:sz w:val="22"/>
                <w:szCs w:val="22"/>
              </w:rPr>
              <w:t>资 产：</w:t>
            </w:r>
          </w:p>
        </w:tc>
        <w:tc>
          <w:tcPr>
            <w:tcW w:w="2109" w:type="pct"/>
            <w:vAlign w:val="bottom"/>
          </w:tcPr>
          <w:p w:rsidR="00702C55" w:rsidRPr="002E6604" w:rsidRDefault="00702C55" w:rsidP="000A1292">
            <w:pPr>
              <w:pStyle w:val="a3"/>
              <w:jc w:val="right"/>
              <w:rPr>
                <w:sz w:val="22"/>
                <w:szCs w:val="22"/>
              </w:rPr>
            </w:pP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银行存款</w:t>
            </w:r>
          </w:p>
        </w:tc>
        <w:tc>
          <w:tcPr>
            <w:tcW w:w="2109" w:type="pct"/>
          </w:tcPr>
          <w:p w:rsidR="00702C55" w:rsidRPr="002E6604" w:rsidRDefault="00702C55" w:rsidP="000A1292">
            <w:pPr>
              <w:pStyle w:val="a3"/>
              <w:jc w:val="right"/>
              <w:rPr>
                <w:sz w:val="22"/>
                <w:szCs w:val="22"/>
              </w:rPr>
            </w:pPr>
            <w:r w:rsidRPr="002E6604">
              <w:rPr>
                <w:sz w:val="22"/>
                <w:szCs w:val="22"/>
              </w:rPr>
              <w:t>3,608,816.28</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结算备付金</w:t>
            </w:r>
          </w:p>
        </w:tc>
        <w:tc>
          <w:tcPr>
            <w:tcW w:w="2109" w:type="pct"/>
          </w:tcPr>
          <w:p w:rsidR="00702C55" w:rsidRPr="002E6604" w:rsidRDefault="00702C55" w:rsidP="000A1292">
            <w:pPr>
              <w:pStyle w:val="a3"/>
              <w:jc w:val="right"/>
              <w:rPr>
                <w:sz w:val="22"/>
                <w:szCs w:val="22"/>
              </w:rPr>
            </w:pPr>
            <w:r w:rsidRPr="002E6604">
              <w:rPr>
                <w:sz w:val="22"/>
                <w:szCs w:val="22"/>
              </w:rPr>
              <w:t>450,000.00</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存出</w:t>
            </w:r>
            <w:r w:rsidRPr="002E6604">
              <w:rPr>
                <w:sz w:val="22"/>
                <w:szCs w:val="22"/>
              </w:rPr>
              <w:t>保证金</w:t>
            </w:r>
          </w:p>
        </w:tc>
        <w:tc>
          <w:tcPr>
            <w:tcW w:w="2109" w:type="pct"/>
          </w:tcPr>
          <w:p w:rsidR="00702C55" w:rsidRPr="002E6604" w:rsidRDefault="00702C55" w:rsidP="000A1292">
            <w:pPr>
              <w:pStyle w:val="a3"/>
              <w:jc w:val="right"/>
              <w:rPr>
                <w:sz w:val="22"/>
                <w:szCs w:val="22"/>
              </w:rPr>
            </w:pPr>
            <w:r w:rsidRPr="002E6604">
              <w:rPr>
                <w:sz w:val="22"/>
                <w:szCs w:val="22"/>
              </w:rPr>
              <w:t>39,023.90</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交易性金融资产</w:t>
            </w:r>
          </w:p>
        </w:tc>
        <w:tc>
          <w:tcPr>
            <w:tcW w:w="2109" w:type="pct"/>
            <w:vAlign w:val="bottom"/>
          </w:tcPr>
          <w:p w:rsidR="00702C55" w:rsidRPr="002E6604" w:rsidRDefault="00702C55" w:rsidP="000A1292">
            <w:pPr>
              <w:pStyle w:val="a3"/>
              <w:jc w:val="right"/>
              <w:rPr>
                <w:sz w:val="22"/>
                <w:szCs w:val="22"/>
              </w:rPr>
            </w:pPr>
            <w:r w:rsidRPr="002E6604">
              <w:rPr>
                <w:rFonts w:hint="eastAsia"/>
                <w:sz w:val="22"/>
                <w:szCs w:val="22"/>
              </w:rPr>
              <w:t>-</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应收利息</w:t>
            </w:r>
          </w:p>
        </w:tc>
        <w:tc>
          <w:tcPr>
            <w:tcW w:w="2109" w:type="pct"/>
            <w:vAlign w:val="bottom"/>
          </w:tcPr>
          <w:p w:rsidR="00702C55" w:rsidRPr="002E6604" w:rsidRDefault="00702C55" w:rsidP="000A1292">
            <w:pPr>
              <w:pStyle w:val="a3"/>
              <w:jc w:val="right"/>
              <w:rPr>
                <w:sz w:val="22"/>
                <w:szCs w:val="22"/>
              </w:rPr>
            </w:pPr>
            <w:r w:rsidRPr="002E6604">
              <w:rPr>
                <w:sz w:val="22"/>
                <w:szCs w:val="22"/>
              </w:rPr>
              <w:t>1,898.23</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资产总计</w:t>
            </w:r>
          </w:p>
        </w:tc>
        <w:tc>
          <w:tcPr>
            <w:tcW w:w="2109" w:type="pct"/>
            <w:vAlign w:val="bottom"/>
          </w:tcPr>
          <w:p w:rsidR="00702C55" w:rsidRPr="002E6604" w:rsidRDefault="00702C55" w:rsidP="000A1292">
            <w:pPr>
              <w:pStyle w:val="a3"/>
              <w:jc w:val="right"/>
              <w:rPr>
                <w:sz w:val="22"/>
                <w:szCs w:val="22"/>
              </w:rPr>
            </w:pPr>
            <w:r w:rsidRPr="002E6604">
              <w:rPr>
                <w:sz w:val="22"/>
                <w:szCs w:val="22"/>
              </w:rPr>
              <w:t>4,099,738.41</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b/>
                <w:sz w:val="22"/>
                <w:szCs w:val="22"/>
              </w:rPr>
              <w:t>负 债：</w:t>
            </w:r>
          </w:p>
        </w:tc>
        <w:tc>
          <w:tcPr>
            <w:tcW w:w="2109" w:type="pct"/>
            <w:vAlign w:val="bottom"/>
          </w:tcPr>
          <w:p w:rsidR="00702C55" w:rsidRPr="002E6604" w:rsidRDefault="00702C55" w:rsidP="000A1292">
            <w:pPr>
              <w:pStyle w:val="a3"/>
              <w:jc w:val="right"/>
              <w:rPr>
                <w:sz w:val="22"/>
                <w:szCs w:val="22"/>
              </w:rPr>
            </w:pP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应付</w:t>
            </w:r>
            <w:r w:rsidRPr="002E6604">
              <w:rPr>
                <w:sz w:val="22"/>
                <w:szCs w:val="22"/>
              </w:rPr>
              <w:t>赎回款</w:t>
            </w:r>
          </w:p>
        </w:tc>
        <w:tc>
          <w:tcPr>
            <w:tcW w:w="2109" w:type="pct"/>
            <w:vAlign w:val="bottom"/>
          </w:tcPr>
          <w:p w:rsidR="00702C55" w:rsidRPr="002E6604" w:rsidRDefault="00702C55" w:rsidP="000A1292">
            <w:pPr>
              <w:pStyle w:val="a3"/>
              <w:jc w:val="right"/>
              <w:rPr>
                <w:sz w:val="22"/>
                <w:szCs w:val="22"/>
              </w:rPr>
            </w:pPr>
            <w:r w:rsidRPr="002E6604">
              <w:rPr>
                <w:sz w:val="22"/>
                <w:szCs w:val="22"/>
              </w:rPr>
              <w:t>14,287.74</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应付管理人报酬</w:t>
            </w:r>
          </w:p>
        </w:tc>
        <w:tc>
          <w:tcPr>
            <w:tcW w:w="2109" w:type="pct"/>
            <w:vAlign w:val="bottom"/>
          </w:tcPr>
          <w:p w:rsidR="00702C55" w:rsidRPr="002E6604" w:rsidRDefault="00702C55" w:rsidP="000A1292">
            <w:pPr>
              <w:pStyle w:val="a3"/>
              <w:jc w:val="right"/>
              <w:rPr>
                <w:sz w:val="22"/>
                <w:szCs w:val="22"/>
              </w:rPr>
            </w:pPr>
            <w:r w:rsidRPr="002E6604">
              <w:rPr>
                <w:sz w:val="22"/>
                <w:szCs w:val="22"/>
              </w:rPr>
              <w:t>625.55</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应付托管费</w:t>
            </w:r>
          </w:p>
        </w:tc>
        <w:tc>
          <w:tcPr>
            <w:tcW w:w="2109" w:type="pct"/>
            <w:vAlign w:val="bottom"/>
          </w:tcPr>
          <w:p w:rsidR="00702C55" w:rsidRPr="002E6604" w:rsidRDefault="00702C55" w:rsidP="000A1292">
            <w:pPr>
              <w:pStyle w:val="a3"/>
              <w:jc w:val="right"/>
              <w:rPr>
                <w:sz w:val="22"/>
                <w:szCs w:val="22"/>
              </w:rPr>
            </w:pPr>
            <w:r w:rsidRPr="002E6604">
              <w:rPr>
                <w:sz w:val="22"/>
                <w:szCs w:val="22"/>
              </w:rPr>
              <w:t>104.26</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应付销售服务费</w:t>
            </w:r>
          </w:p>
        </w:tc>
        <w:tc>
          <w:tcPr>
            <w:tcW w:w="2109" w:type="pct"/>
            <w:vAlign w:val="bottom"/>
          </w:tcPr>
          <w:p w:rsidR="00702C55" w:rsidRPr="002E6604" w:rsidRDefault="00702C55" w:rsidP="000A1292">
            <w:pPr>
              <w:pStyle w:val="a3"/>
              <w:jc w:val="right"/>
              <w:rPr>
                <w:sz w:val="22"/>
                <w:szCs w:val="22"/>
              </w:rPr>
            </w:pPr>
            <w:r w:rsidRPr="002E6604">
              <w:rPr>
                <w:sz w:val="22"/>
                <w:szCs w:val="22"/>
              </w:rPr>
              <w:t>0.50</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应付交易费用</w:t>
            </w:r>
          </w:p>
        </w:tc>
        <w:tc>
          <w:tcPr>
            <w:tcW w:w="2109" w:type="pct"/>
            <w:vAlign w:val="bottom"/>
          </w:tcPr>
          <w:p w:rsidR="00702C55" w:rsidRPr="002E6604" w:rsidRDefault="00702C55" w:rsidP="000A1292">
            <w:pPr>
              <w:pStyle w:val="a3"/>
              <w:jc w:val="right"/>
              <w:rPr>
                <w:sz w:val="22"/>
                <w:szCs w:val="22"/>
              </w:rPr>
            </w:pPr>
            <w:r w:rsidRPr="002E6604">
              <w:rPr>
                <w:sz w:val="22"/>
                <w:szCs w:val="22"/>
              </w:rPr>
              <w:t>8,662.68</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应交税费</w:t>
            </w:r>
          </w:p>
        </w:tc>
        <w:tc>
          <w:tcPr>
            <w:tcW w:w="2109" w:type="pct"/>
            <w:vAlign w:val="bottom"/>
          </w:tcPr>
          <w:p w:rsidR="00702C55" w:rsidRPr="002E6604" w:rsidRDefault="00702C55" w:rsidP="000A1292">
            <w:pPr>
              <w:pStyle w:val="a3"/>
              <w:jc w:val="right"/>
              <w:rPr>
                <w:sz w:val="22"/>
                <w:szCs w:val="22"/>
              </w:rPr>
            </w:pPr>
            <w:r w:rsidRPr="002E6604">
              <w:rPr>
                <w:rFonts w:hint="eastAsia"/>
                <w:sz w:val="22"/>
                <w:szCs w:val="22"/>
              </w:rPr>
              <w:t>-</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应付利润</w:t>
            </w:r>
          </w:p>
        </w:tc>
        <w:tc>
          <w:tcPr>
            <w:tcW w:w="2109" w:type="pct"/>
            <w:vAlign w:val="bottom"/>
          </w:tcPr>
          <w:p w:rsidR="00702C55" w:rsidRPr="002E6604" w:rsidRDefault="00702C55" w:rsidP="000A1292">
            <w:pPr>
              <w:pStyle w:val="a3"/>
              <w:jc w:val="right"/>
              <w:rPr>
                <w:sz w:val="22"/>
                <w:szCs w:val="22"/>
              </w:rPr>
            </w:pPr>
            <w:r w:rsidRPr="002E6604">
              <w:rPr>
                <w:rFonts w:hint="eastAsia"/>
                <w:sz w:val="22"/>
                <w:szCs w:val="22"/>
              </w:rPr>
              <w:t>-</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其他负债</w:t>
            </w:r>
          </w:p>
        </w:tc>
        <w:tc>
          <w:tcPr>
            <w:tcW w:w="2109" w:type="pct"/>
            <w:vAlign w:val="bottom"/>
          </w:tcPr>
          <w:p w:rsidR="00702C55" w:rsidRPr="002E6604" w:rsidRDefault="00702C55" w:rsidP="000A1292">
            <w:pPr>
              <w:pStyle w:val="a3"/>
              <w:jc w:val="right"/>
              <w:rPr>
                <w:sz w:val="22"/>
                <w:szCs w:val="22"/>
              </w:rPr>
            </w:pPr>
            <w:r w:rsidRPr="002E6604">
              <w:rPr>
                <w:sz w:val="22"/>
                <w:szCs w:val="22"/>
              </w:rPr>
              <w:t>287,246.73</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负债合计</w:t>
            </w:r>
          </w:p>
        </w:tc>
        <w:tc>
          <w:tcPr>
            <w:tcW w:w="2109" w:type="pct"/>
            <w:vAlign w:val="bottom"/>
          </w:tcPr>
          <w:p w:rsidR="00702C55" w:rsidRPr="002E6604" w:rsidRDefault="00702C55" w:rsidP="000A1292">
            <w:pPr>
              <w:pStyle w:val="a3"/>
              <w:jc w:val="right"/>
              <w:rPr>
                <w:sz w:val="22"/>
                <w:szCs w:val="22"/>
              </w:rPr>
            </w:pPr>
            <w:r w:rsidRPr="002E6604">
              <w:rPr>
                <w:sz w:val="22"/>
                <w:szCs w:val="22"/>
              </w:rPr>
              <w:t>310,927.46</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b/>
                <w:sz w:val="22"/>
                <w:szCs w:val="22"/>
              </w:rPr>
              <w:t>所有者权益：</w:t>
            </w:r>
          </w:p>
        </w:tc>
        <w:tc>
          <w:tcPr>
            <w:tcW w:w="2109" w:type="pct"/>
            <w:vAlign w:val="bottom"/>
          </w:tcPr>
          <w:p w:rsidR="00702C55" w:rsidRPr="002E6604" w:rsidRDefault="00702C55" w:rsidP="000A1292">
            <w:pPr>
              <w:pStyle w:val="a3"/>
              <w:jc w:val="right"/>
              <w:rPr>
                <w:sz w:val="22"/>
                <w:szCs w:val="22"/>
              </w:rPr>
            </w:pPr>
          </w:p>
        </w:tc>
      </w:tr>
      <w:tr w:rsidR="00702C55" w:rsidRPr="002E6604" w:rsidTr="000A1292">
        <w:tc>
          <w:tcPr>
            <w:tcW w:w="2891" w:type="pct"/>
            <w:vAlign w:val="center"/>
          </w:tcPr>
          <w:p w:rsidR="00702C55" w:rsidRPr="002E6604" w:rsidRDefault="00702C55" w:rsidP="000A1292">
            <w:pPr>
              <w:pStyle w:val="a3"/>
              <w:rPr>
                <w:b/>
                <w:sz w:val="22"/>
                <w:szCs w:val="22"/>
              </w:rPr>
            </w:pPr>
            <w:r w:rsidRPr="002E6604">
              <w:rPr>
                <w:rFonts w:hint="eastAsia"/>
                <w:sz w:val="22"/>
                <w:szCs w:val="22"/>
              </w:rPr>
              <w:t>实收基金</w:t>
            </w:r>
          </w:p>
        </w:tc>
        <w:tc>
          <w:tcPr>
            <w:tcW w:w="2109" w:type="pct"/>
            <w:vAlign w:val="bottom"/>
          </w:tcPr>
          <w:p w:rsidR="00702C55" w:rsidRPr="002E6604" w:rsidRDefault="00702C55" w:rsidP="000A1292">
            <w:pPr>
              <w:pStyle w:val="a3"/>
              <w:jc w:val="right"/>
              <w:rPr>
                <w:sz w:val="22"/>
                <w:szCs w:val="22"/>
              </w:rPr>
            </w:pPr>
            <w:r w:rsidRPr="002E6604">
              <w:rPr>
                <w:sz w:val="22"/>
                <w:szCs w:val="22"/>
              </w:rPr>
              <w:t>3,664,165.53</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未分配利润</w:t>
            </w:r>
          </w:p>
        </w:tc>
        <w:tc>
          <w:tcPr>
            <w:tcW w:w="2109" w:type="pct"/>
            <w:vAlign w:val="bottom"/>
          </w:tcPr>
          <w:p w:rsidR="00702C55" w:rsidRPr="002E6604" w:rsidRDefault="00702C55" w:rsidP="000A1292">
            <w:pPr>
              <w:pStyle w:val="a3"/>
              <w:jc w:val="right"/>
              <w:rPr>
                <w:sz w:val="22"/>
                <w:szCs w:val="22"/>
              </w:rPr>
            </w:pPr>
            <w:r w:rsidRPr="002E6604">
              <w:rPr>
                <w:sz w:val="22"/>
                <w:szCs w:val="22"/>
              </w:rPr>
              <w:t>124,645.42</w:t>
            </w:r>
          </w:p>
        </w:tc>
      </w:tr>
      <w:tr w:rsidR="00702C55" w:rsidRPr="002E6604"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所有者权益合计</w:t>
            </w:r>
          </w:p>
        </w:tc>
        <w:tc>
          <w:tcPr>
            <w:tcW w:w="2109" w:type="pct"/>
            <w:vAlign w:val="bottom"/>
          </w:tcPr>
          <w:p w:rsidR="00702C55" w:rsidRPr="002E6604" w:rsidRDefault="00702C55" w:rsidP="000A1292">
            <w:pPr>
              <w:pStyle w:val="a3"/>
              <w:jc w:val="right"/>
              <w:rPr>
                <w:sz w:val="22"/>
                <w:szCs w:val="22"/>
              </w:rPr>
            </w:pPr>
            <w:r w:rsidRPr="002E6604">
              <w:rPr>
                <w:sz w:val="22"/>
                <w:szCs w:val="22"/>
              </w:rPr>
              <w:t>3,788,810.95</w:t>
            </w:r>
          </w:p>
        </w:tc>
      </w:tr>
      <w:tr w:rsidR="00702C55" w:rsidRPr="00C54949" w:rsidTr="000A1292">
        <w:tc>
          <w:tcPr>
            <w:tcW w:w="2891" w:type="pct"/>
            <w:vAlign w:val="center"/>
          </w:tcPr>
          <w:p w:rsidR="00702C55" w:rsidRPr="002E6604" w:rsidRDefault="00702C55" w:rsidP="000A1292">
            <w:pPr>
              <w:pStyle w:val="a3"/>
              <w:rPr>
                <w:sz w:val="22"/>
                <w:szCs w:val="22"/>
              </w:rPr>
            </w:pPr>
            <w:r w:rsidRPr="002E6604">
              <w:rPr>
                <w:rFonts w:hint="eastAsia"/>
                <w:sz w:val="22"/>
                <w:szCs w:val="22"/>
              </w:rPr>
              <w:t>负债和所有者权益总计</w:t>
            </w:r>
          </w:p>
        </w:tc>
        <w:tc>
          <w:tcPr>
            <w:tcW w:w="2109" w:type="pct"/>
            <w:vAlign w:val="bottom"/>
          </w:tcPr>
          <w:p w:rsidR="00702C55" w:rsidRPr="002E6604" w:rsidRDefault="00702C55" w:rsidP="000A1292">
            <w:pPr>
              <w:pStyle w:val="a3"/>
              <w:jc w:val="right"/>
              <w:rPr>
                <w:sz w:val="22"/>
                <w:szCs w:val="22"/>
              </w:rPr>
            </w:pPr>
            <w:r w:rsidRPr="002E6604">
              <w:rPr>
                <w:sz w:val="22"/>
                <w:szCs w:val="22"/>
              </w:rPr>
              <w:t>4,099,738.41</w:t>
            </w:r>
          </w:p>
        </w:tc>
      </w:tr>
      <w:bookmarkEnd w:id="1"/>
    </w:tbl>
    <w:p w:rsidR="00AD5C40" w:rsidRPr="00F47DBC" w:rsidRDefault="00AD5C40" w:rsidP="00F47DBC">
      <w:pPr>
        <w:pStyle w:val="a3"/>
        <w:adjustRightInd w:val="0"/>
        <w:snapToGrid w:val="0"/>
        <w:spacing w:before="0" w:beforeAutospacing="0" w:after="0" w:afterAutospacing="0" w:line="360" w:lineRule="auto"/>
        <w:ind w:firstLineChars="200" w:firstLine="480"/>
        <w:rPr>
          <w:color w:val="000000"/>
        </w:rPr>
      </w:pPr>
    </w:p>
    <w:p w:rsidR="00AD5C40"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四、</w:t>
      </w:r>
      <w:r w:rsidR="00AD5C40" w:rsidRPr="00B46532">
        <w:rPr>
          <w:rFonts w:hint="eastAsia"/>
          <w:color w:val="000000"/>
        </w:rPr>
        <w:t>清盘事项说明</w:t>
      </w:r>
    </w:p>
    <w:p w:rsidR="002E6604" w:rsidRDefault="00B325F0" w:rsidP="002E6604">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1、</w:t>
      </w:r>
      <w:r w:rsidRPr="00B46532">
        <w:rPr>
          <w:color w:val="000000"/>
        </w:rPr>
        <w:t>清算原因</w:t>
      </w:r>
    </w:p>
    <w:p w:rsidR="00B325F0" w:rsidRPr="00B46532" w:rsidRDefault="002E6604" w:rsidP="002E6604">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根据《基金合同》“第五部分 基金备案”中“基金合同生效后，连续20个工作日出现基金份额持有人数量不满200人或者基金资产净值低于5000万元情形的，本基金将根据基金合同第十九部分的约定进行基金财产清算并终止，而无须召开基金份额持有人大会。”</w:t>
      </w:r>
      <w:r w:rsidR="00015C47" w:rsidRPr="00C715FD">
        <w:rPr>
          <w:rFonts w:hint="eastAsia"/>
          <w:color w:val="000000"/>
        </w:rPr>
        <w:t>截至2018年7月10日日终</w:t>
      </w:r>
      <w:r w:rsidR="00015C47">
        <w:rPr>
          <w:rFonts w:hint="eastAsia"/>
          <w:color w:val="000000"/>
        </w:rPr>
        <w:t>，</w:t>
      </w:r>
      <w:r w:rsidRPr="002E6604">
        <w:rPr>
          <w:rFonts w:hint="eastAsia"/>
          <w:color w:val="000000"/>
        </w:rPr>
        <w:t>本基金已连续20个工作日基金资产净值低于5000万元。为维护基金份额持有人利益，根据基金合同约定，不需召开基金份额持有人大会，本基金管理人可以</w:t>
      </w:r>
      <w:r w:rsidR="00015C47" w:rsidRPr="002E6604">
        <w:rPr>
          <w:rFonts w:hint="eastAsia"/>
          <w:color w:val="000000"/>
        </w:rPr>
        <w:t>依法履行基金财产清算程序并</w:t>
      </w:r>
      <w:r w:rsidRPr="002E6604">
        <w:rPr>
          <w:rFonts w:hint="eastAsia"/>
          <w:color w:val="000000"/>
        </w:rPr>
        <w:t>终止本基金合同。</w:t>
      </w:r>
    </w:p>
    <w:p w:rsidR="00B46532" w:rsidRPr="00B46532" w:rsidRDefault="00B325F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2、</w:t>
      </w:r>
      <w:r w:rsidRPr="00B46532">
        <w:rPr>
          <w:color w:val="000000"/>
        </w:rPr>
        <w:t>清算起始日</w:t>
      </w:r>
    </w:p>
    <w:p w:rsidR="002751B8" w:rsidRDefault="002E6604" w:rsidP="002751B8">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根据《</w:t>
      </w:r>
      <w:r w:rsidR="00015C47">
        <w:rPr>
          <w:rFonts w:hint="eastAsia"/>
          <w:color w:val="000000"/>
        </w:rPr>
        <w:t>中欧</w:t>
      </w:r>
      <w:r w:rsidR="00015C47">
        <w:rPr>
          <w:color w:val="000000"/>
        </w:rPr>
        <w:t>基金管理有限公司关于</w:t>
      </w:r>
      <w:r w:rsidRPr="002E6604">
        <w:rPr>
          <w:rFonts w:hint="eastAsia"/>
          <w:color w:val="000000"/>
        </w:rPr>
        <w:t>中欧瑾悠灵活配置混合型证券投资基金基金合同终止及基金财产清算的公告》，自2018年7月11日起，本基金进入清算程序。故本基金清算起始日为2018年7月11日。</w:t>
      </w:r>
    </w:p>
    <w:p w:rsidR="0091314C" w:rsidRDefault="0091314C" w:rsidP="0091314C">
      <w:pPr>
        <w:pStyle w:val="a3"/>
        <w:adjustRightInd w:val="0"/>
        <w:snapToGrid w:val="0"/>
        <w:spacing w:before="0" w:beforeAutospacing="0" w:after="0" w:afterAutospacing="0" w:line="360" w:lineRule="auto"/>
        <w:ind w:firstLineChars="200" w:firstLine="480"/>
        <w:rPr>
          <w:color w:val="000000"/>
        </w:rPr>
      </w:pPr>
      <w:r>
        <w:rPr>
          <w:rFonts w:hint="eastAsia"/>
          <w:color w:val="000000"/>
        </w:rPr>
        <w:t>3、清算报表编制基础</w:t>
      </w:r>
    </w:p>
    <w:p w:rsidR="0091314C" w:rsidRDefault="002E6604" w:rsidP="0091314C">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本基金的清算报表是在非持续经营的前提下参考《企业会计准则》及《证券投资基金会计核算业务指引》的有关规定编制的。自本基金最后运作日起，资产负债按清算价格计价。由于报告性质所致，本清算报表并无比较期间的相关数据列示。</w:t>
      </w:r>
    </w:p>
    <w:p w:rsidR="00B46532" w:rsidRPr="0091314C" w:rsidRDefault="00B46532" w:rsidP="00B46532">
      <w:pPr>
        <w:pStyle w:val="a3"/>
        <w:adjustRightInd w:val="0"/>
        <w:snapToGrid w:val="0"/>
        <w:spacing w:before="0" w:beforeAutospacing="0" w:after="0" w:afterAutospacing="0" w:line="360" w:lineRule="auto"/>
        <w:ind w:firstLineChars="200" w:firstLine="480"/>
        <w:rPr>
          <w:color w:val="000000"/>
        </w:rPr>
      </w:pPr>
    </w:p>
    <w:p w:rsidR="00576A20" w:rsidRPr="00B46532" w:rsidRDefault="00576A20" w:rsidP="00B46532">
      <w:pPr>
        <w:pStyle w:val="a3"/>
        <w:adjustRightInd w:val="0"/>
        <w:snapToGrid w:val="0"/>
        <w:spacing w:before="0" w:beforeAutospacing="0" w:after="0" w:afterAutospacing="0" w:line="360" w:lineRule="auto"/>
        <w:ind w:firstLineChars="200" w:firstLine="480"/>
        <w:rPr>
          <w:color w:val="000000"/>
        </w:rPr>
      </w:pPr>
      <w:r w:rsidRPr="00B46532">
        <w:rPr>
          <w:rFonts w:hint="eastAsia"/>
          <w:color w:val="000000"/>
        </w:rPr>
        <w:t>五、清算情况</w:t>
      </w:r>
    </w:p>
    <w:p w:rsidR="007656AB" w:rsidRPr="007656AB" w:rsidRDefault="002E6604" w:rsidP="007656AB">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自2018年7月11日至2018年7月25日止清算期间，基金财产清算小组对本基金的资产、负债进行清算，全部清算工作按清算原则和清算手续进行。具体清算情况如下：</w:t>
      </w:r>
    </w:p>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sidRPr="007656AB">
        <w:rPr>
          <w:color w:val="000000"/>
        </w:rPr>
        <w:t>1</w:t>
      </w:r>
      <w:r w:rsidRPr="007656AB">
        <w:rPr>
          <w:rFonts w:hint="eastAsia"/>
          <w:color w:val="000000"/>
        </w:rPr>
        <w:t>、清算费用</w:t>
      </w:r>
    </w:p>
    <w:p w:rsidR="007656AB" w:rsidRPr="007656AB" w:rsidRDefault="002E6604" w:rsidP="007656AB">
      <w:pPr>
        <w:pStyle w:val="a3"/>
        <w:adjustRightInd w:val="0"/>
        <w:snapToGrid w:val="0"/>
        <w:spacing w:before="0" w:beforeAutospacing="0" w:after="0" w:afterAutospacing="0" w:line="360" w:lineRule="auto"/>
        <w:ind w:firstLineChars="200" w:firstLine="480"/>
        <w:rPr>
          <w:color w:val="000000"/>
        </w:rPr>
      </w:pPr>
      <w:r w:rsidRPr="002E6604">
        <w:rPr>
          <w:rFonts w:hint="eastAsia"/>
          <w:color w:val="000000"/>
        </w:rPr>
        <w:t>清算费用是指基金财产清算小组在进行基金财产清算过程中发生的所有合理费用，根据基金合同的规定，清算费用由基金财产清算小组优先从基金财产中支付。考虑到基金清算的实际情况，从保护基金份额持有人利益的角度出发，</w:t>
      </w:r>
      <w:r w:rsidR="00B62EC5" w:rsidRPr="00B62EC5">
        <w:rPr>
          <w:rFonts w:hint="eastAsia"/>
          <w:color w:val="000000"/>
        </w:rPr>
        <w:t>本基金的清算费用中287,246.68元由基金资产承担，银行间费用3,000.00元和审计费753.32元</w:t>
      </w:r>
      <w:r w:rsidR="00B13412" w:rsidRPr="00B13412">
        <w:rPr>
          <w:rFonts w:hint="eastAsia"/>
          <w:color w:val="000000"/>
        </w:rPr>
        <w:t>及其余清算费用由基金管理人承担。</w:t>
      </w:r>
    </w:p>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bookmarkStart w:id="2" w:name="OLE_LINK8"/>
      <w:bookmarkStart w:id="3" w:name="OLE_LINK9"/>
      <w:r w:rsidRPr="007656AB">
        <w:rPr>
          <w:color w:val="000000"/>
        </w:rPr>
        <w:t>2、</w:t>
      </w:r>
      <w:r w:rsidRPr="007656AB">
        <w:rPr>
          <w:rFonts w:hint="eastAsia"/>
          <w:color w:val="000000"/>
        </w:rPr>
        <w:t>资产处置情况</w:t>
      </w:r>
    </w:p>
    <w:p w:rsidR="007656AB" w:rsidRPr="007656AB" w:rsidRDefault="007656AB" w:rsidP="002E6604">
      <w:pPr>
        <w:pStyle w:val="a3"/>
        <w:adjustRightInd w:val="0"/>
        <w:snapToGrid w:val="0"/>
        <w:spacing w:before="0" w:beforeAutospacing="0" w:after="0" w:afterAutospacing="0" w:line="360" w:lineRule="auto"/>
        <w:ind w:firstLineChars="200" w:firstLine="480"/>
        <w:rPr>
          <w:color w:val="000000"/>
        </w:rPr>
      </w:pPr>
      <w:bookmarkStart w:id="4" w:name="OLE_LINK6"/>
      <w:bookmarkStart w:id="5" w:name="OLE_LINK7"/>
      <w:bookmarkEnd w:id="2"/>
      <w:bookmarkEnd w:id="3"/>
      <w:r>
        <w:rPr>
          <w:rFonts w:hint="eastAsia"/>
          <w:color w:val="000000"/>
        </w:rPr>
        <w:t>（1）</w:t>
      </w:r>
      <w:r w:rsidR="002E6604" w:rsidRPr="002E6604">
        <w:rPr>
          <w:rFonts w:hint="eastAsia"/>
          <w:color w:val="000000"/>
        </w:rPr>
        <w:t>本基金最后运作日应收利息为人民币1,898.23元，其中应收银行存款利息人民币1,463.67元，应收结算备付金利息395.16元，应收存出保证金利息39.40元，以上应收利息人民币1,898.23元将由基金管理人以自有资金先行垫付，于清算款划出日前划入托管账户，垫付资金待结息款到账后将返还给管理人。</w:t>
      </w:r>
    </w:p>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Pr>
          <w:rFonts w:hint="eastAsia"/>
          <w:color w:val="000000"/>
        </w:rPr>
        <w:t>（2）</w:t>
      </w:r>
      <w:r w:rsidR="002E6604" w:rsidRPr="002E6604">
        <w:rPr>
          <w:rFonts w:hint="eastAsia"/>
          <w:color w:val="000000"/>
        </w:rPr>
        <w:t>本基金最后运作日结算备付金为人民币450,000.00元，于2018年8月2日划入托管账户。</w:t>
      </w:r>
    </w:p>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Pr>
          <w:rFonts w:hint="eastAsia"/>
          <w:color w:val="000000"/>
        </w:rPr>
        <w:t>（3）</w:t>
      </w:r>
      <w:r w:rsidR="002E6604" w:rsidRPr="002E6604">
        <w:rPr>
          <w:rFonts w:hint="eastAsia"/>
          <w:color w:val="000000"/>
        </w:rPr>
        <w:t>本基金最后运作日存出保证金为人民币39,023.90元，于2018年8月2日划入托管账户。</w:t>
      </w:r>
    </w:p>
    <w:bookmarkEnd w:id="4"/>
    <w:bookmarkEnd w:id="5"/>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Pr>
          <w:color w:val="000000"/>
        </w:rPr>
        <w:t>3</w:t>
      </w:r>
      <w:r>
        <w:rPr>
          <w:rFonts w:hint="eastAsia"/>
          <w:color w:val="000000"/>
        </w:rPr>
        <w:t>、</w:t>
      </w:r>
      <w:r w:rsidRPr="007656AB">
        <w:rPr>
          <w:rFonts w:hint="eastAsia"/>
          <w:color w:val="000000"/>
        </w:rPr>
        <w:t>负债清偿情况</w:t>
      </w:r>
    </w:p>
    <w:p w:rsidR="00D417F0" w:rsidRPr="00D417F0" w:rsidRDefault="00D417F0" w:rsidP="00D417F0">
      <w:pPr>
        <w:pStyle w:val="a3"/>
        <w:adjustRightInd w:val="0"/>
        <w:snapToGrid w:val="0"/>
        <w:spacing w:before="0" w:beforeAutospacing="0" w:after="0" w:afterAutospacing="0" w:line="360" w:lineRule="auto"/>
        <w:ind w:firstLineChars="200" w:firstLine="480"/>
        <w:rPr>
          <w:color w:val="000000"/>
        </w:rPr>
      </w:pPr>
      <w:r>
        <w:rPr>
          <w:rFonts w:hint="eastAsia"/>
          <w:color w:val="000000"/>
        </w:rPr>
        <w:t>（1）</w:t>
      </w:r>
      <w:r w:rsidRPr="00D417F0">
        <w:rPr>
          <w:rFonts w:hint="eastAsia"/>
          <w:color w:val="000000"/>
        </w:rPr>
        <w:t>本基金最后运作日应付管理人报酬为人民币625.55元，该款项已于2018年7月18日支付。</w:t>
      </w:r>
    </w:p>
    <w:p w:rsidR="00D417F0" w:rsidRPr="00D417F0" w:rsidRDefault="00D417F0" w:rsidP="00D417F0">
      <w:pPr>
        <w:pStyle w:val="a3"/>
        <w:adjustRightInd w:val="0"/>
        <w:snapToGrid w:val="0"/>
        <w:spacing w:before="0" w:beforeAutospacing="0" w:after="0" w:afterAutospacing="0" w:line="360" w:lineRule="auto"/>
        <w:ind w:firstLineChars="200" w:firstLine="480"/>
        <w:rPr>
          <w:color w:val="000000"/>
        </w:rPr>
      </w:pPr>
      <w:r>
        <w:rPr>
          <w:rFonts w:hint="eastAsia"/>
          <w:color w:val="000000"/>
        </w:rPr>
        <w:t>（2）</w:t>
      </w:r>
      <w:r w:rsidRPr="00D417F0">
        <w:rPr>
          <w:rFonts w:hint="eastAsia"/>
          <w:color w:val="000000"/>
        </w:rPr>
        <w:t>本基金最后运作日应付托管费为人民币104.26元，该款项已于2018年7月18日支付。</w:t>
      </w:r>
    </w:p>
    <w:p w:rsidR="00D417F0" w:rsidRPr="00D417F0" w:rsidRDefault="00D417F0" w:rsidP="00D417F0">
      <w:pPr>
        <w:pStyle w:val="a3"/>
        <w:adjustRightInd w:val="0"/>
        <w:snapToGrid w:val="0"/>
        <w:spacing w:before="0" w:beforeAutospacing="0" w:after="0" w:afterAutospacing="0" w:line="360" w:lineRule="auto"/>
        <w:ind w:firstLineChars="200" w:firstLine="480"/>
        <w:rPr>
          <w:color w:val="000000"/>
        </w:rPr>
      </w:pPr>
      <w:r>
        <w:rPr>
          <w:rFonts w:hint="eastAsia"/>
          <w:color w:val="000000"/>
        </w:rPr>
        <w:t>（3）</w:t>
      </w:r>
      <w:r w:rsidRPr="00D417F0">
        <w:rPr>
          <w:rFonts w:hint="eastAsia"/>
          <w:color w:val="000000"/>
        </w:rPr>
        <w:t>本基金最后运作日应付销售服务费为人民币0.50元，该款项已于2018年7月18日支付。</w:t>
      </w:r>
    </w:p>
    <w:p w:rsidR="00D417F0" w:rsidRPr="00D417F0" w:rsidRDefault="00D417F0" w:rsidP="00D417F0">
      <w:pPr>
        <w:pStyle w:val="a3"/>
        <w:adjustRightInd w:val="0"/>
        <w:snapToGrid w:val="0"/>
        <w:spacing w:before="0" w:beforeAutospacing="0" w:after="0" w:afterAutospacing="0" w:line="360" w:lineRule="auto"/>
        <w:ind w:firstLineChars="200" w:firstLine="480"/>
        <w:rPr>
          <w:color w:val="000000"/>
        </w:rPr>
      </w:pPr>
      <w:r>
        <w:rPr>
          <w:rFonts w:hint="eastAsia"/>
          <w:color w:val="000000"/>
        </w:rPr>
        <w:t>（4）</w:t>
      </w:r>
      <w:r w:rsidRPr="00D417F0">
        <w:rPr>
          <w:rFonts w:hint="eastAsia"/>
          <w:color w:val="000000"/>
        </w:rPr>
        <w:t>本基金最后运作日应付交易费用为人民币8,662.68元，该款项已于2018年7月13日支付。</w:t>
      </w:r>
    </w:p>
    <w:p w:rsidR="00D417F0" w:rsidRPr="00D417F0" w:rsidRDefault="00D417F0" w:rsidP="00D417F0">
      <w:pPr>
        <w:pStyle w:val="a3"/>
        <w:adjustRightInd w:val="0"/>
        <w:snapToGrid w:val="0"/>
        <w:spacing w:before="0" w:beforeAutospacing="0" w:after="0" w:afterAutospacing="0" w:line="360" w:lineRule="auto"/>
        <w:ind w:firstLineChars="200" w:firstLine="480"/>
        <w:rPr>
          <w:color w:val="000000"/>
        </w:rPr>
      </w:pPr>
      <w:r>
        <w:rPr>
          <w:rFonts w:hint="eastAsia"/>
          <w:color w:val="000000"/>
        </w:rPr>
        <w:t>（5）</w:t>
      </w:r>
      <w:r w:rsidRPr="00D417F0">
        <w:rPr>
          <w:rFonts w:hint="eastAsia"/>
          <w:color w:val="000000"/>
        </w:rPr>
        <w:t>本基金最后运作日应付赎回款为人民币14,287.74元，该款项已于2018年7月11日支付。</w:t>
      </w:r>
    </w:p>
    <w:p w:rsidR="00AD5C40" w:rsidRDefault="00D417F0" w:rsidP="00D417F0">
      <w:pPr>
        <w:pStyle w:val="a3"/>
        <w:adjustRightInd w:val="0"/>
        <w:snapToGrid w:val="0"/>
        <w:spacing w:before="0" w:beforeAutospacing="0" w:after="0" w:afterAutospacing="0" w:line="360" w:lineRule="auto"/>
        <w:ind w:firstLineChars="200" w:firstLine="480"/>
        <w:rPr>
          <w:color w:val="000000"/>
        </w:rPr>
      </w:pPr>
      <w:r>
        <w:rPr>
          <w:rFonts w:hint="eastAsia"/>
          <w:color w:val="000000"/>
        </w:rPr>
        <w:t>（6）</w:t>
      </w:r>
      <w:r w:rsidRPr="00D417F0">
        <w:rPr>
          <w:rFonts w:hint="eastAsia"/>
          <w:color w:val="000000"/>
        </w:rPr>
        <w:t>本基金最后运作日其他负债为人民币287,246.73元，其中人民币248,000.00元为应付信息披露费，已于2018年7月11日支付；人民币0.05元为应付赎回费，已于2018年7月11日支付；人民币39,246.68元为应付审计费，已于2018年7月24日支付。</w:t>
      </w:r>
    </w:p>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Pr>
          <w:color w:val="000000"/>
        </w:rPr>
        <w:t>4</w:t>
      </w:r>
      <w:r w:rsidRPr="007656AB">
        <w:rPr>
          <w:rFonts w:hint="eastAsia"/>
          <w:color w:val="000000"/>
        </w:rPr>
        <w:t>、清算期间的清算损益情况</w:t>
      </w:r>
    </w:p>
    <w:tbl>
      <w:tblPr>
        <w:tblStyle w:val="PlainTable2"/>
        <w:tblW w:w="8476" w:type="dxa"/>
        <w:tblLook w:val="0000"/>
      </w:tblPr>
      <w:tblGrid>
        <w:gridCol w:w="5739"/>
        <w:gridCol w:w="2737"/>
      </w:tblGrid>
      <w:tr w:rsidR="007656AB" w:rsidRPr="007656AB" w:rsidTr="007656AB">
        <w:trPr>
          <w:cnfStyle w:val="000000100000"/>
          <w:trHeight w:val="80"/>
        </w:trPr>
        <w:tc>
          <w:tcPr>
            <w:cnfStyle w:val="000010000000"/>
            <w:tcW w:w="5739" w:type="dxa"/>
            <w:noWrap/>
          </w:tcPr>
          <w:p w:rsidR="007656AB" w:rsidRPr="007656AB" w:rsidRDefault="007656AB" w:rsidP="000A1292">
            <w:pPr>
              <w:overflowPunct w:val="0"/>
              <w:autoSpaceDE w:val="0"/>
              <w:autoSpaceDN w:val="0"/>
              <w:snapToGrid w:val="0"/>
              <w:ind w:left="34"/>
              <w:jc w:val="left"/>
              <w:rPr>
                <w:rFonts w:ascii="宋体" w:eastAsia="宋体" w:hAnsi="宋体" w:cs="Arial"/>
                <w:sz w:val="22"/>
              </w:rPr>
            </w:pPr>
            <w:r w:rsidRPr="007656AB">
              <w:rPr>
                <w:rFonts w:ascii="宋体" w:eastAsia="宋体" w:hAnsi="宋体" w:cs="Arial" w:hint="eastAsia"/>
                <w:sz w:val="22"/>
              </w:rPr>
              <w:t>项目</w:t>
            </w:r>
          </w:p>
        </w:tc>
        <w:tc>
          <w:tcPr>
            <w:cnfStyle w:val="000001000000"/>
            <w:tcW w:w="2737" w:type="dxa"/>
            <w:noWrap/>
          </w:tcPr>
          <w:p w:rsidR="007656AB" w:rsidRPr="007656AB" w:rsidRDefault="007656AB" w:rsidP="000A1292">
            <w:pPr>
              <w:overflowPunct w:val="0"/>
              <w:autoSpaceDE w:val="0"/>
              <w:autoSpaceDN w:val="0"/>
              <w:snapToGrid w:val="0"/>
              <w:jc w:val="right"/>
              <w:rPr>
                <w:rFonts w:ascii="宋体" w:eastAsia="宋体" w:hAnsi="宋体" w:cs="Arial"/>
                <w:sz w:val="22"/>
              </w:rPr>
            </w:pPr>
            <w:r w:rsidRPr="007656AB">
              <w:rPr>
                <w:rFonts w:ascii="宋体" w:eastAsia="宋体" w:hAnsi="宋体" w:cs="Arial" w:hint="eastAsia"/>
                <w:sz w:val="22"/>
              </w:rPr>
              <w:t>自2018年</w:t>
            </w:r>
            <w:r w:rsidRPr="007656AB">
              <w:rPr>
                <w:rFonts w:ascii="宋体" w:eastAsia="宋体" w:hAnsi="宋体" w:cs="Arial"/>
                <w:sz w:val="22"/>
              </w:rPr>
              <w:t>7</w:t>
            </w:r>
            <w:r w:rsidRPr="007656AB">
              <w:rPr>
                <w:rFonts w:ascii="宋体" w:eastAsia="宋体" w:hAnsi="宋体" w:cs="Arial" w:hint="eastAsia"/>
                <w:sz w:val="22"/>
              </w:rPr>
              <w:t>月</w:t>
            </w:r>
            <w:r w:rsidR="00D417F0">
              <w:rPr>
                <w:rFonts w:ascii="宋体" w:eastAsia="宋体" w:hAnsi="宋体" w:cs="Arial"/>
                <w:sz w:val="22"/>
              </w:rPr>
              <w:t>11</w:t>
            </w:r>
            <w:r w:rsidRPr="007656AB">
              <w:rPr>
                <w:rFonts w:ascii="宋体" w:eastAsia="宋体" w:hAnsi="宋体" w:cs="Arial" w:hint="eastAsia"/>
                <w:sz w:val="22"/>
              </w:rPr>
              <w:t>日</w:t>
            </w:r>
          </w:p>
          <w:p w:rsidR="007656AB" w:rsidRPr="007656AB" w:rsidRDefault="007656AB" w:rsidP="000A1292">
            <w:pPr>
              <w:tabs>
                <w:tab w:val="left" w:pos="2517"/>
              </w:tabs>
              <w:overflowPunct w:val="0"/>
              <w:autoSpaceDE w:val="0"/>
              <w:autoSpaceDN w:val="0"/>
              <w:snapToGrid w:val="0"/>
              <w:jc w:val="right"/>
              <w:rPr>
                <w:rFonts w:ascii="宋体" w:eastAsia="宋体" w:hAnsi="宋体" w:cs="Arial"/>
                <w:sz w:val="22"/>
              </w:rPr>
            </w:pPr>
            <w:r w:rsidRPr="007656AB">
              <w:rPr>
                <w:rFonts w:ascii="宋体" w:eastAsia="宋体" w:hAnsi="宋体" w:cs="Arial" w:hint="eastAsia"/>
                <w:sz w:val="22"/>
              </w:rPr>
              <w:t>至2018年</w:t>
            </w:r>
            <w:r w:rsidRPr="007656AB">
              <w:rPr>
                <w:rFonts w:ascii="宋体" w:eastAsia="宋体" w:hAnsi="宋体" w:cs="Arial"/>
                <w:sz w:val="22"/>
              </w:rPr>
              <w:t>7</w:t>
            </w:r>
            <w:r w:rsidRPr="007656AB">
              <w:rPr>
                <w:rFonts w:ascii="宋体" w:eastAsia="宋体" w:hAnsi="宋体" w:cs="Arial" w:hint="eastAsia"/>
                <w:sz w:val="22"/>
              </w:rPr>
              <w:t>月</w:t>
            </w:r>
            <w:r w:rsidR="00D417F0">
              <w:rPr>
                <w:rFonts w:ascii="宋体" w:eastAsia="宋体" w:hAnsi="宋体" w:cs="Arial"/>
                <w:sz w:val="22"/>
              </w:rPr>
              <w:t>25</w:t>
            </w:r>
            <w:r w:rsidRPr="007656AB">
              <w:rPr>
                <w:rFonts w:ascii="宋体" w:eastAsia="宋体" w:hAnsi="宋体" w:cs="Arial" w:hint="eastAsia"/>
                <w:sz w:val="22"/>
              </w:rPr>
              <w:t>日</w:t>
            </w:r>
          </w:p>
          <w:p w:rsidR="007656AB" w:rsidRPr="007656AB" w:rsidRDefault="007656AB" w:rsidP="000A1292">
            <w:pPr>
              <w:overflowPunct w:val="0"/>
              <w:autoSpaceDE w:val="0"/>
              <w:autoSpaceDN w:val="0"/>
              <w:snapToGrid w:val="0"/>
              <w:jc w:val="right"/>
              <w:rPr>
                <w:rFonts w:ascii="宋体" w:eastAsia="宋体" w:hAnsi="宋体" w:cs="Arial"/>
                <w:sz w:val="22"/>
              </w:rPr>
            </w:pPr>
            <w:r w:rsidRPr="007656AB">
              <w:rPr>
                <w:rFonts w:ascii="宋体" w:eastAsia="宋体" w:hAnsi="宋体" w:cs="Arial" w:hint="eastAsia"/>
                <w:sz w:val="22"/>
              </w:rPr>
              <w:t>止清算期间</w:t>
            </w:r>
          </w:p>
        </w:tc>
      </w:tr>
      <w:tr w:rsidR="007656AB" w:rsidRPr="007656AB" w:rsidTr="007656AB">
        <w:trPr>
          <w:trHeight w:val="271"/>
        </w:trPr>
        <w:tc>
          <w:tcPr>
            <w:cnfStyle w:val="000010000000"/>
            <w:tcW w:w="5739" w:type="dxa"/>
            <w:noWrap/>
          </w:tcPr>
          <w:p w:rsidR="007656AB" w:rsidRPr="007656AB" w:rsidRDefault="007656AB" w:rsidP="000A1292">
            <w:pPr>
              <w:overflowPunct w:val="0"/>
              <w:autoSpaceDE w:val="0"/>
              <w:autoSpaceDN w:val="0"/>
              <w:snapToGrid w:val="0"/>
              <w:ind w:left="34"/>
              <w:jc w:val="left"/>
              <w:rPr>
                <w:rFonts w:ascii="宋体" w:eastAsia="宋体" w:hAnsi="宋体" w:cs="Arial"/>
                <w:sz w:val="22"/>
              </w:rPr>
            </w:pPr>
            <w:r w:rsidRPr="007656AB">
              <w:rPr>
                <w:rFonts w:ascii="宋体" w:eastAsia="宋体" w:hAnsi="宋体" w:cs="Arial" w:hint="eastAsia"/>
                <w:sz w:val="22"/>
              </w:rPr>
              <w:t>一、收益</w:t>
            </w:r>
          </w:p>
        </w:tc>
        <w:tc>
          <w:tcPr>
            <w:cnfStyle w:val="000001000000"/>
            <w:tcW w:w="2737" w:type="dxa"/>
            <w:noWrap/>
          </w:tcPr>
          <w:p w:rsidR="007656AB" w:rsidRPr="007656AB" w:rsidRDefault="007656AB" w:rsidP="000A1292">
            <w:pPr>
              <w:overflowPunct w:val="0"/>
              <w:autoSpaceDE w:val="0"/>
              <w:autoSpaceDN w:val="0"/>
              <w:snapToGrid w:val="0"/>
              <w:jc w:val="right"/>
              <w:rPr>
                <w:rFonts w:ascii="宋体" w:eastAsia="宋体" w:hAnsi="宋体" w:cs="Arial"/>
                <w:sz w:val="22"/>
              </w:rPr>
            </w:pPr>
          </w:p>
        </w:tc>
      </w:tr>
      <w:tr w:rsidR="007656AB" w:rsidRPr="007656AB" w:rsidTr="007656AB">
        <w:trPr>
          <w:cnfStyle w:val="000000100000"/>
          <w:trHeight w:val="80"/>
        </w:trPr>
        <w:tc>
          <w:tcPr>
            <w:cnfStyle w:val="000010000000"/>
            <w:tcW w:w="5739" w:type="dxa"/>
            <w:noWrap/>
          </w:tcPr>
          <w:p w:rsidR="007656AB" w:rsidRPr="007656AB" w:rsidRDefault="007656AB" w:rsidP="007656AB">
            <w:pPr>
              <w:numPr>
                <w:ilvl w:val="0"/>
                <w:numId w:val="4"/>
              </w:numPr>
              <w:overflowPunct w:val="0"/>
              <w:autoSpaceDE w:val="0"/>
              <w:autoSpaceDN w:val="0"/>
              <w:snapToGrid w:val="0"/>
              <w:jc w:val="left"/>
              <w:rPr>
                <w:rFonts w:ascii="宋体" w:eastAsia="宋体" w:hAnsi="宋体" w:cs="Arial"/>
                <w:sz w:val="22"/>
              </w:rPr>
            </w:pPr>
            <w:r w:rsidRPr="007656AB">
              <w:rPr>
                <w:rFonts w:ascii="宋体" w:eastAsia="宋体" w:hAnsi="宋体" w:cs="Arial" w:hint="eastAsia"/>
                <w:sz w:val="22"/>
              </w:rPr>
              <w:t>利息收入（注1）</w:t>
            </w:r>
          </w:p>
        </w:tc>
        <w:tc>
          <w:tcPr>
            <w:cnfStyle w:val="000001000000"/>
            <w:tcW w:w="2737" w:type="dxa"/>
            <w:noWrap/>
          </w:tcPr>
          <w:p w:rsidR="007656AB" w:rsidRPr="007656AB" w:rsidRDefault="00D417F0" w:rsidP="00D417F0">
            <w:pPr>
              <w:overflowPunct w:val="0"/>
              <w:autoSpaceDE w:val="0"/>
              <w:autoSpaceDN w:val="0"/>
              <w:snapToGrid w:val="0"/>
              <w:jc w:val="right"/>
              <w:rPr>
                <w:rFonts w:ascii="宋体" w:eastAsia="宋体" w:hAnsi="宋体" w:cs="Arial"/>
                <w:sz w:val="24"/>
              </w:rPr>
            </w:pPr>
            <w:r>
              <w:rPr>
                <w:rFonts w:ascii="宋体" w:eastAsia="宋体" w:hAnsi="宋体" w:cs="Arial"/>
                <w:sz w:val="24"/>
              </w:rPr>
              <w:t>472</w:t>
            </w:r>
            <w:r w:rsidR="007656AB" w:rsidRPr="007656AB">
              <w:rPr>
                <w:rFonts w:ascii="宋体" w:eastAsia="宋体" w:hAnsi="宋体" w:cs="Arial"/>
                <w:sz w:val="24"/>
              </w:rPr>
              <w:t>.5</w:t>
            </w:r>
            <w:r>
              <w:rPr>
                <w:rFonts w:ascii="宋体" w:eastAsia="宋体" w:hAnsi="宋体" w:cs="Arial"/>
                <w:sz w:val="24"/>
              </w:rPr>
              <w:t>0</w:t>
            </w:r>
          </w:p>
        </w:tc>
      </w:tr>
      <w:tr w:rsidR="007656AB" w:rsidRPr="007656AB" w:rsidTr="007656AB">
        <w:trPr>
          <w:trHeight w:val="80"/>
        </w:trPr>
        <w:tc>
          <w:tcPr>
            <w:cnfStyle w:val="000010000000"/>
            <w:tcW w:w="5739" w:type="dxa"/>
            <w:noWrap/>
          </w:tcPr>
          <w:p w:rsidR="007656AB" w:rsidRPr="007656AB" w:rsidRDefault="007656AB" w:rsidP="000A1292">
            <w:pPr>
              <w:overflowPunct w:val="0"/>
              <w:autoSpaceDE w:val="0"/>
              <w:autoSpaceDN w:val="0"/>
              <w:snapToGrid w:val="0"/>
              <w:ind w:left="459"/>
              <w:jc w:val="left"/>
              <w:rPr>
                <w:rFonts w:ascii="宋体" w:eastAsia="宋体" w:hAnsi="宋体" w:cs="Arial"/>
                <w:sz w:val="22"/>
              </w:rPr>
            </w:pPr>
            <w:r w:rsidRPr="007656AB">
              <w:rPr>
                <w:rFonts w:ascii="宋体" w:eastAsia="宋体" w:hAnsi="宋体" w:cs="Arial" w:hint="eastAsia"/>
                <w:sz w:val="22"/>
              </w:rPr>
              <w:t>收益小计</w:t>
            </w:r>
          </w:p>
        </w:tc>
        <w:tc>
          <w:tcPr>
            <w:cnfStyle w:val="000001000000"/>
            <w:tcW w:w="2737" w:type="dxa"/>
            <w:noWrap/>
          </w:tcPr>
          <w:p w:rsidR="007656AB" w:rsidRPr="007656AB" w:rsidRDefault="00D417F0" w:rsidP="000A1292">
            <w:pPr>
              <w:pBdr>
                <w:bottom w:val="single" w:sz="4" w:space="1" w:color="auto"/>
              </w:pBdr>
              <w:overflowPunct w:val="0"/>
              <w:autoSpaceDE w:val="0"/>
              <w:autoSpaceDN w:val="0"/>
              <w:snapToGrid w:val="0"/>
              <w:ind w:left="1026" w:right="4"/>
              <w:jc w:val="right"/>
              <w:rPr>
                <w:rFonts w:ascii="宋体" w:eastAsia="宋体" w:hAnsi="宋体" w:cs="Arial"/>
                <w:sz w:val="24"/>
              </w:rPr>
            </w:pPr>
            <w:r>
              <w:rPr>
                <w:rFonts w:ascii="宋体" w:eastAsia="宋体" w:hAnsi="宋体" w:cs="Arial"/>
                <w:sz w:val="24"/>
              </w:rPr>
              <w:t>472.50</w:t>
            </w:r>
          </w:p>
        </w:tc>
      </w:tr>
      <w:tr w:rsidR="007656AB" w:rsidRPr="007656AB" w:rsidTr="007656AB">
        <w:trPr>
          <w:cnfStyle w:val="000000100000"/>
          <w:trHeight w:val="80"/>
        </w:trPr>
        <w:tc>
          <w:tcPr>
            <w:cnfStyle w:val="000010000000"/>
            <w:tcW w:w="5739" w:type="dxa"/>
            <w:noWrap/>
          </w:tcPr>
          <w:p w:rsidR="007656AB" w:rsidRPr="007656AB" w:rsidRDefault="007656AB" w:rsidP="000A1292">
            <w:pPr>
              <w:overflowPunct w:val="0"/>
              <w:autoSpaceDE w:val="0"/>
              <w:autoSpaceDN w:val="0"/>
              <w:snapToGrid w:val="0"/>
              <w:jc w:val="left"/>
              <w:rPr>
                <w:rFonts w:ascii="宋体" w:eastAsia="宋体" w:hAnsi="宋体" w:cs="Arial"/>
                <w:sz w:val="22"/>
              </w:rPr>
            </w:pPr>
          </w:p>
        </w:tc>
        <w:tc>
          <w:tcPr>
            <w:cnfStyle w:val="000001000000"/>
            <w:tcW w:w="2737" w:type="dxa"/>
            <w:noWrap/>
          </w:tcPr>
          <w:p w:rsidR="007656AB" w:rsidRPr="007656AB" w:rsidRDefault="007656AB" w:rsidP="000A1292">
            <w:pPr>
              <w:overflowPunct w:val="0"/>
              <w:autoSpaceDE w:val="0"/>
              <w:autoSpaceDN w:val="0"/>
              <w:snapToGrid w:val="0"/>
              <w:ind w:left="1026"/>
              <w:jc w:val="right"/>
              <w:rPr>
                <w:rFonts w:ascii="宋体" w:eastAsia="宋体" w:hAnsi="宋体" w:cs="Arial"/>
                <w:sz w:val="22"/>
                <w:u w:val="single"/>
              </w:rPr>
            </w:pPr>
          </w:p>
        </w:tc>
      </w:tr>
      <w:tr w:rsidR="007656AB" w:rsidRPr="007656AB" w:rsidTr="007656AB">
        <w:trPr>
          <w:trHeight w:val="80"/>
        </w:trPr>
        <w:tc>
          <w:tcPr>
            <w:cnfStyle w:val="000010000000"/>
            <w:tcW w:w="5739" w:type="dxa"/>
            <w:noWrap/>
          </w:tcPr>
          <w:p w:rsidR="007656AB" w:rsidRPr="007656AB" w:rsidRDefault="007656AB" w:rsidP="000A1292">
            <w:pPr>
              <w:overflowPunct w:val="0"/>
              <w:autoSpaceDE w:val="0"/>
              <w:autoSpaceDN w:val="0"/>
              <w:snapToGrid w:val="0"/>
              <w:ind w:left="34"/>
              <w:jc w:val="left"/>
              <w:rPr>
                <w:rFonts w:ascii="宋体" w:eastAsia="宋体" w:hAnsi="宋体" w:cs="Arial"/>
                <w:sz w:val="22"/>
              </w:rPr>
            </w:pPr>
            <w:r w:rsidRPr="007656AB">
              <w:rPr>
                <w:rFonts w:ascii="宋体" w:eastAsia="宋体" w:hAnsi="宋体" w:cs="Arial" w:hint="eastAsia"/>
                <w:sz w:val="22"/>
              </w:rPr>
              <w:t>二、费用</w:t>
            </w:r>
          </w:p>
        </w:tc>
        <w:tc>
          <w:tcPr>
            <w:cnfStyle w:val="000001000000"/>
            <w:tcW w:w="2737" w:type="dxa"/>
            <w:noWrap/>
          </w:tcPr>
          <w:p w:rsidR="007656AB" w:rsidRPr="007656AB" w:rsidRDefault="007656AB" w:rsidP="000A1292">
            <w:pPr>
              <w:overflowPunct w:val="0"/>
              <w:autoSpaceDE w:val="0"/>
              <w:autoSpaceDN w:val="0"/>
              <w:snapToGrid w:val="0"/>
              <w:ind w:left="1026"/>
              <w:jc w:val="right"/>
              <w:rPr>
                <w:rFonts w:ascii="宋体" w:eastAsia="宋体" w:hAnsi="宋体" w:cs="Arial"/>
                <w:sz w:val="22"/>
              </w:rPr>
            </w:pPr>
          </w:p>
        </w:tc>
      </w:tr>
      <w:tr w:rsidR="007656AB" w:rsidRPr="007656AB" w:rsidTr="007656AB">
        <w:trPr>
          <w:cnfStyle w:val="000000100000"/>
          <w:trHeight w:val="80"/>
        </w:trPr>
        <w:tc>
          <w:tcPr>
            <w:cnfStyle w:val="000010000000"/>
            <w:tcW w:w="5739" w:type="dxa"/>
            <w:noWrap/>
          </w:tcPr>
          <w:p w:rsidR="007656AB" w:rsidRPr="007656AB" w:rsidRDefault="00D417F0" w:rsidP="000A1292">
            <w:pPr>
              <w:overflowPunct w:val="0"/>
              <w:autoSpaceDE w:val="0"/>
              <w:autoSpaceDN w:val="0"/>
              <w:snapToGrid w:val="0"/>
              <w:ind w:left="459"/>
              <w:jc w:val="left"/>
              <w:rPr>
                <w:rFonts w:ascii="宋体" w:eastAsia="宋体" w:hAnsi="宋体" w:cs="Arial"/>
                <w:sz w:val="22"/>
              </w:rPr>
            </w:pPr>
            <w:r>
              <w:rPr>
                <w:rFonts w:ascii="宋体" w:eastAsia="宋体" w:hAnsi="宋体" w:cs="Arial"/>
                <w:sz w:val="22"/>
              </w:rPr>
              <w:t>2</w:t>
            </w:r>
            <w:r w:rsidR="007656AB" w:rsidRPr="007656AB">
              <w:rPr>
                <w:rFonts w:ascii="宋体" w:eastAsia="宋体" w:hAnsi="宋体" w:cs="Arial" w:hint="eastAsia"/>
                <w:sz w:val="22"/>
              </w:rPr>
              <w:t>、银行汇划费</w:t>
            </w:r>
          </w:p>
        </w:tc>
        <w:tc>
          <w:tcPr>
            <w:cnfStyle w:val="000001000000"/>
            <w:tcW w:w="2737" w:type="dxa"/>
            <w:noWrap/>
          </w:tcPr>
          <w:p w:rsidR="007656AB" w:rsidRPr="007656AB" w:rsidRDefault="00D417F0" w:rsidP="000A1292">
            <w:pPr>
              <w:overflowPunct w:val="0"/>
              <w:autoSpaceDE w:val="0"/>
              <w:autoSpaceDN w:val="0"/>
              <w:snapToGrid w:val="0"/>
              <w:jc w:val="right"/>
              <w:rPr>
                <w:rFonts w:ascii="宋体" w:eastAsia="宋体" w:hAnsi="宋体" w:cs="Arial"/>
                <w:sz w:val="24"/>
              </w:rPr>
            </w:pPr>
            <w:r w:rsidRPr="00D417F0">
              <w:rPr>
                <w:rFonts w:ascii="宋体" w:eastAsia="宋体" w:hAnsi="宋体" w:cs="Arial"/>
                <w:sz w:val="24"/>
              </w:rPr>
              <w:t>141.08</w:t>
            </w:r>
          </w:p>
        </w:tc>
      </w:tr>
      <w:tr w:rsidR="007656AB" w:rsidRPr="007656AB" w:rsidTr="007656AB">
        <w:trPr>
          <w:trHeight w:val="80"/>
        </w:trPr>
        <w:tc>
          <w:tcPr>
            <w:cnfStyle w:val="000010000000"/>
            <w:tcW w:w="5739" w:type="dxa"/>
            <w:noWrap/>
          </w:tcPr>
          <w:p w:rsidR="007656AB" w:rsidRPr="007656AB" w:rsidRDefault="00D417F0" w:rsidP="000A1292">
            <w:pPr>
              <w:overflowPunct w:val="0"/>
              <w:autoSpaceDE w:val="0"/>
              <w:autoSpaceDN w:val="0"/>
              <w:snapToGrid w:val="0"/>
              <w:ind w:left="459"/>
              <w:jc w:val="left"/>
              <w:rPr>
                <w:rFonts w:ascii="宋体" w:eastAsia="宋体" w:hAnsi="宋体" w:cs="Arial"/>
                <w:sz w:val="22"/>
              </w:rPr>
            </w:pPr>
            <w:r w:rsidRPr="00D417F0">
              <w:rPr>
                <w:rFonts w:ascii="宋体" w:eastAsia="宋体" w:hAnsi="宋体" w:cs="Arial" w:hint="eastAsia"/>
                <w:sz w:val="22"/>
              </w:rPr>
              <w:t>3、2018年2季度账户维护费（注2）</w:t>
            </w:r>
          </w:p>
        </w:tc>
        <w:tc>
          <w:tcPr>
            <w:cnfStyle w:val="000001000000"/>
            <w:tcW w:w="2737" w:type="dxa"/>
            <w:noWrap/>
          </w:tcPr>
          <w:p w:rsidR="007656AB" w:rsidRPr="007656AB" w:rsidRDefault="00D417F0" w:rsidP="000A1292">
            <w:pPr>
              <w:overflowPunct w:val="0"/>
              <w:autoSpaceDE w:val="0"/>
              <w:autoSpaceDN w:val="0"/>
              <w:snapToGrid w:val="0"/>
              <w:jc w:val="right"/>
              <w:rPr>
                <w:rFonts w:ascii="宋体" w:eastAsia="宋体" w:hAnsi="宋体" w:cs="Arial"/>
                <w:sz w:val="24"/>
              </w:rPr>
            </w:pPr>
            <w:r w:rsidRPr="00D417F0">
              <w:rPr>
                <w:rFonts w:ascii="宋体" w:eastAsia="宋体" w:hAnsi="宋体" w:cs="Arial"/>
                <w:sz w:val="24"/>
              </w:rPr>
              <w:t>9,300.00</w:t>
            </w:r>
          </w:p>
        </w:tc>
      </w:tr>
      <w:tr w:rsidR="007656AB" w:rsidRPr="007656AB" w:rsidTr="007656AB">
        <w:trPr>
          <w:cnfStyle w:val="000000100000"/>
          <w:trHeight w:val="80"/>
        </w:trPr>
        <w:tc>
          <w:tcPr>
            <w:cnfStyle w:val="000010000000"/>
            <w:tcW w:w="5739" w:type="dxa"/>
            <w:tcBorders>
              <w:bottom w:val="single" w:sz="4" w:space="0" w:color="auto"/>
            </w:tcBorders>
            <w:noWrap/>
          </w:tcPr>
          <w:p w:rsidR="007656AB" w:rsidRPr="007656AB" w:rsidRDefault="007656AB" w:rsidP="000A1292">
            <w:pPr>
              <w:overflowPunct w:val="0"/>
              <w:autoSpaceDE w:val="0"/>
              <w:autoSpaceDN w:val="0"/>
              <w:snapToGrid w:val="0"/>
              <w:ind w:left="459"/>
              <w:jc w:val="left"/>
              <w:rPr>
                <w:rFonts w:ascii="宋体" w:eastAsia="宋体" w:hAnsi="宋体" w:cs="Arial"/>
                <w:sz w:val="22"/>
              </w:rPr>
            </w:pPr>
            <w:r w:rsidRPr="007656AB">
              <w:rPr>
                <w:rFonts w:ascii="宋体" w:eastAsia="宋体" w:hAnsi="宋体" w:cs="Arial" w:hint="eastAsia"/>
                <w:sz w:val="22"/>
              </w:rPr>
              <w:t>费用小计</w:t>
            </w:r>
          </w:p>
        </w:tc>
        <w:tc>
          <w:tcPr>
            <w:cnfStyle w:val="000001000000"/>
            <w:tcW w:w="2737" w:type="dxa"/>
            <w:tcBorders>
              <w:bottom w:val="single" w:sz="4" w:space="0" w:color="auto"/>
            </w:tcBorders>
            <w:noWrap/>
          </w:tcPr>
          <w:p w:rsidR="007656AB" w:rsidRPr="007656AB" w:rsidRDefault="00D417F0" w:rsidP="000A1292">
            <w:pPr>
              <w:pBdr>
                <w:bottom w:val="single" w:sz="4" w:space="1" w:color="auto"/>
              </w:pBdr>
              <w:overflowPunct w:val="0"/>
              <w:autoSpaceDE w:val="0"/>
              <w:autoSpaceDN w:val="0"/>
              <w:snapToGrid w:val="0"/>
              <w:ind w:left="1026" w:right="4"/>
              <w:jc w:val="right"/>
              <w:rPr>
                <w:rFonts w:ascii="宋体" w:eastAsia="宋体" w:hAnsi="宋体" w:cs="Arial"/>
                <w:sz w:val="24"/>
              </w:rPr>
            </w:pPr>
            <w:r w:rsidRPr="00D417F0">
              <w:rPr>
                <w:rFonts w:ascii="宋体" w:eastAsia="宋体" w:hAnsi="宋体" w:cs="Arial"/>
                <w:sz w:val="24"/>
              </w:rPr>
              <w:t>9,441.08</w:t>
            </w:r>
          </w:p>
        </w:tc>
      </w:tr>
      <w:tr w:rsidR="007656AB" w:rsidRPr="007656AB" w:rsidTr="007656AB">
        <w:trPr>
          <w:trHeight w:val="80"/>
        </w:trPr>
        <w:tc>
          <w:tcPr>
            <w:cnfStyle w:val="000010000000"/>
            <w:tcW w:w="5739" w:type="dxa"/>
            <w:tcBorders>
              <w:top w:val="single" w:sz="4" w:space="0" w:color="auto"/>
              <w:left w:val="single" w:sz="4" w:space="0" w:color="auto"/>
              <w:bottom w:val="single" w:sz="4" w:space="0" w:color="auto"/>
              <w:right w:val="single" w:sz="4" w:space="0" w:color="auto"/>
            </w:tcBorders>
            <w:noWrap/>
          </w:tcPr>
          <w:p w:rsidR="007656AB" w:rsidRPr="007656AB" w:rsidRDefault="007656AB" w:rsidP="000A1292">
            <w:pPr>
              <w:overflowPunct w:val="0"/>
              <w:autoSpaceDE w:val="0"/>
              <w:autoSpaceDN w:val="0"/>
              <w:snapToGrid w:val="0"/>
              <w:ind w:left="459"/>
              <w:jc w:val="left"/>
              <w:rPr>
                <w:rFonts w:ascii="宋体" w:eastAsia="宋体" w:hAnsi="宋体" w:cs="Arial"/>
                <w:sz w:val="22"/>
              </w:rPr>
            </w:pPr>
          </w:p>
        </w:tc>
        <w:tc>
          <w:tcPr>
            <w:cnfStyle w:val="000001000000"/>
            <w:tcW w:w="2737" w:type="dxa"/>
            <w:tcBorders>
              <w:top w:val="single" w:sz="4" w:space="0" w:color="auto"/>
              <w:left w:val="single" w:sz="4" w:space="0" w:color="auto"/>
              <w:bottom w:val="single" w:sz="4" w:space="0" w:color="auto"/>
              <w:right w:val="single" w:sz="4" w:space="0" w:color="auto"/>
            </w:tcBorders>
            <w:noWrap/>
          </w:tcPr>
          <w:p w:rsidR="007656AB" w:rsidRPr="007656AB" w:rsidRDefault="007656AB" w:rsidP="007656AB"/>
        </w:tc>
      </w:tr>
      <w:tr w:rsidR="007656AB" w:rsidRPr="007656AB" w:rsidTr="007656AB">
        <w:trPr>
          <w:cnfStyle w:val="000000100000"/>
          <w:trHeight w:val="80"/>
        </w:trPr>
        <w:tc>
          <w:tcPr>
            <w:cnfStyle w:val="000010000000"/>
            <w:tcW w:w="5739" w:type="dxa"/>
            <w:tcBorders>
              <w:top w:val="single" w:sz="4" w:space="0" w:color="auto"/>
              <w:left w:val="single" w:sz="4" w:space="0" w:color="auto"/>
              <w:bottom w:val="single" w:sz="4" w:space="0" w:color="auto"/>
              <w:right w:val="single" w:sz="4" w:space="0" w:color="auto"/>
            </w:tcBorders>
            <w:noWrap/>
          </w:tcPr>
          <w:p w:rsidR="007656AB" w:rsidRPr="007656AB" w:rsidRDefault="007656AB" w:rsidP="007656AB">
            <w:pPr>
              <w:overflowPunct w:val="0"/>
              <w:autoSpaceDE w:val="0"/>
              <w:autoSpaceDN w:val="0"/>
              <w:snapToGrid w:val="0"/>
              <w:jc w:val="left"/>
              <w:rPr>
                <w:rFonts w:ascii="宋体" w:eastAsia="宋体" w:hAnsi="宋体" w:cs="Arial"/>
                <w:sz w:val="22"/>
              </w:rPr>
            </w:pPr>
            <w:r w:rsidRPr="007656AB">
              <w:rPr>
                <w:rFonts w:ascii="宋体" w:eastAsia="宋体" w:hAnsi="宋体" w:cs="Arial" w:hint="eastAsia"/>
                <w:sz w:val="22"/>
              </w:rPr>
              <w:t>三、清算期间净收益</w:t>
            </w:r>
          </w:p>
        </w:tc>
        <w:tc>
          <w:tcPr>
            <w:cnfStyle w:val="000001000000"/>
            <w:tcW w:w="2737" w:type="dxa"/>
            <w:tcBorders>
              <w:top w:val="single" w:sz="4" w:space="0" w:color="auto"/>
              <w:left w:val="single" w:sz="4" w:space="0" w:color="auto"/>
              <w:bottom w:val="single" w:sz="4" w:space="0" w:color="auto"/>
              <w:right w:val="single" w:sz="4" w:space="0" w:color="auto"/>
            </w:tcBorders>
            <w:noWrap/>
          </w:tcPr>
          <w:p w:rsidR="007656AB" w:rsidRPr="007656AB" w:rsidRDefault="00D417F0" w:rsidP="000A1292">
            <w:pPr>
              <w:overflowPunct w:val="0"/>
              <w:autoSpaceDE w:val="0"/>
              <w:autoSpaceDN w:val="0"/>
              <w:snapToGrid w:val="0"/>
              <w:ind w:left="1026"/>
              <w:jc w:val="right"/>
              <w:rPr>
                <w:rFonts w:ascii="宋体" w:eastAsia="宋体" w:hAnsi="宋体" w:cs="Arial"/>
                <w:sz w:val="22"/>
              </w:rPr>
            </w:pPr>
            <w:r w:rsidRPr="00D417F0">
              <w:rPr>
                <w:rFonts w:ascii="宋体" w:eastAsia="宋体" w:hAnsi="宋体" w:cs="Arial"/>
                <w:sz w:val="24"/>
                <w:u w:val="double"/>
              </w:rPr>
              <w:t>(8,968.58)</w:t>
            </w:r>
          </w:p>
        </w:tc>
      </w:tr>
    </w:tbl>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sidRPr="007656AB">
        <w:rPr>
          <w:rFonts w:hint="eastAsia"/>
          <w:color w:val="000000"/>
        </w:rPr>
        <w:t>注1：</w:t>
      </w:r>
      <w:r w:rsidR="00D417F0" w:rsidRPr="00D417F0">
        <w:rPr>
          <w:rFonts w:hint="eastAsia"/>
          <w:color w:val="000000"/>
        </w:rPr>
        <w:t>利息收入系计提的自2018年7月11日至2018年7月25日止清算期间的银行存款利息收入。</w:t>
      </w:r>
    </w:p>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sidRPr="007656AB">
        <w:rPr>
          <w:color w:val="000000"/>
        </w:rPr>
        <w:t>注</w:t>
      </w:r>
      <w:r w:rsidRPr="007656AB">
        <w:rPr>
          <w:rFonts w:hint="eastAsia"/>
          <w:color w:val="000000"/>
        </w:rPr>
        <w:t>2：</w:t>
      </w:r>
      <w:r w:rsidR="00D417F0" w:rsidRPr="00D417F0">
        <w:rPr>
          <w:rFonts w:hint="eastAsia"/>
          <w:color w:val="000000"/>
        </w:rPr>
        <w:t>2018年2季度账户维护费系中国国债登记结算有限公司2018年2季度账户维护费4,500元，及银行间市场清算所股份有限公司2018年2季度账户维护费4,800元。</w:t>
      </w:r>
    </w:p>
    <w:p w:rsidR="007656AB" w:rsidRPr="007656AB" w:rsidRDefault="007656AB" w:rsidP="007656AB">
      <w:pPr>
        <w:pStyle w:val="a3"/>
        <w:adjustRightInd w:val="0"/>
        <w:snapToGrid w:val="0"/>
        <w:spacing w:before="0" w:beforeAutospacing="0" w:after="0" w:afterAutospacing="0" w:line="360" w:lineRule="auto"/>
        <w:ind w:firstLineChars="200" w:firstLine="480"/>
        <w:rPr>
          <w:color w:val="000000"/>
        </w:rPr>
      </w:pPr>
      <w:r w:rsidRPr="007656AB">
        <w:rPr>
          <w:rFonts w:hint="eastAsia"/>
          <w:color w:val="000000"/>
        </w:rPr>
        <w:t>5、资产处置及负债清偿后的剩余资产分配情况</w:t>
      </w:r>
    </w:p>
    <w:p w:rsidR="007656AB" w:rsidRPr="007656AB" w:rsidRDefault="007656AB" w:rsidP="007656AB">
      <w:pPr>
        <w:overflowPunct w:val="0"/>
        <w:autoSpaceDE w:val="0"/>
        <w:autoSpaceDN w:val="0"/>
        <w:snapToGrid w:val="0"/>
        <w:ind w:left="6480"/>
        <w:rPr>
          <w:rFonts w:ascii="宋体" w:eastAsia="宋体" w:hAnsi="宋体" w:cs="Arial"/>
          <w:b/>
          <w:sz w:val="22"/>
        </w:rPr>
      </w:pPr>
      <w:r w:rsidRPr="007656AB">
        <w:rPr>
          <w:rFonts w:ascii="宋体" w:eastAsia="宋体" w:hAnsi="宋体" w:hint="eastAsia"/>
          <w:sz w:val="22"/>
        </w:rPr>
        <w:t>单位：人民币元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5"/>
        <w:gridCol w:w="2572"/>
      </w:tblGrid>
      <w:tr w:rsidR="00D417F0" w:rsidRPr="00D417F0" w:rsidTr="000A1292">
        <w:tc>
          <w:tcPr>
            <w:tcW w:w="5812" w:type="dxa"/>
            <w:shd w:val="clear" w:color="auto" w:fill="auto"/>
          </w:tcPr>
          <w:p w:rsidR="00D417F0" w:rsidRPr="00D417F0" w:rsidRDefault="00D417F0" w:rsidP="000A1292">
            <w:pPr>
              <w:overflowPunct w:val="0"/>
              <w:autoSpaceDE w:val="0"/>
              <w:autoSpaceDN w:val="0"/>
              <w:snapToGrid w:val="0"/>
              <w:jc w:val="left"/>
              <w:rPr>
                <w:rFonts w:ascii="宋体" w:eastAsia="宋体" w:hAnsi="宋体" w:cs="Arial"/>
                <w:sz w:val="22"/>
              </w:rPr>
            </w:pPr>
            <w:r w:rsidRPr="00D417F0">
              <w:rPr>
                <w:rFonts w:ascii="宋体" w:eastAsia="宋体" w:hAnsi="宋体" w:cs="Arial" w:hint="eastAsia"/>
                <w:sz w:val="22"/>
              </w:rPr>
              <w:t>项目</w:t>
            </w:r>
          </w:p>
        </w:tc>
        <w:tc>
          <w:tcPr>
            <w:tcW w:w="2692" w:type="dxa"/>
            <w:shd w:val="clear" w:color="auto" w:fill="auto"/>
          </w:tcPr>
          <w:p w:rsidR="00D417F0" w:rsidRPr="00D417F0" w:rsidRDefault="00D417F0" w:rsidP="000A1292">
            <w:pPr>
              <w:overflowPunct w:val="0"/>
              <w:autoSpaceDE w:val="0"/>
              <w:autoSpaceDN w:val="0"/>
              <w:snapToGrid w:val="0"/>
              <w:jc w:val="right"/>
              <w:rPr>
                <w:rFonts w:ascii="宋体" w:eastAsia="宋体" w:hAnsi="宋体" w:cs="Arial"/>
                <w:sz w:val="22"/>
              </w:rPr>
            </w:pPr>
            <w:r w:rsidRPr="00D417F0">
              <w:rPr>
                <w:rFonts w:ascii="宋体" w:eastAsia="宋体" w:hAnsi="宋体" w:cs="Arial" w:hint="eastAsia"/>
                <w:sz w:val="22"/>
              </w:rPr>
              <w:t>金额</w:t>
            </w:r>
          </w:p>
        </w:tc>
      </w:tr>
      <w:tr w:rsidR="00D417F0" w:rsidRPr="00D417F0" w:rsidTr="000A1292">
        <w:tc>
          <w:tcPr>
            <w:tcW w:w="5812" w:type="dxa"/>
            <w:shd w:val="clear" w:color="auto" w:fill="auto"/>
          </w:tcPr>
          <w:p w:rsidR="00D417F0" w:rsidRPr="00D417F0" w:rsidRDefault="00D417F0" w:rsidP="000A1292">
            <w:pPr>
              <w:overflowPunct w:val="0"/>
              <w:autoSpaceDE w:val="0"/>
              <w:autoSpaceDN w:val="0"/>
              <w:snapToGrid w:val="0"/>
              <w:rPr>
                <w:rFonts w:ascii="宋体" w:eastAsia="宋体" w:hAnsi="宋体" w:cs="Arial"/>
                <w:sz w:val="22"/>
              </w:rPr>
            </w:pPr>
            <w:r w:rsidRPr="00D417F0">
              <w:rPr>
                <w:rFonts w:ascii="宋体" w:eastAsia="宋体" w:hAnsi="宋体" w:cs="Arial" w:hint="eastAsia"/>
                <w:sz w:val="22"/>
              </w:rPr>
              <w:t>一、最后运作日2018年</w:t>
            </w:r>
            <w:r w:rsidRPr="00D417F0">
              <w:rPr>
                <w:rFonts w:ascii="宋体" w:eastAsia="宋体" w:hAnsi="宋体" w:cs="Arial"/>
                <w:sz w:val="22"/>
              </w:rPr>
              <w:t>7</w:t>
            </w:r>
            <w:r w:rsidRPr="00D417F0">
              <w:rPr>
                <w:rFonts w:ascii="宋体" w:eastAsia="宋体" w:hAnsi="宋体" w:cs="Arial" w:hint="eastAsia"/>
                <w:sz w:val="22"/>
              </w:rPr>
              <w:t>月</w:t>
            </w:r>
            <w:r w:rsidRPr="00D417F0">
              <w:rPr>
                <w:rFonts w:ascii="宋体" w:eastAsia="宋体" w:hAnsi="宋体" w:cs="Arial"/>
                <w:sz w:val="22"/>
              </w:rPr>
              <w:t>10</w:t>
            </w:r>
            <w:r w:rsidRPr="00D417F0">
              <w:rPr>
                <w:rFonts w:ascii="宋体" w:eastAsia="宋体" w:hAnsi="宋体" w:cs="Arial" w:hint="eastAsia"/>
                <w:sz w:val="22"/>
              </w:rPr>
              <w:t>日基金净资产</w:t>
            </w:r>
          </w:p>
        </w:tc>
        <w:tc>
          <w:tcPr>
            <w:tcW w:w="2692" w:type="dxa"/>
            <w:shd w:val="clear" w:color="auto" w:fill="auto"/>
            <w:vAlign w:val="center"/>
          </w:tcPr>
          <w:p w:rsidR="00D417F0" w:rsidRPr="00D417F0" w:rsidRDefault="00D417F0" w:rsidP="000A1292">
            <w:pPr>
              <w:overflowPunct w:val="0"/>
              <w:autoSpaceDE w:val="0"/>
              <w:autoSpaceDN w:val="0"/>
              <w:snapToGrid w:val="0"/>
              <w:jc w:val="right"/>
              <w:rPr>
                <w:rFonts w:ascii="宋体" w:eastAsia="宋体" w:hAnsi="宋体" w:cs="Arial"/>
                <w:sz w:val="22"/>
              </w:rPr>
            </w:pPr>
            <w:r w:rsidRPr="00D417F0">
              <w:rPr>
                <w:rFonts w:ascii="宋体" w:eastAsia="宋体" w:hAnsi="宋体"/>
                <w:sz w:val="22"/>
              </w:rPr>
              <w:t>3,788,810.95</w:t>
            </w:r>
          </w:p>
        </w:tc>
      </w:tr>
      <w:tr w:rsidR="00D417F0" w:rsidRPr="00D417F0" w:rsidTr="000A1292">
        <w:tc>
          <w:tcPr>
            <w:tcW w:w="5812" w:type="dxa"/>
            <w:shd w:val="clear" w:color="auto" w:fill="auto"/>
          </w:tcPr>
          <w:p w:rsidR="00D417F0" w:rsidRPr="00D417F0" w:rsidRDefault="00D417F0" w:rsidP="000A1292">
            <w:pPr>
              <w:overflowPunct w:val="0"/>
              <w:autoSpaceDE w:val="0"/>
              <w:autoSpaceDN w:val="0"/>
              <w:snapToGrid w:val="0"/>
              <w:rPr>
                <w:rFonts w:ascii="宋体" w:eastAsia="宋体" w:hAnsi="宋体" w:cs="Arial"/>
                <w:sz w:val="22"/>
              </w:rPr>
            </w:pPr>
            <w:r w:rsidRPr="00D417F0">
              <w:rPr>
                <w:rFonts w:ascii="宋体" w:eastAsia="宋体" w:hAnsi="宋体" w:cs="Arial" w:hint="eastAsia"/>
                <w:sz w:val="22"/>
              </w:rPr>
              <w:t>减：自2018年</w:t>
            </w:r>
            <w:r w:rsidRPr="00D417F0">
              <w:rPr>
                <w:rFonts w:ascii="宋体" w:eastAsia="宋体" w:hAnsi="宋体" w:cs="Arial"/>
                <w:sz w:val="22"/>
              </w:rPr>
              <w:t>7</w:t>
            </w:r>
            <w:r w:rsidRPr="00D417F0">
              <w:rPr>
                <w:rFonts w:ascii="宋体" w:eastAsia="宋体" w:hAnsi="宋体" w:cs="Arial" w:hint="eastAsia"/>
                <w:sz w:val="22"/>
              </w:rPr>
              <w:t>月</w:t>
            </w:r>
            <w:r w:rsidRPr="00D417F0">
              <w:rPr>
                <w:rFonts w:ascii="宋体" w:eastAsia="宋体" w:hAnsi="宋体" w:cs="Arial"/>
                <w:sz w:val="22"/>
              </w:rPr>
              <w:t>1</w:t>
            </w:r>
            <w:r w:rsidRPr="00D417F0">
              <w:rPr>
                <w:rFonts w:ascii="宋体" w:eastAsia="宋体" w:hAnsi="宋体" w:cs="Arial" w:hint="eastAsia"/>
                <w:sz w:val="22"/>
              </w:rPr>
              <w:t>1日至2018年</w:t>
            </w:r>
            <w:r w:rsidRPr="00D417F0">
              <w:rPr>
                <w:rFonts w:ascii="宋体" w:eastAsia="宋体" w:hAnsi="宋体" w:cs="Arial"/>
                <w:sz w:val="22"/>
              </w:rPr>
              <w:t>7</w:t>
            </w:r>
            <w:r w:rsidRPr="00D417F0">
              <w:rPr>
                <w:rFonts w:ascii="宋体" w:eastAsia="宋体" w:hAnsi="宋体" w:cs="Arial" w:hint="eastAsia"/>
                <w:sz w:val="22"/>
              </w:rPr>
              <w:t>月</w:t>
            </w:r>
            <w:r w:rsidRPr="00D417F0">
              <w:rPr>
                <w:rFonts w:ascii="宋体" w:eastAsia="宋体" w:hAnsi="宋体" w:cs="Arial"/>
                <w:sz w:val="22"/>
              </w:rPr>
              <w:t>25</w:t>
            </w:r>
            <w:r w:rsidRPr="00D417F0">
              <w:rPr>
                <w:rFonts w:ascii="宋体" w:eastAsia="宋体" w:hAnsi="宋体" w:cs="Arial" w:hint="eastAsia"/>
                <w:sz w:val="22"/>
              </w:rPr>
              <w:t>日止清算期间净收益</w:t>
            </w:r>
          </w:p>
        </w:tc>
        <w:tc>
          <w:tcPr>
            <w:tcW w:w="2692" w:type="dxa"/>
            <w:shd w:val="clear" w:color="auto" w:fill="auto"/>
            <w:vAlign w:val="center"/>
          </w:tcPr>
          <w:p w:rsidR="00D417F0" w:rsidRPr="00D417F0" w:rsidRDefault="00D417F0" w:rsidP="000A1292">
            <w:pPr>
              <w:overflowPunct w:val="0"/>
              <w:autoSpaceDE w:val="0"/>
              <w:autoSpaceDN w:val="0"/>
              <w:snapToGrid w:val="0"/>
              <w:jc w:val="right"/>
              <w:rPr>
                <w:rFonts w:ascii="宋体" w:eastAsia="宋体" w:hAnsi="宋体" w:cs="Arial"/>
                <w:sz w:val="22"/>
              </w:rPr>
            </w:pPr>
            <w:r w:rsidRPr="00D417F0">
              <w:rPr>
                <w:rFonts w:ascii="宋体" w:eastAsia="宋体" w:hAnsi="宋体" w:cs="Arial"/>
                <w:sz w:val="22"/>
              </w:rPr>
              <w:t>8,968.58</w:t>
            </w:r>
          </w:p>
        </w:tc>
      </w:tr>
      <w:tr w:rsidR="00D417F0" w:rsidRPr="00D417F0" w:rsidTr="000A1292">
        <w:tc>
          <w:tcPr>
            <w:tcW w:w="5812" w:type="dxa"/>
            <w:shd w:val="clear" w:color="auto" w:fill="auto"/>
          </w:tcPr>
          <w:p w:rsidR="00D417F0" w:rsidRPr="00D417F0" w:rsidRDefault="00D417F0" w:rsidP="000A1292">
            <w:pPr>
              <w:overflowPunct w:val="0"/>
              <w:autoSpaceDE w:val="0"/>
              <w:autoSpaceDN w:val="0"/>
              <w:snapToGrid w:val="0"/>
              <w:rPr>
                <w:rFonts w:ascii="宋体" w:eastAsia="宋体" w:hAnsi="宋体" w:cs="Arial"/>
                <w:sz w:val="22"/>
              </w:rPr>
            </w:pPr>
            <w:r w:rsidRPr="00D417F0">
              <w:rPr>
                <w:rFonts w:ascii="宋体" w:eastAsia="宋体" w:hAnsi="宋体" w:cs="Arial" w:hint="eastAsia"/>
                <w:sz w:val="22"/>
              </w:rPr>
              <w:t>减：2018年</w:t>
            </w:r>
            <w:r w:rsidRPr="00D417F0">
              <w:rPr>
                <w:rFonts w:ascii="宋体" w:eastAsia="宋体" w:hAnsi="宋体" w:cs="Arial"/>
                <w:sz w:val="22"/>
              </w:rPr>
              <w:t>7</w:t>
            </w:r>
            <w:r w:rsidRPr="00D417F0">
              <w:rPr>
                <w:rFonts w:ascii="宋体" w:eastAsia="宋体" w:hAnsi="宋体" w:cs="Arial" w:hint="eastAsia"/>
                <w:sz w:val="22"/>
              </w:rPr>
              <w:t>月</w:t>
            </w:r>
            <w:r w:rsidRPr="00D417F0">
              <w:rPr>
                <w:rFonts w:ascii="宋体" w:eastAsia="宋体" w:hAnsi="宋体" w:cs="Arial"/>
                <w:sz w:val="22"/>
              </w:rPr>
              <w:t>12</w:t>
            </w:r>
            <w:r w:rsidRPr="00D417F0">
              <w:rPr>
                <w:rFonts w:ascii="宋体" w:eastAsia="宋体" w:hAnsi="宋体" w:cs="Arial" w:hint="eastAsia"/>
                <w:sz w:val="22"/>
              </w:rPr>
              <w:t>日确认支付的净赎回款</w:t>
            </w:r>
          </w:p>
        </w:tc>
        <w:tc>
          <w:tcPr>
            <w:tcW w:w="2692" w:type="dxa"/>
            <w:shd w:val="clear" w:color="auto" w:fill="auto"/>
            <w:vAlign w:val="center"/>
          </w:tcPr>
          <w:p w:rsidR="00D417F0" w:rsidRPr="00D417F0" w:rsidRDefault="00D417F0" w:rsidP="000A1292">
            <w:pPr>
              <w:overflowPunct w:val="0"/>
              <w:autoSpaceDE w:val="0"/>
              <w:autoSpaceDN w:val="0"/>
              <w:snapToGrid w:val="0"/>
              <w:jc w:val="right"/>
              <w:rPr>
                <w:rFonts w:ascii="宋体" w:eastAsia="宋体" w:hAnsi="宋体" w:cs="Arial"/>
                <w:sz w:val="22"/>
              </w:rPr>
            </w:pPr>
            <w:r w:rsidRPr="00D417F0">
              <w:rPr>
                <w:rFonts w:ascii="宋体" w:eastAsia="宋体" w:hAnsi="宋体" w:cs="Arial"/>
                <w:sz w:val="22"/>
              </w:rPr>
              <w:t>3,054,246.26</w:t>
            </w:r>
          </w:p>
        </w:tc>
      </w:tr>
      <w:tr w:rsidR="00D417F0" w:rsidRPr="00D417F0" w:rsidTr="000A1292">
        <w:trPr>
          <w:trHeight w:val="101"/>
        </w:trPr>
        <w:tc>
          <w:tcPr>
            <w:tcW w:w="5812" w:type="dxa"/>
            <w:shd w:val="clear" w:color="auto" w:fill="auto"/>
          </w:tcPr>
          <w:p w:rsidR="00D417F0" w:rsidRPr="00D417F0" w:rsidRDefault="00D417F0" w:rsidP="000A1292">
            <w:pPr>
              <w:overflowPunct w:val="0"/>
              <w:autoSpaceDE w:val="0"/>
              <w:autoSpaceDN w:val="0"/>
              <w:snapToGrid w:val="0"/>
              <w:rPr>
                <w:rFonts w:ascii="宋体" w:eastAsia="宋体" w:hAnsi="宋体" w:cs="Arial"/>
                <w:sz w:val="22"/>
              </w:rPr>
            </w:pPr>
            <w:r w:rsidRPr="00D417F0">
              <w:rPr>
                <w:rFonts w:ascii="宋体" w:eastAsia="宋体" w:hAnsi="宋体" w:cs="Arial" w:hint="eastAsia"/>
                <w:sz w:val="22"/>
              </w:rPr>
              <w:t>二、2018年</w:t>
            </w:r>
            <w:r w:rsidRPr="00D417F0">
              <w:rPr>
                <w:rFonts w:ascii="宋体" w:eastAsia="宋体" w:hAnsi="宋体" w:cs="Arial"/>
                <w:sz w:val="22"/>
              </w:rPr>
              <w:t>7</w:t>
            </w:r>
            <w:r w:rsidRPr="00D417F0">
              <w:rPr>
                <w:rFonts w:ascii="宋体" w:eastAsia="宋体" w:hAnsi="宋体" w:cs="Arial" w:hint="eastAsia"/>
                <w:sz w:val="22"/>
              </w:rPr>
              <w:t>月</w:t>
            </w:r>
            <w:r w:rsidRPr="00D417F0">
              <w:rPr>
                <w:rFonts w:ascii="宋体" w:eastAsia="宋体" w:hAnsi="宋体" w:cs="Arial"/>
                <w:sz w:val="22"/>
              </w:rPr>
              <w:t>25</w:t>
            </w:r>
            <w:r w:rsidRPr="00D417F0">
              <w:rPr>
                <w:rFonts w:ascii="宋体" w:eastAsia="宋体" w:hAnsi="宋体" w:cs="Arial" w:hint="eastAsia"/>
                <w:sz w:val="22"/>
              </w:rPr>
              <w:t>日基金净资产</w:t>
            </w:r>
          </w:p>
        </w:tc>
        <w:tc>
          <w:tcPr>
            <w:tcW w:w="2692" w:type="dxa"/>
            <w:shd w:val="clear" w:color="auto" w:fill="auto"/>
            <w:vAlign w:val="center"/>
          </w:tcPr>
          <w:p w:rsidR="00D417F0" w:rsidRPr="00D417F0" w:rsidRDefault="00D417F0" w:rsidP="000A1292">
            <w:pPr>
              <w:overflowPunct w:val="0"/>
              <w:autoSpaceDE w:val="0"/>
              <w:autoSpaceDN w:val="0"/>
              <w:snapToGrid w:val="0"/>
              <w:jc w:val="right"/>
              <w:rPr>
                <w:rFonts w:ascii="宋体" w:eastAsia="宋体" w:hAnsi="宋体" w:cs="Arial"/>
                <w:sz w:val="22"/>
              </w:rPr>
            </w:pPr>
            <w:r w:rsidRPr="00D417F0">
              <w:rPr>
                <w:rFonts w:ascii="宋体" w:eastAsia="宋体" w:hAnsi="宋体" w:cs="Arial"/>
                <w:sz w:val="22"/>
              </w:rPr>
              <w:t>725,596.11</w:t>
            </w:r>
          </w:p>
        </w:tc>
      </w:tr>
    </w:tbl>
    <w:p w:rsidR="00D417F0" w:rsidRDefault="00D417F0" w:rsidP="007656AB">
      <w:pPr>
        <w:pStyle w:val="a3"/>
        <w:adjustRightInd w:val="0"/>
        <w:snapToGrid w:val="0"/>
        <w:spacing w:before="0" w:beforeAutospacing="0" w:after="0" w:afterAutospacing="0" w:line="360" w:lineRule="auto"/>
        <w:ind w:firstLineChars="200" w:firstLine="480"/>
        <w:rPr>
          <w:color w:val="000000"/>
        </w:rPr>
      </w:pPr>
    </w:p>
    <w:p w:rsidR="00D417F0" w:rsidRPr="00D417F0" w:rsidRDefault="00D417F0" w:rsidP="00D417F0">
      <w:pPr>
        <w:pStyle w:val="a3"/>
        <w:adjustRightInd w:val="0"/>
        <w:snapToGrid w:val="0"/>
        <w:spacing w:before="0" w:beforeAutospacing="0" w:after="0" w:afterAutospacing="0" w:line="360" w:lineRule="auto"/>
        <w:ind w:firstLineChars="200" w:firstLine="480"/>
        <w:rPr>
          <w:color w:val="000000"/>
        </w:rPr>
      </w:pPr>
      <w:r w:rsidRPr="00D417F0">
        <w:rPr>
          <w:rFonts w:hint="eastAsia"/>
          <w:color w:val="000000"/>
        </w:rPr>
        <w:t>资产处置及负债清偿后，于2018年7月25日本基金剩余财产为人民币725,596.11元，根据本基金的基金合同约定，依据基金财产清算的分配方案，将基金财产清算后的全部剩余资产扣除基金财产清算费用、交纳所欠税款并清偿基金债务后，按基金份额持有人持有的基金份额比例进行分配。</w:t>
      </w:r>
    </w:p>
    <w:p w:rsidR="007656AB" w:rsidRDefault="00D417F0" w:rsidP="00D417F0">
      <w:pPr>
        <w:pStyle w:val="a3"/>
        <w:adjustRightInd w:val="0"/>
        <w:snapToGrid w:val="0"/>
        <w:spacing w:before="0" w:beforeAutospacing="0" w:after="0" w:afterAutospacing="0" w:line="360" w:lineRule="auto"/>
        <w:ind w:firstLineChars="200" w:firstLine="480"/>
        <w:rPr>
          <w:color w:val="000000"/>
        </w:rPr>
      </w:pPr>
      <w:r w:rsidRPr="00D417F0">
        <w:rPr>
          <w:rFonts w:hint="eastAsia"/>
          <w:color w:val="000000"/>
        </w:rPr>
        <w:t>清算起始日2018年7月11日至清算款划出日前一日的银行存款产生的利息亦属份额持有人所有。自2018年7月11日起至2018年7月25日止的应收利息共计人民币472.50元（以当前适用的利率预估），将由基金管理人以自有资金先行垫付，于清算款划出日前划入托管账户。2018年7月26日至清算款划出日前一日的银行存款产生的利息亦由基金管理人以自有资金先行垫付。基金管理人垫付资金到账日起孳生的利息归基金管理人所有。</w:t>
      </w:r>
    </w:p>
    <w:p w:rsidR="007656AB" w:rsidRPr="002A0146" w:rsidRDefault="007656AB" w:rsidP="002A0146">
      <w:pPr>
        <w:pStyle w:val="a3"/>
        <w:adjustRightInd w:val="0"/>
        <w:snapToGrid w:val="0"/>
        <w:spacing w:before="0" w:beforeAutospacing="0" w:after="0" w:afterAutospacing="0" w:line="360" w:lineRule="auto"/>
        <w:ind w:firstLineChars="200" w:firstLine="480"/>
        <w:rPr>
          <w:color w:val="000000"/>
        </w:rPr>
      </w:pP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六、</w:t>
      </w:r>
      <w:r w:rsidR="00AD5C40" w:rsidRPr="002A0146">
        <w:rPr>
          <w:rFonts w:hint="eastAsia"/>
          <w:color w:val="000000"/>
        </w:rPr>
        <w:t>备查文件目录</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color w:val="000000"/>
        </w:rPr>
        <w:t>1</w:t>
      </w:r>
      <w:r w:rsidRPr="002A0146">
        <w:rPr>
          <w:rFonts w:hint="eastAsia"/>
          <w:color w:val="000000"/>
        </w:rPr>
        <w:t>、</w:t>
      </w:r>
      <w:r w:rsidR="00AD5C40" w:rsidRPr="002A0146">
        <w:rPr>
          <w:rFonts w:hint="eastAsia"/>
          <w:color w:val="000000"/>
        </w:rPr>
        <w:t>备查文件目录</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（1）</w:t>
      </w:r>
      <w:r w:rsidR="00AD5C40" w:rsidRPr="002A0146">
        <w:rPr>
          <w:rFonts w:hint="eastAsia"/>
          <w:color w:val="000000"/>
        </w:rPr>
        <w:t>《</w:t>
      </w:r>
      <w:r w:rsidR="00F42B91" w:rsidRPr="002A0146">
        <w:rPr>
          <w:rFonts w:hint="eastAsia"/>
          <w:color w:val="000000"/>
        </w:rPr>
        <w:t>中欧</w:t>
      </w:r>
      <w:r w:rsidR="00D417F0">
        <w:rPr>
          <w:rFonts w:hint="eastAsia"/>
          <w:color w:val="000000"/>
        </w:rPr>
        <w:t>瑾悠灵活配置</w:t>
      </w:r>
      <w:r w:rsidR="00D417F0">
        <w:rPr>
          <w:color w:val="000000"/>
        </w:rPr>
        <w:t>混合</w:t>
      </w:r>
      <w:r w:rsidR="007656AB">
        <w:rPr>
          <w:rFonts w:hint="eastAsia"/>
          <w:color w:val="000000"/>
        </w:rPr>
        <w:t>型证券投资基金</w:t>
      </w:r>
      <w:r w:rsidR="00AD5C40" w:rsidRPr="002A0146">
        <w:rPr>
          <w:rFonts w:hint="eastAsia"/>
          <w:color w:val="000000"/>
        </w:rPr>
        <w:t>201</w:t>
      </w:r>
      <w:r w:rsidRPr="002A0146">
        <w:rPr>
          <w:color w:val="000000"/>
        </w:rPr>
        <w:t>8</w:t>
      </w:r>
      <w:r w:rsidR="00AD5C40" w:rsidRPr="002A0146">
        <w:rPr>
          <w:rFonts w:hint="eastAsia"/>
          <w:color w:val="000000"/>
        </w:rPr>
        <w:t>年1月1日至201</w:t>
      </w:r>
      <w:r w:rsidRPr="002A0146">
        <w:rPr>
          <w:color w:val="000000"/>
        </w:rPr>
        <w:t>8</w:t>
      </w:r>
      <w:r w:rsidR="00AD5C40" w:rsidRPr="002A0146">
        <w:rPr>
          <w:rFonts w:hint="eastAsia"/>
          <w:color w:val="000000"/>
        </w:rPr>
        <w:t>年</w:t>
      </w:r>
      <w:r w:rsidR="007656AB">
        <w:rPr>
          <w:color w:val="000000"/>
        </w:rPr>
        <w:t>7</w:t>
      </w:r>
      <w:r w:rsidR="00AD5C40" w:rsidRPr="002A0146">
        <w:rPr>
          <w:rFonts w:hint="eastAsia"/>
          <w:color w:val="000000"/>
        </w:rPr>
        <w:t>月</w:t>
      </w:r>
      <w:r w:rsidR="00D417F0">
        <w:rPr>
          <w:color w:val="000000"/>
        </w:rPr>
        <w:t>10</w:t>
      </w:r>
      <w:r w:rsidR="00AD5C40" w:rsidRPr="002A0146">
        <w:rPr>
          <w:rFonts w:hint="eastAsia"/>
          <w:color w:val="000000"/>
        </w:rPr>
        <w:t>日（基金最后运作日）止期间的财务报表及审计报告》</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（2）</w:t>
      </w:r>
      <w:r w:rsidR="00AD5C40" w:rsidRPr="002A0146">
        <w:rPr>
          <w:rFonts w:hint="eastAsia"/>
          <w:color w:val="000000"/>
        </w:rPr>
        <w:t>通力律师事务所关于《</w:t>
      </w:r>
      <w:r w:rsidR="00D417F0" w:rsidRPr="002A0146">
        <w:rPr>
          <w:rFonts w:hint="eastAsia"/>
          <w:color w:val="000000"/>
        </w:rPr>
        <w:t>中欧</w:t>
      </w:r>
      <w:r w:rsidR="00D417F0">
        <w:rPr>
          <w:rFonts w:hint="eastAsia"/>
          <w:color w:val="000000"/>
        </w:rPr>
        <w:t>瑾悠灵活配置</w:t>
      </w:r>
      <w:r w:rsidR="00D417F0">
        <w:rPr>
          <w:color w:val="000000"/>
        </w:rPr>
        <w:t>混合</w:t>
      </w:r>
      <w:r w:rsidR="00D417F0">
        <w:rPr>
          <w:rFonts w:hint="eastAsia"/>
          <w:color w:val="000000"/>
        </w:rPr>
        <w:t>型证券投资基金</w:t>
      </w:r>
      <w:r w:rsidR="00AD5C40" w:rsidRPr="002A0146">
        <w:rPr>
          <w:rFonts w:hint="eastAsia"/>
          <w:color w:val="000000"/>
        </w:rPr>
        <w:t>清算报告》的法律意见</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color w:val="000000"/>
        </w:rPr>
        <w:t>2</w:t>
      </w:r>
      <w:r w:rsidRPr="002A0146">
        <w:rPr>
          <w:rFonts w:hint="eastAsia"/>
          <w:color w:val="000000"/>
        </w:rPr>
        <w:t>、</w:t>
      </w:r>
      <w:r w:rsidR="00AD5C40" w:rsidRPr="002A0146">
        <w:rPr>
          <w:rFonts w:hint="eastAsia"/>
          <w:color w:val="000000"/>
        </w:rPr>
        <w:t>存放地点</w:t>
      </w:r>
    </w:p>
    <w:p w:rsidR="00AD5C40" w:rsidRPr="002A0146" w:rsidRDefault="00AD5C40"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本基金管理人</w:t>
      </w:r>
      <w:r w:rsidR="00A53F81" w:rsidRPr="002A0146">
        <w:rPr>
          <w:rFonts w:hint="eastAsia"/>
          <w:color w:val="000000"/>
        </w:rPr>
        <w:t>中欧</w:t>
      </w:r>
      <w:r w:rsidRPr="002A0146">
        <w:rPr>
          <w:rFonts w:hint="eastAsia"/>
          <w:color w:val="000000"/>
        </w:rPr>
        <w:t>基金管理有限公司办公地点——</w:t>
      </w:r>
      <w:r w:rsidR="00A53F81" w:rsidRPr="002A0146">
        <w:rPr>
          <w:rFonts w:hint="eastAsia"/>
          <w:color w:val="000000"/>
        </w:rPr>
        <w:t>中国（上海）自由贸易试验区陆家嘴环路333号东方汇经大厦5层</w:t>
      </w:r>
      <w:r w:rsidRPr="002A0146">
        <w:rPr>
          <w:rFonts w:hint="eastAsia"/>
          <w:color w:val="000000"/>
        </w:rPr>
        <w:t>。</w:t>
      </w:r>
    </w:p>
    <w:p w:rsidR="00AD5C40" w:rsidRPr="002A0146" w:rsidRDefault="00A53F81" w:rsidP="002A0146">
      <w:pPr>
        <w:pStyle w:val="a3"/>
        <w:adjustRightInd w:val="0"/>
        <w:snapToGrid w:val="0"/>
        <w:spacing w:before="0" w:beforeAutospacing="0" w:after="0" w:afterAutospacing="0" w:line="360" w:lineRule="auto"/>
        <w:ind w:firstLineChars="200" w:firstLine="480"/>
        <w:rPr>
          <w:color w:val="000000"/>
        </w:rPr>
      </w:pPr>
      <w:r w:rsidRPr="002A0146">
        <w:rPr>
          <w:color w:val="000000"/>
        </w:rPr>
        <w:t>3</w:t>
      </w:r>
      <w:r w:rsidRPr="002A0146">
        <w:rPr>
          <w:rFonts w:hint="eastAsia"/>
          <w:color w:val="000000"/>
        </w:rPr>
        <w:t>、</w:t>
      </w:r>
      <w:r w:rsidR="00AD5C40" w:rsidRPr="002A0146">
        <w:rPr>
          <w:rFonts w:hint="eastAsia"/>
          <w:color w:val="000000"/>
        </w:rPr>
        <w:t>查阅方式</w:t>
      </w:r>
    </w:p>
    <w:p w:rsidR="00AD5C40" w:rsidRPr="002A0146" w:rsidRDefault="00AD5C40" w:rsidP="002A0146">
      <w:pPr>
        <w:pStyle w:val="a3"/>
        <w:adjustRightInd w:val="0"/>
        <w:snapToGrid w:val="0"/>
        <w:spacing w:before="0" w:beforeAutospacing="0" w:after="0" w:afterAutospacing="0" w:line="360" w:lineRule="auto"/>
        <w:ind w:firstLineChars="200" w:firstLine="480"/>
        <w:rPr>
          <w:color w:val="000000"/>
        </w:rPr>
      </w:pPr>
      <w:r w:rsidRPr="002A0146">
        <w:rPr>
          <w:rFonts w:hint="eastAsia"/>
          <w:color w:val="000000"/>
        </w:rPr>
        <w:t>投资者可在营业时间内至基金管理人的办公场所免费查阅。</w:t>
      </w:r>
    </w:p>
    <w:p w:rsidR="00B325F0" w:rsidRDefault="00B325F0" w:rsidP="002A0146">
      <w:pPr>
        <w:pStyle w:val="a3"/>
        <w:adjustRightInd w:val="0"/>
        <w:snapToGrid w:val="0"/>
        <w:spacing w:before="0" w:beforeAutospacing="0" w:after="0" w:afterAutospacing="0" w:line="360" w:lineRule="auto"/>
        <w:ind w:firstLineChars="200" w:firstLine="480"/>
        <w:rPr>
          <w:color w:val="000000"/>
        </w:rPr>
      </w:pPr>
    </w:p>
    <w:p w:rsidR="002A0146" w:rsidRPr="002A0146" w:rsidRDefault="002A0146" w:rsidP="002A0146">
      <w:pPr>
        <w:pStyle w:val="a3"/>
        <w:adjustRightInd w:val="0"/>
        <w:snapToGrid w:val="0"/>
        <w:spacing w:before="0" w:beforeAutospacing="0" w:after="0" w:afterAutospacing="0" w:line="360" w:lineRule="auto"/>
        <w:ind w:firstLineChars="200" w:firstLine="480"/>
        <w:rPr>
          <w:color w:val="000000"/>
        </w:rPr>
      </w:pPr>
    </w:p>
    <w:p w:rsidR="00B325F0" w:rsidRPr="002A0146" w:rsidRDefault="00B325F0" w:rsidP="002A0146">
      <w:pPr>
        <w:pStyle w:val="a3"/>
        <w:adjustRightInd w:val="0"/>
        <w:snapToGrid w:val="0"/>
        <w:spacing w:before="0" w:beforeAutospacing="0" w:after="0" w:afterAutospacing="0" w:line="360" w:lineRule="auto"/>
        <w:ind w:firstLineChars="200" w:firstLine="480"/>
        <w:rPr>
          <w:color w:val="000000"/>
        </w:rPr>
      </w:pPr>
    </w:p>
    <w:p w:rsidR="00AD5C40" w:rsidRPr="002A0146" w:rsidRDefault="00AD5C40" w:rsidP="002A0146">
      <w:pPr>
        <w:pStyle w:val="a3"/>
        <w:adjustRightInd w:val="0"/>
        <w:snapToGrid w:val="0"/>
        <w:spacing w:before="0" w:beforeAutospacing="0" w:after="0" w:afterAutospacing="0" w:line="360" w:lineRule="auto"/>
        <w:ind w:firstLineChars="200" w:firstLine="480"/>
        <w:jc w:val="right"/>
        <w:rPr>
          <w:color w:val="000000"/>
        </w:rPr>
      </w:pPr>
      <w:r w:rsidRPr="002A0146">
        <w:rPr>
          <w:rFonts w:hint="eastAsia"/>
          <w:color w:val="000000"/>
        </w:rPr>
        <w:t> </w:t>
      </w:r>
      <w:r w:rsidR="00D417F0" w:rsidRPr="002A0146">
        <w:rPr>
          <w:rFonts w:hint="eastAsia"/>
          <w:color w:val="000000"/>
        </w:rPr>
        <w:t>中欧</w:t>
      </w:r>
      <w:r w:rsidR="00D417F0">
        <w:rPr>
          <w:rFonts w:hint="eastAsia"/>
          <w:color w:val="000000"/>
        </w:rPr>
        <w:t>瑾悠灵活配置</w:t>
      </w:r>
      <w:r w:rsidR="00D417F0">
        <w:rPr>
          <w:color w:val="000000"/>
        </w:rPr>
        <w:t>混合</w:t>
      </w:r>
      <w:r w:rsidR="00D417F0">
        <w:rPr>
          <w:rFonts w:hint="eastAsia"/>
          <w:color w:val="000000"/>
        </w:rPr>
        <w:t>型证券投资基金</w:t>
      </w:r>
      <w:r w:rsidRPr="002A0146">
        <w:rPr>
          <w:rFonts w:hint="eastAsia"/>
          <w:color w:val="000000"/>
        </w:rPr>
        <w:t>财产清算小组</w:t>
      </w:r>
    </w:p>
    <w:p w:rsidR="00B168D9" w:rsidRPr="002A0146" w:rsidRDefault="00AD5C40" w:rsidP="002A0146">
      <w:pPr>
        <w:pStyle w:val="a3"/>
        <w:adjustRightInd w:val="0"/>
        <w:snapToGrid w:val="0"/>
        <w:spacing w:before="0" w:beforeAutospacing="0" w:after="0" w:afterAutospacing="0" w:line="360" w:lineRule="auto"/>
        <w:ind w:firstLineChars="200" w:firstLine="480"/>
        <w:jc w:val="right"/>
        <w:rPr>
          <w:color w:val="000000"/>
        </w:rPr>
      </w:pPr>
      <w:r w:rsidRPr="002A0146">
        <w:rPr>
          <w:rFonts w:hint="eastAsia"/>
          <w:color w:val="000000"/>
        </w:rPr>
        <w:t>  二〇一八年</w:t>
      </w:r>
      <w:r w:rsidR="00A66CC5">
        <w:rPr>
          <w:rFonts w:hint="eastAsia"/>
          <w:color w:val="000000"/>
        </w:rPr>
        <w:t>八</w:t>
      </w:r>
      <w:r w:rsidRPr="002A0146">
        <w:rPr>
          <w:rFonts w:hint="eastAsia"/>
          <w:color w:val="000000"/>
        </w:rPr>
        <w:t>月</w:t>
      </w:r>
      <w:r w:rsidR="00A66CC5">
        <w:rPr>
          <w:rFonts w:hint="eastAsia"/>
          <w:color w:val="000000"/>
        </w:rPr>
        <w:t>十四</w:t>
      </w:r>
      <w:r w:rsidRPr="002A0146">
        <w:rPr>
          <w:rFonts w:hint="eastAsia"/>
          <w:color w:val="000000"/>
        </w:rPr>
        <w:t>日</w:t>
      </w:r>
    </w:p>
    <w:sectPr w:rsidR="00B168D9" w:rsidRPr="002A0146" w:rsidSect="004F143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DF1A13" w15:done="0"/>
  <w15:commentEx w15:paraId="3A870839" w15:done="0"/>
  <w15:commentEx w15:paraId="7EFBE14C" w15:done="0"/>
  <w15:commentEx w15:paraId="06F37C3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B3D" w:rsidRDefault="00756B3D" w:rsidP="00BF3BD3">
      <w:r>
        <w:separator/>
      </w:r>
    </w:p>
  </w:endnote>
  <w:endnote w:type="continuationSeparator" w:id="1">
    <w:p w:rsidR="00756B3D" w:rsidRDefault="00756B3D" w:rsidP="00BF3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B3D" w:rsidRDefault="00756B3D" w:rsidP="00BF3BD3">
      <w:r>
        <w:separator/>
      </w:r>
    </w:p>
  </w:footnote>
  <w:footnote w:type="continuationSeparator" w:id="1">
    <w:p w:rsidR="00756B3D" w:rsidRDefault="00756B3D" w:rsidP="00BF3B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6F147E"/>
    <w:multiLevelType w:val="hybridMultilevel"/>
    <w:tmpl w:val="1637B0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FA81C55"/>
    <w:multiLevelType w:val="hybridMultilevel"/>
    <w:tmpl w:val="4E626E80"/>
    <w:lvl w:ilvl="0" w:tplc="B6B491A0">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2">
    <w:nsid w:val="50743A8B"/>
    <w:multiLevelType w:val="hybridMultilevel"/>
    <w:tmpl w:val="09682F7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66BD30A5"/>
    <w:multiLevelType w:val="hybridMultilevel"/>
    <w:tmpl w:val="B0FC2B46"/>
    <w:lvl w:ilvl="0" w:tplc="1646B906">
      <w:start w:val="1"/>
      <w:numFmt w:val="decimal"/>
      <w:lvlText w:val="(%1)"/>
      <w:lvlJc w:val="left"/>
      <w:pPr>
        <w:ind w:left="1069" w:hanging="360"/>
      </w:pPr>
      <w:rPr>
        <w:rFonts w:ascii="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4262CE6"/>
    <w:multiLevelType w:val="hybridMultilevel"/>
    <w:tmpl w:val="14988C3C"/>
    <w:lvl w:ilvl="0" w:tplc="1646B906">
      <w:start w:val="1"/>
      <w:numFmt w:val="decimal"/>
      <w:lvlText w:val="(%1)"/>
      <w:lvlJc w:val="left"/>
      <w:pPr>
        <w:ind w:left="1069" w:hanging="360"/>
      </w:pPr>
      <w:rPr>
        <w:rFonts w:ascii="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5FD4498"/>
    <w:multiLevelType w:val="hybridMultilevel"/>
    <w:tmpl w:val="B8262676"/>
    <w:lvl w:ilvl="0" w:tplc="ADB2029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C40"/>
    <w:rsid w:val="000049C9"/>
    <w:rsid w:val="00015C47"/>
    <w:rsid w:val="00041EE7"/>
    <w:rsid w:val="00042E31"/>
    <w:rsid w:val="00097400"/>
    <w:rsid w:val="000E3EBF"/>
    <w:rsid w:val="000F4390"/>
    <w:rsid w:val="000F7E09"/>
    <w:rsid w:val="00137835"/>
    <w:rsid w:val="00145A4E"/>
    <w:rsid w:val="0015064E"/>
    <w:rsid w:val="001550BB"/>
    <w:rsid w:val="00183DBF"/>
    <w:rsid w:val="001E3F96"/>
    <w:rsid w:val="002340C1"/>
    <w:rsid w:val="002434D1"/>
    <w:rsid w:val="002549E5"/>
    <w:rsid w:val="002751B8"/>
    <w:rsid w:val="002814F1"/>
    <w:rsid w:val="00285FDD"/>
    <w:rsid w:val="00286660"/>
    <w:rsid w:val="002A0146"/>
    <w:rsid w:val="002A6E20"/>
    <w:rsid w:val="002D7E53"/>
    <w:rsid w:val="002E6604"/>
    <w:rsid w:val="002F4352"/>
    <w:rsid w:val="00326435"/>
    <w:rsid w:val="00336E29"/>
    <w:rsid w:val="0035483F"/>
    <w:rsid w:val="00392F36"/>
    <w:rsid w:val="00393CB5"/>
    <w:rsid w:val="003D4CB5"/>
    <w:rsid w:val="003E1A94"/>
    <w:rsid w:val="004075EE"/>
    <w:rsid w:val="00430C14"/>
    <w:rsid w:val="004773CA"/>
    <w:rsid w:val="004C71E2"/>
    <w:rsid w:val="004F1434"/>
    <w:rsid w:val="005416D5"/>
    <w:rsid w:val="00541F93"/>
    <w:rsid w:val="00567BD5"/>
    <w:rsid w:val="00574866"/>
    <w:rsid w:val="00576A20"/>
    <w:rsid w:val="005D3C87"/>
    <w:rsid w:val="005D7737"/>
    <w:rsid w:val="005E43EF"/>
    <w:rsid w:val="005F3F6A"/>
    <w:rsid w:val="00601496"/>
    <w:rsid w:val="0061672E"/>
    <w:rsid w:val="006229DD"/>
    <w:rsid w:val="00654D6F"/>
    <w:rsid w:val="006745A2"/>
    <w:rsid w:val="00677AEB"/>
    <w:rsid w:val="0069682A"/>
    <w:rsid w:val="00702C55"/>
    <w:rsid w:val="00725F8B"/>
    <w:rsid w:val="00756B3D"/>
    <w:rsid w:val="007656AB"/>
    <w:rsid w:val="007837F1"/>
    <w:rsid w:val="007A5158"/>
    <w:rsid w:val="007C14B4"/>
    <w:rsid w:val="007D0F37"/>
    <w:rsid w:val="00851235"/>
    <w:rsid w:val="00860C6C"/>
    <w:rsid w:val="00865E3C"/>
    <w:rsid w:val="00865FA1"/>
    <w:rsid w:val="008730F0"/>
    <w:rsid w:val="00897A1F"/>
    <w:rsid w:val="008C2088"/>
    <w:rsid w:val="008C2CCB"/>
    <w:rsid w:val="00905C2E"/>
    <w:rsid w:val="0091314C"/>
    <w:rsid w:val="009206AF"/>
    <w:rsid w:val="00942E06"/>
    <w:rsid w:val="00962535"/>
    <w:rsid w:val="009A34A8"/>
    <w:rsid w:val="009F08B2"/>
    <w:rsid w:val="00A11A23"/>
    <w:rsid w:val="00A257B6"/>
    <w:rsid w:val="00A31386"/>
    <w:rsid w:val="00A4215E"/>
    <w:rsid w:val="00A53F81"/>
    <w:rsid w:val="00A64FFE"/>
    <w:rsid w:val="00A66CC5"/>
    <w:rsid w:val="00A96031"/>
    <w:rsid w:val="00AC2825"/>
    <w:rsid w:val="00AC2C75"/>
    <w:rsid w:val="00AD571A"/>
    <w:rsid w:val="00AD5C40"/>
    <w:rsid w:val="00AD6581"/>
    <w:rsid w:val="00AF5710"/>
    <w:rsid w:val="00B13412"/>
    <w:rsid w:val="00B168D9"/>
    <w:rsid w:val="00B23E2F"/>
    <w:rsid w:val="00B325F0"/>
    <w:rsid w:val="00B46532"/>
    <w:rsid w:val="00B62EC5"/>
    <w:rsid w:val="00B80013"/>
    <w:rsid w:val="00BF3BD3"/>
    <w:rsid w:val="00BF7EEA"/>
    <w:rsid w:val="00C17079"/>
    <w:rsid w:val="00C53056"/>
    <w:rsid w:val="00C715FD"/>
    <w:rsid w:val="00CC60A2"/>
    <w:rsid w:val="00CD5B5D"/>
    <w:rsid w:val="00D02A4D"/>
    <w:rsid w:val="00D11FAC"/>
    <w:rsid w:val="00D417F0"/>
    <w:rsid w:val="00D511BE"/>
    <w:rsid w:val="00D655D7"/>
    <w:rsid w:val="00D74A1A"/>
    <w:rsid w:val="00D87841"/>
    <w:rsid w:val="00DC006E"/>
    <w:rsid w:val="00E024A6"/>
    <w:rsid w:val="00E377DD"/>
    <w:rsid w:val="00E42336"/>
    <w:rsid w:val="00E70D64"/>
    <w:rsid w:val="00F058EB"/>
    <w:rsid w:val="00F06C98"/>
    <w:rsid w:val="00F15095"/>
    <w:rsid w:val="00F22CE9"/>
    <w:rsid w:val="00F378A0"/>
    <w:rsid w:val="00F42B91"/>
    <w:rsid w:val="00F47DBC"/>
    <w:rsid w:val="00F9769D"/>
    <w:rsid w:val="00FA5A88"/>
    <w:rsid w:val="00FC46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D5C4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D5C40"/>
    <w:rPr>
      <w:sz w:val="18"/>
      <w:szCs w:val="18"/>
    </w:rPr>
  </w:style>
  <w:style w:type="character" w:customStyle="1" w:styleId="Char">
    <w:name w:val="批注框文本 Char"/>
    <w:basedOn w:val="a0"/>
    <w:link w:val="a4"/>
    <w:uiPriority w:val="99"/>
    <w:semiHidden/>
    <w:rsid w:val="00AD5C40"/>
    <w:rPr>
      <w:sz w:val="18"/>
      <w:szCs w:val="18"/>
    </w:rPr>
  </w:style>
  <w:style w:type="paragraph" w:styleId="a5">
    <w:name w:val="header"/>
    <w:basedOn w:val="a"/>
    <w:link w:val="Char0"/>
    <w:uiPriority w:val="99"/>
    <w:unhideWhenUsed/>
    <w:rsid w:val="00BF3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3BD3"/>
    <w:rPr>
      <w:sz w:val="18"/>
      <w:szCs w:val="18"/>
    </w:rPr>
  </w:style>
  <w:style w:type="paragraph" w:styleId="a6">
    <w:name w:val="footer"/>
    <w:basedOn w:val="a"/>
    <w:link w:val="Char1"/>
    <w:uiPriority w:val="99"/>
    <w:unhideWhenUsed/>
    <w:rsid w:val="00BF3BD3"/>
    <w:pPr>
      <w:tabs>
        <w:tab w:val="center" w:pos="4153"/>
        <w:tab w:val="right" w:pos="8306"/>
      </w:tabs>
      <w:snapToGrid w:val="0"/>
      <w:jc w:val="left"/>
    </w:pPr>
    <w:rPr>
      <w:sz w:val="18"/>
      <w:szCs w:val="18"/>
    </w:rPr>
  </w:style>
  <w:style w:type="character" w:customStyle="1" w:styleId="Char1">
    <w:name w:val="页脚 Char"/>
    <w:basedOn w:val="a0"/>
    <w:link w:val="a6"/>
    <w:uiPriority w:val="99"/>
    <w:rsid w:val="00BF3BD3"/>
    <w:rPr>
      <w:sz w:val="18"/>
      <w:szCs w:val="18"/>
    </w:rPr>
  </w:style>
  <w:style w:type="paragraph" w:styleId="a7">
    <w:name w:val="List Paragraph"/>
    <w:basedOn w:val="a"/>
    <w:uiPriority w:val="99"/>
    <w:qFormat/>
    <w:rsid w:val="00B325F0"/>
    <w:pPr>
      <w:ind w:firstLineChars="200" w:firstLine="420"/>
    </w:pPr>
  </w:style>
  <w:style w:type="character" w:styleId="a8">
    <w:name w:val="annotation reference"/>
    <w:basedOn w:val="a0"/>
    <w:uiPriority w:val="99"/>
    <w:semiHidden/>
    <w:unhideWhenUsed/>
    <w:rsid w:val="00A53F81"/>
    <w:rPr>
      <w:sz w:val="21"/>
      <w:szCs w:val="21"/>
    </w:rPr>
  </w:style>
  <w:style w:type="paragraph" w:styleId="a9">
    <w:name w:val="annotation text"/>
    <w:basedOn w:val="a"/>
    <w:link w:val="Char2"/>
    <w:uiPriority w:val="99"/>
    <w:semiHidden/>
    <w:unhideWhenUsed/>
    <w:rsid w:val="00A53F81"/>
    <w:pPr>
      <w:jc w:val="left"/>
    </w:pPr>
  </w:style>
  <w:style w:type="character" w:customStyle="1" w:styleId="Char2">
    <w:name w:val="批注文字 Char"/>
    <w:basedOn w:val="a0"/>
    <w:link w:val="a9"/>
    <w:uiPriority w:val="99"/>
    <w:semiHidden/>
    <w:rsid w:val="00A53F81"/>
  </w:style>
  <w:style w:type="paragraph" w:styleId="aa">
    <w:name w:val="annotation subject"/>
    <w:basedOn w:val="a9"/>
    <w:next w:val="a9"/>
    <w:link w:val="Char3"/>
    <w:uiPriority w:val="99"/>
    <w:semiHidden/>
    <w:unhideWhenUsed/>
    <w:rsid w:val="00A53F81"/>
    <w:rPr>
      <w:b/>
      <w:bCs/>
    </w:rPr>
  </w:style>
  <w:style w:type="character" w:customStyle="1" w:styleId="Char3">
    <w:name w:val="批注主题 Char"/>
    <w:basedOn w:val="Char2"/>
    <w:link w:val="aa"/>
    <w:uiPriority w:val="99"/>
    <w:semiHidden/>
    <w:rsid w:val="00A53F81"/>
    <w:rPr>
      <w:b/>
      <w:bCs/>
    </w:rPr>
  </w:style>
  <w:style w:type="paragraph" w:styleId="ab">
    <w:name w:val="Revision"/>
    <w:hidden/>
    <w:uiPriority w:val="99"/>
    <w:semiHidden/>
    <w:rsid w:val="002D7E53"/>
  </w:style>
  <w:style w:type="paragraph" w:customStyle="1" w:styleId="Default">
    <w:name w:val="Default"/>
    <w:rsid w:val="002751B8"/>
    <w:pPr>
      <w:widowControl w:val="0"/>
      <w:autoSpaceDE w:val="0"/>
      <w:autoSpaceDN w:val="0"/>
      <w:adjustRightInd w:val="0"/>
    </w:pPr>
    <w:rPr>
      <w:rFonts w:ascii="黑体" w:eastAsia="黑体" w:cs="黑体"/>
      <w:color w:val="000000"/>
      <w:kern w:val="0"/>
      <w:sz w:val="24"/>
      <w:szCs w:val="24"/>
    </w:rPr>
  </w:style>
  <w:style w:type="table" w:customStyle="1" w:styleId="PlainTable2">
    <w:name w:val="Plain Table 2"/>
    <w:basedOn w:val="a1"/>
    <w:uiPriority w:val="42"/>
    <w:rsid w:val="007656A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D5C4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D5C40"/>
    <w:rPr>
      <w:sz w:val="18"/>
      <w:szCs w:val="18"/>
    </w:rPr>
  </w:style>
  <w:style w:type="character" w:customStyle="1" w:styleId="Char">
    <w:name w:val="批注框文本 Char"/>
    <w:basedOn w:val="a0"/>
    <w:link w:val="a4"/>
    <w:uiPriority w:val="99"/>
    <w:semiHidden/>
    <w:rsid w:val="00AD5C40"/>
    <w:rPr>
      <w:sz w:val="18"/>
      <w:szCs w:val="18"/>
    </w:rPr>
  </w:style>
  <w:style w:type="paragraph" w:styleId="a5">
    <w:name w:val="header"/>
    <w:basedOn w:val="a"/>
    <w:link w:val="Char0"/>
    <w:uiPriority w:val="99"/>
    <w:unhideWhenUsed/>
    <w:rsid w:val="00BF3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F3BD3"/>
    <w:rPr>
      <w:sz w:val="18"/>
      <w:szCs w:val="18"/>
    </w:rPr>
  </w:style>
  <w:style w:type="paragraph" w:styleId="a6">
    <w:name w:val="footer"/>
    <w:basedOn w:val="a"/>
    <w:link w:val="Char1"/>
    <w:uiPriority w:val="99"/>
    <w:unhideWhenUsed/>
    <w:rsid w:val="00BF3BD3"/>
    <w:pPr>
      <w:tabs>
        <w:tab w:val="center" w:pos="4153"/>
        <w:tab w:val="right" w:pos="8306"/>
      </w:tabs>
      <w:snapToGrid w:val="0"/>
      <w:jc w:val="left"/>
    </w:pPr>
    <w:rPr>
      <w:sz w:val="18"/>
      <w:szCs w:val="18"/>
    </w:rPr>
  </w:style>
  <w:style w:type="character" w:customStyle="1" w:styleId="Char1">
    <w:name w:val="页脚 Char"/>
    <w:basedOn w:val="a0"/>
    <w:link w:val="a6"/>
    <w:uiPriority w:val="99"/>
    <w:rsid w:val="00BF3BD3"/>
    <w:rPr>
      <w:sz w:val="18"/>
      <w:szCs w:val="18"/>
    </w:rPr>
  </w:style>
  <w:style w:type="paragraph" w:styleId="a7">
    <w:name w:val="List Paragraph"/>
    <w:basedOn w:val="a"/>
    <w:uiPriority w:val="99"/>
    <w:qFormat/>
    <w:rsid w:val="00B325F0"/>
    <w:pPr>
      <w:ind w:firstLineChars="200" w:firstLine="420"/>
    </w:pPr>
  </w:style>
  <w:style w:type="character" w:styleId="a8">
    <w:name w:val="annotation reference"/>
    <w:basedOn w:val="a0"/>
    <w:uiPriority w:val="99"/>
    <w:semiHidden/>
    <w:unhideWhenUsed/>
    <w:rsid w:val="00A53F81"/>
    <w:rPr>
      <w:sz w:val="21"/>
      <w:szCs w:val="21"/>
    </w:rPr>
  </w:style>
  <w:style w:type="paragraph" w:styleId="a9">
    <w:name w:val="annotation text"/>
    <w:basedOn w:val="a"/>
    <w:link w:val="Char2"/>
    <w:uiPriority w:val="99"/>
    <w:semiHidden/>
    <w:unhideWhenUsed/>
    <w:rsid w:val="00A53F81"/>
    <w:pPr>
      <w:jc w:val="left"/>
    </w:pPr>
  </w:style>
  <w:style w:type="character" w:customStyle="1" w:styleId="Char2">
    <w:name w:val="批注文字 Char"/>
    <w:basedOn w:val="a0"/>
    <w:link w:val="a9"/>
    <w:uiPriority w:val="99"/>
    <w:semiHidden/>
    <w:rsid w:val="00A53F81"/>
  </w:style>
  <w:style w:type="paragraph" w:styleId="aa">
    <w:name w:val="annotation subject"/>
    <w:basedOn w:val="a9"/>
    <w:next w:val="a9"/>
    <w:link w:val="Char3"/>
    <w:uiPriority w:val="99"/>
    <w:semiHidden/>
    <w:unhideWhenUsed/>
    <w:rsid w:val="00A53F81"/>
    <w:rPr>
      <w:b/>
      <w:bCs/>
    </w:rPr>
  </w:style>
  <w:style w:type="character" w:customStyle="1" w:styleId="Char3">
    <w:name w:val="批注主题 Char"/>
    <w:basedOn w:val="Char2"/>
    <w:link w:val="aa"/>
    <w:uiPriority w:val="99"/>
    <w:semiHidden/>
    <w:rsid w:val="00A53F81"/>
    <w:rPr>
      <w:b/>
      <w:bCs/>
    </w:rPr>
  </w:style>
  <w:style w:type="paragraph" w:styleId="ab">
    <w:name w:val="Revision"/>
    <w:hidden/>
    <w:uiPriority w:val="99"/>
    <w:semiHidden/>
    <w:rsid w:val="002D7E53"/>
  </w:style>
  <w:style w:type="paragraph" w:customStyle="1" w:styleId="Default">
    <w:name w:val="Default"/>
    <w:rsid w:val="002751B8"/>
    <w:pPr>
      <w:widowControl w:val="0"/>
      <w:autoSpaceDE w:val="0"/>
      <w:autoSpaceDN w:val="0"/>
      <w:adjustRightInd w:val="0"/>
    </w:pPr>
    <w:rPr>
      <w:rFonts w:ascii="黑体" w:eastAsia="黑体" w:cs="黑体"/>
      <w:color w:val="000000"/>
      <w:kern w:val="0"/>
      <w:sz w:val="24"/>
      <w:szCs w:val="24"/>
    </w:rPr>
  </w:style>
  <w:style w:type="table" w:customStyle="1" w:styleId="PlainTable2">
    <w:name w:val="Plain Table 2"/>
    <w:basedOn w:val="a1"/>
    <w:uiPriority w:val="42"/>
    <w:rsid w:val="007656A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186261221">
      <w:bodyDiv w:val="1"/>
      <w:marLeft w:val="0"/>
      <w:marRight w:val="0"/>
      <w:marTop w:val="0"/>
      <w:marBottom w:val="0"/>
      <w:divBdr>
        <w:top w:val="none" w:sz="0" w:space="0" w:color="auto"/>
        <w:left w:val="none" w:sz="0" w:space="0" w:color="auto"/>
        <w:bottom w:val="none" w:sz="0" w:space="0" w:color="auto"/>
        <w:right w:val="none" w:sz="0" w:space="0" w:color="auto"/>
      </w:divBdr>
    </w:div>
    <w:div w:id="558321782">
      <w:bodyDiv w:val="1"/>
      <w:marLeft w:val="0"/>
      <w:marRight w:val="0"/>
      <w:marTop w:val="0"/>
      <w:marBottom w:val="0"/>
      <w:divBdr>
        <w:top w:val="none" w:sz="0" w:space="0" w:color="auto"/>
        <w:left w:val="none" w:sz="0" w:space="0" w:color="auto"/>
        <w:bottom w:val="none" w:sz="0" w:space="0" w:color="auto"/>
        <w:right w:val="none" w:sz="0" w:space="0" w:color="auto"/>
      </w:divBdr>
    </w:div>
    <w:div w:id="990523240">
      <w:bodyDiv w:val="1"/>
      <w:marLeft w:val="0"/>
      <w:marRight w:val="0"/>
      <w:marTop w:val="0"/>
      <w:marBottom w:val="0"/>
      <w:divBdr>
        <w:top w:val="none" w:sz="0" w:space="0" w:color="auto"/>
        <w:left w:val="none" w:sz="0" w:space="0" w:color="auto"/>
        <w:bottom w:val="none" w:sz="0" w:space="0" w:color="auto"/>
        <w:right w:val="none" w:sz="0" w:space="0" w:color="auto"/>
      </w:divBdr>
    </w:div>
    <w:div w:id="1990206677">
      <w:bodyDiv w:val="1"/>
      <w:marLeft w:val="0"/>
      <w:marRight w:val="0"/>
      <w:marTop w:val="0"/>
      <w:marBottom w:val="0"/>
      <w:divBdr>
        <w:top w:val="none" w:sz="0" w:space="0" w:color="auto"/>
        <w:left w:val="none" w:sz="0" w:space="0" w:color="auto"/>
        <w:bottom w:val="none" w:sz="0" w:space="0" w:color="auto"/>
        <w:right w:val="none" w:sz="0" w:space="0" w:color="auto"/>
      </w:divBdr>
      <w:divsChild>
        <w:div w:id="655761690">
          <w:marLeft w:val="0"/>
          <w:marRight w:val="0"/>
          <w:marTop w:val="0"/>
          <w:marBottom w:val="0"/>
          <w:divBdr>
            <w:top w:val="none" w:sz="0" w:space="0" w:color="auto"/>
            <w:left w:val="none" w:sz="0" w:space="0" w:color="auto"/>
            <w:bottom w:val="none" w:sz="0" w:space="0" w:color="auto"/>
            <w:right w:val="none" w:sz="0" w:space="0" w:color="auto"/>
          </w:divBdr>
          <w:divsChild>
            <w:div w:id="1893223500">
              <w:marLeft w:val="0"/>
              <w:marRight w:val="0"/>
              <w:marTop w:val="0"/>
              <w:marBottom w:val="0"/>
              <w:divBdr>
                <w:top w:val="none" w:sz="0" w:space="0" w:color="auto"/>
                <w:left w:val="none" w:sz="0" w:space="0" w:color="auto"/>
                <w:bottom w:val="none" w:sz="0" w:space="0" w:color="auto"/>
                <w:right w:val="none" w:sz="0" w:space="0" w:color="auto"/>
              </w:divBdr>
            </w:div>
          </w:divsChild>
        </w:div>
        <w:div w:id="1428384278">
          <w:marLeft w:val="0"/>
          <w:marRight w:val="0"/>
          <w:marTop w:val="0"/>
          <w:marBottom w:val="0"/>
          <w:divBdr>
            <w:top w:val="none" w:sz="0" w:space="0" w:color="auto"/>
            <w:left w:val="none" w:sz="0" w:space="0" w:color="auto"/>
            <w:bottom w:val="none" w:sz="0" w:space="0" w:color="auto"/>
            <w:right w:val="none" w:sz="0" w:space="0" w:color="auto"/>
          </w:divBdr>
          <w:divsChild>
            <w:div w:id="18121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5330</Characters>
  <Application>Microsoft Office Word</Application>
  <DocSecurity>4</DocSecurity>
  <Lines>44</Lines>
  <Paragraphs>12</Paragraphs>
  <ScaleCrop>false</ScaleCrop>
  <Company>Microsoft</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ZhongXun</dc:creator>
  <cp:lastModifiedBy>ZHONGM</cp:lastModifiedBy>
  <cp:revision>2</cp:revision>
  <dcterms:created xsi:type="dcterms:W3CDTF">2018-11-29T16:30:00Z</dcterms:created>
  <dcterms:modified xsi:type="dcterms:W3CDTF">2018-11-29T16:30:00Z</dcterms:modified>
</cp:coreProperties>
</file>