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83" w:rsidRDefault="00583F83">
      <w:pPr>
        <w:spacing w:after="0" w:line="358" w:lineRule="auto"/>
        <w:ind w:left="4526" w:right="4446" w:firstLine="0"/>
        <w:jc w:val="center"/>
      </w:pPr>
    </w:p>
    <w:p w:rsidR="00583F83" w:rsidRDefault="00583F83">
      <w:pPr>
        <w:spacing w:after="0" w:line="358" w:lineRule="auto"/>
        <w:ind w:left="4526" w:right="4446" w:firstLine="0"/>
        <w:jc w:val="center"/>
      </w:pPr>
    </w:p>
    <w:p w:rsidR="00583F83" w:rsidRDefault="00583F83">
      <w:pPr>
        <w:spacing w:after="246"/>
        <w:ind w:left="80" w:firstLine="0"/>
        <w:jc w:val="center"/>
      </w:pPr>
    </w:p>
    <w:p w:rsidR="005363C0" w:rsidRDefault="002201AA" w:rsidP="002201AA">
      <w:pPr>
        <w:spacing w:after="0" w:line="420" w:lineRule="auto"/>
        <w:ind w:left="510" w:right="493" w:firstLine="0"/>
        <w:jc w:val="center"/>
        <w:rPr>
          <w:sz w:val="32"/>
        </w:rPr>
      </w:pPr>
      <w:r>
        <w:rPr>
          <w:rFonts w:hint="eastAsia"/>
          <w:sz w:val="32"/>
        </w:rPr>
        <w:t>泰达宏利</w:t>
      </w:r>
      <w:r w:rsidR="00432C57" w:rsidRPr="00432C57">
        <w:rPr>
          <w:rFonts w:hint="eastAsia"/>
          <w:sz w:val="32"/>
        </w:rPr>
        <w:t>信用合利定期开放债券型证券投资基金</w:t>
      </w:r>
    </w:p>
    <w:p w:rsidR="00583F83" w:rsidRDefault="00E22DB5" w:rsidP="002201AA">
      <w:pPr>
        <w:spacing w:after="0" w:line="420" w:lineRule="auto"/>
        <w:ind w:left="510" w:right="493" w:firstLine="0"/>
        <w:jc w:val="center"/>
      </w:pPr>
      <w:r>
        <w:rPr>
          <w:sz w:val="32"/>
        </w:rPr>
        <w:t>清算报告</w:t>
      </w: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9E2C1E">
      <w:pPr>
        <w:spacing w:after="13"/>
        <w:ind w:left="0" w:firstLine="0"/>
      </w:pPr>
    </w:p>
    <w:p w:rsidR="009E2C1E" w:rsidRDefault="00E22DB5">
      <w:pPr>
        <w:spacing w:after="0" w:line="378" w:lineRule="auto"/>
        <w:ind w:left="1987" w:firstLine="0"/>
        <w:rPr>
          <w:sz w:val="28"/>
        </w:rPr>
      </w:pPr>
      <w:r>
        <w:rPr>
          <w:sz w:val="28"/>
        </w:rPr>
        <w:t>基金管理人：</w:t>
      </w:r>
      <w:r w:rsidR="002201AA">
        <w:rPr>
          <w:rFonts w:hint="eastAsia"/>
          <w:sz w:val="28"/>
        </w:rPr>
        <w:t>泰达宏利</w:t>
      </w:r>
      <w:r>
        <w:rPr>
          <w:sz w:val="28"/>
        </w:rPr>
        <w:t>基金管理有限公司</w:t>
      </w:r>
    </w:p>
    <w:p w:rsidR="009E2C1E" w:rsidRDefault="00E22DB5">
      <w:pPr>
        <w:spacing w:after="0" w:line="378" w:lineRule="auto"/>
        <w:ind w:left="1987" w:firstLine="0"/>
        <w:rPr>
          <w:sz w:val="28"/>
        </w:rPr>
      </w:pPr>
      <w:r>
        <w:rPr>
          <w:sz w:val="28"/>
        </w:rPr>
        <w:t>基金托管人：中国银行股份有限公司</w:t>
      </w:r>
    </w:p>
    <w:p w:rsidR="000468B4" w:rsidRDefault="00E22DB5">
      <w:pPr>
        <w:spacing w:after="0" w:line="378" w:lineRule="auto"/>
        <w:ind w:left="1987" w:firstLine="0"/>
        <w:rPr>
          <w:sz w:val="28"/>
        </w:rPr>
      </w:pPr>
      <w:r>
        <w:rPr>
          <w:sz w:val="28"/>
        </w:rPr>
        <w:t>清算报告出具日：</w:t>
      </w:r>
      <w:r w:rsidR="00277593">
        <w:rPr>
          <w:rFonts w:ascii="Times New Roman" w:eastAsia="Times New Roman" w:hAnsi="Times New Roman" w:cs="Times New Roman"/>
          <w:sz w:val="28"/>
        </w:rPr>
        <w:t>2018</w:t>
      </w:r>
      <w:r w:rsidR="00277593">
        <w:rPr>
          <w:rFonts w:ascii="Times New Roman" w:eastAsiaTheme="minorEastAsia" w:hAnsi="Times New Roman" w:cs="Times New Roman" w:hint="eastAsia"/>
          <w:sz w:val="28"/>
        </w:rPr>
        <w:t>年</w:t>
      </w:r>
      <w:r w:rsidR="00027FD9">
        <w:rPr>
          <w:rFonts w:ascii="Times New Roman" w:eastAsiaTheme="minorEastAsia" w:hAnsi="Times New Roman" w:cs="Times New Roman" w:hint="eastAsia"/>
          <w:sz w:val="28"/>
        </w:rPr>
        <w:t>9</w:t>
      </w:r>
      <w:r w:rsidR="00407EBF">
        <w:rPr>
          <w:rFonts w:hint="eastAsia"/>
          <w:sz w:val="28"/>
        </w:rPr>
        <w:t>月</w:t>
      </w:r>
      <w:r w:rsidR="00027FD9">
        <w:rPr>
          <w:rFonts w:hint="eastAsia"/>
          <w:sz w:val="28"/>
        </w:rPr>
        <w:t>7</w:t>
      </w:r>
      <w:r w:rsidR="00277593">
        <w:rPr>
          <w:rFonts w:ascii="Times New Roman" w:eastAsiaTheme="minorEastAsia" w:hAnsi="Times New Roman" w:cs="Times New Roman" w:hint="eastAsia"/>
          <w:sz w:val="28"/>
        </w:rPr>
        <w:t>日</w:t>
      </w:r>
    </w:p>
    <w:p w:rsidR="00583F83" w:rsidRDefault="00E22DB5" w:rsidP="00AB717A">
      <w:pPr>
        <w:spacing w:after="0" w:line="378" w:lineRule="auto"/>
        <w:ind w:left="1985" w:firstLine="0"/>
      </w:pPr>
      <w:r>
        <w:rPr>
          <w:sz w:val="28"/>
        </w:rPr>
        <w:t>清算报告公告日：</w:t>
      </w:r>
      <w:r w:rsidR="003D3DF6">
        <w:rPr>
          <w:rFonts w:ascii="Times New Roman" w:eastAsia="Times New Roman" w:hAnsi="Times New Roman" w:cs="Times New Roman"/>
          <w:sz w:val="28"/>
        </w:rPr>
        <w:t>2018</w:t>
      </w:r>
      <w:r>
        <w:rPr>
          <w:sz w:val="28"/>
        </w:rPr>
        <w:t>年</w:t>
      </w:r>
      <w:r w:rsidR="003D3DF6">
        <w:rPr>
          <w:rFonts w:ascii="Times New Roman" w:eastAsia="Times New Roman" w:hAnsi="Times New Roman" w:cs="Times New Roman"/>
          <w:sz w:val="28"/>
        </w:rPr>
        <w:t>11</w:t>
      </w:r>
      <w:r>
        <w:rPr>
          <w:sz w:val="28"/>
        </w:rPr>
        <w:t>月</w:t>
      </w:r>
      <w:r w:rsidR="003D3DF6">
        <w:rPr>
          <w:rFonts w:ascii="Times New Roman" w:eastAsia="Times New Roman" w:hAnsi="Times New Roman" w:cs="Times New Roman"/>
          <w:sz w:val="28"/>
        </w:rPr>
        <w:t>10</w:t>
      </w:r>
      <w:r>
        <w:rPr>
          <w:sz w:val="28"/>
        </w:rPr>
        <w:t>日</w:t>
      </w:r>
    </w:p>
    <w:p w:rsidR="009E2C1E" w:rsidRPr="007A2602" w:rsidRDefault="009E2C1E">
      <w:pPr>
        <w:pStyle w:val="2"/>
        <w:spacing w:after="364"/>
        <w:ind w:left="10" w:right="60"/>
      </w:pPr>
    </w:p>
    <w:p w:rsidR="00583F83" w:rsidRDefault="00E22DB5">
      <w:pPr>
        <w:pStyle w:val="2"/>
        <w:spacing w:after="364"/>
        <w:ind w:left="10" w:right="60"/>
      </w:pPr>
      <w:r>
        <w:t xml:space="preserve">目录 </w:t>
      </w:r>
    </w:p>
    <w:sdt>
      <w:sdtPr>
        <w:rPr>
          <w:rFonts w:ascii="宋体" w:eastAsia="宋体" w:hAnsi="宋体" w:cs="宋体"/>
          <w:sz w:val="24"/>
        </w:rPr>
        <w:id w:val="-635868030"/>
        <w:docPartObj>
          <w:docPartGallery w:val="Table of Contents"/>
        </w:docPartObj>
      </w:sdtPr>
      <w:sdtContent>
        <w:p w:rsidR="00296B31" w:rsidRDefault="00187C9D">
          <w:pPr>
            <w:pStyle w:val="10"/>
            <w:tabs>
              <w:tab w:val="right" w:leader="dot" w:pos="9103"/>
            </w:tabs>
            <w:rPr>
              <w:rFonts w:asciiTheme="minorHAnsi" w:eastAsiaTheme="minorEastAsia" w:hAnsiTheme="minorHAnsi" w:cstheme="minorBidi"/>
              <w:noProof/>
              <w:color w:val="auto"/>
            </w:rPr>
          </w:pPr>
          <w:r w:rsidRPr="00187C9D">
            <w:fldChar w:fldCharType="begin"/>
          </w:r>
          <w:r w:rsidR="00E22DB5">
            <w:instrText xml:space="preserve"> TOC \o "1-1" \h \z \u </w:instrText>
          </w:r>
          <w:r w:rsidRPr="00187C9D">
            <w:fldChar w:fldCharType="separate"/>
          </w:r>
          <w:hyperlink w:anchor="_Toc524096728" w:history="1">
            <w:r w:rsidR="00296B31" w:rsidRPr="005F12C6">
              <w:rPr>
                <w:rStyle w:val="a9"/>
                <w:rFonts w:ascii="宋体" w:eastAsia="宋体" w:hAnsi="宋体" w:cs="宋体" w:hint="eastAsia"/>
                <w:noProof/>
              </w:rPr>
              <w:t>重要提示</w:t>
            </w:r>
            <w:r w:rsidR="00296B31">
              <w:rPr>
                <w:noProof/>
                <w:webHidden/>
              </w:rPr>
              <w:tab/>
            </w:r>
            <w:r>
              <w:rPr>
                <w:noProof/>
                <w:webHidden/>
              </w:rPr>
              <w:fldChar w:fldCharType="begin"/>
            </w:r>
            <w:r w:rsidR="00296B31">
              <w:rPr>
                <w:noProof/>
                <w:webHidden/>
              </w:rPr>
              <w:instrText xml:space="preserve"> PAGEREF _Toc524096728 \h </w:instrText>
            </w:r>
            <w:r>
              <w:rPr>
                <w:noProof/>
                <w:webHidden/>
              </w:rPr>
            </w:r>
            <w:r>
              <w:rPr>
                <w:noProof/>
                <w:webHidden/>
              </w:rPr>
              <w:fldChar w:fldCharType="separate"/>
            </w:r>
            <w:r w:rsidR="00296B31">
              <w:rPr>
                <w:noProof/>
                <w:webHidden/>
              </w:rPr>
              <w:t>3</w:t>
            </w:r>
            <w:r>
              <w:rPr>
                <w:noProof/>
                <w:webHidden/>
              </w:rPr>
              <w:fldChar w:fldCharType="end"/>
            </w:r>
          </w:hyperlink>
        </w:p>
        <w:p w:rsidR="00296B31" w:rsidRDefault="00187C9D">
          <w:pPr>
            <w:pStyle w:val="10"/>
            <w:tabs>
              <w:tab w:val="left" w:pos="630"/>
              <w:tab w:val="right" w:leader="dot" w:pos="9103"/>
            </w:tabs>
            <w:rPr>
              <w:rFonts w:asciiTheme="minorHAnsi" w:eastAsiaTheme="minorEastAsia" w:hAnsiTheme="minorHAnsi" w:cstheme="minorBidi"/>
              <w:noProof/>
              <w:color w:val="auto"/>
            </w:rPr>
          </w:pPr>
          <w:hyperlink w:anchor="_Toc524096729" w:history="1">
            <w:r w:rsidR="00296B31" w:rsidRPr="005F12C6">
              <w:rPr>
                <w:rStyle w:val="a9"/>
                <w:rFonts w:ascii="宋体" w:eastAsia="宋体" w:hAnsi="宋体" w:cs="宋体" w:hint="eastAsia"/>
                <w:noProof/>
              </w:rPr>
              <w:t>一、</w:t>
            </w:r>
            <w:r w:rsidR="00296B31">
              <w:rPr>
                <w:rFonts w:asciiTheme="minorHAnsi" w:eastAsiaTheme="minorEastAsia" w:hAnsiTheme="minorHAnsi" w:cstheme="minorBidi"/>
                <w:noProof/>
                <w:color w:val="auto"/>
              </w:rPr>
              <w:tab/>
            </w:r>
            <w:r w:rsidR="00296B31" w:rsidRPr="005F12C6">
              <w:rPr>
                <w:rStyle w:val="a9"/>
                <w:rFonts w:ascii="宋体" w:eastAsia="宋体" w:hAnsi="宋体" w:cs="宋体" w:hint="eastAsia"/>
                <w:noProof/>
              </w:rPr>
              <w:t>基金概况</w:t>
            </w:r>
            <w:r w:rsidR="00296B31">
              <w:rPr>
                <w:noProof/>
                <w:webHidden/>
              </w:rPr>
              <w:tab/>
            </w:r>
            <w:r>
              <w:rPr>
                <w:noProof/>
                <w:webHidden/>
              </w:rPr>
              <w:fldChar w:fldCharType="begin"/>
            </w:r>
            <w:r w:rsidR="00296B31">
              <w:rPr>
                <w:noProof/>
                <w:webHidden/>
              </w:rPr>
              <w:instrText xml:space="preserve"> PAGEREF _Toc524096729 \h </w:instrText>
            </w:r>
            <w:r>
              <w:rPr>
                <w:noProof/>
                <w:webHidden/>
              </w:rPr>
            </w:r>
            <w:r>
              <w:rPr>
                <w:noProof/>
                <w:webHidden/>
              </w:rPr>
              <w:fldChar w:fldCharType="separate"/>
            </w:r>
            <w:r w:rsidR="00296B31">
              <w:rPr>
                <w:noProof/>
                <w:webHidden/>
              </w:rPr>
              <w:t>3</w:t>
            </w:r>
            <w:r>
              <w:rPr>
                <w:noProof/>
                <w:webHidden/>
              </w:rPr>
              <w:fldChar w:fldCharType="end"/>
            </w:r>
          </w:hyperlink>
        </w:p>
        <w:p w:rsidR="00296B31" w:rsidRDefault="00187C9D">
          <w:pPr>
            <w:pStyle w:val="10"/>
            <w:tabs>
              <w:tab w:val="right" w:leader="dot" w:pos="9103"/>
            </w:tabs>
            <w:rPr>
              <w:rFonts w:asciiTheme="minorHAnsi" w:eastAsiaTheme="minorEastAsia" w:hAnsiTheme="minorHAnsi" w:cstheme="minorBidi"/>
              <w:noProof/>
              <w:color w:val="auto"/>
            </w:rPr>
          </w:pPr>
          <w:hyperlink w:anchor="_Toc524096730" w:history="1">
            <w:r w:rsidR="00296B31" w:rsidRPr="005F12C6">
              <w:rPr>
                <w:rStyle w:val="a9"/>
                <w:rFonts w:ascii="宋体" w:eastAsia="宋体" w:hAnsi="宋体" w:cs="宋体" w:hint="eastAsia"/>
                <w:noProof/>
              </w:rPr>
              <w:t>二、基金运作情况</w:t>
            </w:r>
            <w:r w:rsidR="00296B31">
              <w:rPr>
                <w:noProof/>
                <w:webHidden/>
              </w:rPr>
              <w:tab/>
            </w:r>
            <w:r>
              <w:rPr>
                <w:noProof/>
                <w:webHidden/>
              </w:rPr>
              <w:fldChar w:fldCharType="begin"/>
            </w:r>
            <w:r w:rsidR="00296B31">
              <w:rPr>
                <w:noProof/>
                <w:webHidden/>
              </w:rPr>
              <w:instrText xml:space="preserve"> PAGEREF _Toc524096730 \h </w:instrText>
            </w:r>
            <w:r>
              <w:rPr>
                <w:noProof/>
                <w:webHidden/>
              </w:rPr>
            </w:r>
            <w:r>
              <w:rPr>
                <w:noProof/>
                <w:webHidden/>
              </w:rPr>
              <w:fldChar w:fldCharType="separate"/>
            </w:r>
            <w:r w:rsidR="00296B31">
              <w:rPr>
                <w:noProof/>
                <w:webHidden/>
              </w:rPr>
              <w:t>4</w:t>
            </w:r>
            <w:r>
              <w:rPr>
                <w:noProof/>
                <w:webHidden/>
              </w:rPr>
              <w:fldChar w:fldCharType="end"/>
            </w:r>
          </w:hyperlink>
        </w:p>
        <w:p w:rsidR="00296B31" w:rsidRDefault="00187C9D">
          <w:pPr>
            <w:pStyle w:val="10"/>
            <w:tabs>
              <w:tab w:val="right" w:leader="dot" w:pos="9103"/>
            </w:tabs>
            <w:rPr>
              <w:rFonts w:asciiTheme="minorHAnsi" w:eastAsiaTheme="minorEastAsia" w:hAnsiTheme="minorHAnsi" w:cstheme="minorBidi"/>
              <w:noProof/>
              <w:color w:val="auto"/>
            </w:rPr>
          </w:pPr>
          <w:hyperlink w:anchor="_Toc524096731" w:history="1">
            <w:r w:rsidR="00296B31" w:rsidRPr="005F12C6">
              <w:rPr>
                <w:rStyle w:val="a9"/>
                <w:rFonts w:ascii="宋体" w:eastAsia="宋体" w:hAnsi="宋体" w:cs="宋体" w:hint="eastAsia"/>
                <w:noProof/>
              </w:rPr>
              <w:t>三、财务会计报告</w:t>
            </w:r>
            <w:r w:rsidR="00296B31">
              <w:rPr>
                <w:noProof/>
                <w:webHidden/>
              </w:rPr>
              <w:tab/>
            </w:r>
            <w:r>
              <w:rPr>
                <w:noProof/>
                <w:webHidden/>
              </w:rPr>
              <w:fldChar w:fldCharType="begin"/>
            </w:r>
            <w:r w:rsidR="00296B31">
              <w:rPr>
                <w:noProof/>
                <w:webHidden/>
              </w:rPr>
              <w:instrText xml:space="preserve"> PAGEREF _Toc524096731 \h </w:instrText>
            </w:r>
            <w:r>
              <w:rPr>
                <w:noProof/>
                <w:webHidden/>
              </w:rPr>
            </w:r>
            <w:r>
              <w:rPr>
                <w:noProof/>
                <w:webHidden/>
              </w:rPr>
              <w:fldChar w:fldCharType="separate"/>
            </w:r>
            <w:r w:rsidR="00296B31">
              <w:rPr>
                <w:noProof/>
                <w:webHidden/>
              </w:rPr>
              <w:t>5</w:t>
            </w:r>
            <w:r>
              <w:rPr>
                <w:noProof/>
                <w:webHidden/>
              </w:rPr>
              <w:fldChar w:fldCharType="end"/>
            </w:r>
          </w:hyperlink>
        </w:p>
        <w:p w:rsidR="00296B31" w:rsidRDefault="00187C9D">
          <w:pPr>
            <w:pStyle w:val="10"/>
            <w:tabs>
              <w:tab w:val="right" w:leader="dot" w:pos="9103"/>
            </w:tabs>
            <w:rPr>
              <w:rFonts w:asciiTheme="minorHAnsi" w:eastAsiaTheme="minorEastAsia" w:hAnsiTheme="minorHAnsi" w:cstheme="minorBidi"/>
              <w:noProof/>
              <w:color w:val="auto"/>
            </w:rPr>
          </w:pPr>
          <w:hyperlink w:anchor="_Toc524096732" w:history="1">
            <w:r w:rsidR="00296B31" w:rsidRPr="005F12C6">
              <w:rPr>
                <w:rStyle w:val="a9"/>
                <w:rFonts w:ascii="宋体" w:eastAsia="宋体" w:hAnsi="宋体" w:cs="宋体" w:hint="eastAsia"/>
                <w:noProof/>
              </w:rPr>
              <w:t>四、清算情况</w:t>
            </w:r>
            <w:r w:rsidR="00296B31">
              <w:rPr>
                <w:noProof/>
                <w:webHidden/>
              </w:rPr>
              <w:tab/>
            </w:r>
            <w:r>
              <w:rPr>
                <w:noProof/>
                <w:webHidden/>
              </w:rPr>
              <w:fldChar w:fldCharType="begin"/>
            </w:r>
            <w:r w:rsidR="00296B31">
              <w:rPr>
                <w:noProof/>
                <w:webHidden/>
              </w:rPr>
              <w:instrText xml:space="preserve"> PAGEREF _Toc524096732 \h </w:instrText>
            </w:r>
            <w:r>
              <w:rPr>
                <w:noProof/>
                <w:webHidden/>
              </w:rPr>
            </w:r>
            <w:r>
              <w:rPr>
                <w:noProof/>
                <w:webHidden/>
              </w:rPr>
              <w:fldChar w:fldCharType="separate"/>
            </w:r>
            <w:r w:rsidR="00296B31">
              <w:rPr>
                <w:noProof/>
                <w:webHidden/>
              </w:rPr>
              <w:t>5</w:t>
            </w:r>
            <w:r>
              <w:rPr>
                <w:noProof/>
                <w:webHidden/>
              </w:rPr>
              <w:fldChar w:fldCharType="end"/>
            </w:r>
          </w:hyperlink>
        </w:p>
        <w:p w:rsidR="00296B31" w:rsidRDefault="00187C9D">
          <w:pPr>
            <w:pStyle w:val="10"/>
            <w:tabs>
              <w:tab w:val="right" w:leader="dot" w:pos="9103"/>
            </w:tabs>
            <w:rPr>
              <w:rFonts w:asciiTheme="minorHAnsi" w:eastAsiaTheme="minorEastAsia" w:hAnsiTheme="minorHAnsi" w:cstheme="minorBidi"/>
              <w:noProof/>
              <w:color w:val="auto"/>
            </w:rPr>
          </w:pPr>
          <w:hyperlink w:anchor="_Toc524096733" w:history="1">
            <w:r w:rsidR="00296B31" w:rsidRPr="005F12C6">
              <w:rPr>
                <w:rStyle w:val="a9"/>
                <w:rFonts w:ascii="宋体" w:eastAsia="宋体" w:hAnsi="宋体" w:cs="宋体" w:hint="eastAsia"/>
                <w:noProof/>
              </w:rPr>
              <w:t>五、备查文件</w:t>
            </w:r>
            <w:r w:rsidR="00296B31">
              <w:rPr>
                <w:noProof/>
                <w:webHidden/>
              </w:rPr>
              <w:tab/>
            </w:r>
            <w:r>
              <w:rPr>
                <w:noProof/>
                <w:webHidden/>
              </w:rPr>
              <w:fldChar w:fldCharType="begin"/>
            </w:r>
            <w:r w:rsidR="00296B31">
              <w:rPr>
                <w:noProof/>
                <w:webHidden/>
              </w:rPr>
              <w:instrText xml:space="preserve"> PAGEREF _Toc524096733 \h </w:instrText>
            </w:r>
            <w:r>
              <w:rPr>
                <w:noProof/>
                <w:webHidden/>
              </w:rPr>
            </w:r>
            <w:r>
              <w:rPr>
                <w:noProof/>
                <w:webHidden/>
              </w:rPr>
              <w:fldChar w:fldCharType="separate"/>
            </w:r>
            <w:r w:rsidR="00296B31">
              <w:rPr>
                <w:noProof/>
                <w:webHidden/>
              </w:rPr>
              <w:t>8</w:t>
            </w:r>
            <w:r>
              <w:rPr>
                <w:noProof/>
                <w:webHidden/>
              </w:rPr>
              <w:fldChar w:fldCharType="end"/>
            </w:r>
          </w:hyperlink>
        </w:p>
        <w:p w:rsidR="00583F83" w:rsidRDefault="00187C9D">
          <w:r>
            <w:fldChar w:fldCharType="end"/>
          </w:r>
        </w:p>
      </w:sdtContent>
    </w:sdt>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583F83">
      <w:pPr>
        <w:spacing w:after="0"/>
        <w:ind w:left="0" w:firstLine="0"/>
      </w:pPr>
    </w:p>
    <w:p w:rsidR="00583F83" w:rsidRDefault="00E22DB5">
      <w:pPr>
        <w:spacing w:after="0"/>
        <w:ind w:left="0" w:firstLine="0"/>
      </w:pPr>
      <w:r>
        <w:br w:type="page"/>
      </w:r>
    </w:p>
    <w:p w:rsidR="00423792" w:rsidRDefault="00423792" w:rsidP="00423792">
      <w:pPr>
        <w:pStyle w:val="1"/>
        <w:spacing w:after="434"/>
        <w:ind w:left="10" w:right="62"/>
        <w:rPr>
          <w:rFonts w:ascii="Times New Roman" w:eastAsiaTheme="minorEastAsia" w:hAnsi="Times New Roman" w:cs="Times New Roman"/>
          <w:b/>
        </w:rPr>
      </w:pPr>
      <w:bookmarkStart w:id="0" w:name="_Toc524096728"/>
      <w:r>
        <w:lastRenderedPageBreak/>
        <w:t>重要提示</w:t>
      </w:r>
      <w:bookmarkEnd w:id="0"/>
    </w:p>
    <w:p w:rsidR="00423792" w:rsidRPr="003F0DB1" w:rsidRDefault="00423792" w:rsidP="00E12E94">
      <w:pPr>
        <w:spacing w:after="30" w:line="391" w:lineRule="auto"/>
        <w:ind w:left="-142" w:firstLine="480"/>
        <w:rPr>
          <w:szCs w:val="24"/>
        </w:rPr>
      </w:pPr>
      <w:r w:rsidRPr="00AD0BB6">
        <w:rPr>
          <w:rFonts w:hint="eastAsia"/>
          <w:szCs w:val="24"/>
        </w:rPr>
        <w:t>泰达宏利信用合利定期开放债券型证券投资基金</w:t>
      </w:r>
      <w:r w:rsidRPr="00AD0BB6">
        <w:rPr>
          <w:szCs w:val="24"/>
        </w:rPr>
        <w:t>(以下简称“本基金”)经中国证券监督管理委员会(以下简称“中国证监会”)证监许可[2012]1607号予以</w:t>
      </w:r>
      <w:r w:rsidR="00656F34" w:rsidRPr="003F0DB1">
        <w:rPr>
          <w:rFonts w:hint="eastAsia"/>
          <w:szCs w:val="24"/>
        </w:rPr>
        <w:t>核准</w:t>
      </w:r>
      <w:r w:rsidRPr="003F0DB1">
        <w:rPr>
          <w:szCs w:val="24"/>
        </w:rPr>
        <w:t>，于2013年3月19日成立并正式运作。</w:t>
      </w:r>
    </w:p>
    <w:p w:rsidR="00423792" w:rsidRPr="003F0DB1" w:rsidRDefault="00423792" w:rsidP="00E12E94">
      <w:pPr>
        <w:spacing w:after="30" w:line="391" w:lineRule="auto"/>
        <w:ind w:left="-142" w:firstLine="480"/>
        <w:rPr>
          <w:szCs w:val="24"/>
        </w:rPr>
      </w:pPr>
      <w:r w:rsidRPr="003F0DB1">
        <w:rPr>
          <w:szCs w:val="24"/>
        </w:rPr>
        <w:t>根据《中华人民共和国证券投资基金法》、《公开募集证券投资基金运作管理办法》 和《</w:t>
      </w:r>
      <w:r w:rsidRPr="003F0DB1">
        <w:rPr>
          <w:rFonts w:hint="eastAsia"/>
          <w:szCs w:val="24"/>
        </w:rPr>
        <w:t>泰达宏利信用合利定期开放债券型证券投资基金</w:t>
      </w:r>
      <w:r w:rsidRPr="003F0DB1">
        <w:rPr>
          <w:szCs w:val="24"/>
        </w:rPr>
        <w:t>基金合同》（以下简称“基金合同”）</w:t>
      </w:r>
      <w:r w:rsidRPr="003F0DB1">
        <w:rPr>
          <w:rFonts w:hint="eastAsia"/>
          <w:szCs w:val="24"/>
        </w:rPr>
        <w:t>第五部分“基金的备案”</w:t>
      </w:r>
      <w:r w:rsidRPr="003F0DB1">
        <w:rPr>
          <w:szCs w:val="24"/>
        </w:rPr>
        <w:t>等有关规定</w:t>
      </w:r>
      <w:r w:rsidRPr="003F0DB1">
        <w:rPr>
          <w:rFonts w:hint="eastAsia"/>
          <w:szCs w:val="24"/>
        </w:rPr>
        <w:t>：“若在开放期最后一日本基金的份额持有人数量不满</w:t>
      </w:r>
      <w:r w:rsidRPr="003F0DB1">
        <w:rPr>
          <w:szCs w:val="24"/>
        </w:rPr>
        <w:t>200人，或者基金资产净值加上当日申购和基金转换中转入的基金份额对应的资产净值减去当日赎回和基金转换中转出的基金份额对应的资产净值低于5000万元，基金合同将于次日终止并根据基金合同第二十四部分的约定进行基金财产清算。</w:t>
      </w:r>
      <w:r w:rsidRPr="003F0DB1">
        <w:rPr>
          <w:rFonts w:hint="eastAsia"/>
          <w:szCs w:val="24"/>
        </w:rPr>
        <w:t>”</w:t>
      </w:r>
    </w:p>
    <w:p w:rsidR="00423792" w:rsidRPr="003F0DB1" w:rsidRDefault="00423792" w:rsidP="00E12E94">
      <w:pPr>
        <w:spacing w:after="30" w:line="391" w:lineRule="auto"/>
        <w:ind w:left="-142" w:firstLine="480"/>
        <w:rPr>
          <w:szCs w:val="24"/>
        </w:rPr>
      </w:pPr>
      <w:r w:rsidRPr="003F0DB1">
        <w:rPr>
          <w:szCs w:val="24"/>
        </w:rPr>
        <w:t>本基金最近一个开放期为2018年7月13日起至2018年8月9日止</w:t>
      </w:r>
      <w:r w:rsidRPr="003F0DB1">
        <w:rPr>
          <w:rFonts w:hint="eastAsia"/>
          <w:szCs w:val="24"/>
        </w:rPr>
        <w:t>，</w:t>
      </w:r>
      <w:r w:rsidRPr="003F0DB1">
        <w:rPr>
          <w:szCs w:val="24"/>
        </w:rPr>
        <w:t>截至开放期最后一日日终</w:t>
      </w:r>
      <w:r w:rsidRPr="003F0DB1">
        <w:rPr>
          <w:rFonts w:hint="eastAsia"/>
          <w:szCs w:val="24"/>
        </w:rPr>
        <w:t>，本基金</w:t>
      </w:r>
      <w:r w:rsidRPr="003F0DB1">
        <w:rPr>
          <w:szCs w:val="24"/>
        </w:rPr>
        <w:t>的资产净值低于5000</w:t>
      </w:r>
      <w:r w:rsidRPr="003F0DB1">
        <w:rPr>
          <w:rFonts w:hint="eastAsia"/>
          <w:szCs w:val="24"/>
        </w:rPr>
        <w:t>万</w:t>
      </w:r>
      <w:r w:rsidRPr="003F0DB1">
        <w:rPr>
          <w:szCs w:val="24"/>
        </w:rPr>
        <w:t>元，触发上述基金合同终止情形，基金合同自动终止</w:t>
      </w:r>
      <w:r w:rsidRPr="003F0DB1">
        <w:rPr>
          <w:rFonts w:hint="eastAsia"/>
          <w:szCs w:val="24"/>
        </w:rPr>
        <w:t>。</w:t>
      </w:r>
    </w:p>
    <w:p w:rsidR="00423792" w:rsidRPr="003F0DB1" w:rsidRDefault="00423792" w:rsidP="00E12E94">
      <w:pPr>
        <w:spacing w:after="30" w:line="391" w:lineRule="auto"/>
        <w:ind w:left="0" w:firstLine="480"/>
        <w:rPr>
          <w:szCs w:val="24"/>
        </w:rPr>
      </w:pPr>
      <w:r w:rsidRPr="003F0DB1">
        <w:rPr>
          <w:szCs w:val="24"/>
        </w:rPr>
        <w:t>本基金于2018年8月10日起进入清算期，由基金管理人</w:t>
      </w:r>
      <w:r w:rsidRPr="003F0DB1">
        <w:rPr>
          <w:rFonts w:hint="eastAsia"/>
          <w:szCs w:val="24"/>
        </w:rPr>
        <w:t>泰达宏利</w:t>
      </w:r>
      <w:r w:rsidRPr="003F0DB1">
        <w:rPr>
          <w:szCs w:val="24"/>
        </w:rPr>
        <w:t>基金管理有限公司、基金托管人</w:t>
      </w:r>
      <w:r w:rsidRPr="003F0DB1">
        <w:rPr>
          <w:rFonts w:hint="eastAsia"/>
          <w:szCs w:val="24"/>
        </w:rPr>
        <w:t>中国</w:t>
      </w:r>
      <w:r w:rsidRPr="003F0DB1">
        <w:rPr>
          <w:szCs w:val="24"/>
        </w:rPr>
        <w:t>银行股份有限公司、普华永道中天会计师事务所（特殊普通合伙）和上海市通力律师事务所组成基金财产清算小组履行基金财产清算程序，并由普华永道中天会计师事务所（特殊普通合伙）对清算报告进行审计，上海市通力律师事务所对清算报告出具法律意见。</w:t>
      </w:r>
    </w:p>
    <w:p w:rsidR="00423792" w:rsidRPr="003F0DB1" w:rsidRDefault="00423792" w:rsidP="00423792">
      <w:pPr>
        <w:ind w:left="0" w:firstLine="0"/>
        <w:rPr>
          <w:szCs w:val="24"/>
        </w:rPr>
      </w:pPr>
    </w:p>
    <w:p w:rsidR="00423792" w:rsidRPr="003F0DB1" w:rsidRDefault="00423792" w:rsidP="00423792">
      <w:pPr>
        <w:rPr>
          <w:szCs w:val="24"/>
        </w:rPr>
      </w:pPr>
    </w:p>
    <w:p w:rsidR="00423792" w:rsidRPr="003F0DB1" w:rsidRDefault="00423792" w:rsidP="00423792">
      <w:pPr>
        <w:pStyle w:val="1"/>
        <w:numPr>
          <w:ilvl w:val="0"/>
          <w:numId w:val="9"/>
        </w:numPr>
        <w:spacing w:after="116"/>
        <w:ind w:right="62"/>
        <w:rPr>
          <w:rFonts w:ascii="Times New Roman" w:eastAsia="Times New Roman" w:hAnsi="Times New Roman" w:cs="Times New Roman"/>
          <w:b/>
          <w:sz w:val="24"/>
          <w:szCs w:val="24"/>
        </w:rPr>
      </w:pPr>
      <w:bookmarkStart w:id="1" w:name="_Toc524096729"/>
      <w:r w:rsidRPr="003F0DB1">
        <w:rPr>
          <w:sz w:val="24"/>
          <w:szCs w:val="24"/>
        </w:rPr>
        <w:t>基金概况</w:t>
      </w:r>
      <w:bookmarkEnd w:id="1"/>
    </w:p>
    <w:p w:rsidR="00423792" w:rsidRPr="003F0DB1" w:rsidRDefault="00423792" w:rsidP="00423792">
      <w:pPr>
        <w:rPr>
          <w:szCs w:val="24"/>
        </w:rPr>
      </w:pPr>
    </w:p>
    <w:tbl>
      <w:tblPr>
        <w:tblStyle w:val="a5"/>
        <w:tblW w:w="9454" w:type="dxa"/>
        <w:tblInd w:w="10" w:type="dxa"/>
        <w:tblLook w:val="04A0"/>
      </w:tblPr>
      <w:tblGrid>
        <w:gridCol w:w="3075"/>
        <w:gridCol w:w="6379"/>
      </w:tblGrid>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基金名称</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szCs w:val="24"/>
              </w:rPr>
              <w:t>泰达宏利信用合利定期开放债券型证券投资基金</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基金简称</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szCs w:val="24"/>
              </w:rPr>
              <w:t>泰达信用合利债券</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基金主代码</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szCs w:val="24"/>
              </w:rPr>
              <w:t>000026</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基金运作方式</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szCs w:val="24"/>
              </w:rPr>
              <w:t>契约型开放式</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基金合同生效日</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szCs w:val="24"/>
              </w:rPr>
              <w:t>2013 年 3 月 19 日</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基金管理人</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szCs w:val="24"/>
              </w:rPr>
              <w:t>泰达宏利基金管理有限公司</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基金托管人</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szCs w:val="24"/>
              </w:rPr>
              <w:t>中国银行股份有限公司</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最后运作日</w:t>
            </w:r>
          </w:p>
        </w:tc>
        <w:tc>
          <w:tcPr>
            <w:tcW w:w="6379" w:type="dxa"/>
            <w:vAlign w:val="center"/>
          </w:tcPr>
          <w:p w:rsidR="00423792" w:rsidRPr="003F0DB1" w:rsidRDefault="00423792" w:rsidP="00726E81">
            <w:pPr>
              <w:ind w:left="0" w:firstLine="0"/>
              <w:rPr>
                <w:rFonts w:hAnsi="Times New Roman"/>
                <w:color w:val="auto"/>
                <w:kern w:val="0"/>
                <w:szCs w:val="24"/>
              </w:rPr>
            </w:pPr>
            <w:r w:rsidRPr="00AD0BB6">
              <w:rPr>
                <w:szCs w:val="24"/>
              </w:rPr>
              <w:t>2018年8月9日</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 xml:space="preserve">最后运作日基金份额总额  </w:t>
            </w:r>
          </w:p>
        </w:tc>
        <w:tc>
          <w:tcPr>
            <w:tcW w:w="6379" w:type="dxa"/>
            <w:vAlign w:val="center"/>
          </w:tcPr>
          <w:p w:rsidR="00423792" w:rsidRPr="003F0DB1" w:rsidRDefault="00B323A7" w:rsidP="00726E81">
            <w:pPr>
              <w:ind w:left="0" w:firstLine="0"/>
              <w:rPr>
                <w:rFonts w:hAnsi="Times New Roman"/>
                <w:color w:val="auto"/>
                <w:kern w:val="0"/>
                <w:szCs w:val="24"/>
                <w:highlight w:val="yellow"/>
              </w:rPr>
            </w:pPr>
            <w:r w:rsidRPr="003F0DB1">
              <w:rPr>
                <w:rFonts w:hAnsi="Times New Roman"/>
                <w:color w:val="auto"/>
                <w:kern w:val="0"/>
                <w:szCs w:val="24"/>
              </w:rPr>
              <w:t>8,991,077.49</w:t>
            </w:r>
            <w:r w:rsidR="00FC1D38" w:rsidRPr="003F0DB1">
              <w:rPr>
                <w:rFonts w:hAnsi="Times New Roman" w:hint="eastAsia"/>
                <w:color w:val="auto"/>
                <w:kern w:val="0"/>
                <w:szCs w:val="24"/>
              </w:rPr>
              <w:t>份</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lastRenderedPageBreak/>
              <w:t>投资目标</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szCs w:val="24"/>
              </w:rPr>
              <w:t>在追求基金资产安全的前提下，力争创造高于业绩比较基准的投资收益</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投资策略</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rFonts w:hAnsi="Times New Roman" w:hint="eastAsia"/>
                <w:color w:val="auto"/>
                <w:kern w:val="0"/>
                <w:szCs w:val="24"/>
              </w:rPr>
              <w:t>封闭期内，本基金的固定收益类资产投资将主要采取信用策略，同时辅之以目标久期调整策略、收益率曲线策略、信用利差配置策略等，并且对于可转债、资产支持证券等特殊债券品种将采用针对性投资策略；开放期内，本基金为保持较高的组合流动性，方便投资人安排投资，在遵守本基金有关投资限制与投资比例的前提下，将主要投资于高流动性的投资品种，减小基金净值的波动。</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业绩比较基准</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szCs w:val="24"/>
              </w:rPr>
              <w:t>人民银行一年期银行定期存款基准利率税后收益率*1.2</w:t>
            </w:r>
          </w:p>
        </w:tc>
      </w:tr>
      <w:tr w:rsidR="00423792" w:rsidRPr="00AD0BB6" w:rsidTr="00726E81">
        <w:tc>
          <w:tcPr>
            <w:tcW w:w="3075" w:type="dxa"/>
            <w:vAlign w:val="center"/>
          </w:tcPr>
          <w:p w:rsidR="00423792" w:rsidRPr="003F0DB1" w:rsidRDefault="00423792" w:rsidP="00726E81">
            <w:pPr>
              <w:ind w:left="0" w:firstLine="0"/>
              <w:jc w:val="both"/>
              <w:rPr>
                <w:rFonts w:hAnsi="Times New Roman"/>
                <w:color w:val="auto"/>
                <w:kern w:val="0"/>
                <w:szCs w:val="24"/>
              </w:rPr>
            </w:pPr>
            <w:r w:rsidRPr="003F0DB1">
              <w:rPr>
                <w:rFonts w:hAnsi="Times New Roman" w:hint="eastAsia"/>
                <w:color w:val="auto"/>
                <w:kern w:val="0"/>
                <w:szCs w:val="24"/>
              </w:rPr>
              <w:t>风险收益特征</w:t>
            </w:r>
          </w:p>
        </w:tc>
        <w:tc>
          <w:tcPr>
            <w:tcW w:w="6379" w:type="dxa"/>
            <w:vAlign w:val="center"/>
          </w:tcPr>
          <w:p w:rsidR="00423792" w:rsidRPr="003F0DB1" w:rsidRDefault="00423792" w:rsidP="00726E81">
            <w:pPr>
              <w:ind w:left="0" w:firstLine="0"/>
              <w:rPr>
                <w:rFonts w:hAnsi="Times New Roman"/>
                <w:color w:val="auto"/>
                <w:kern w:val="0"/>
                <w:szCs w:val="24"/>
              </w:rPr>
            </w:pPr>
            <w:r w:rsidRPr="003F0DB1">
              <w:rPr>
                <w:szCs w:val="24"/>
              </w:rPr>
              <w:t>本基金为纯债基金，属于证券市场中的较低风险品种，预期收益和预期风险高于货币市场基金，低于混合型基金和股票型基金。</w:t>
            </w:r>
          </w:p>
        </w:tc>
      </w:tr>
    </w:tbl>
    <w:p w:rsidR="00423792" w:rsidRDefault="00423792" w:rsidP="00423792"/>
    <w:p w:rsidR="00423792" w:rsidRPr="00C067CB" w:rsidRDefault="00423792" w:rsidP="00423792"/>
    <w:p w:rsidR="00423792" w:rsidRDefault="00423792" w:rsidP="00423792">
      <w:pPr>
        <w:pStyle w:val="1"/>
        <w:ind w:left="10" w:right="62"/>
      </w:pPr>
      <w:bookmarkStart w:id="2" w:name="_Toc524096730"/>
      <w:r>
        <w:t>二、基金运作情况</w:t>
      </w:r>
      <w:bookmarkEnd w:id="2"/>
    </w:p>
    <w:p w:rsidR="00423792" w:rsidRPr="003F0DB1" w:rsidRDefault="00423792" w:rsidP="00E12E94">
      <w:pPr>
        <w:spacing w:after="30" w:line="391" w:lineRule="auto"/>
        <w:ind w:left="0" w:firstLine="480"/>
        <w:jc w:val="both"/>
        <w:rPr>
          <w:szCs w:val="24"/>
        </w:rPr>
      </w:pPr>
      <w:r w:rsidRPr="003F0DB1">
        <w:rPr>
          <w:szCs w:val="24"/>
        </w:rPr>
        <w:t>本基金经中国证监会证监许可[2012] 1607号《关于</w:t>
      </w:r>
      <w:r w:rsidRPr="003F0DB1">
        <w:rPr>
          <w:rFonts w:hint="eastAsia"/>
          <w:szCs w:val="24"/>
        </w:rPr>
        <w:t>核</w:t>
      </w:r>
      <w:r w:rsidRPr="003F0DB1">
        <w:rPr>
          <w:szCs w:val="24"/>
        </w:rPr>
        <w:t>准泰达宏利信用合利定期开放债券型证券投资基金</w:t>
      </w:r>
      <w:r w:rsidRPr="003F0DB1">
        <w:rPr>
          <w:rFonts w:hint="eastAsia"/>
          <w:szCs w:val="24"/>
        </w:rPr>
        <w:t>募集</w:t>
      </w:r>
      <w:r w:rsidRPr="003F0DB1">
        <w:rPr>
          <w:szCs w:val="24"/>
        </w:rPr>
        <w:t>的批复》</w:t>
      </w:r>
      <w:r w:rsidRPr="003F0DB1">
        <w:rPr>
          <w:rFonts w:hint="eastAsia"/>
          <w:szCs w:val="24"/>
        </w:rPr>
        <w:t>核准，</w:t>
      </w:r>
      <w:r w:rsidRPr="003F0DB1">
        <w:rPr>
          <w:szCs w:val="24"/>
        </w:rPr>
        <w:t>由</w:t>
      </w:r>
      <w:r w:rsidRPr="003F0DB1">
        <w:rPr>
          <w:rFonts w:hint="eastAsia"/>
          <w:szCs w:val="24"/>
        </w:rPr>
        <w:t>泰达宏利</w:t>
      </w:r>
      <w:r w:rsidRPr="003F0DB1">
        <w:rPr>
          <w:szCs w:val="24"/>
        </w:rPr>
        <w:t>基金管理有限公司自2013年2月25日至2013年3月15日止向社会公开发行募集，基金合同于2013年3月19日正式生效，募集规模为4,362,552,082.48份基金份额。自2013年3月19日至2018年8月9日期间，本基金按基金合同正常运作。根据《中华人民共和国证券投资基金法》、《公开募集证券投资基金运作管理办法》 和《泰达宏利信用合利定期开放债券型证券投资基金基金合同》</w:t>
      </w:r>
      <w:r w:rsidRPr="003F0DB1">
        <w:rPr>
          <w:rFonts w:hint="eastAsia"/>
          <w:szCs w:val="24"/>
        </w:rPr>
        <w:t>第五部分“基金的备案”</w:t>
      </w:r>
      <w:r w:rsidRPr="003F0DB1">
        <w:rPr>
          <w:szCs w:val="24"/>
        </w:rPr>
        <w:t>等有关规定</w:t>
      </w:r>
      <w:r w:rsidRPr="003F0DB1">
        <w:rPr>
          <w:rFonts w:hint="eastAsia"/>
          <w:szCs w:val="24"/>
        </w:rPr>
        <w:t>，“若在开放期最后一日本基金的份额持有人数量不满</w:t>
      </w:r>
      <w:r w:rsidRPr="003F0DB1">
        <w:rPr>
          <w:szCs w:val="24"/>
        </w:rPr>
        <w:t>200人，或者基金资产净值加上当日申购和基金转换中转入的基金份额对应的资产净值减去当日赎回和基金转换中转出的基金份额对应的资产净值低于5000万元，基金合</w:t>
      </w:r>
      <w:r w:rsidR="003F0DB1">
        <w:rPr>
          <w:szCs w:val="24"/>
        </w:rPr>
        <w:t>同将于次日终止并根据基金合同第二十四部分的约定进行基金财产清算</w:t>
      </w:r>
      <w:r w:rsidR="003F0DB1">
        <w:rPr>
          <w:rFonts w:hint="eastAsia"/>
          <w:szCs w:val="24"/>
        </w:rPr>
        <w:t>。</w:t>
      </w:r>
      <w:r w:rsidRPr="003F0DB1">
        <w:rPr>
          <w:rFonts w:hint="eastAsia"/>
          <w:szCs w:val="24"/>
        </w:rPr>
        <w:t>”</w:t>
      </w:r>
      <w:r w:rsidRPr="003F0DB1">
        <w:rPr>
          <w:szCs w:val="24"/>
        </w:rPr>
        <w:t>本基金的最近的一个开放期为2018年7月13日起至2018年8月9日，</w:t>
      </w:r>
      <w:r w:rsidRPr="003F0DB1">
        <w:rPr>
          <w:rFonts w:hint="eastAsia"/>
          <w:szCs w:val="24"/>
        </w:rPr>
        <w:t>截至</w:t>
      </w:r>
      <w:r w:rsidRPr="003F0DB1">
        <w:rPr>
          <w:szCs w:val="24"/>
        </w:rPr>
        <w:t>开放期最后一日日终的资产净值为</w:t>
      </w:r>
      <w:r w:rsidR="002D3725" w:rsidRPr="003F0DB1">
        <w:rPr>
          <w:szCs w:val="24"/>
        </w:rPr>
        <w:t>8</w:t>
      </w:r>
      <w:r w:rsidR="00B551EE" w:rsidRPr="003F0DB1">
        <w:rPr>
          <w:szCs w:val="24"/>
        </w:rPr>
        <w:t>,</w:t>
      </w:r>
      <w:r w:rsidR="002D3725" w:rsidRPr="003F0DB1">
        <w:rPr>
          <w:szCs w:val="24"/>
        </w:rPr>
        <w:t>761</w:t>
      </w:r>
      <w:r w:rsidR="00B551EE" w:rsidRPr="003F0DB1">
        <w:rPr>
          <w:szCs w:val="24"/>
        </w:rPr>
        <w:t>,</w:t>
      </w:r>
      <w:r w:rsidR="002D3725" w:rsidRPr="003F0DB1">
        <w:rPr>
          <w:szCs w:val="24"/>
        </w:rPr>
        <w:t>245.04</w:t>
      </w:r>
      <w:r w:rsidRPr="003F0DB1">
        <w:rPr>
          <w:szCs w:val="24"/>
        </w:rPr>
        <w:t>元，低于5000</w:t>
      </w:r>
      <w:r w:rsidRPr="003F0DB1">
        <w:rPr>
          <w:rFonts w:hint="eastAsia"/>
          <w:szCs w:val="24"/>
        </w:rPr>
        <w:t>万</w:t>
      </w:r>
      <w:r w:rsidRPr="003F0DB1">
        <w:rPr>
          <w:szCs w:val="24"/>
        </w:rPr>
        <w:t>元</w:t>
      </w:r>
      <w:r w:rsidRPr="003F0DB1">
        <w:rPr>
          <w:rFonts w:hint="eastAsia"/>
          <w:szCs w:val="24"/>
        </w:rPr>
        <w:t>。</w:t>
      </w:r>
    </w:p>
    <w:p w:rsidR="00423792" w:rsidRPr="003F0DB1" w:rsidRDefault="00423792" w:rsidP="00E12E94">
      <w:pPr>
        <w:spacing w:after="30" w:line="391" w:lineRule="auto"/>
        <w:ind w:left="0" w:firstLine="480"/>
        <w:jc w:val="both"/>
        <w:rPr>
          <w:szCs w:val="24"/>
        </w:rPr>
      </w:pPr>
      <w:r w:rsidRPr="003F0DB1">
        <w:rPr>
          <w:rFonts w:hint="eastAsia"/>
          <w:szCs w:val="24"/>
        </w:rPr>
        <w:t>为更好维护基金份额持有人的利益，按照《中华人民共和国证券投资基金法》、《公开募集证券投资基金运作管理办法》和《</w:t>
      </w:r>
      <w:r w:rsidRPr="003F0DB1">
        <w:rPr>
          <w:szCs w:val="24"/>
        </w:rPr>
        <w:t>泰达宏利信用合利定期开放债券型证券投资基金</w:t>
      </w:r>
      <w:r w:rsidRPr="003F0DB1">
        <w:rPr>
          <w:rFonts w:hint="eastAsia"/>
          <w:szCs w:val="24"/>
        </w:rPr>
        <w:t>基金合同》的有关规定</w:t>
      </w:r>
      <w:r w:rsidRPr="003F0DB1">
        <w:rPr>
          <w:szCs w:val="24"/>
        </w:rPr>
        <w:t>终止</w:t>
      </w:r>
      <w:r w:rsidRPr="003F0DB1">
        <w:rPr>
          <w:rFonts w:hint="eastAsia"/>
          <w:szCs w:val="24"/>
        </w:rPr>
        <w:t>本基金《</w:t>
      </w:r>
      <w:r w:rsidRPr="003F0DB1">
        <w:rPr>
          <w:szCs w:val="24"/>
        </w:rPr>
        <w:t>基金合同</w:t>
      </w:r>
      <w:r w:rsidRPr="003F0DB1">
        <w:rPr>
          <w:rFonts w:hint="eastAsia"/>
          <w:szCs w:val="24"/>
        </w:rPr>
        <w:t>》并</w:t>
      </w:r>
      <w:r w:rsidRPr="003F0DB1">
        <w:rPr>
          <w:szCs w:val="24"/>
        </w:rPr>
        <w:t>进行基金财产清算</w:t>
      </w:r>
      <w:r w:rsidRPr="003F0DB1">
        <w:rPr>
          <w:rFonts w:hint="eastAsia"/>
          <w:szCs w:val="24"/>
        </w:rPr>
        <w:t>。本基金自</w:t>
      </w:r>
      <w:r w:rsidRPr="003F0DB1">
        <w:rPr>
          <w:szCs w:val="24"/>
        </w:rPr>
        <w:t>2018年8月10</w:t>
      </w:r>
      <w:r w:rsidRPr="003F0DB1">
        <w:rPr>
          <w:rFonts w:hint="eastAsia"/>
          <w:szCs w:val="24"/>
        </w:rPr>
        <w:t>日起进入清算期。</w:t>
      </w:r>
    </w:p>
    <w:p w:rsidR="00081CD4" w:rsidRPr="00423792" w:rsidRDefault="00081CD4" w:rsidP="00081CD4">
      <w:pPr>
        <w:spacing w:after="131"/>
        <w:ind w:left="-5"/>
      </w:pPr>
    </w:p>
    <w:p w:rsidR="00583F83" w:rsidRDefault="00E22DB5">
      <w:pPr>
        <w:pStyle w:val="1"/>
        <w:spacing w:after="435"/>
        <w:ind w:left="10" w:right="62"/>
      </w:pPr>
      <w:bookmarkStart w:id="3" w:name="_Toc524096731"/>
      <w:r>
        <w:t>三、财务会计报告</w:t>
      </w:r>
      <w:bookmarkEnd w:id="3"/>
    </w:p>
    <w:p w:rsidR="00583F83" w:rsidRDefault="00E22DB5">
      <w:pPr>
        <w:spacing w:after="131"/>
        <w:ind w:left="-5"/>
      </w:pPr>
      <w:r>
        <w:t xml:space="preserve">基金最后运作日资产负债表（已经审计） </w:t>
      </w:r>
    </w:p>
    <w:p w:rsidR="003756AC" w:rsidRDefault="00E22DB5" w:rsidP="003756AC">
      <w:pPr>
        <w:ind w:right="945"/>
      </w:pPr>
      <w:r>
        <w:t>会计主体：</w:t>
      </w:r>
      <w:r w:rsidR="00C067CB">
        <w:rPr>
          <w:rFonts w:hint="eastAsia"/>
        </w:rPr>
        <w:t>泰达宏利</w:t>
      </w:r>
      <w:r w:rsidR="00432C57">
        <w:rPr>
          <w:rFonts w:asciiTheme="minorEastAsia" w:hAnsiTheme="minorEastAsia" w:cs="Times New Roman" w:hint="eastAsia"/>
          <w:szCs w:val="24"/>
        </w:rPr>
        <w:t>信用合利定期开放债券型</w:t>
      </w:r>
      <w:r w:rsidR="00432C57" w:rsidRPr="00C766D0">
        <w:rPr>
          <w:rFonts w:asciiTheme="minorEastAsia" w:hAnsiTheme="minorEastAsia" w:cs="Times New Roman" w:hint="eastAsia"/>
          <w:szCs w:val="24"/>
        </w:rPr>
        <w:t>证券投资基金</w:t>
      </w:r>
    </w:p>
    <w:p w:rsidR="00C067CB" w:rsidRDefault="00E22DB5" w:rsidP="003756AC">
      <w:pPr>
        <w:ind w:right="945"/>
      </w:pPr>
      <w:r>
        <w:t>报告截止日：</w:t>
      </w:r>
      <w:r w:rsidR="009638E0">
        <w:rPr>
          <w:rFonts w:asciiTheme="minorEastAsia" w:eastAsiaTheme="minorEastAsia" w:hAnsiTheme="minorEastAsia" w:cs="Times New Roman" w:hint="eastAsia"/>
        </w:rPr>
        <w:t>201</w:t>
      </w:r>
      <w:r w:rsidR="00432C57">
        <w:rPr>
          <w:rFonts w:asciiTheme="minorEastAsia" w:eastAsiaTheme="minorEastAsia" w:hAnsiTheme="minorEastAsia" w:cs="Times New Roman"/>
        </w:rPr>
        <w:t>8</w:t>
      </w:r>
      <w:r>
        <w:t>年</w:t>
      </w:r>
      <w:r w:rsidR="00432C57">
        <w:rPr>
          <w:rFonts w:asciiTheme="minorEastAsia" w:eastAsiaTheme="minorEastAsia" w:hAnsiTheme="minorEastAsia" w:cs="Times New Roman"/>
        </w:rPr>
        <w:t>8</w:t>
      </w:r>
      <w:r>
        <w:t>月</w:t>
      </w:r>
      <w:r w:rsidR="00AD385D">
        <w:rPr>
          <w:rFonts w:asciiTheme="minorEastAsia" w:eastAsiaTheme="minorEastAsia" w:hAnsiTheme="minorEastAsia" w:cs="Times New Roman"/>
        </w:rPr>
        <w:t>9</w:t>
      </w:r>
      <w:r>
        <w:t>日</w:t>
      </w:r>
    </w:p>
    <w:p w:rsidR="00583F83" w:rsidRDefault="00E22DB5" w:rsidP="003756AC">
      <w:pPr>
        <w:ind w:right="205"/>
        <w:jc w:val="right"/>
      </w:pPr>
      <w:r>
        <w:rPr>
          <w:sz w:val="22"/>
        </w:rPr>
        <w:t>单位：人民币元</w:t>
      </w:r>
    </w:p>
    <w:tbl>
      <w:tblPr>
        <w:tblStyle w:val="TableGrid"/>
        <w:tblW w:w="8926" w:type="dxa"/>
        <w:tblInd w:w="0" w:type="dxa"/>
        <w:tblCellMar>
          <w:top w:w="13" w:type="dxa"/>
          <w:left w:w="108" w:type="dxa"/>
          <w:right w:w="53" w:type="dxa"/>
        </w:tblCellMar>
        <w:tblLook w:val="04A0"/>
      </w:tblPr>
      <w:tblGrid>
        <w:gridCol w:w="5244"/>
        <w:gridCol w:w="3682"/>
      </w:tblGrid>
      <w:tr w:rsidR="00583F83" w:rsidTr="00F84A2F">
        <w:trPr>
          <w:trHeight w:val="581"/>
        </w:trPr>
        <w:tc>
          <w:tcPr>
            <w:tcW w:w="5244" w:type="dxa"/>
            <w:tcBorders>
              <w:top w:val="single" w:sz="4" w:space="0" w:color="000000"/>
              <w:left w:val="single" w:sz="4" w:space="0" w:color="000000"/>
              <w:bottom w:val="single" w:sz="4" w:space="0" w:color="000000"/>
              <w:right w:val="single" w:sz="4" w:space="0" w:color="000000"/>
            </w:tcBorders>
            <w:vAlign w:val="center"/>
          </w:tcPr>
          <w:p w:rsidR="00583F83" w:rsidRDefault="00583F83">
            <w:pPr>
              <w:spacing w:after="0"/>
              <w:ind w:left="0" w:firstLine="0"/>
            </w:pPr>
          </w:p>
        </w:tc>
        <w:tc>
          <w:tcPr>
            <w:tcW w:w="3682" w:type="dxa"/>
            <w:tcBorders>
              <w:top w:val="single" w:sz="4" w:space="0" w:color="000000"/>
              <w:left w:val="single" w:sz="4" w:space="0" w:color="000000"/>
              <w:bottom w:val="single" w:sz="4" w:space="0" w:color="000000"/>
              <w:right w:val="single" w:sz="4" w:space="0" w:color="000000"/>
            </w:tcBorders>
          </w:tcPr>
          <w:p w:rsidR="006D0F9A" w:rsidRPr="00F84A2F" w:rsidRDefault="00E22DB5" w:rsidP="006D0F9A">
            <w:pPr>
              <w:pStyle w:val="a3"/>
              <w:spacing w:before="0" w:beforeAutospacing="0" w:after="0" w:afterAutospacing="0"/>
              <w:ind w:left="-110" w:right="231"/>
              <w:jc w:val="right"/>
              <w:rPr>
                <w:rFonts w:ascii="Times New Roman" w:eastAsia="宋体" w:hAnsi="Times New Roman" w:cs="Times New Roman"/>
                <w:b/>
                <w:sz w:val="21"/>
                <w:szCs w:val="21"/>
                <w:lang w:eastAsia="zh-CN"/>
              </w:rPr>
            </w:pPr>
            <w:r w:rsidRPr="00F84A2F">
              <w:rPr>
                <w:rFonts w:ascii="Times New Roman" w:eastAsia="宋体" w:hAnsi="Times New Roman" w:cs="Times New Roman"/>
                <w:b/>
                <w:sz w:val="21"/>
                <w:szCs w:val="21"/>
                <w:lang w:eastAsia="zh-CN"/>
              </w:rPr>
              <w:t>最后运作日</w:t>
            </w:r>
          </w:p>
          <w:p w:rsidR="00583F83" w:rsidRPr="006D0F9A" w:rsidRDefault="00C067CB" w:rsidP="006D0F9A">
            <w:pPr>
              <w:pStyle w:val="a3"/>
              <w:spacing w:before="0" w:beforeAutospacing="0" w:after="0" w:afterAutospacing="0"/>
              <w:ind w:left="-110" w:right="21"/>
              <w:jc w:val="right"/>
              <w:rPr>
                <w:rFonts w:ascii="Times New Roman" w:eastAsia="宋体" w:hAnsi="Times New Roman" w:cs="Times New Roman"/>
                <w:sz w:val="21"/>
                <w:szCs w:val="21"/>
                <w:lang w:eastAsia="zh-CN"/>
              </w:rPr>
            </w:pPr>
            <w:r w:rsidRPr="00F84A2F">
              <w:rPr>
                <w:rFonts w:ascii="Times New Roman" w:eastAsia="宋体" w:hAnsi="Times New Roman" w:cs="Times New Roman"/>
                <w:b/>
                <w:sz w:val="21"/>
                <w:szCs w:val="21"/>
                <w:lang w:eastAsia="zh-CN"/>
              </w:rPr>
              <w:t>201</w:t>
            </w:r>
            <w:r w:rsidR="00432C57" w:rsidRPr="00F84A2F">
              <w:rPr>
                <w:rFonts w:ascii="Times New Roman" w:eastAsia="宋体" w:hAnsi="Times New Roman" w:cs="Times New Roman"/>
                <w:b/>
                <w:sz w:val="21"/>
                <w:szCs w:val="21"/>
                <w:lang w:eastAsia="zh-CN"/>
              </w:rPr>
              <w:t>8</w:t>
            </w:r>
            <w:r w:rsidR="00E22DB5" w:rsidRPr="00F84A2F">
              <w:rPr>
                <w:rFonts w:ascii="Times New Roman" w:eastAsia="宋体" w:hAnsi="Times New Roman" w:cs="Times New Roman"/>
                <w:b/>
                <w:sz w:val="21"/>
                <w:szCs w:val="21"/>
                <w:lang w:eastAsia="zh-CN"/>
              </w:rPr>
              <w:t>年</w:t>
            </w:r>
            <w:r w:rsidR="00432C57" w:rsidRPr="00F84A2F">
              <w:rPr>
                <w:rFonts w:ascii="Times New Roman" w:eastAsia="宋体" w:hAnsi="Times New Roman" w:cs="Times New Roman"/>
                <w:b/>
                <w:sz w:val="21"/>
                <w:szCs w:val="21"/>
                <w:lang w:eastAsia="zh-CN"/>
              </w:rPr>
              <w:t>8</w:t>
            </w:r>
            <w:r w:rsidR="00E22DB5" w:rsidRPr="00F84A2F">
              <w:rPr>
                <w:rFonts w:ascii="Times New Roman" w:eastAsia="宋体" w:hAnsi="Times New Roman" w:cs="Times New Roman"/>
                <w:b/>
                <w:sz w:val="21"/>
                <w:szCs w:val="21"/>
                <w:lang w:eastAsia="zh-CN"/>
              </w:rPr>
              <w:t>月</w:t>
            </w:r>
            <w:r w:rsidR="00AD385D" w:rsidRPr="00F84A2F">
              <w:rPr>
                <w:rFonts w:ascii="Times New Roman" w:eastAsia="宋体" w:hAnsi="Times New Roman" w:cs="Times New Roman"/>
                <w:b/>
                <w:sz w:val="21"/>
                <w:szCs w:val="21"/>
                <w:lang w:eastAsia="zh-CN"/>
              </w:rPr>
              <w:t>9</w:t>
            </w:r>
            <w:r w:rsidR="00E22DB5" w:rsidRPr="00F84A2F">
              <w:rPr>
                <w:rFonts w:ascii="Times New Roman" w:eastAsia="宋体" w:hAnsi="Times New Roman" w:cs="Times New Roman"/>
                <w:b/>
                <w:sz w:val="21"/>
                <w:szCs w:val="21"/>
                <w:lang w:eastAsia="zh-CN"/>
              </w:rPr>
              <w:t>日</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F84A2F" w:rsidRDefault="00E22DB5">
            <w:pPr>
              <w:spacing w:after="0"/>
              <w:ind w:left="0" w:firstLine="0"/>
              <w:rPr>
                <w:b/>
              </w:rPr>
            </w:pPr>
            <w:r w:rsidRPr="00F84A2F">
              <w:rPr>
                <w:b/>
                <w:sz w:val="22"/>
              </w:rPr>
              <w:t>资产：</w:t>
            </w:r>
          </w:p>
        </w:tc>
        <w:tc>
          <w:tcPr>
            <w:tcW w:w="3682" w:type="dxa"/>
            <w:tcBorders>
              <w:top w:val="single" w:sz="4" w:space="0" w:color="000000"/>
              <w:left w:val="single" w:sz="4" w:space="0" w:color="000000"/>
              <w:bottom w:val="single" w:sz="4" w:space="0" w:color="000000"/>
              <w:right w:val="single" w:sz="4" w:space="0" w:color="000000"/>
            </w:tcBorders>
          </w:tcPr>
          <w:p w:rsidR="00583F83" w:rsidRPr="00F84A2F" w:rsidRDefault="00583F83">
            <w:pPr>
              <w:spacing w:after="0"/>
              <w:ind w:left="0" w:firstLine="0"/>
              <w:jc w:val="right"/>
            </w:pP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银行存款</w:t>
            </w:r>
          </w:p>
        </w:tc>
        <w:tc>
          <w:tcPr>
            <w:tcW w:w="3682" w:type="dxa"/>
            <w:tcBorders>
              <w:top w:val="single" w:sz="4" w:space="0" w:color="000000"/>
              <w:left w:val="single" w:sz="4" w:space="0" w:color="000000"/>
              <w:bottom w:val="single" w:sz="4" w:space="0" w:color="000000"/>
              <w:right w:val="single" w:sz="4" w:space="0" w:color="000000"/>
            </w:tcBorders>
          </w:tcPr>
          <w:p w:rsidR="00583F83" w:rsidRPr="00F84A2F" w:rsidRDefault="00F84A2F" w:rsidP="009638E0">
            <w:pPr>
              <w:jc w:val="right"/>
              <w:rPr>
                <w:sz w:val="22"/>
              </w:rPr>
            </w:pPr>
            <w:r w:rsidRPr="00F84A2F">
              <w:rPr>
                <w:sz w:val="22"/>
              </w:rPr>
              <w:t>8,827,983.22</w:t>
            </w:r>
          </w:p>
        </w:tc>
      </w:tr>
      <w:tr w:rsidR="00FF0678"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FF0678" w:rsidRDefault="00FF0678">
            <w:pPr>
              <w:spacing w:after="0"/>
              <w:ind w:left="0" w:firstLine="0"/>
              <w:rPr>
                <w:sz w:val="22"/>
              </w:rPr>
            </w:pPr>
            <w:r>
              <w:rPr>
                <w:rFonts w:hint="eastAsia"/>
                <w:sz w:val="22"/>
              </w:rPr>
              <w:t>结算</w:t>
            </w:r>
            <w:r>
              <w:rPr>
                <w:sz w:val="22"/>
              </w:rPr>
              <w:t>备付金</w:t>
            </w:r>
          </w:p>
        </w:tc>
        <w:tc>
          <w:tcPr>
            <w:tcW w:w="3682" w:type="dxa"/>
            <w:tcBorders>
              <w:top w:val="single" w:sz="4" w:space="0" w:color="000000"/>
              <w:left w:val="single" w:sz="4" w:space="0" w:color="000000"/>
              <w:bottom w:val="single" w:sz="4" w:space="0" w:color="000000"/>
              <w:right w:val="single" w:sz="4" w:space="0" w:color="000000"/>
            </w:tcBorders>
          </w:tcPr>
          <w:p w:rsidR="00FF0678" w:rsidRPr="00F84A2F" w:rsidRDefault="00F84A2F" w:rsidP="00FF0678">
            <w:pPr>
              <w:jc w:val="right"/>
              <w:rPr>
                <w:sz w:val="22"/>
              </w:rPr>
            </w:pPr>
            <w:r w:rsidRPr="00F84A2F">
              <w:rPr>
                <w:sz w:val="22"/>
              </w:rPr>
              <w:t>609,090.91</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存出保证金</w:t>
            </w:r>
          </w:p>
        </w:tc>
        <w:tc>
          <w:tcPr>
            <w:tcW w:w="3682" w:type="dxa"/>
            <w:tcBorders>
              <w:top w:val="single" w:sz="4" w:space="0" w:color="000000"/>
              <w:left w:val="single" w:sz="4" w:space="0" w:color="000000"/>
              <w:bottom w:val="single" w:sz="4" w:space="0" w:color="000000"/>
              <w:right w:val="single" w:sz="4" w:space="0" w:color="000000"/>
            </w:tcBorders>
          </w:tcPr>
          <w:p w:rsidR="00583F83" w:rsidRPr="00F84A2F" w:rsidRDefault="00F84A2F" w:rsidP="00FF0678">
            <w:pPr>
              <w:jc w:val="right"/>
              <w:rPr>
                <w:sz w:val="22"/>
              </w:rPr>
            </w:pPr>
            <w:r w:rsidRPr="00F84A2F">
              <w:rPr>
                <w:sz w:val="22"/>
              </w:rPr>
              <w:t>8,399.12</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应收利息</w:t>
            </w:r>
          </w:p>
        </w:tc>
        <w:tc>
          <w:tcPr>
            <w:tcW w:w="3682" w:type="dxa"/>
            <w:tcBorders>
              <w:top w:val="single" w:sz="4" w:space="0" w:color="000000"/>
              <w:left w:val="single" w:sz="4" w:space="0" w:color="000000"/>
              <w:bottom w:val="single" w:sz="4" w:space="0" w:color="000000"/>
              <w:right w:val="single" w:sz="4" w:space="0" w:color="000000"/>
            </w:tcBorders>
          </w:tcPr>
          <w:p w:rsidR="00583F83" w:rsidRPr="00F84A2F" w:rsidRDefault="00F84A2F" w:rsidP="00FF0678">
            <w:pPr>
              <w:spacing w:after="0" w:line="240" w:lineRule="auto"/>
              <w:ind w:left="0" w:firstLine="0"/>
              <w:jc w:val="right"/>
              <w:rPr>
                <w:sz w:val="22"/>
              </w:rPr>
            </w:pPr>
            <w:r w:rsidRPr="00F84A2F">
              <w:rPr>
                <w:sz w:val="22"/>
              </w:rPr>
              <w:t>14,877.9</w:t>
            </w:r>
            <w:r>
              <w:rPr>
                <w:sz w:val="22"/>
              </w:rPr>
              <w:t>0</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资产总计</w:t>
            </w:r>
          </w:p>
        </w:tc>
        <w:tc>
          <w:tcPr>
            <w:tcW w:w="3682" w:type="dxa"/>
            <w:tcBorders>
              <w:top w:val="single" w:sz="4" w:space="0" w:color="000000"/>
              <w:left w:val="single" w:sz="4" w:space="0" w:color="000000"/>
              <w:bottom w:val="single" w:sz="4" w:space="0" w:color="000000"/>
              <w:right w:val="single" w:sz="4" w:space="0" w:color="000000"/>
            </w:tcBorders>
          </w:tcPr>
          <w:p w:rsidR="00583F83" w:rsidRPr="00FF0678" w:rsidRDefault="00F84A2F" w:rsidP="00FF0678">
            <w:pPr>
              <w:jc w:val="right"/>
              <w:rPr>
                <w:sz w:val="22"/>
              </w:rPr>
            </w:pPr>
            <w:r w:rsidRPr="00F84A2F">
              <w:rPr>
                <w:rFonts w:cs="Times New Roman"/>
                <w:sz w:val="22"/>
              </w:rPr>
              <w:t>9,460,351.15</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F84A2F" w:rsidRDefault="00E22DB5">
            <w:pPr>
              <w:spacing w:after="0"/>
              <w:ind w:left="0" w:firstLine="0"/>
              <w:rPr>
                <w:b/>
              </w:rPr>
            </w:pPr>
            <w:r w:rsidRPr="00F84A2F">
              <w:rPr>
                <w:b/>
                <w:sz w:val="22"/>
              </w:rPr>
              <w:t>负债：</w:t>
            </w:r>
          </w:p>
        </w:tc>
        <w:tc>
          <w:tcPr>
            <w:tcW w:w="3682" w:type="dxa"/>
            <w:tcBorders>
              <w:top w:val="single" w:sz="4" w:space="0" w:color="000000"/>
              <w:left w:val="single" w:sz="4" w:space="0" w:color="000000"/>
              <w:bottom w:val="single" w:sz="4" w:space="0" w:color="000000"/>
              <w:right w:val="single" w:sz="4" w:space="0" w:color="000000"/>
            </w:tcBorders>
          </w:tcPr>
          <w:p w:rsidR="00583F83" w:rsidRDefault="00583F83">
            <w:pPr>
              <w:spacing w:after="0"/>
              <w:ind w:left="0" w:firstLine="0"/>
              <w:jc w:val="right"/>
            </w:pPr>
          </w:p>
        </w:tc>
      </w:tr>
      <w:tr w:rsidR="009638E0"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9638E0" w:rsidRDefault="009638E0" w:rsidP="009638E0">
            <w:pPr>
              <w:rPr>
                <w:sz w:val="22"/>
              </w:rPr>
            </w:pPr>
            <w:r>
              <w:rPr>
                <w:rFonts w:hint="eastAsia"/>
                <w:sz w:val="22"/>
              </w:rPr>
              <w:t>应付赎回款</w:t>
            </w:r>
          </w:p>
        </w:tc>
        <w:tc>
          <w:tcPr>
            <w:tcW w:w="3682" w:type="dxa"/>
            <w:tcBorders>
              <w:top w:val="single" w:sz="4" w:space="0" w:color="000000"/>
              <w:left w:val="single" w:sz="4" w:space="0" w:color="000000"/>
              <w:bottom w:val="single" w:sz="4" w:space="0" w:color="000000"/>
              <w:right w:val="single" w:sz="4" w:space="0" w:color="000000"/>
            </w:tcBorders>
          </w:tcPr>
          <w:p w:rsidR="009638E0" w:rsidRPr="005F46F3" w:rsidRDefault="00F84A2F" w:rsidP="005F46F3">
            <w:pPr>
              <w:jc w:val="right"/>
              <w:rPr>
                <w:sz w:val="22"/>
              </w:rPr>
            </w:pPr>
            <w:r w:rsidRPr="00F84A2F">
              <w:rPr>
                <w:sz w:val="22"/>
              </w:rPr>
              <w:t>407</w:t>
            </w:r>
            <w:r>
              <w:rPr>
                <w:sz w:val="22"/>
              </w:rPr>
              <w:t>,</w:t>
            </w:r>
            <w:r w:rsidRPr="00F84A2F">
              <w:rPr>
                <w:sz w:val="22"/>
              </w:rPr>
              <w:t>637.08</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应付管理人报酬</w:t>
            </w:r>
          </w:p>
        </w:tc>
        <w:tc>
          <w:tcPr>
            <w:tcW w:w="3682" w:type="dxa"/>
            <w:tcBorders>
              <w:top w:val="single" w:sz="4" w:space="0" w:color="000000"/>
              <w:left w:val="single" w:sz="4" w:space="0" w:color="000000"/>
              <w:bottom w:val="single" w:sz="4" w:space="0" w:color="000000"/>
              <w:right w:val="single" w:sz="4" w:space="0" w:color="000000"/>
            </w:tcBorders>
          </w:tcPr>
          <w:p w:rsidR="00583F83" w:rsidRPr="005F46F3" w:rsidRDefault="00F84A2F" w:rsidP="005F46F3">
            <w:pPr>
              <w:jc w:val="right"/>
              <w:rPr>
                <w:sz w:val="22"/>
              </w:rPr>
            </w:pPr>
            <w:r w:rsidRPr="00F84A2F">
              <w:rPr>
                <w:sz w:val="22"/>
              </w:rPr>
              <w:t>4</w:t>
            </w:r>
            <w:r>
              <w:rPr>
                <w:sz w:val="22"/>
              </w:rPr>
              <w:t>,</w:t>
            </w:r>
            <w:r w:rsidRPr="00F84A2F">
              <w:rPr>
                <w:sz w:val="22"/>
              </w:rPr>
              <w:t>525.49</w:t>
            </w:r>
          </w:p>
        </w:tc>
      </w:tr>
      <w:tr w:rsidR="00583F83" w:rsidRPr="00C039F9"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应付托管费</w:t>
            </w:r>
          </w:p>
        </w:tc>
        <w:tc>
          <w:tcPr>
            <w:tcW w:w="3682" w:type="dxa"/>
            <w:tcBorders>
              <w:top w:val="single" w:sz="4" w:space="0" w:color="000000"/>
              <w:left w:val="single" w:sz="4" w:space="0" w:color="000000"/>
              <w:bottom w:val="single" w:sz="4" w:space="0" w:color="000000"/>
              <w:right w:val="single" w:sz="4" w:space="0" w:color="000000"/>
            </w:tcBorders>
          </w:tcPr>
          <w:p w:rsidR="00583F83" w:rsidRPr="00C039F9" w:rsidRDefault="00F84A2F" w:rsidP="00C039F9">
            <w:pPr>
              <w:jc w:val="right"/>
              <w:rPr>
                <w:sz w:val="22"/>
              </w:rPr>
            </w:pPr>
            <w:r w:rsidRPr="00F84A2F">
              <w:rPr>
                <w:sz w:val="22"/>
              </w:rPr>
              <w:t>1</w:t>
            </w:r>
            <w:r>
              <w:rPr>
                <w:sz w:val="22"/>
              </w:rPr>
              <w:t>,</w:t>
            </w:r>
            <w:r w:rsidRPr="00F84A2F">
              <w:rPr>
                <w:sz w:val="22"/>
              </w:rPr>
              <w:t>810.18</w:t>
            </w:r>
          </w:p>
        </w:tc>
      </w:tr>
      <w:tr w:rsidR="00F84A2F" w:rsidRPr="00C039F9"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F84A2F" w:rsidRDefault="00F84A2F" w:rsidP="009638E0">
            <w:pPr>
              <w:rPr>
                <w:sz w:val="22"/>
              </w:rPr>
            </w:pPr>
            <w:r>
              <w:rPr>
                <w:rFonts w:hint="eastAsia"/>
                <w:sz w:val="22"/>
              </w:rPr>
              <w:t>应付</w:t>
            </w:r>
            <w:r>
              <w:rPr>
                <w:sz w:val="22"/>
              </w:rPr>
              <w:t>销售服务费</w:t>
            </w:r>
          </w:p>
        </w:tc>
        <w:tc>
          <w:tcPr>
            <w:tcW w:w="3682" w:type="dxa"/>
            <w:tcBorders>
              <w:top w:val="single" w:sz="4" w:space="0" w:color="000000"/>
              <w:left w:val="single" w:sz="4" w:space="0" w:color="000000"/>
              <w:bottom w:val="single" w:sz="4" w:space="0" w:color="000000"/>
              <w:right w:val="single" w:sz="4" w:space="0" w:color="000000"/>
            </w:tcBorders>
          </w:tcPr>
          <w:p w:rsidR="00F84A2F" w:rsidRPr="00C039F9" w:rsidRDefault="00F84A2F" w:rsidP="00C039F9">
            <w:pPr>
              <w:jc w:val="right"/>
              <w:rPr>
                <w:sz w:val="22"/>
              </w:rPr>
            </w:pPr>
            <w:r w:rsidRPr="00F84A2F">
              <w:rPr>
                <w:sz w:val="22"/>
              </w:rPr>
              <w:t>422.3</w:t>
            </w:r>
            <w:r>
              <w:rPr>
                <w:sz w:val="22"/>
              </w:rPr>
              <w:t>0</w:t>
            </w:r>
          </w:p>
        </w:tc>
      </w:tr>
      <w:tr w:rsidR="009638E0" w:rsidRPr="00C039F9"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9638E0" w:rsidRDefault="009638E0" w:rsidP="009638E0">
            <w:pPr>
              <w:rPr>
                <w:sz w:val="22"/>
              </w:rPr>
            </w:pPr>
            <w:r>
              <w:rPr>
                <w:rFonts w:hint="eastAsia"/>
                <w:sz w:val="22"/>
              </w:rPr>
              <w:t>应付</w:t>
            </w:r>
            <w:r w:rsidR="00C039F9">
              <w:rPr>
                <w:rFonts w:hint="eastAsia"/>
                <w:sz w:val="22"/>
              </w:rPr>
              <w:t>交易</w:t>
            </w:r>
            <w:r w:rsidR="00C039F9">
              <w:rPr>
                <w:sz w:val="22"/>
              </w:rPr>
              <w:t>费用</w:t>
            </w:r>
          </w:p>
        </w:tc>
        <w:tc>
          <w:tcPr>
            <w:tcW w:w="3682" w:type="dxa"/>
            <w:tcBorders>
              <w:top w:val="single" w:sz="4" w:space="0" w:color="000000"/>
              <w:left w:val="single" w:sz="4" w:space="0" w:color="000000"/>
              <w:bottom w:val="single" w:sz="4" w:space="0" w:color="000000"/>
              <w:right w:val="single" w:sz="4" w:space="0" w:color="000000"/>
            </w:tcBorders>
          </w:tcPr>
          <w:p w:rsidR="009638E0" w:rsidRPr="00C039F9" w:rsidRDefault="00F84A2F" w:rsidP="00C039F9">
            <w:pPr>
              <w:jc w:val="right"/>
              <w:rPr>
                <w:sz w:val="22"/>
              </w:rPr>
            </w:pPr>
            <w:r w:rsidRPr="00F84A2F">
              <w:rPr>
                <w:sz w:val="22"/>
              </w:rPr>
              <w:t>2</w:t>
            </w:r>
            <w:r>
              <w:rPr>
                <w:rFonts w:hint="eastAsia"/>
                <w:sz w:val="22"/>
              </w:rPr>
              <w:t>,</w:t>
            </w:r>
            <w:r w:rsidRPr="00F84A2F">
              <w:rPr>
                <w:sz w:val="22"/>
              </w:rPr>
              <w:t>572.62</w:t>
            </w:r>
          </w:p>
        </w:tc>
      </w:tr>
      <w:tr w:rsidR="00F84A2F"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F84A2F" w:rsidRDefault="00F84A2F">
            <w:pPr>
              <w:spacing w:after="0"/>
              <w:ind w:left="0" w:firstLine="0"/>
              <w:rPr>
                <w:sz w:val="22"/>
              </w:rPr>
            </w:pPr>
            <w:r>
              <w:rPr>
                <w:rFonts w:hint="eastAsia"/>
                <w:sz w:val="22"/>
              </w:rPr>
              <w:t>应付</w:t>
            </w:r>
            <w:r>
              <w:rPr>
                <w:sz w:val="22"/>
              </w:rPr>
              <w:t>税费</w:t>
            </w:r>
          </w:p>
        </w:tc>
        <w:tc>
          <w:tcPr>
            <w:tcW w:w="3682" w:type="dxa"/>
            <w:tcBorders>
              <w:top w:val="single" w:sz="4" w:space="0" w:color="000000"/>
              <w:left w:val="single" w:sz="4" w:space="0" w:color="000000"/>
              <w:bottom w:val="single" w:sz="4" w:space="0" w:color="000000"/>
              <w:right w:val="single" w:sz="4" w:space="0" w:color="000000"/>
            </w:tcBorders>
          </w:tcPr>
          <w:p w:rsidR="00F84A2F" w:rsidRPr="00C039F9" w:rsidRDefault="00F84A2F" w:rsidP="00C039F9">
            <w:pPr>
              <w:jc w:val="right"/>
              <w:rPr>
                <w:sz w:val="22"/>
              </w:rPr>
            </w:pPr>
            <w:r w:rsidRPr="00F84A2F">
              <w:rPr>
                <w:sz w:val="22"/>
              </w:rPr>
              <w:t>209</w:t>
            </w:r>
            <w:r>
              <w:rPr>
                <w:rFonts w:hint="eastAsia"/>
                <w:sz w:val="22"/>
              </w:rPr>
              <w:t>,</w:t>
            </w:r>
            <w:r w:rsidRPr="00F84A2F">
              <w:rPr>
                <w:sz w:val="22"/>
              </w:rPr>
              <w:t>478</w:t>
            </w:r>
            <w:r>
              <w:rPr>
                <w:sz w:val="22"/>
              </w:rPr>
              <w:t>.00</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其他负债</w:t>
            </w:r>
          </w:p>
        </w:tc>
        <w:tc>
          <w:tcPr>
            <w:tcW w:w="3682" w:type="dxa"/>
            <w:tcBorders>
              <w:top w:val="single" w:sz="4" w:space="0" w:color="000000"/>
              <w:left w:val="single" w:sz="4" w:space="0" w:color="000000"/>
              <w:bottom w:val="single" w:sz="4" w:space="0" w:color="000000"/>
              <w:right w:val="single" w:sz="4" w:space="0" w:color="000000"/>
            </w:tcBorders>
          </w:tcPr>
          <w:p w:rsidR="00583F83" w:rsidRPr="00C039F9" w:rsidRDefault="00F84A2F" w:rsidP="00C039F9">
            <w:pPr>
              <w:jc w:val="right"/>
              <w:rPr>
                <w:sz w:val="22"/>
              </w:rPr>
            </w:pPr>
            <w:r w:rsidRPr="00F84A2F">
              <w:rPr>
                <w:sz w:val="22"/>
              </w:rPr>
              <w:t>72</w:t>
            </w:r>
            <w:r>
              <w:rPr>
                <w:sz w:val="22"/>
              </w:rPr>
              <w:t>,</w:t>
            </w:r>
            <w:r w:rsidRPr="00F84A2F">
              <w:rPr>
                <w:sz w:val="22"/>
              </w:rPr>
              <w:t>660.44</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负债合计</w:t>
            </w:r>
          </w:p>
        </w:tc>
        <w:tc>
          <w:tcPr>
            <w:tcW w:w="3682" w:type="dxa"/>
            <w:tcBorders>
              <w:top w:val="single" w:sz="4" w:space="0" w:color="000000"/>
              <w:left w:val="single" w:sz="4" w:space="0" w:color="000000"/>
              <w:bottom w:val="single" w:sz="4" w:space="0" w:color="000000"/>
              <w:right w:val="single" w:sz="4" w:space="0" w:color="000000"/>
            </w:tcBorders>
          </w:tcPr>
          <w:p w:rsidR="00583F83" w:rsidRPr="00C039F9" w:rsidRDefault="00F84A2F" w:rsidP="00C039F9">
            <w:pPr>
              <w:jc w:val="right"/>
              <w:rPr>
                <w:sz w:val="22"/>
              </w:rPr>
            </w:pPr>
            <w:r w:rsidRPr="00F84A2F">
              <w:rPr>
                <w:sz w:val="22"/>
              </w:rPr>
              <w:t>699</w:t>
            </w:r>
            <w:r>
              <w:rPr>
                <w:sz w:val="22"/>
              </w:rPr>
              <w:t>,</w:t>
            </w:r>
            <w:r w:rsidRPr="00F84A2F">
              <w:rPr>
                <w:sz w:val="22"/>
              </w:rPr>
              <w:t>106.11</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Pr="00F84A2F" w:rsidRDefault="00E22DB5">
            <w:pPr>
              <w:spacing w:after="0"/>
              <w:ind w:left="0" w:firstLine="0"/>
              <w:rPr>
                <w:b/>
              </w:rPr>
            </w:pPr>
            <w:r w:rsidRPr="00F84A2F">
              <w:rPr>
                <w:b/>
                <w:sz w:val="22"/>
              </w:rPr>
              <w:t>所有者权益：</w:t>
            </w:r>
          </w:p>
        </w:tc>
        <w:tc>
          <w:tcPr>
            <w:tcW w:w="3682" w:type="dxa"/>
            <w:tcBorders>
              <w:top w:val="single" w:sz="4" w:space="0" w:color="000000"/>
              <w:left w:val="single" w:sz="4" w:space="0" w:color="000000"/>
              <w:bottom w:val="single" w:sz="4" w:space="0" w:color="000000"/>
              <w:right w:val="single" w:sz="4" w:space="0" w:color="000000"/>
            </w:tcBorders>
          </w:tcPr>
          <w:p w:rsidR="00583F83" w:rsidRDefault="00583F83">
            <w:pPr>
              <w:spacing w:after="0"/>
              <w:ind w:left="0" w:firstLine="0"/>
              <w:jc w:val="right"/>
            </w:pP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实收基金</w:t>
            </w:r>
          </w:p>
        </w:tc>
        <w:tc>
          <w:tcPr>
            <w:tcW w:w="3682" w:type="dxa"/>
            <w:tcBorders>
              <w:top w:val="single" w:sz="4" w:space="0" w:color="000000"/>
              <w:left w:val="single" w:sz="4" w:space="0" w:color="000000"/>
              <w:bottom w:val="single" w:sz="4" w:space="0" w:color="000000"/>
              <w:right w:val="single" w:sz="4" w:space="0" w:color="000000"/>
            </w:tcBorders>
          </w:tcPr>
          <w:p w:rsidR="00583F83" w:rsidRPr="00C039F9" w:rsidRDefault="00F84A2F" w:rsidP="00C039F9">
            <w:pPr>
              <w:jc w:val="right"/>
              <w:rPr>
                <w:sz w:val="22"/>
              </w:rPr>
            </w:pPr>
            <w:r w:rsidRPr="00F84A2F">
              <w:rPr>
                <w:sz w:val="22"/>
              </w:rPr>
              <w:t>8</w:t>
            </w:r>
            <w:r>
              <w:rPr>
                <w:sz w:val="22"/>
              </w:rPr>
              <w:t>,</w:t>
            </w:r>
            <w:r w:rsidRPr="00F84A2F">
              <w:rPr>
                <w:sz w:val="22"/>
              </w:rPr>
              <w:t>991</w:t>
            </w:r>
            <w:r>
              <w:rPr>
                <w:sz w:val="22"/>
              </w:rPr>
              <w:t>,</w:t>
            </w:r>
            <w:r w:rsidRPr="00F84A2F">
              <w:rPr>
                <w:sz w:val="22"/>
              </w:rPr>
              <w:t>077.49</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未分配利润</w:t>
            </w:r>
          </w:p>
        </w:tc>
        <w:tc>
          <w:tcPr>
            <w:tcW w:w="3682" w:type="dxa"/>
            <w:tcBorders>
              <w:top w:val="single" w:sz="4" w:space="0" w:color="000000"/>
              <w:left w:val="single" w:sz="4" w:space="0" w:color="000000"/>
              <w:bottom w:val="single" w:sz="4" w:space="0" w:color="000000"/>
              <w:right w:val="single" w:sz="4" w:space="0" w:color="000000"/>
            </w:tcBorders>
          </w:tcPr>
          <w:p w:rsidR="00583F83" w:rsidRPr="00C039F9" w:rsidRDefault="00F84A2F" w:rsidP="00C039F9">
            <w:pPr>
              <w:jc w:val="right"/>
              <w:rPr>
                <w:sz w:val="22"/>
              </w:rPr>
            </w:pPr>
            <w:r w:rsidRPr="00F84A2F">
              <w:rPr>
                <w:sz w:val="22"/>
              </w:rPr>
              <w:t>-229</w:t>
            </w:r>
            <w:r>
              <w:rPr>
                <w:sz w:val="22"/>
              </w:rPr>
              <w:t>,</w:t>
            </w:r>
            <w:r w:rsidRPr="00F84A2F">
              <w:rPr>
                <w:sz w:val="22"/>
              </w:rPr>
              <w:t>832.45</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所有者权益合计</w:t>
            </w:r>
          </w:p>
        </w:tc>
        <w:tc>
          <w:tcPr>
            <w:tcW w:w="3682" w:type="dxa"/>
            <w:tcBorders>
              <w:top w:val="single" w:sz="4" w:space="0" w:color="000000"/>
              <w:left w:val="single" w:sz="4" w:space="0" w:color="000000"/>
              <w:bottom w:val="single" w:sz="4" w:space="0" w:color="000000"/>
              <w:right w:val="single" w:sz="4" w:space="0" w:color="000000"/>
            </w:tcBorders>
          </w:tcPr>
          <w:p w:rsidR="00583F83" w:rsidRPr="00C039F9" w:rsidRDefault="00F84A2F" w:rsidP="00C039F9">
            <w:pPr>
              <w:jc w:val="right"/>
              <w:rPr>
                <w:sz w:val="22"/>
              </w:rPr>
            </w:pPr>
            <w:r w:rsidRPr="00F84A2F">
              <w:rPr>
                <w:sz w:val="22"/>
              </w:rPr>
              <w:t>8</w:t>
            </w:r>
            <w:r>
              <w:rPr>
                <w:sz w:val="22"/>
              </w:rPr>
              <w:t>,</w:t>
            </w:r>
            <w:r w:rsidRPr="00F84A2F">
              <w:rPr>
                <w:sz w:val="22"/>
              </w:rPr>
              <w:t>761</w:t>
            </w:r>
            <w:r>
              <w:rPr>
                <w:sz w:val="22"/>
              </w:rPr>
              <w:t>,</w:t>
            </w:r>
            <w:r w:rsidRPr="00F84A2F">
              <w:rPr>
                <w:sz w:val="22"/>
              </w:rPr>
              <w:t>245.04</w:t>
            </w:r>
          </w:p>
        </w:tc>
      </w:tr>
      <w:tr w:rsidR="00583F83" w:rsidTr="00F84A2F">
        <w:trPr>
          <w:trHeight w:val="295"/>
        </w:trPr>
        <w:tc>
          <w:tcPr>
            <w:tcW w:w="5244" w:type="dxa"/>
            <w:tcBorders>
              <w:top w:val="single" w:sz="4" w:space="0" w:color="000000"/>
              <w:left w:val="single" w:sz="4" w:space="0" w:color="000000"/>
              <w:bottom w:val="single" w:sz="4" w:space="0" w:color="000000"/>
              <w:right w:val="single" w:sz="4" w:space="0" w:color="000000"/>
            </w:tcBorders>
          </w:tcPr>
          <w:p w:rsidR="00583F83" w:rsidRDefault="00E22DB5">
            <w:pPr>
              <w:spacing w:after="0"/>
              <w:ind w:left="0" w:firstLine="0"/>
            </w:pPr>
            <w:r>
              <w:rPr>
                <w:sz w:val="22"/>
              </w:rPr>
              <w:t>负债和所有者权益总计</w:t>
            </w:r>
          </w:p>
        </w:tc>
        <w:tc>
          <w:tcPr>
            <w:tcW w:w="3682" w:type="dxa"/>
            <w:tcBorders>
              <w:top w:val="single" w:sz="4" w:space="0" w:color="000000"/>
              <w:left w:val="single" w:sz="4" w:space="0" w:color="000000"/>
              <w:bottom w:val="single" w:sz="4" w:space="0" w:color="000000"/>
              <w:right w:val="single" w:sz="4" w:space="0" w:color="000000"/>
            </w:tcBorders>
          </w:tcPr>
          <w:p w:rsidR="00583F83" w:rsidRPr="00C039F9" w:rsidRDefault="009B5D93" w:rsidP="00C039F9">
            <w:pPr>
              <w:jc w:val="right"/>
              <w:rPr>
                <w:sz w:val="22"/>
              </w:rPr>
            </w:pPr>
            <w:r>
              <w:rPr>
                <w:sz w:val="22"/>
              </w:rPr>
              <w:t>9,460,351.15</w:t>
            </w:r>
          </w:p>
        </w:tc>
      </w:tr>
    </w:tbl>
    <w:p w:rsidR="003756AC" w:rsidRDefault="003756AC">
      <w:pPr>
        <w:pStyle w:val="1"/>
        <w:ind w:left="10" w:right="62"/>
      </w:pPr>
    </w:p>
    <w:p w:rsidR="00583F83" w:rsidRDefault="00E22DB5">
      <w:pPr>
        <w:pStyle w:val="1"/>
        <w:ind w:left="10" w:right="62"/>
      </w:pPr>
      <w:bookmarkStart w:id="4" w:name="_Toc524096732"/>
      <w:r>
        <w:t>四、清算情况</w:t>
      </w:r>
      <w:bookmarkEnd w:id="4"/>
    </w:p>
    <w:p w:rsidR="00583F83" w:rsidRPr="003F0DB1" w:rsidRDefault="00E22DB5">
      <w:pPr>
        <w:spacing w:after="37" w:line="383" w:lineRule="auto"/>
        <w:ind w:left="-15" w:right="233" w:firstLine="480"/>
        <w:jc w:val="both"/>
        <w:rPr>
          <w:szCs w:val="24"/>
        </w:rPr>
      </w:pPr>
      <w:r w:rsidRPr="003F0DB1">
        <w:rPr>
          <w:szCs w:val="24"/>
        </w:rPr>
        <w:t>自</w:t>
      </w:r>
      <w:r w:rsidR="009638E0" w:rsidRPr="003F0DB1">
        <w:rPr>
          <w:rFonts w:cs="Times New Roman"/>
          <w:szCs w:val="24"/>
        </w:rPr>
        <w:t>201</w:t>
      </w:r>
      <w:r w:rsidR="009B5D93" w:rsidRPr="003F0DB1">
        <w:rPr>
          <w:rFonts w:cs="Times New Roman"/>
          <w:szCs w:val="24"/>
        </w:rPr>
        <w:t>8</w:t>
      </w:r>
      <w:r w:rsidRPr="003F0DB1">
        <w:rPr>
          <w:szCs w:val="24"/>
        </w:rPr>
        <w:t>年</w:t>
      </w:r>
      <w:r w:rsidR="009B5D93" w:rsidRPr="003F0DB1">
        <w:rPr>
          <w:rFonts w:cs="Times New Roman"/>
          <w:szCs w:val="24"/>
        </w:rPr>
        <w:t>8</w:t>
      </w:r>
      <w:r w:rsidRPr="003F0DB1">
        <w:rPr>
          <w:szCs w:val="24"/>
        </w:rPr>
        <w:t>月</w:t>
      </w:r>
      <w:r w:rsidR="009B5D93" w:rsidRPr="003F0DB1">
        <w:rPr>
          <w:rFonts w:cs="Times New Roman"/>
          <w:szCs w:val="24"/>
        </w:rPr>
        <w:t>10</w:t>
      </w:r>
      <w:r w:rsidRPr="003F0DB1">
        <w:rPr>
          <w:szCs w:val="24"/>
        </w:rPr>
        <w:t>日至</w:t>
      </w:r>
      <w:r w:rsidR="001E1541" w:rsidRPr="003F0DB1">
        <w:rPr>
          <w:rFonts w:cs="Times New Roman"/>
          <w:szCs w:val="24"/>
        </w:rPr>
        <w:t>201</w:t>
      </w:r>
      <w:r w:rsidR="00F95A61" w:rsidRPr="003F0DB1">
        <w:rPr>
          <w:rFonts w:cs="Times New Roman"/>
          <w:szCs w:val="24"/>
        </w:rPr>
        <w:t>8</w:t>
      </w:r>
      <w:r w:rsidRPr="003F0DB1">
        <w:rPr>
          <w:szCs w:val="24"/>
        </w:rPr>
        <w:t>年</w:t>
      </w:r>
      <w:r w:rsidR="00027FD9" w:rsidRPr="003F0DB1">
        <w:rPr>
          <w:szCs w:val="24"/>
        </w:rPr>
        <w:t>9</w:t>
      </w:r>
      <w:r w:rsidRPr="003F0DB1">
        <w:rPr>
          <w:szCs w:val="24"/>
        </w:rPr>
        <w:t>月</w:t>
      </w:r>
      <w:r w:rsidR="00027FD9" w:rsidRPr="003F0DB1">
        <w:rPr>
          <w:szCs w:val="24"/>
        </w:rPr>
        <w:t>7</w:t>
      </w:r>
      <w:r w:rsidRPr="003F0DB1">
        <w:rPr>
          <w:szCs w:val="24"/>
        </w:rPr>
        <w:t>日止为本次清算期间，基金财产清算组对本基金的基金财产进行清算，全部清算工作按清算原则和清算手续进行。具体清算情况如下：</w:t>
      </w:r>
    </w:p>
    <w:p w:rsidR="00583F83" w:rsidRPr="003F0DB1" w:rsidRDefault="00E22DB5" w:rsidP="00296B31">
      <w:pPr>
        <w:numPr>
          <w:ilvl w:val="0"/>
          <w:numId w:val="1"/>
        </w:numPr>
        <w:spacing w:after="167"/>
        <w:ind w:hanging="720"/>
        <w:jc w:val="both"/>
        <w:rPr>
          <w:szCs w:val="24"/>
        </w:rPr>
      </w:pPr>
      <w:r w:rsidRPr="003F0DB1">
        <w:rPr>
          <w:szCs w:val="24"/>
        </w:rPr>
        <w:t>清算费用</w:t>
      </w:r>
    </w:p>
    <w:p w:rsidR="00A269F9" w:rsidRPr="003F0DB1" w:rsidRDefault="00E22DB5" w:rsidP="00296B31">
      <w:pPr>
        <w:spacing w:after="66" w:line="365" w:lineRule="auto"/>
        <w:ind w:left="-15" w:firstLine="480"/>
        <w:jc w:val="both"/>
        <w:rPr>
          <w:szCs w:val="24"/>
        </w:rPr>
      </w:pPr>
      <w:r w:rsidRPr="003F0DB1">
        <w:rPr>
          <w:szCs w:val="24"/>
        </w:rPr>
        <w:t>清算费用是指基金财产清算组在进行基金财产清算过程中发生的所有合理费用，包括</w:t>
      </w:r>
      <w:r w:rsidR="00A0264D" w:rsidRPr="003F0DB1">
        <w:rPr>
          <w:szCs w:val="24"/>
        </w:rPr>
        <w:t>支付给会计师事务所、律师事务所的费用，分配基金剩余财产的手续费</w:t>
      </w:r>
      <w:r w:rsidRPr="003F0DB1">
        <w:rPr>
          <w:szCs w:val="24"/>
        </w:rPr>
        <w:t>等，根据基金合同的规定，清算费用由基金财产清算组优先从基金财产中支付。</w:t>
      </w:r>
    </w:p>
    <w:p w:rsidR="00583F83" w:rsidRPr="003F0DB1" w:rsidRDefault="00E22DB5" w:rsidP="00296B31">
      <w:pPr>
        <w:numPr>
          <w:ilvl w:val="0"/>
          <w:numId w:val="1"/>
        </w:numPr>
        <w:spacing w:after="199"/>
        <w:ind w:hanging="720"/>
        <w:jc w:val="both"/>
        <w:rPr>
          <w:szCs w:val="24"/>
        </w:rPr>
      </w:pPr>
      <w:r w:rsidRPr="003F0DB1">
        <w:rPr>
          <w:szCs w:val="24"/>
        </w:rPr>
        <w:t>资产清算情况</w:t>
      </w:r>
    </w:p>
    <w:p w:rsidR="00583F83" w:rsidRPr="003F0DB1" w:rsidRDefault="00E22DB5" w:rsidP="00296B31">
      <w:pPr>
        <w:spacing w:after="35" w:line="386" w:lineRule="auto"/>
        <w:ind w:left="-15" w:firstLine="480"/>
        <w:jc w:val="both"/>
        <w:rPr>
          <w:szCs w:val="24"/>
        </w:rPr>
      </w:pPr>
      <w:r w:rsidRPr="003F0DB1">
        <w:rPr>
          <w:szCs w:val="24"/>
        </w:rPr>
        <w:t>截至本次清算期结束日（</w:t>
      </w:r>
      <w:r w:rsidR="00634ADB" w:rsidRPr="003F0DB1">
        <w:rPr>
          <w:rFonts w:cs="Times New Roman"/>
          <w:szCs w:val="24"/>
        </w:rPr>
        <w:t>201</w:t>
      </w:r>
      <w:r w:rsidR="006C0FFC" w:rsidRPr="003F0DB1">
        <w:rPr>
          <w:rFonts w:cs="Times New Roman"/>
          <w:szCs w:val="24"/>
        </w:rPr>
        <w:t>8</w:t>
      </w:r>
      <w:r w:rsidRPr="003F0DB1">
        <w:rPr>
          <w:szCs w:val="24"/>
        </w:rPr>
        <w:t>年</w:t>
      </w:r>
      <w:r w:rsidR="00027FD9" w:rsidRPr="003F0DB1">
        <w:rPr>
          <w:szCs w:val="24"/>
        </w:rPr>
        <w:t>9</w:t>
      </w:r>
      <w:r w:rsidRPr="003F0DB1">
        <w:rPr>
          <w:szCs w:val="24"/>
        </w:rPr>
        <w:t>月</w:t>
      </w:r>
      <w:r w:rsidR="00027FD9" w:rsidRPr="003F0DB1">
        <w:rPr>
          <w:szCs w:val="24"/>
        </w:rPr>
        <w:t>7</w:t>
      </w:r>
      <w:r w:rsidRPr="003F0DB1">
        <w:rPr>
          <w:szCs w:val="24"/>
        </w:rPr>
        <w:t>日），部分资产尚未收回。</w:t>
      </w:r>
      <w:r w:rsidR="00A21300" w:rsidRPr="003F0DB1">
        <w:rPr>
          <w:szCs w:val="24"/>
        </w:rPr>
        <w:t>根据基金管理人2018年8月10日发布的《关于</w:t>
      </w:r>
      <w:r w:rsidR="00A21300" w:rsidRPr="003F0DB1">
        <w:rPr>
          <w:rFonts w:hint="eastAsia"/>
          <w:szCs w:val="24"/>
        </w:rPr>
        <w:t>泰达宏利信用合利定期开放</w:t>
      </w:r>
      <w:r w:rsidR="00A21300" w:rsidRPr="003F0DB1">
        <w:rPr>
          <w:szCs w:val="24"/>
        </w:rPr>
        <w:t>债券型证券投资基金</w:t>
      </w:r>
      <w:r w:rsidR="00A21300" w:rsidRPr="003F0DB1">
        <w:rPr>
          <w:rFonts w:hint="eastAsia"/>
          <w:szCs w:val="24"/>
        </w:rPr>
        <w:t>基金</w:t>
      </w:r>
      <w:r w:rsidR="00A21300" w:rsidRPr="003F0DB1">
        <w:rPr>
          <w:szCs w:val="24"/>
        </w:rPr>
        <w:t>合同终止及财产清算的公告》，为了提高清算效率，及时向基金份额持有人分配剩余财产，基金管理人以自有资金对该部分资产进行垫付。</w:t>
      </w:r>
      <w:r w:rsidRPr="003F0DB1">
        <w:rPr>
          <w:szCs w:val="24"/>
        </w:rPr>
        <w:t>各项资产清算情况如下：</w:t>
      </w:r>
    </w:p>
    <w:p w:rsidR="00583F83" w:rsidRPr="003F0DB1" w:rsidRDefault="00E22DB5" w:rsidP="00296B31">
      <w:pPr>
        <w:numPr>
          <w:ilvl w:val="0"/>
          <w:numId w:val="2"/>
        </w:numPr>
        <w:spacing w:line="409" w:lineRule="auto"/>
        <w:ind w:firstLine="480"/>
        <w:jc w:val="both"/>
        <w:rPr>
          <w:szCs w:val="24"/>
        </w:rPr>
      </w:pPr>
      <w:r w:rsidRPr="003F0DB1">
        <w:rPr>
          <w:szCs w:val="24"/>
        </w:rPr>
        <w:t>本基金最后运作日</w:t>
      </w:r>
      <w:r w:rsidR="0031233C" w:rsidRPr="003F0DB1">
        <w:rPr>
          <w:rFonts w:hint="eastAsia"/>
          <w:szCs w:val="24"/>
        </w:rPr>
        <w:t>结算备付金</w:t>
      </w:r>
      <w:r w:rsidRPr="003F0DB1">
        <w:rPr>
          <w:szCs w:val="24"/>
        </w:rPr>
        <w:t>为人民币</w:t>
      </w:r>
      <w:r w:rsidR="009B5D93" w:rsidRPr="003F0DB1">
        <w:rPr>
          <w:szCs w:val="24"/>
        </w:rPr>
        <w:t>609,090.91</w:t>
      </w:r>
      <w:r w:rsidRPr="003F0DB1">
        <w:rPr>
          <w:szCs w:val="24"/>
        </w:rPr>
        <w:t>元，</w:t>
      </w:r>
      <w:r w:rsidR="00ED05B4" w:rsidRPr="003F0DB1">
        <w:rPr>
          <w:szCs w:val="24"/>
        </w:rPr>
        <w:t>该款项已于</w:t>
      </w:r>
      <w:r w:rsidR="0031233C" w:rsidRPr="003F0DB1">
        <w:rPr>
          <w:rFonts w:cs="Times New Roman"/>
          <w:szCs w:val="24"/>
        </w:rPr>
        <w:t>2018</w:t>
      </w:r>
      <w:r w:rsidR="00ED05B4" w:rsidRPr="003F0DB1">
        <w:rPr>
          <w:szCs w:val="24"/>
        </w:rPr>
        <w:t>年</w:t>
      </w:r>
      <w:r w:rsidR="00027FD9" w:rsidRPr="003F0DB1">
        <w:rPr>
          <w:szCs w:val="24"/>
        </w:rPr>
        <w:t>9</w:t>
      </w:r>
      <w:r w:rsidR="00ED05B4" w:rsidRPr="003F0DB1">
        <w:rPr>
          <w:szCs w:val="24"/>
        </w:rPr>
        <w:t>月</w:t>
      </w:r>
      <w:r w:rsidR="00027FD9" w:rsidRPr="003F0DB1">
        <w:rPr>
          <w:szCs w:val="24"/>
        </w:rPr>
        <w:t>4</w:t>
      </w:r>
      <w:r w:rsidR="00ED05B4" w:rsidRPr="003F0DB1">
        <w:rPr>
          <w:szCs w:val="24"/>
        </w:rPr>
        <w:t>日</w:t>
      </w:r>
      <w:r w:rsidR="008B3E0D">
        <w:rPr>
          <w:rFonts w:hint="eastAsia"/>
          <w:szCs w:val="24"/>
        </w:rPr>
        <w:t>由</w:t>
      </w:r>
      <w:r w:rsidR="008B3E0D">
        <w:rPr>
          <w:szCs w:val="24"/>
        </w:rPr>
        <w:t>交易所备付金账户</w:t>
      </w:r>
      <w:r w:rsidR="00634ADB" w:rsidRPr="003F0DB1">
        <w:rPr>
          <w:rFonts w:hint="eastAsia"/>
          <w:szCs w:val="24"/>
        </w:rPr>
        <w:t>划入</w:t>
      </w:r>
      <w:r w:rsidR="00634ADB" w:rsidRPr="003F0DB1">
        <w:rPr>
          <w:szCs w:val="24"/>
        </w:rPr>
        <w:t>托管账户</w:t>
      </w:r>
      <w:r w:rsidRPr="003F0DB1">
        <w:rPr>
          <w:szCs w:val="24"/>
        </w:rPr>
        <w:t>。</w:t>
      </w:r>
    </w:p>
    <w:p w:rsidR="0031233C" w:rsidRPr="003F0DB1" w:rsidRDefault="0031233C" w:rsidP="00296B31">
      <w:pPr>
        <w:numPr>
          <w:ilvl w:val="0"/>
          <w:numId w:val="2"/>
        </w:numPr>
        <w:spacing w:line="385" w:lineRule="auto"/>
        <w:ind w:firstLine="480"/>
        <w:jc w:val="both"/>
        <w:rPr>
          <w:szCs w:val="24"/>
        </w:rPr>
      </w:pPr>
      <w:r w:rsidRPr="003F0DB1">
        <w:rPr>
          <w:rFonts w:hint="eastAsia"/>
          <w:szCs w:val="24"/>
        </w:rPr>
        <w:t>本基金最后</w:t>
      </w:r>
      <w:r w:rsidRPr="003F0DB1">
        <w:rPr>
          <w:szCs w:val="24"/>
        </w:rPr>
        <w:t>运作日存出保证金为人民币</w:t>
      </w:r>
      <w:r w:rsidR="001E7294" w:rsidRPr="003F0DB1">
        <w:rPr>
          <w:szCs w:val="24"/>
        </w:rPr>
        <w:t>8,399.12</w:t>
      </w:r>
      <w:r w:rsidRPr="003F0DB1">
        <w:rPr>
          <w:szCs w:val="24"/>
        </w:rPr>
        <w:t>元，该款项已于</w:t>
      </w:r>
      <w:r w:rsidRPr="003F0DB1">
        <w:rPr>
          <w:rFonts w:cs="Times New Roman"/>
          <w:szCs w:val="24"/>
        </w:rPr>
        <w:t>2018</w:t>
      </w:r>
      <w:r w:rsidRPr="003F0DB1">
        <w:rPr>
          <w:szCs w:val="24"/>
        </w:rPr>
        <w:t>年</w:t>
      </w:r>
      <w:r w:rsidR="00027FD9" w:rsidRPr="003F0DB1">
        <w:rPr>
          <w:szCs w:val="24"/>
        </w:rPr>
        <w:t>9</w:t>
      </w:r>
      <w:r w:rsidRPr="003F0DB1">
        <w:rPr>
          <w:szCs w:val="24"/>
        </w:rPr>
        <w:t>月</w:t>
      </w:r>
      <w:r w:rsidR="00027FD9" w:rsidRPr="003F0DB1">
        <w:rPr>
          <w:szCs w:val="24"/>
        </w:rPr>
        <w:t>4</w:t>
      </w:r>
      <w:r w:rsidRPr="003F0DB1">
        <w:rPr>
          <w:szCs w:val="24"/>
        </w:rPr>
        <w:t>日</w:t>
      </w:r>
      <w:r w:rsidR="008B3E0D">
        <w:rPr>
          <w:rFonts w:hint="eastAsia"/>
          <w:szCs w:val="24"/>
        </w:rPr>
        <w:t>由</w:t>
      </w:r>
      <w:r w:rsidR="008B3E0D">
        <w:rPr>
          <w:szCs w:val="24"/>
        </w:rPr>
        <w:t>交易所备付金账户</w:t>
      </w:r>
      <w:r w:rsidRPr="003F0DB1">
        <w:rPr>
          <w:rFonts w:hint="eastAsia"/>
          <w:szCs w:val="24"/>
        </w:rPr>
        <w:t>划入</w:t>
      </w:r>
      <w:r w:rsidRPr="003F0DB1">
        <w:rPr>
          <w:szCs w:val="24"/>
        </w:rPr>
        <w:t>托管账户。</w:t>
      </w:r>
    </w:p>
    <w:p w:rsidR="00C056D9" w:rsidRPr="001E4431" w:rsidRDefault="00E22DB5" w:rsidP="001E4431">
      <w:pPr>
        <w:numPr>
          <w:ilvl w:val="0"/>
          <w:numId w:val="2"/>
        </w:numPr>
        <w:spacing w:line="385" w:lineRule="auto"/>
        <w:ind w:firstLine="480"/>
        <w:jc w:val="both"/>
        <w:rPr>
          <w:szCs w:val="24"/>
        </w:rPr>
      </w:pPr>
      <w:r w:rsidRPr="003F0DB1">
        <w:rPr>
          <w:szCs w:val="24"/>
        </w:rPr>
        <w:t>本基金最后运作日应收利息为人民币</w:t>
      </w:r>
      <w:r w:rsidR="001E7294" w:rsidRPr="003F0DB1">
        <w:rPr>
          <w:szCs w:val="24"/>
        </w:rPr>
        <w:t>14,877.90</w:t>
      </w:r>
      <w:r w:rsidRPr="003F0DB1">
        <w:rPr>
          <w:szCs w:val="24"/>
        </w:rPr>
        <w:t>元</w:t>
      </w:r>
      <w:r w:rsidR="00F74981" w:rsidRPr="003F0DB1">
        <w:rPr>
          <w:rFonts w:hint="eastAsia"/>
          <w:szCs w:val="24"/>
        </w:rPr>
        <w:t>。其中</w:t>
      </w:r>
      <w:r w:rsidR="00F74981" w:rsidRPr="003F0DB1">
        <w:rPr>
          <w:szCs w:val="24"/>
        </w:rPr>
        <w:t>应收活期银行存款利息</w:t>
      </w:r>
      <w:r w:rsidR="00E54B91" w:rsidRPr="003F0DB1">
        <w:rPr>
          <w:rFonts w:hint="eastAsia"/>
          <w:szCs w:val="24"/>
        </w:rPr>
        <w:t>为</w:t>
      </w:r>
      <w:r w:rsidR="00E54B91" w:rsidRPr="003F0DB1">
        <w:rPr>
          <w:szCs w:val="24"/>
        </w:rPr>
        <w:t>人民币</w:t>
      </w:r>
      <w:r w:rsidR="001E7294" w:rsidRPr="003F0DB1">
        <w:rPr>
          <w:szCs w:val="24"/>
        </w:rPr>
        <w:t>14,155.20</w:t>
      </w:r>
      <w:r w:rsidR="00E54B91" w:rsidRPr="003F0DB1">
        <w:rPr>
          <w:rFonts w:hint="eastAsia"/>
          <w:szCs w:val="24"/>
        </w:rPr>
        <w:t>元</w:t>
      </w:r>
      <w:r w:rsidR="00E54B91" w:rsidRPr="003F0DB1">
        <w:rPr>
          <w:szCs w:val="24"/>
        </w:rPr>
        <w:t>，应收备付金利息为人民币</w:t>
      </w:r>
      <w:r w:rsidR="001E7294" w:rsidRPr="003F0DB1">
        <w:rPr>
          <w:szCs w:val="24"/>
        </w:rPr>
        <w:t>712.55</w:t>
      </w:r>
      <w:r w:rsidR="00E54B91" w:rsidRPr="003F0DB1">
        <w:rPr>
          <w:rFonts w:hint="eastAsia"/>
          <w:szCs w:val="24"/>
        </w:rPr>
        <w:t>元</w:t>
      </w:r>
      <w:r w:rsidR="00E54B91" w:rsidRPr="003F0DB1">
        <w:rPr>
          <w:szCs w:val="24"/>
        </w:rPr>
        <w:t>，应收保证金利息为人民币</w:t>
      </w:r>
      <w:r w:rsidR="001E7294" w:rsidRPr="003F0DB1">
        <w:rPr>
          <w:szCs w:val="24"/>
        </w:rPr>
        <w:t>10.15</w:t>
      </w:r>
      <w:r w:rsidR="00E54B91" w:rsidRPr="003F0DB1">
        <w:rPr>
          <w:rFonts w:hint="eastAsia"/>
          <w:szCs w:val="24"/>
        </w:rPr>
        <w:t>元</w:t>
      </w:r>
      <w:r w:rsidR="00015A39" w:rsidRPr="003F0DB1">
        <w:rPr>
          <w:rFonts w:hint="eastAsia"/>
          <w:szCs w:val="24"/>
        </w:rPr>
        <w:t>。</w:t>
      </w:r>
      <w:r w:rsidR="004F413E" w:rsidRPr="003F0DB1">
        <w:rPr>
          <w:szCs w:val="24"/>
        </w:rPr>
        <w:t>为加快清算速度，</w:t>
      </w:r>
      <w:r w:rsidRPr="003F0DB1">
        <w:rPr>
          <w:szCs w:val="24"/>
        </w:rPr>
        <w:t>基金管理人</w:t>
      </w:r>
      <w:r w:rsidR="004F413E" w:rsidRPr="003F0DB1">
        <w:rPr>
          <w:rFonts w:hint="eastAsia"/>
          <w:szCs w:val="24"/>
        </w:rPr>
        <w:t>将</w:t>
      </w:r>
      <w:r w:rsidRPr="003F0DB1">
        <w:rPr>
          <w:szCs w:val="24"/>
        </w:rPr>
        <w:t xml:space="preserve">以自有资金垫付至托管账户。 </w:t>
      </w:r>
    </w:p>
    <w:p w:rsidR="00583F83" w:rsidRPr="003F0DB1" w:rsidRDefault="00E22DB5" w:rsidP="00296B31">
      <w:pPr>
        <w:spacing w:after="198"/>
        <w:ind w:left="490"/>
        <w:jc w:val="both"/>
        <w:rPr>
          <w:szCs w:val="24"/>
        </w:rPr>
      </w:pPr>
      <w:r w:rsidRPr="003F0DB1">
        <w:rPr>
          <w:szCs w:val="24"/>
        </w:rPr>
        <w:t>（三）负债清偿情况</w:t>
      </w:r>
    </w:p>
    <w:p w:rsidR="00583F83" w:rsidRPr="003F0DB1" w:rsidRDefault="00E22DB5" w:rsidP="00296B31">
      <w:pPr>
        <w:numPr>
          <w:ilvl w:val="0"/>
          <w:numId w:val="5"/>
        </w:numPr>
        <w:spacing w:line="404" w:lineRule="auto"/>
        <w:ind w:firstLine="480"/>
        <w:jc w:val="both"/>
        <w:rPr>
          <w:szCs w:val="24"/>
        </w:rPr>
      </w:pPr>
      <w:r w:rsidRPr="003F0DB1">
        <w:rPr>
          <w:szCs w:val="24"/>
        </w:rPr>
        <w:t>本基金最后运作日应付管理人报酬为人民币</w:t>
      </w:r>
      <w:r w:rsidR="001D0730" w:rsidRPr="003F0DB1">
        <w:rPr>
          <w:szCs w:val="24"/>
        </w:rPr>
        <w:t>4,525.49</w:t>
      </w:r>
      <w:r w:rsidRPr="003F0DB1">
        <w:rPr>
          <w:szCs w:val="24"/>
        </w:rPr>
        <w:t>元，该款项已于</w:t>
      </w:r>
      <w:r w:rsidR="008B76DE" w:rsidRPr="003F0DB1">
        <w:rPr>
          <w:rFonts w:cs="Times New Roman"/>
          <w:szCs w:val="24"/>
        </w:rPr>
        <w:t>2018</w:t>
      </w:r>
      <w:r w:rsidR="00CB3F0A" w:rsidRPr="003F0DB1">
        <w:rPr>
          <w:szCs w:val="24"/>
        </w:rPr>
        <w:t>年</w:t>
      </w:r>
      <w:r w:rsidR="0097352C" w:rsidRPr="003F0DB1">
        <w:rPr>
          <w:szCs w:val="24"/>
        </w:rPr>
        <w:t>9</w:t>
      </w:r>
      <w:r w:rsidR="00CB3F0A" w:rsidRPr="003F0DB1">
        <w:rPr>
          <w:szCs w:val="24"/>
        </w:rPr>
        <w:t>月</w:t>
      </w:r>
      <w:r w:rsidR="0097352C" w:rsidRPr="003F0DB1">
        <w:rPr>
          <w:szCs w:val="24"/>
        </w:rPr>
        <w:t>5</w:t>
      </w:r>
      <w:r w:rsidRPr="003F0DB1">
        <w:rPr>
          <w:szCs w:val="24"/>
        </w:rPr>
        <w:t>日支付。</w:t>
      </w:r>
    </w:p>
    <w:p w:rsidR="00583F83" w:rsidRPr="003F0DB1" w:rsidRDefault="00E22DB5" w:rsidP="00296B31">
      <w:pPr>
        <w:numPr>
          <w:ilvl w:val="0"/>
          <w:numId w:val="5"/>
        </w:numPr>
        <w:spacing w:line="407" w:lineRule="auto"/>
        <w:ind w:firstLine="480"/>
        <w:jc w:val="both"/>
        <w:rPr>
          <w:szCs w:val="24"/>
        </w:rPr>
      </w:pPr>
      <w:r w:rsidRPr="003F0DB1">
        <w:rPr>
          <w:szCs w:val="24"/>
        </w:rPr>
        <w:t>本基金最后运作日应付托管费为人民币</w:t>
      </w:r>
      <w:r w:rsidR="00CD347B" w:rsidRPr="003F0DB1">
        <w:rPr>
          <w:szCs w:val="24"/>
        </w:rPr>
        <w:t>1,810.18</w:t>
      </w:r>
      <w:r w:rsidRPr="003F0DB1">
        <w:rPr>
          <w:szCs w:val="24"/>
        </w:rPr>
        <w:t>元，该款项已于</w:t>
      </w:r>
      <w:r w:rsidR="0097352C" w:rsidRPr="003F0DB1">
        <w:rPr>
          <w:rFonts w:cs="Times New Roman"/>
          <w:szCs w:val="24"/>
        </w:rPr>
        <w:t>2018</w:t>
      </w:r>
      <w:r w:rsidR="0097352C" w:rsidRPr="003F0DB1">
        <w:rPr>
          <w:rFonts w:cs="Times New Roman" w:hint="eastAsia"/>
          <w:szCs w:val="24"/>
        </w:rPr>
        <w:t>年</w:t>
      </w:r>
      <w:r w:rsidR="0097352C" w:rsidRPr="003F0DB1">
        <w:rPr>
          <w:rFonts w:cs="Times New Roman"/>
          <w:szCs w:val="24"/>
        </w:rPr>
        <w:t>9月5日</w:t>
      </w:r>
      <w:r w:rsidRPr="003F0DB1">
        <w:rPr>
          <w:szCs w:val="24"/>
        </w:rPr>
        <w:t>支付。</w:t>
      </w:r>
    </w:p>
    <w:p w:rsidR="00583F83" w:rsidRPr="003F0DB1" w:rsidRDefault="00E22DB5" w:rsidP="00296B31">
      <w:pPr>
        <w:numPr>
          <w:ilvl w:val="0"/>
          <w:numId w:val="5"/>
        </w:numPr>
        <w:spacing w:line="408" w:lineRule="auto"/>
        <w:ind w:firstLine="480"/>
        <w:jc w:val="both"/>
        <w:rPr>
          <w:szCs w:val="24"/>
        </w:rPr>
      </w:pPr>
      <w:r w:rsidRPr="003F0DB1">
        <w:rPr>
          <w:szCs w:val="24"/>
        </w:rPr>
        <w:t>本基金最后运作日</w:t>
      </w:r>
      <w:r w:rsidR="004B0F8D" w:rsidRPr="003F0DB1">
        <w:rPr>
          <w:rFonts w:hint="eastAsia"/>
          <w:szCs w:val="24"/>
        </w:rPr>
        <w:t>应付赎回款</w:t>
      </w:r>
      <w:r w:rsidRPr="003F0DB1">
        <w:rPr>
          <w:szCs w:val="24"/>
        </w:rPr>
        <w:t>为人民币</w:t>
      </w:r>
      <w:r w:rsidR="00CD347B" w:rsidRPr="003F0DB1">
        <w:rPr>
          <w:szCs w:val="24"/>
        </w:rPr>
        <w:t>407,637.08</w:t>
      </w:r>
      <w:r w:rsidRPr="003F0DB1">
        <w:rPr>
          <w:szCs w:val="24"/>
        </w:rPr>
        <w:t>元，</w:t>
      </w:r>
      <w:r w:rsidR="0097352C" w:rsidRPr="003F0DB1">
        <w:rPr>
          <w:szCs w:val="24"/>
        </w:rPr>
        <w:t>该款项</w:t>
      </w:r>
      <w:r w:rsidR="008B3E0D">
        <w:rPr>
          <w:rFonts w:hint="eastAsia"/>
          <w:szCs w:val="24"/>
        </w:rPr>
        <w:t>分别</w:t>
      </w:r>
      <w:r w:rsidR="0097352C" w:rsidRPr="003F0DB1">
        <w:rPr>
          <w:szCs w:val="24"/>
        </w:rPr>
        <w:t>于</w:t>
      </w:r>
      <w:r w:rsidR="0097352C" w:rsidRPr="003F0DB1">
        <w:rPr>
          <w:rFonts w:cs="Times New Roman"/>
          <w:szCs w:val="24"/>
        </w:rPr>
        <w:t>2018</w:t>
      </w:r>
      <w:r w:rsidR="0097352C" w:rsidRPr="003F0DB1">
        <w:rPr>
          <w:szCs w:val="24"/>
        </w:rPr>
        <w:t>年</w:t>
      </w:r>
      <w:r w:rsidR="0097352C" w:rsidRPr="003F0DB1">
        <w:rPr>
          <w:rFonts w:cs="Times New Roman"/>
          <w:szCs w:val="24"/>
        </w:rPr>
        <w:t>8</w:t>
      </w:r>
      <w:r w:rsidR="0097352C" w:rsidRPr="003F0DB1">
        <w:rPr>
          <w:szCs w:val="24"/>
        </w:rPr>
        <w:t>月</w:t>
      </w:r>
      <w:r w:rsidR="0097352C" w:rsidRPr="003F0DB1">
        <w:rPr>
          <w:rFonts w:cs="Times New Roman"/>
          <w:szCs w:val="24"/>
        </w:rPr>
        <w:t>10</w:t>
      </w:r>
      <w:r w:rsidR="0097352C" w:rsidRPr="003F0DB1">
        <w:rPr>
          <w:szCs w:val="24"/>
        </w:rPr>
        <w:t>日</w:t>
      </w:r>
      <w:r w:rsidR="0097352C" w:rsidRPr="003F0DB1">
        <w:rPr>
          <w:rFonts w:hint="eastAsia"/>
          <w:szCs w:val="24"/>
        </w:rPr>
        <w:t>和</w:t>
      </w:r>
      <w:r w:rsidR="0097352C" w:rsidRPr="003F0DB1">
        <w:rPr>
          <w:szCs w:val="24"/>
        </w:rPr>
        <w:t>2018年8月13日支付</w:t>
      </w:r>
      <w:r w:rsidRPr="003F0DB1">
        <w:rPr>
          <w:szCs w:val="24"/>
        </w:rPr>
        <w:t>。</w:t>
      </w:r>
    </w:p>
    <w:p w:rsidR="00CD347B" w:rsidRPr="003F0DB1" w:rsidRDefault="00CD347B" w:rsidP="00296B31">
      <w:pPr>
        <w:numPr>
          <w:ilvl w:val="0"/>
          <w:numId w:val="5"/>
        </w:numPr>
        <w:spacing w:line="408" w:lineRule="auto"/>
        <w:ind w:firstLine="480"/>
        <w:jc w:val="both"/>
        <w:rPr>
          <w:szCs w:val="24"/>
        </w:rPr>
      </w:pPr>
      <w:r w:rsidRPr="003F0DB1">
        <w:rPr>
          <w:szCs w:val="24"/>
        </w:rPr>
        <w:t>本基金最后运作日应付</w:t>
      </w:r>
      <w:r w:rsidRPr="003F0DB1">
        <w:rPr>
          <w:rFonts w:hint="eastAsia"/>
          <w:szCs w:val="24"/>
        </w:rPr>
        <w:t>销售服务费</w:t>
      </w:r>
      <w:r w:rsidRPr="003F0DB1">
        <w:rPr>
          <w:szCs w:val="24"/>
        </w:rPr>
        <w:t>为人民币422.30元，该款项已于</w:t>
      </w:r>
      <w:r w:rsidRPr="003F0DB1">
        <w:rPr>
          <w:rFonts w:cs="Times New Roman"/>
          <w:szCs w:val="24"/>
        </w:rPr>
        <w:t>2018</w:t>
      </w:r>
      <w:r w:rsidRPr="003F0DB1">
        <w:rPr>
          <w:szCs w:val="24"/>
        </w:rPr>
        <w:t>年</w:t>
      </w:r>
      <w:r w:rsidR="0097352C" w:rsidRPr="003F0DB1">
        <w:rPr>
          <w:rFonts w:cs="Times New Roman"/>
          <w:szCs w:val="24"/>
        </w:rPr>
        <w:t>9</w:t>
      </w:r>
      <w:r w:rsidRPr="003F0DB1">
        <w:rPr>
          <w:szCs w:val="24"/>
        </w:rPr>
        <w:t>月</w:t>
      </w:r>
      <w:r w:rsidR="0097352C" w:rsidRPr="003F0DB1">
        <w:rPr>
          <w:rFonts w:cs="Times New Roman"/>
          <w:szCs w:val="24"/>
        </w:rPr>
        <w:t>5</w:t>
      </w:r>
      <w:r w:rsidRPr="003F0DB1">
        <w:rPr>
          <w:szCs w:val="24"/>
        </w:rPr>
        <w:t>日支付。</w:t>
      </w:r>
    </w:p>
    <w:p w:rsidR="007D0BBF" w:rsidRPr="003F0DB1" w:rsidRDefault="007D0BBF" w:rsidP="00296B31">
      <w:pPr>
        <w:numPr>
          <w:ilvl w:val="0"/>
          <w:numId w:val="5"/>
        </w:numPr>
        <w:spacing w:line="408" w:lineRule="auto"/>
        <w:ind w:firstLine="480"/>
        <w:jc w:val="both"/>
        <w:rPr>
          <w:szCs w:val="24"/>
        </w:rPr>
      </w:pPr>
      <w:r w:rsidRPr="003F0DB1">
        <w:rPr>
          <w:rFonts w:hint="eastAsia"/>
          <w:szCs w:val="24"/>
        </w:rPr>
        <w:t>本基金最后</w:t>
      </w:r>
      <w:r w:rsidRPr="003F0DB1">
        <w:rPr>
          <w:szCs w:val="24"/>
        </w:rPr>
        <w:t>运作日</w:t>
      </w:r>
      <w:r w:rsidRPr="003F0DB1">
        <w:rPr>
          <w:rFonts w:hint="eastAsia"/>
          <w:szCs w:val="24"/>
        </w:rPr>
        <w:t>应付</w:t>
      </w:r>
      <w:r w:rsidRPr="003F0DB1">
        <w:rPr>
          <w:szCs w:val="24"/>
        </w:rPr>
        <w:t>交易费用为人民币</w:t>
      </w:r>
      <w:r w:rsidR="00BC2CBE" w:rsidRPr="003F0DB1">
        <w:rPr>
          <w:szCs w:val="24"/>
        </w:rPr>
        <w:t>2,572.62</w:t>
      </w:r>
      <w:r w:rsidRPr="003F0DB1">
        <w:rPr>
          <w:rFonts w:hint="eastAsia"/>
          <w:szCs w:val="24"/>
        </w:rPr>
        <w:t>元</w:t>
      </w:r>
      <w:r w:rsidRPr="003F0DB1">
        <w:rPr>
          <w:szCs w:val="24"/>
        </w:rPr>
        <w:t>，</w:t>
      </w:r>
      <w:r w:rsidR="00751359" w:rsidRPr="003F0DB1">
        <w:rPr>
          <w:rFonts w:hint="eastAsia"/>
          <w:szCs w:val="24"/>
        </w:rPr>
        <w:t>全部为</w:t>
      </w:r>
      <w:r w:rsidR="000110AB" w:rsidRPr="003F0DB1">
        <w:rPr>
          <w:szCs w:val="24"/>
        </w:rPr>
        <w:t>应付</w:t>
      </w:r>
      <w:r w:rsidR="000110AB" w:rsidRPr="003F0DB1">
        <w:rPr>
          <w:rFonts w:hint="eastAsia"/>
          <w:szCs w:val="24"/>
        </w:rPr>
        <w:t>银行间</w:t>
      </w:r>
      <w:r w:rsidR="00751359" w:rsidRPr="003F0DB1">
        <w:rPr>
          <w:szCs w:val="24"/>
        </w:rPr>
        <w:t>交易费用</w:t>
      </w:r>
      <w:r w:rsidR="00751359" w:rsidRPr="003F0DB1">
        <w:rPr>
          <w:rFonts w:hint="eastAsia"/>
          <w:szCs w:val="24"/>
        </w:rPr>
        <w:t>，</w:t>
      </w:r>
      <w:r w:rsidRPr="003F0DB1">
        <w:rPr>
          <w:rFonts w:hint="eastAsia"/>
          <w:szCs w:val="24"/>
        </w:rPr>
        <w:t>该</w:t>
      </w:r>
      <w:r w:rsidR="008B3E0D">
        <w:rPr>
          <w:szCs w:val="24"/>
        </w:rPr>
        <w:t>款项</w:t>
      </w:r>
      <w:r w:rsidR="0093765D" w:rsidRPr="003F0DB1">
        <w:rPr>
          <w:rFonts w:hint="eastAsia"/>
          <w:szCs w:val="24"/>
        </w:rPr>
        <w:t>分别</w:t>
      </w:r>
      <w:r w:rsidRPr="003F0DB1">
        <w:rPr>
          <w:szCs w:val="24"/>
        </w:rPr>
        <w:t>于</w:t>
      </w:r>
      <w:r w:rsidR="0093765D" w:rsidRPr="003F0DB1">
        <w:rPr>
          <w:szCs w:val="24"/>
        </w:rPr>
        <w:t>2018年8月27日和</w:t>
      </w:r>
      <w:r w:rsidRPr="003F0DB1">
        <w:rPr>
          <w:szCs w:val="24"/>
        </w:rPr>
        <w:t>2018年</w:t>
      </w:r>
      <w:r w:rsidR="0093765D" w:rsidRPr="003F0DB1">
        <w:rPr>
          <w:szCs w:val="24"/>
        </w:rPr>
        <w:t>8</w:t>
      </w:r>
      <w:r w:rsidRPr="003F0DB1">
        <w:rPr>
          <w:rFonts w:hint="eastAsia"/>
          <w:szCs w:val="24"/>
        </w:rPr>
        <w:t>月</w:t>
      </w:r>
      <w:r w:rsidR="0093765D" w:rsidRPr="003F0DB1">
        <w:rPr>
          <w:szCs w:val="24"/>
        </w:rPr>
        <w:t>29</w:t>
      </w:r>
      <w:r w:rsidRPr="003F0DB1">
        <w:rPr>
          <w:rFonts w:hint="eastAsia"/>
          <w:szCs w:val="24"/>
        </w:rPr>
        <w:t>日</w:t>
      </w:r>
      <w:r w:rsidRPr="003F0DB1">
        <w:rPr>
          <w:szCs w:val="24"/>
        </w:rPr>
        <w:t>支付。</w:t>
      </w:r>
    </w:p>
    <w:p w:rsidR="00A64E68" w:rsidRPr="00364B9A" w:rsidRDefault="00A64E68" w:rsidP="00296B31">
      <w:pPr>
        <w:numPr>
          <w:ilvl w:val="0"/>
          <w:numId w:val="5"/>
        </w:numPr>
        <w:spacing w:line="408" w:lineRule="auto"/>
        <w:ind w:firstLine="480"/>
        <w:jc w:val="both"/>
        <w:rPr>
          <w:szCs w:val="24"/>
        </w:rPr>
      </w:pPr>
      <w:r w:rsidRPr="00364B9A">
        <w:rPr>
          <w:szCs w:val="24"/>
        </w:rPr>
        <w:t>本基金最后运作日</w:t>
      </w:r>
      <w:r w:rsidRPr="00364B9A">
        <w:rPr>
          <w:rFonts w:hint="eastAsia"/>
          <w:szCs w:val="24"/>
        </w:rPr>
        <w:t>应付税费</w:t>
      </w:r>
      <w:r w:rsidRPr="00364B9A">
        <w:rPr>
          <w:szCs w:val="24"/>
        </w:rPr>
        <w:t>为人民币209,478.00元，</w:t>
      </w:r>
      <w:r w:rsidRPr="00364B9A">
        <w:rPr>
          <w:rFonts w:hint="eastAsia"/>
          <w:szCs w:val="24"/>
        </w:rPr>
        <w:t>该款项为债券利息个税，考虑到税务风险，此次不予分配。</w:t>
      </w:r>
    </w:p>
    <w:p w:rsidR="006D0F9A" w:rsidRPr="001E4431" w:rsidRDefault="00E22DB5" w:rsidP="001E4431">
      <w:pPr>
        <w:numPr>
          <w:ilvl w:val="0"/>
          <w:numId w:val="5"/>
        </w:numPr>
        <w:spacing w:line="398" w:lineRule="auto"/>
        <w:ind w:firstLine="480"/>
        <w:jc w:val="both"/>
        <w:rPr>
          <w:szCs w:val="24"/>
        </w:rPr>
      </w:pPr>
      <w:r w:rsidRPr="00364B9A">
        <w:rPr>
          <w:szCs w:val="24"/>
        </w:rPr>
        <w:t>本基金最后运作日其他负债为人民币</w:t>
      </w:r>
      <w:r w:rsidR="00751359" w:rsidRPr="00364B9A">
        <w:rPr>
          <w:szCs w:val="24"/>
        </w:rPr>
        <w:t>72,660.44</w:t>
      </w:r>
      <w:r w:rsidRPr="00364B9A">
        <w:rPr>
          <w:szCs w:val="24"/>
        </w:rPr>
        <w:t>元，包括</w:t>
      </w:r>
      <w:r w:rsidR="00F21053" w:rsidRPr="00364B9A">
        <w:rPr>
          <w:rFonts w:hint="eastAsia"/>
          <w:szCs w:val="24"/>
        </w:rPr>
        <w:t>应付</w:t>
      </w:r>
      <w:r w:rsidR="00F21053" w:rsidRPr="00364B9A">
        <w:rPr>
          <w:szCs w:val="24"/>
        </w:rPr>
        <w:t>信息披露</w:t>
      </w:r>
      <w:r w:rsidR="00F21053" w:rsidRPr="00364B9A">
        <w:rPr>
          <w:rFonts w:hint="eastAsia"/>
          <w:szCs w:val="24"/>
        </w:rPr>
        <w:t>费、</w:t>
      </w:r>
      <w:r w:rsidRPr="00364B9A">
        <w:rPr>
          <w:szCs w:val="24"/>
        </w:rPr>
        <w:t>预提审计费</w:t>
      </w:r>
      <w:r w:rsidR="009D1B4F" w:rsidRPr="00364B9A">
        <w:rPr>
          <w:rFonts w:hint="eastAsia"/>
          <w:szCs w:val="24"/>
        </w:rPr>
        <w:t>和</w:t>
      </w:r>
      <w:r w:rsidR="009D1B4F" w:rsidRPr="00364B9A">
        <w:rPr>
          <w:szCs w:val="24"/>
        </w:rPr>
        <w:t>应付赎回费</w:t>
      </w:r>
      <w:r w:rsidR="004B0F8D" w:rsidRPr="00364B9A">
        <w:rPr>
          <w:rFonts w:hint="eastAsia"/>
          <w:szCs w:val="24"/>
        </w:rPr>
        <w:t>。</w:t>
      </w:r>
      <w:r w:rsidRPr="00364B9A">
        <w:rPr>
          <w:szCs w:val="24"/>
        </w:rPr>
        <w:t>本基金</w:t>
      </w:r>
      <w:r w:rsidR="00E52913" w:rsidRPr="00364B9A">
        <w:rPr>
          <w:rFonts w:hint="eastAsia"/>
          <w:szCs w:val="24"/>
        </w:rPr>
        <w:t>最后</w:t>
      </w:r>
      <w:r w:rsidR="00E52913" w:rsidRPr="00364B9A">
        <w:rPr>
          <w:szCs w:val="24"/>
        </w:rPr>
        <w:t>运作日</w:t>
      </w:r>
      <w:r w:rsidR="00F21053" w:rsidRPr="00364B9A">
        <w:rPr>
          <w:rFonts w:hint="eastAsia"/>
          <w:szCs w:val="24"/>
        </w:rPr>
        <w:t>应付</w:t>
      </w:r>
      <w:r w:rsidR="00F21053" w:rsidRPr="00364B9A">
        <w:rPr>
          <w:szCs w:val="24"/>
        </w:rPr>
        <w:t>信息披露费</w:t>
      </w:r>
      <w:r w:rsidR="00F21053" w:rsidRPr="00364B9A">
        <w:rPr>
          <w:rFonts w:hint="eastAsia"/>
          <w:szCs w:val="24"/>
        </w:rPr>
        <w:t>为人民币</w:t>
      </w:r>
      <w:r w:rsidR="00751359" w:rsidRPr="00364B9A">
        <w:rPr>
          <w:szCs w:val="24"/>
        </w:rPr>
        <w:t>18,166.20</w:t>
      </w:r>
      <w:r w:rsidR="00F21053" w:rsidRPr="00364B9A">
        <w:rPr>
          <w:rFonts w:hint="eastAsia"/>
          <w:szCs w:val="24"/>
        </w:rPr>
        <w:t>元</w:t>
      </w:r>
      <w:r w:rsidR="00F21053" w:rsidRPr="00364B9A">
        <w:rPr>
          <w:szCs w:val="24"/>
        </w:rPr>
        <w:t>，</w:t>
      </w:r>
      <w:r w:rsidR="00F21053" w:rsidRPr="00364B9A">
        <w:rPr>
          <w:rFonts w:hint="eastAsia"/>
          <w:szCs w:val="24"/>
        </w:rPr>
        <w:t>该款项已</w:t>
      </w:r>
      <w:r w:rsidR="00F21053" w:rsidRPr="00364B9A">
        <w:rPr>
          <w:szCs w:val="24"/>
        </w:rPr>
        <w:t>于2018年</w:t>
      </w:r>
      <w:r w:rsidR="0093765D" w:rsidRPr="00364B9A">
        <w:rPr>
          <w:szCs w:val="24"/>
        </w:rPr>
        <w:t>8</w:t>
      </w:r>
      <w:r w:rsidR="00F21053" w:rsidRPr="00364B9A">
        <w:rPr>
          <w:rFonts w:hint="eastAsia"/>
          <w:szCs w:val="24"/>
        </w:rPr>
        <w:t>月</w:t>
      </w:r>
      <w:r w:rsidR="0093765D" w:rsidRPr="00364B9A">
        <w:rPr>
          <w:szCs w:val="24"/>
        </w:rPr>
        <w:t>29</w:t>
      </w:r>
      <w:r w:rsidR="00F21053" w:rsidRPr="00364B9A">
        <w:rPr>
          <w:rFonts w:hint="eastAsia"/>
          <w:szCs w:val="24"/>
        </w:rPr>
        <w:t>日</w:t>
      </w:r>
      <w:r w:rsidR="00F21053" w:rsidRPr="00364B9A">
        <w:rPr>
          <w:szCs w:val="24"/>
        </w:rPr>
        <w:t>支付</w:t>
      </w:r>
      <w:r w:rsidR="00F21053" w:rsidRPr="00364B9A">
        <w:rPr>
          <w:rFonts w:hint="eastAsia"/>
          <w:szCs w:val="24"/>
        </w:rPr>
        <w:t>；</w:t>
      </w:r>
      <w:r w:rsidR="00F21053" w:rsidRPr="00364B9A">
        <w:rPr>
          <w:szCs w:val="24"/>
        </w:rPr>
        <w:t>本基金最后运作日</w:t>
      </w:r>
      <w:r w:rsidRPr="00364B9A">
        <w:rPr>
          <w:szCs w:val="24"/>
        </w:rPr>
        <w:t>预提审计费为预提的</w:t>
      </w:r>
      <w:r w:rsidR="004B0F8D" w:rsidRPr="00364B9A">
        <w:rPr>
          <w:rFonts w:cs="Times New Roman"/>
          <w:szCs w:val="24"/>
        </w:rPr>
        <w:t>201</w:t>
      </w:r>
      <w:r w:rsidR="00751359" w:rsidRPr="00364B9A">
        <w:rPr>
          <w:rFonts w:cs="Times New Roman"/>
          <w:szCs w:val="24"/>
        </w:rPr>
        <w:t>8</w:t>
      </w:r>
      <w:r w:rsidRPr="00364B9A">
        <w:rPr>
          <w:szCs w:val="24"/>
        </w:rPr>
        <w:t>年审计费，金额为人民币</w:t>
      </w:r>
      <w:r w:rsidR="00751359" w:rsidRPr="00364B9A">
        <w:rPr>
          <w:szCs w:val="24"/>
        </w:rPr>
        <w:t>54,494.18</w:t>
      </w:r>
      <w:r w:rsidRPr="00364B9A">
        <w:rPr>
          <w:szCs w:val="24"/>
        </w:rPr>
        <w:t>元，该款项已于</w:t>
      </w:r>
      <w:r w:rsidR="00F21053" w:rsidRPr="00364B9A">
        <w:rPr>
          <w:rFonts w:cs="Times New Roman"/>
          <w:szCs w:val="24"/>
        </w:rPr>
        <w:t>2018</w:t>
      </w:r>
      <w:r w:rsidR="00CB3F0A" w:rsidRPr="00364B9A">
        <w:rPr>
          <w:rFonts w:hint="eastAsia"/>
          <w:szCs w:val="24"/>
        </w:rPr>
        <w:t>年</w:t>
      </w:r>
      <w:r w:rsidR="009D1B4F" w:rsidRPr="00364B9A">
        <w:rPr>
          <w:szCs w:val="24"/>
        </w:rPr>
        <w:t>8</w:t>
      </w:r>
      <w:r w:rsidR="00CB3F0A" w:rsidRPr="00364B9A">
        <w:rPr>
          <w:szCs w:val="24"/>
        </w:rPr>
        <w:t>月</w:t>
      </w:r>
      <w:r w:rsidR="003C7E0A" w:rsidRPr="00364B9A">
        <w:rPr>
          <w:szCs w:val="24"/>
        </w:rPr>
        <w:t>2</w:t>
      </w:r>
      <w:r w:rsidR="009D1B4F" w:rsidRPr="00364B9A">
        <w:rPr>
          <w:szCs w:val="24"/>
        </w:rPr>
        <w:t>0</w:t>
      </w:r>
      <w:r w:rsidRPr="00364B9A">
        <w:rPr>
          <w:szCs w:val="24"/>
        </w:rPr>
        <w:t>日支付</w:t>
      </w:r>
      <w:r w:rsidR="009D1B4F" w:rsidRPr="00364B9A">
        <w:rPr>
          <w:rFonts w:hint="eastAsia"/>
          <w:szCs w:val="24"/>
        </w:rPr>
        <w:t>；</w:t>
      </w:r>
      <w:r w:rsidR="009D1B4F" w:rsidRPr="00364B9A">
        <w:rPr>
          <w:szCs w:val="24"/>
        </w:rPr>
        <w:t>本基金最后运作日</w:t>
      </w:r>
      <w:r w:rsidR="009D1B4F" w:rsidRPr="00364B9A">
        <w:rPr>
          <w:rFonts w:hint="eastAsia"/>
          <w:szCs w:val="24"/>
        </w:rPr>
        <w:t>应付赎回费</w:t>
      </w:r>
      <w:r w:rsidR="009D1B4F" w:rsidRPr="00364B9A">
        <w:rPr>
          <w:szCs w:val="24"/>
        </w:rPr>
        <w:t>为人民币0.06元，该款项</w:t>
      </w:r>
      <w:r w:rsidR="008B3E0D">
        <w:rPr>
          <w:rFonts w:hint="eastAsia"/>
          <w:szCs w:val="24"/>
        </w:rPr>
        <w:t>分别</w:t>
      </w:r>
      <w:r w:rsidR="009D1B4F" w:rsidRPr="00364B9A">
        <w:rPr>
          <w:szCs w:val="24"/>
        </w:rPr>
        <w:t>于</w:t>
      </w:r>
      <w:r w:rsidR="009D1B4F" w:rsidRPr="00364B9A">
        <w:rPr>
          <w:rFonts w:cs="Times New Roman"/>
          <w:szCs w:val="24"/>
        </w:rPr>
        <w:t>2018</w:t>
      </w:r>
      <w:r w:rsidR="009D1B4F" w:rsidRPr="00364B9A">
        <w:rPr>
          <w:rFonts w:hint="eastAsia"/>
          <w:szCs w:val="24"/>
        </w:rPr>
        <w:t>年</w:t>
      </w:r>
      <w:r w:rsidR="00A6696F" w:rsidRPr="00364B9A">
        <w:rPr>
          <w:szCs w:val="24"/>
        </w:rPr>
        <w:t>8</w:t>
      </w:r>
      <w:r w:rsidR="009D1B4F" w:rsidRPr="00364B9A">
        <w:rPr>
          <w:szCs w:val="24"/>
        </w:rPr>
        <w:t>月</w:t>
      </w:r>
      <w:r w:rsidR="00A6696F" w:rsidRPr="00364B9A">
        <w:rPr>
          <w:szCs w:val="24"/>
        </w:rPr>
        <w:t>10</w:t>
      </w:r>
      <w:r w:rsidR="009D1B4F" w:rsidRPr="00364B9A">
        <w:rPr>
          <w:szCs w:val="24"/>
        </w:rPr>
        <w:t>日</w:t>
      </w:r>
      <w:r w:rsidR="00A6696F" w:rsidRPr="00364B9A">
        <w:rPr>
          <w:rFonts w:hint="eastAsia"/>
          <w:szCs w:val="24"/>
        </w:rPr>
        <w:t>和</w:t>
      </w:r>
      <w:r w:rsidR="00A6696F" w:rsidRPr="00364B9A">
        <w:rPr>
          <w:szCs w:val="24"/>
        </w:rPr>
        <w:t>2018年8月13日</w:t>
      </w:r>
      <w:r w:rsidR="009D1B4F" w:rsidRPr="00364B9A">
        <w:rPr>
          <w:szCs w:val="24"/>
        </w:rPr>
        <w:t>支付</w:t>
      </w:r>
      <w:r w:rsidRPr="00364B9A">
        <w:rPr>
          <w:szCs w:val="24"/>
        </w:rPr>
        <w:t>。</w:t>
      </w:r>
    </w:p>
    <w:p w:rsidR="00583F83" w:rsidRPr="00296B31" w:rsidRDefault="00E22DB5">
      <w:pPr>
        <w:spacing w:after="186"/>
        <w:ind w:left="490"/>
        <w:rPr>
          <w:szCs w:val="24"/>
        </w:rPr>
      </w:pPr>
      <w:r w:rsidRPr="00296B31">
        <w:rPr>
          <w:szCs w:val="24"/>
        </w:rPr>
        <w:t>（四）本次清算期间的清算损益情况</w:t>
      </w:r>
    </w:p>
    <w:p w:rsidR="00583F83" w:rsidRPr="00296B31" w:rsidRDefault="00E22DB5">
      <w:pPr>
        <w:spacing w:after="0"/>
        <w:ind w:right="47"/>
        <w:jc w:val="right"/>
        <w:rPr>
          <w:szCs w:val="24"/>
        </w:rPr>
      </w:pPr>
      <w:r w:rsidRPr="00296B31">
        <w:rPr>
          <w:szCs w:val="24"/>
        </w:rPr>
        <w:t>单位：人民币元</w:t>
      </w:r>
    </w:p>
    <w:tbl>
      <w:tblPr>
        <w:tblStyle w:val="TableGrid"/>
        <w:tblW w:w="8643" w:type="dxa"/>
        <w:tblInd w:w="566" w:type="dxa"/>
        <w:tblCellMar>
          <w:top w:w="13" w:type="dxa"/>
          <w:left w:w="108" w:type="dxa"/>
          <w:right w:w="31" w:type="dxa"/>
        </w:tblCellMar>
        <w:tblLook w:val="04A0"/>
      </w:tblPr>
      <w:tblGrid>
        <w:gridCol w:w="5813"/>
        <w:gridCol w:w="2830"/>
      </w:tblGrid>
      <w:tr w:rsidR="00583F83" w:rsidRPr="00296B31" w:rsidTr="00F86295">
        <w:trPr>
          <w:trHeight w:val="826"/>
        </w:trPr>
        <w:tc>
          <w:tcPr>
            <w:tcW w:w="5813" w:type="dxa"/>
            <w:tcBorders>
              <w:top w:val="single" w:sz="4" w:space="0" w:color="000000"/>
              <w:left w:val="single" w:sz="4" w:space="0" w:color="000000"/>
              <w:bottom w:val="single" w:sz="4" w:space="0" w:color="000000"/>
              <w:right w:val="single" w:sz="4" w:space="0" w:color="000000"/>
            </w:tcBorders>
            <w:vAlign w:val="bottom"/>
          </w:tcPr>
          <w:p w:rsidR="00583F83" w:rsidRPr="00296B31" w:rsidRDefault="00E22DB5">
            <w:pPr>
              <w:spacing w:after="0"/>
              <w:ind w:left="34" w:firstLine="0"/>
              <w:rPr>
                <w:szCs w:val="24"/>
              </w:rPr>
            </w:pPr>
            <w:r w:rsidRPr="00296B31">
              <w:rPr>
                <w:szCs w:val="24"/>
              </w:rPr>
              <w:t>项目</w:t>
            </w:r>
          </w:p>
        </w:tc>
        <w:tc>
          <w:tcPr>
            <w:tcW w:w="2830" w:type="dxa"/>
            <w:tcBorders>
              <w:top w:val="single" w:sz="4" w:space="0" w:color="000000"/>
              <w:left w:val="single" w:sz="4" w:space="0" w:color="000000"/>
              <w:bottom w:val="single" w:sz="4" w:space="0" w:color="000000"/>
              <w:right w:val="single" w:sz="4" w:space="0" w:color="000000"/>
            </w:tcBorders>
          </w:tcPr>
          <w:p w:rsidR="00583F83" w:rsidRPr="00296B31" w:rsidRDefault="00E22DB5" w:rsidP="00DF5BC6">
            <w:pPr>
              <w:spacing w:after="0"/>
              <w:ind w:left="0" w:right="74" w:firstLine="0"/>
              <w:jc w:val="right"/>
              <w:rPr>
                <w:szCs w:val="24"/>
              </w:rPr>
            </w:pPr>
            <w:r w:rsidRPr="00296B31">
              <w:rPr>
                <w:szCs w:val="24"/>
              </w:rPr>
              <w:t>自</w:t>
            </w:r>
            <w:r w:rsidR="00DF5BC6" w:rsidRPr="00296B31">
              <w:rPr>
                <w:rFonts w:cs="Times New Roman" w:hint="eastAsia"/>
                <w:szCs w:val="24"/>
              </w:rPr>
              <w:t>201</w:t>
            </w:r>
            <w:r w:rsidR="009D1B4F" w:rsidRPr="00296B31">
              <w:rPr>
                <w:rFonts w:cs="Times New Roman"/>
                <w:szCs w:val="24"/>
              </w:rPr>
              <w:t>8</w:t>
            </w:r>
            <w:r w:rsidRPr="00296B31">
              <w:rPr>
                <w:szCs w:val="24"/>
              </w:rPr>
              <w:t>年</w:t>
            </w:r>
            <w:r w:rsidR="009D1B4F" w:rsidRPr="00296B31">
              <w:rPr>
                <w:rFonts w:cs="Times New Roman"/>
                <w:szCs w:val="24"/>
              </w:rPr>
              <w:t>8</w:t>
            </w:r>
            <w:r w:rsidRPr="00296B31">
              <w:rPr>
                <w:szCs w:val="24"/>
              </w:rPr>
              <w:t>月</w:t>
            </w:r>
            <w:r w:rsidR="009D1B4F" w:rsidRPr="00296B31">
              <w:rPr>
                <w:rFonts w:cs="Times New Roman"/>
                <w:szCs w:val="24"/>
              </w:rPr>
              <w:t>1</w:t>
            </w:r>
            <w:r w:rsidR="004D1AFB" w:rsidRPr="00296B31">
              <w:rPr>
                <w:rFonts w:cs="Times New Roman"/>
                <w:szCs w:val="24"/>
              </w:rPr>
              <w:t>0</w:t>
            </w:r>
            <w:r w:rsidRPr="00296B31">
              <w:rPr>
                <w:szCs w:val="24"/>
              </w:rPr>
              <w:t>日至</w:t>
            </w:r>
            <w:r w:rsidR="004D1AFB" w:rsidRPr="00296B31">
              <w:rPr>
                <w:rFonts w:cs="Times New Roman"/>
                <w:szCs w:val="24"/>
              </w:rPr>
              <w:t>2018</w:t>
            </w:r>
            <w:r w:rsidRPr="00296B31">
              <w:rPr>
                <w:szCs w:val="24"/>
              </w:rPr>
              <w:t>年</w:t>
            </w:r>
            <w:r w:rsidR="0097352C" w:rsidRPr="00296B31">
              <w:rPr>
                <w:rFonts w:cs="Times New Roman"/>
                <w:szCs w:val="24"/>
              </w:rPr>
              <w:t>9</w:t>
            </w:r>
            <w:r w:rsidRPr="00296B31">
              <w:rPr>
                <w:szCs w:val="24"/>
              </w:rPr>
              <w:t>月</w:t>
            </w:r>
            <w:r w:rsidR="0097352C" w:rsidRPr="00296B31">
              <w:rPr>
                <w:rFonts w:cs="Times New Roman"/>
                <w:szCs w:val="24"/>
              </w:rPr>
              <w:t>7</w:t>
            </w:r>
            <w:r w:rsidRPr="00296B31">
              <w:rPr>
                <w:szCs w:val="24"/>
              </w:rPr>
              <w:t>日止清算期间</w:t>
            </w:r>
          </w:p>
        </w:tc>
      </w:tr>
      <w:tr w:rsidR="00583F83" w:rsidRPr="00296B31" w:rsidTr="00F86295">
        <w:trPr>
          <w:trHeight w:val="283"/>
        </w:trPr>
        <w:tc>
          <w:tcPr>
            <w:tcW w:w="5813" w:type="dxa"/>
            <w:tcBorders>
              <w:top w:val="single" w:sz="4" w:space="0" w:color="000000"/>
              <w:left w:val="single" w:sz="4" w:space="0" w:color="000000"/>
              <w:bottom w:val="single" w:sz="4" w:space="0" w:color="000000"/>
              <w:right w:val="single" w:sz="4" w:space="0" w:color="000000"/>
            </w:tcBorders>
          </w:tcPr>
          <w:p w:rsidR="00583F83" w:rsidRPr="00296B31" w:rsidRDefault="00E22DB5">
            <w:pPr>
              <w:spacing w:after="0"/>
              <w:ind w:left="34" w:firstLine="0"/>
              <w:rPr>
                <w:szCs w:val="24"/>
              </w:rPr>
            </w:pPr>
            <w:r w:rsidRPr="00296B31">
              <w:rPr>
                <w:szCs w:val="24"/>
              </w:rPr>
              <w:t>一、清算</w:t>
            </w:r>
            <w:r w:rsidR="00853652" w:rsidRPr="00296B31">
              <w:rPr>
                <w:rFonts w:hint="eastAsia"/>
                <w:szCs w:val="24"/>
              </w:rPr>
              <w:t>期间</w:t>
            </w:r>
            <w:r w:rsidRPr="00296B31">
              <w:rPr>
                <w:szCs w:val="24"/>
              </w:rPr>
              <w:t>收益</w:t>
            </w:r>
          </w:p>
        </w:tc>
        <w:tc>
          <w:tcPr>
            <w:tcW w:w="2830" w:type="dxa"/>
            <w:tcBorders>
              <w:top w:val="single" w:sz="4" w:space="0" w:color="000000"/>
              <w:left w:val="single" w:sz="4" w:space="0" w:color="000000"/>
              <w:bottom w:val="single" w:sz="4" w:space="0" w:color="000000"/>
              <w:right w:val="single" w:sz="4" w:space="0" w:color="000000"/>
            </w:tcBorders>
          </w:tcPr>
          <w:p w:rsidR="00583F83" w:rsidRPr="00296B31" w:rsidRDefault="00583F83">
            <w:pPr>
              <w:spacing w:after="0"/>
              <w:ind w:left="0" w:right="24" w:firstLine="0"/>
              <w:jc w:val="right"/>
              <w:rPr>
                <w:szCs w:val="24"/>
              </w:rPr>
            </w:pPr>
          </w:p>
        </w:tc>
      </w:tr>
      <w:tr w:rsidR="00583F83" w:rsidRPr="00296B31" w:rsidTr="00F86295">
        <w:trPr>
          <w:trHeight w:val="283"/>
        </w:trPr>
        <w:tc>
          <w:tcPr>
            <w:tcW w:w="5813" w:type="dxa"/>
            <w:tcBorders>
              <w:top w:val="single" w:sz="4" w:space="0" w:color="000000"/>
              <w:left w:val="single" w:sz="4" w:space="0" w:color="000000"/>
              <w:bottom w:val="single" w:sz="4" w:space="0" w:color="000000"/>
              <w:right w:val="single" w:sz="4" w:space="0" w:color="000000"/>
            </w:tcBorders>
          </w:tcPr>
          <w:p w:rsidR="00583F83" w:rsidRPr="00296B31" w:rsidRDefault="00E22DB5">
            <w:pPr>
              <w:spacing w:after="0"/>
              <w:ind w:left="458" w:firstLine="0"/>
              <w:rPr>
                <w:szCs w:val="24"/>
              </w:rPr>
            </w:pPr>
            <w:r w:rsidRPr="00296B31">
              <w:rPr>
                <w:rFonts w:cs="Times New Roman"/>
                <w:szCs w:val="24"/>
              </w:rPr>
              <w:t>1</w:t>
            </w:r>
            <w:r w:rsidRPr="00296B31">
              <w:rPr>
                <w:szCs w:val="24"/>
              </w:rPr>
              <w:t>、利息收入（注</w:t>
            </w:r>
            <w:r w:rsidRPr="00296B31">
              <w:rPr>
                <w:rFonts w:cs="Times New Roman"/>
                <w:szCs w:val="24"/>
              </w:rPr>
              <w:t>1</w:t>
            </w:r>
            <w:r w:rsidRPr="00296B31">
              <w:rPr>
                <w:szCs w:val="24"/>
              </w:rPr>
              <w:t>）</w:t>
            </w:r>
          </w:p>
        </w:tc>
        <w:tc>
          <w:tcPr>
            <w:tcW w:w="2830" w:type="dxa"/>
            <w:tcBorders>
              <w:top w:val="single" w:sz="4" w:space="0" w:color="000000"/>
              <w:left w:val="single" w:sz="4" w:space="0" w:color="000000"/>
              <w:bottom w:val="single" w:sz="4" w:space="0" w:color="000000"/>
              <w:right w:val="single" w:sz="4" w:space="0" w:color="000000"/>
            </w:tcBorders>
          </w:tcPr>
          <w:p w:rsidR="00583F83" w:rsidRPr="00296B31" w:rsidRDefault="004009DA" w:rsidP="00853652">
            <w:pPr>
              <w:spacing w:after="0"/>
              <w:ind w:left="0" w:right="60" w:firstLine="0"/>
              <w:jc w:val="right"/>
              <w:rPr>
                <w:rFonts w:cs="Times New Roman"/>
                <w:szCs w:val="24"/>
              </w:rPr>
            </w:pPr>
            <w:r w:rsidRPr="00296B31">
              <w:rPr>
                <w:rFonts w:cs="Times New Roman"/>
                <w:szCs w:val="24"/>
              </w:rPr>
              <w:t>5,574.29</w:t>
            </w:r>
          </w:p>
        </w:tc>
      </w:tr>
      <w:tr w:rsidR="00583F83" w:rsidRPr="00296B31" w:rsidTr="00F86295">
        <w:trPr>
          <w:trHeight w:val="281"/>
        </w:trPr>
        <w:tc>
          <w:tcPr>
            <w:tcW w:w="5813" w:type="dxa"/>
            <w:tcBorders>
              <w:top w:val="single" w:sz="4" w:space="0" w:color="000000"/>
              <w:left w:val="single" w:sz="4" w:space="0" w:color="000000"/>
              <w:bottom w:val="single" w:sz="4" w:space="0" w:color="000000"/>
              <w:right w:val="single" w:sz="4" w:space="0" w:color="000000"/>
            </w:tcBorders>
          </w:tcPr>
          <w:p w:rsidR="00583F83" w:rsidRPr="00296B31" w:rsidRDefault="00E22DB5">
            <w:pPr>
              <w:spacing w:after="0"/>
              <w:ind w:left="458" w:firstLine="0"/>
              <w:rPr>
                <w:szCs w:val="24"/>
              </w:rPr>
            </w:pPr>
            <w:r w:rsidRPr="00296B31">
              <w:rPr>
                <w:rFonts w:cs="Times New Roman"/>
                <w:szCs w:val="24"/>
              </w:rPr>
              <w:t>2</w:t>
            </w:r>
            <w:r w:rsidRPr="00296B31">
              <w:rPr>
                <w:szCs w:val="24"/>
              </w:rPr>
              <w:t>、</w:t>
            </w:r>
            <w:r w:rsidR="00C14CF2" w:rsidRPr="00296B31">
              <w:rPr>
                <w:rFonts w:hint="eastAsia"/>
                <w:szCs w:val="24"/>
              </w:rPr>
              <w:t>其他收入</w:t>
            </w:r>
            <w:r w:rsidRPr="00296B31">
              <w:rPr>
                <w:szCs w:val="24"/>
              </w:rPr>
              <w:t>（注</w:t>
            </w:r>
            <w:r w:rsidRPr="00296B31">
              <w:rPr>
                <w:rFonts w:cs="Times New Roman"/>
                <w:szCs w:val="24"/>
              </w:rPr>
              <w:t>2</w:t>
            </w:r>
            <w:r w:rsidRPr="00296B31">
              <w:rPr>
                <w:szCs w:val="24"/>
              </w:rPr>
              <w:t>）</w:t>
            </w:r>
          </w:p>
        </w:tc>
        <w:tc>
          <w:tcPr>
            <w:tcW w:w="2830" w:type="dxa"/>
            <w:tcBorders>
              <w:top w:val="single" w:sz="4" w:space="0" w:color="000000"/>
              <w:left w:val="single" w:sz="4" w:space="0" w:color="000000"/>
              <w:bottom w:val="single" w:sz="4" w:space="0" w:color="000000"/>
              <w:right w:val="single" w:sz="4" w:space="0" w:color="000000"/>
            </w:tcBorders>
          </w:tcPr>
          <w:p w:rsidR="00583F83" w:rsidRPr="00296B31" w:rsidRDefault="004009DA" w:rsidP="00FB5D06">
            <w:pPr>
              <w:spacing w:after="0"/>
              <w:ind w:left="0" w:right="60" w:firstLine="0"/>
              <w:jc w:val="right"/>
              <w:rPr>
                <w:rFonts w:cs="Times New Roman"/>
                <w:szCs w:val="24"/>
              </w:rPr>
            </w:pPr>
            <w:r w:rsidRPr="00296B31">
              <w:rPr>
                <w:rFonts w:cs="Times New Roman"/>
                <w:szCs w:val="24"/>
              </w:rPr>
              <w:t>2.32</w:t>
            </w:r>
          </w:p>
        </w:tc>
      </w:tr>
      <w:tr w:rsidR="008C4909" w:rsidRPr="00296B31" w:rsidTr="00F86295">
        <w:trPr>
          <w:trHeight w:val="283"/>
        </w:trPr>
        <w:tc>
          <w:tcPr>
            <w:tcW w:w="5813" w:type="dxa"/>
            <w:tcBorders>
              <w:top w:val="single" w:sz="4" w:space="0" w:color="000000"/>
              <w:left w:val="single" w:sz="4" w:space="0" w:color="000000"/>
              <w:bottom w:val="single" w:sz="4" w:space="0" w:color="000000"/>
              <w:right w:val="single" w:sz="4" w:space="0" w:color="000000"/>
            </w:tcBorders>
          </w:tcPr>
          <w:p w:rsidR="008C4909" w:rsidRPr="00296B31" w:rsidRDefault="008C4909">
            <w:pPr>
              <w:spacing w:after="0"/>
              <w:ind w:left="0" w:firstLine="0"/>
              <w:rPr>
                <w:szCs w:val="24"/>
              </w:rPr>
            </w:pPr>
            <w:r w:rsidRPr="00296B31">
              <w:rPr>
                <w:szCs w:val="24"/>
              </w:rPr>
              <w:t>清算</w:t>
            </w:r>
            <w:r w:rsidR="00853652" w:rsidRPr="00296B31">
              <w:rPr>
                <w:rFonts w:hint="eastAsia"/>
                <w:szCs w:val="24"/>
              </w:rPr>
              <w:t>期间</w:t>
            </w:r>
            <w:r w:rsidRPr="00296B31">
              <w:rPr>
                <w:szCs w:val="24"/>
              </w:rPr>
              <w:t>收入小计</w:t>
            </w:r>
          </w:p>
        </w:tc>
        <w:tc>
          <w:tcPr>
            <w:tcW w:w="2830" w:type="dxa"/>
            <w:tcBorders>
              <w:top w:val="single" w:sz="4" w:space="0" w:color="000000"/>
              <w:left w:val="single" w:sz="4" w:space="0" w:color="000000"/>
              <w:bottom w:val="single" w:sz="4" w:space="0" w:color="000000"/>
              <w:right w:val="single" w:sz="4" w:space="0" w:color="000000"/>
            </w:tcBorders>
          </w:tcPr>
          <w:p w:rsidR="008C4909" w:rsidRPr="00296B31" w:rsidRDefault="004009DA" w:rsidP="00FB5D06">
            <w:pPr>
              <w:spacing w:after="0"/>
              <w:ind w:left="0" w:right="60" w:firstLine="0"/>
              <w:jc w:val="right"/>
              <w:rPr>
                <w:rFonts w:cs="Times New Roman"/>
                <w:szCs w:val="24"/>
              </w:rPr>
            </w:pPr>
            <w:r w:rsidRPr="00296B31">
              <w:rPr>
                <w:rFonts w:cs="Times New Roman"/>
                <w:szCs w:val="24"/>
              </w:rPr>
              <w:t>5,576.61</w:t>
            </w:r>
          </w:p>
        </w:tc>
      </w:tr>
      <w:tr w:rsidR="008C4909" w:rsidRPr="00296B31" w:rsidTr="00F86295">
        <w:trPr>
          <w:trHeight w:val="283"/>
        </w:trPr>
        <w:tc>
          <w:tcPr>
            <w:tcW w:w="5813" w:type="dxa"/>
            <w:tcBorders>
              <w:top w:val="single" w:sz="4" w:space="0" w:color="000000"/>
              <w:left w:val="single" w:sz="4" w:space="0" w:color="000000"/>
              <w:bottom w:val="single" w:sz="4" w:space="0" w:color="000000"/>
              <w:right w:val="single" w:sz="4" w:space="0" w:color="000000"/>
            </w:tcBorders>
          </w:tcPr>
          <w:p w:rsidR="008C4909" w:rsidRPr="00296B31" w:rsidRDefault="008C4909">
            <w:pPr>
              <w:spacing w:after="0"/>
              <w:ind w:left="0" w:firstLine="0"/>
              <w:rPr>
                <w:szCs w:val="24"/>
              </w:rPr>
            </w:pPr>
            <w:r w:rsidRPr="00296B31">
              <w:rPr>
                <w:szCs w:val="24"/>
              </w:rPr>
              <w:t>二、清算</w:t>
            </w:r>
            <w:r w:rsidR="00853652" w:rsidRPr="00296B31">
              <w:rPr>
                <w:rFonts w:hint="eastAsia"/>
                <w:szCs w:val="24"/>
              </w:rPr>
              <w:t>期间</w:t>
            </w:r>
            <w:r w:rsidRPr="00296B31">
              <w:rPr>
                <w:szCs w:val="24"/>
              </w:rPr>
              <w:t>费用</w:t>
            </w:r>
          </w:p>
        </w:tc>
        <w:tc>
          <w:tcPr>
            <w:tcW w:w="2830" w:type="dxa"/>
            <w:tcBorders>
              <w:top w:val="single" w:sz="4" w:space="0" w:color="000000"/>
              <w:left w:val="single" w:sz="4" w:space="0" w:color="000000"/>
              <w:bottom w:val="single" w:sz="4" w:space="0" w:color="000000"/>
              <w:right w:val="single" w:sz="4" w:space="0" w:color="000000"/>
            </w:tcBorders>
          </w:tcPr>
          <w:p w:rsidR="008C4909" w:rsidRPr="00296B31" w:rsidRDefault="008C4909">
            <w:pPr>
              <w:spacing w:after="0"/>
              <w:ind w:left="0" w:right="10" w:firstLine="0"/>
              <w:jc w:val="right"/>
              <w:rPr>
                <w:rFonts w:cs="Times New Roman"/>
                <w:szCs w:val="24"/>
              </w:rPr>
            </w:pPr>
          </w:p>
        </w:tc>
      </w:tr>
      <w:tr w:rsidR="008C4909" w:rsidRPr="00296B31" w:rsidTr="00F86295">
        <w:trPr>
          <w:trHeight w:val="281"/>
        </w:trPr>
        <w:tc>
          <w:tcPr>
            <w:tcW w:w="5813" w:type="dxa"/>
            <w:tcBorders>
              <w:top w:val="single" w:sz="4" w:space="0" w:color="000000"/>
              <w:left w:val="single" w:sz="4" w:space="0" w:color="000000"/>
              <w:bottom w:val="single" w:sz="4" w:space="0" w:color="000000"/>
              <w:right w:val="single" w:sz="4" w:space="0" w:color="000000"/>
            </w:tcBorders>
          </w:tcPr>
          <w:p w:rsidR="008C4909" w:rsidRPr="00296B31" w:rsidRDefault="008C4909">
            <w:pPr>
              <w:spacing w:after="0"/>
              <w:ind w:left="0" w:firstLine="0"/>
              <w:rPr>
                <w:szCs w:val="24"/>
              </w:rPr>
            </w:pPr>
            <w:r w:rsidRPr="00296B31">
              <w:rPr>
                <w:szCs w:val="24"/>
              </w:rPr>
              <w:t>清算</w:t>
            </w:r>
            <w:r w:rsidR="00853652" w:rsidRPr="00296B31">
              <w:rPr>
                <w:rFonts w:hint="eastAsia"/>
                <w:szCs w:val="24"/>
              </w:rPr>
              <w:t>期间</w:t>
            </w:r>
            <w:r w:rsidRPr="00296B31">
              <w:rPr>
                <w:szCs w:val="24"/>
              </w:rPr>
              <w:t>费用小计（注</w:t>
            </w:r>
            <w:r w:rsidR="007A2602" w:rsidRPr="00296B31">
              <w:rPr>
                <w:rFonts w:hint="eastAsia"/>
                <w:szCs w:val="24"/>
              </w:rPr>
              <w:t>3</w:t>
            </w:r>
            <w:r w:rsidRPr="00296B31">
              <w:rPr>
                <w:szCs w:val="24"/>
              </w:rPr>
              <w:t>）</w:t>
            </w:r>
          </w:p>
        </w:tc>
        <w:tc>
          <w:tcPr>
            <w:tcW w:w="2830" w:type="dxa"/>
            <w:tcBorders>
              <w:top w:val="single" w:sz="4" w:space="0" w:color="000000"/>
              <w:left w:val="single" w:sz="4" w:space="0" w:color="000000"/>
              <w:bottom w:val="single" w:sz="4" w:space="0" w:color="000000"/>
              <w:right w:val="single" w:sz="4" w:space="0" w:color="000000"/>
            </w:tcBorders>
          </w:tcPr>
          <w:p w:rsidR="00107239" w:rsidRPr="00296B31" w:rsidRDefault="004009DA" w:rsidP="004009DA">
            <w:pPr>
              <w:spacing w:after="0"/>
              <w:ind w:left="0" w:right="60" w:firstLine="0"/>
              <w:jc w:val="right"/>
              <w:rPr>
                <w:rFonts w:cs="Times New Roman"/>
                <w:szCs w:val="24"/>
              </w:rPr>
            </w:pPr>
            <w:r w:rsidRPr="00296B31">
              <w:rPr>
                <w:rFonts w:cs="Times New Roman"/>
                <w:szCs w:val="24"/>
              </w:rPr>
              <w:t>6,080.00</w:t>
            </w:r>
          </w:p>
        </w:tc>
      </w:tr>
      <w:tr w:rsidR="008C4909" w:rsidRPr="00296B31" w:rsidTr="00F86295">
        <w:trPr>
          <w:trHeight w:val="283"/>
        </w:trPr>
        <w:tc>
          <w:tcPr>
            <w:tcW w:w="5813" w:type="dxa"/>
            <w:tcBorders>
              <w:top w:val="single" w:sz="4" w:space="0" w:color="000000"/>
              <w:left w:val="single" w:sz="4" w:space="0" w:color="000000"/>
              <w:bottom w:val="single" w:sz="4" w:space="0" w:color="000000"/>
              <w:right w:val="single" w:sz="4" w:space="0" w:color="000000"/>
            </w:tcBorders>
          </w:tcPr>
          <w:p w:rsidR="008C4909" w:rsidRPr="00296B31" w:rsidRDefault="000318CE">
            <w:pPr>
              <w:spacing w:after="0"/>
              <w:ind w:left="0" w:firstLine="0"/>
              <w:rPr>
                <w:szCs w:val="24"/>
              </w:rPr>
            </w:pPr>
            <w:r w:rsidRPr="00296B31">
              <w:rPr>
                <w:rFonts w:hint="eastAsia"/>
                <w:szCs w:val="24"/>
              </w:rPr>
              <w:t>三</w:t>
            </w:r>
            <w:r w:rsidR="008C4909" w:rsidRPr="00296B31">
              <w:rPr>
                <w:szCs w:val="24"/>
              </w:rPr>
              <w:t>、清算</w:t>
            </w:r>
            <w:r w:rsidR="00853652" w:rsidRPr="00296B31">
              <w:rPr>
                <w:rFonts w:hint="eastAsia"/>
                <w:szCs w:val="24"/>
              </w:rPr>
              <w:t>期间</w:t>
            </w:r>
            <w:r w:rsidR="008C4909" w:rsidRPr="00296B31">
              <w:rPr>
                <w:szCs w:val="24"/>
              </w:rPr>
              <w:t>净收益</w:t>
            </w:r>
          </w:p>
        </w:tc>
        <w:tc>
          <w:tcPr>
            <w:tcW w:w="2830" w:type="dxa"/>
            <w:tcBorders>
              <w:top w:val="single" w:sz="4" w:space="0" w:color="000000"/>
              <w:left w:val="single" w:sz="4" w:space="0" w:color="000000"/>
              <w:bottom w:val="single" w:sz="4" w:space="0" w:color="000000"/>
              <w:right w:val="single" w:sz="4" w:space="0" w:color="000000"/>
            </w:tcBorders>
          </w:tcPr>
          <w:p w:rsidR="008C4909" w:rsidRPr="00296B31" w:rsidRDefault="004009DA" w:rsidP="004009DA">
            <w:pPr>
              <w:spacing w:after="0"/>
              <w:ind w:left="0" w:right="60" w:firstLine="0"/>
              <w:jc w:val="right"/>
              <w:rPr>
                <w:rFonts w:cs="Times New Roman"/>
                <w:szCs w:val="24"/>
              </w:rPr>
            </w:pPr>
            <w:r w:rsidRPr="00296B31">
              <w:rPr>
                <w:rFonts w:cs="Times New Roman"/>
                <w:szCs w:val="24"/>
              </w:rPr>
              <w:t>-503.39</w:t>
            </w:r>
          </w:p>
        </w:tc>
      </w:tr>
    </w:tbl>
    <w:p w:rsidR="00296B31" w:rsidRDefault="00296B31">
      <w:pPr>
        <w:spacing w:after="196"/>
        <w:ind w:left="430"/>
      </w:pPr>
    </w:p>
    <w:p w:rsidR="00583F83" w:rsidRPr="00364B9A" w:rsidRDefault="00E22DB5" w:rsidP="00A21300">
      <w:pPr>
        <w:spacing w:after="196"/>
        <w:ind w:left="430"/>
        <w:jc w:val="both"/>
        <w:rPr>
          <w:szCs w:val="24"/>
        </w:rPr>
      </w:pPr>
      <w:r w:rsidRPr="00364B9A">
        <w:rPr>
          <w:szCs w:val="24"/>
        </w:rPr>
        <w:t>表中相关项目具体说明如下：</w:t>
      </w:r>
    </w:p>
    <w:p w:rsidR="00583F83" w:rsidRPr="00364B9A" w:rsidRDefault="00E22DB5" w:rsidP="00A21300">
      <w:pPr>
        <w:numPr>
          <w:ilvl w:val="0"/>
          <w:numId w:val="6"/>
        </w:numPr>
        <w:spacing w:after="37" w:line="383" w:lineRule="auto"/>
        <w:ind w:firstLine="410"/>
        <w:jc w:val="both"/>
        <w:rPr>
          <w:szCs w:val="24"/>
        </w:rPr>
      </w:pPr>
      <w:r w:rsidRPr="00364B9A">
        <w:rPr>
          <w:szCs w:val="24"/>
        </w:rPr>
        <w:t xml:space="preserve">利息收入系以当前适用的利率预估计提的自 </w:t>
      </w:r>
      <w:r w:rsidR="00F50B4C" w:rsidRPr="00364B9A">
        <w:rPr>
          <w:rFonts w:cs="Times New Roman"/>
          <w:szCs w:val="24"/>
        </w:rPr>
        <w:t>201</w:t>
      </w:r>
      <w:r w:rsidR="00C14CF2" w:rsidRPr="00364B9A">
        <w:rPr>
          <w:rFonts w:cs="Times New Roman"/>
          <w:szCs w:val="24"/>
        </w:rPr>
        <w:t>8</w:t>
      </w:r>
      <w:r w:rsidRPr="00364B9A">
        <w:rPr>
          <w:szCs w:val="24"/>
        </w:rPr>
        <w:t xml:space="preserve">年 </w:t>
      </w:r>
      <w:r w:rsidR="00C14CF2" w:rsidRPr="00364B9A">
        <w:rPr>
          <w:rFonts w:cs="Times New Roman"/>
          <w:szCs w:val="24"/>
        </w:rPr>
        <w:t>8</w:t>
      </w:r>
      <w:r w:rsidRPr="00364B9A">
        <w:rPr>
          <w:szCs w:val="24"/>
        </w:rPr>
        <w:t xml:space="preserve">月 </w:t>
      </w:r>
      <w:r w:rsidR="00C14CF2" w:rsidRPr="00364B9A">
        <w:rPr>
          <w:rFonts w:cs="Times New Roman"/>
          <w:szCs w:val="24"/>
        </w:rPr>
        <w:t>10</w:t>
      </w:r>
      <w:r w:rsidRPr="00364B9A">
        <w:rPr>
          <w:szCs w:val="24"/>
        </w:rPr>
        <w:t>日至</w:t>
      </w:r>
      <w:r w:rsidR="004D1AFB" w:rsidRPr="00364B9A">
        <w:rPr>
          <w:rFonts w:cs="Times New Roman"/>
          <w:szCs w:val="24"/>
        </w:rPr>
        <w:t>2018</w:t>
      </w:r>
      <w:r w:rsidRPr="00364B9A">
        <w:rPr>
          <w:szCs w:val="24"/>
        </w:rPr>
        <w:t>年</w:t>
      </w:r>
      <w:r w:rsidR="0097352C" w:rsidRPr="00364B9A">
        <w:rPr>
          <w:rFonts w:cs="Times New Roman"/>
          <w:szCs w:val="24"/>
        </w:rPr>
        <w:t>9</w:t>
      </w:r>
      <w:r w:rsidRPr="00364B9A">
        <w:rPr>
          <w:szCs w:val="24"/>
        </w:rPr>
        <w:t>月</w:t>
      </w:r>
      <w:r w:rsidR="0097352C" w:rsidRPr="00364B9A">
        <w:rPr>
          <w:rFonts w:cs="Times New Roman"/>
          <w:szCs w:val="24"/>
        </w:rPr>
        <w:t>7</w:t>
      </w:r>
      <w:r w:rsidR="00B323A7" w:rsidRPr="00364B9A">
        <w:rPr>
          <w:szCs w:val="24"/>
        </w:rPr>
        <w:t>日</w:t>
      </w:r>
      <w:r w:rsidR="0045457D" w:rsidRPr="00364B9A">
        <w:rPr>
          <w:szCs w:val="24"/>
        </w:rPr>
        <w:t>清算期间的银行存款</w:t>
      </w:r>
      <w:r w:rsidR="0045457D" w:rsidRPr="00364B9A">
        <w:rPr>
          <w:rFonts w:hint="eastAsia"/>
          <w:szCs w:val="24"/>
        </w:rPr>
        <w:t>、</w:t>
      </w:r>
      <w:r w:rsidR="0045457D" w:rsidRPr="00364B9A">
        <w:rPr>
          <w:szCs w:val="24"/>
        </w:rPr>
        <w:t>备付金</w:t>
      </w:r>
      <w:r w:rsidRPr="00364B9A">
        <w:rPr>
          <w:szCs w:val="24"/>
        </w:rPr>
        <w:t>及保证金利息。</w:t>
      </w:r>
    </w:p>
    <w:p w:rsidR="00583F83" w:rsidRPr="00364B9A" w:rsidRDefault="00C14CF2" w:rsidP="00A21300">
      <w:pPr>
        <w:numPr>
          <w:ilvl w:val="0"/>
          <w:numId w:val="6"/>
        </w:numPr>
        <w:spacing w:line="415" w:lineRule="auto"/>
        <w:ind w:firstLine="410"/>
        <w:jc w:val="both"/>
        <w:rPr>
          <w:szCs w:val="24"/>
        </w:rPr>
      </w:pPr>
      <w:r w:rsidRPr="00364B9A">
        <w:rPr>
          <w:rFonts w:hint="eastAsia"/>
          <w:szCs w:val="24"/>
        </w:rPr>
        <w:t>其他收入</w:t>
      </w:r>
      <w:r w:rsidRPr="00364B9A">
        <w:rPr>
          <w:szCs w:val="24"/>
        </w:rPr>
        <w:t>为赎回费收入</w:t>
      </w:r>
      <w:r w:rsidRPr="00364B9A">
        <w:rPr>
          <w:rFonts w:hint="eastAsia"/>
          <w:szCs w:val="24"/>
        </w:rPr>
        <w:t>。</w:t>
      </w:r>
    </w:p>
    <w:p w:rsidR="00F50B4C" w:rsidRPr="00364B9A" w:rsidRDefault="00853652" w:rsidP="00A21300">
      <w:pPr>
        <w:numPr>
          <w:ilvl w:val="0"/>
          <w:numId w:val="6"/>
        </w:numPr>
        <w:spacing w:after="180"/>
        <w:ind w:firstLine="410"/>
        <w:jc w:val="both"/>
        <w:rPr>
          <w:szCs w:val="24"/>
        </w:rPr>
      </w:pPr>
      <w:r w:rsidRPr="00364B9A">
        <w:rPr>
          <w:szCs w:val="24"/>
        </w:rPr>
        <w:t>本次清算</w:t>
      </w:r>
      <w:r w:rsidRPr="00364B9A">
        <w:rPr>
          <w:rFonts w:hint="eastAsia"/>
          <w:szCs w:val="24"/>
        </w:rPr>
        <w:t>期间</w:t>
      </w:r>
      <w:r w:rsidR="00E22DB5" w:rsidRPr="00364B9A">
        <w:rPr>
          <w:szCs w:val="24"/>
        </w:rPr>
        <w:t>费用</w:t>
      </w:r>
      <w:r w:rsidR="008A29B3" w:rsidRPr="00364B9A">
        <w:rPr>
          <w:rFonts w:hint="eastAsia"/>
          <w:szCs w:val="24"/>
        </w:rPr>
        <w:t>为</w:t>
      </w:r>
      <w:r w:rsidR="00B520EF" w:rsidRPr="00364B9A">
        <w:rPr>
          <w:rFonts w:hint="eastAsia"/>
          <w:szCs w:val="24"/>
        </w:rPr>
        <w:t>银行</w:t>
      </w:r>
      <w:r w:rsidR="008A29B3" w:rsidRPr="00364B9A">
        <w:rPr>
          <w:rFonts w:hint="eastAsia"/>
          <w:szCs w:val="24"/>
        </w:rPr>
        <w:t>汇划费</w:t>
      </w:r>
      <w:r w:rsidRPr="00364B9A">
        <w:rPr>
          <w:rFonts w:hint="eastAsia"/>
          <w:szCs w:val="24"/>
        </w:rPr>
        <w:t>、</w:t>
      </w:r>
      <w:r w:rsidR="00C72652" w:rsidRPr="00364B9A">
        <w:rPr>
          <w:rFonts w:hint="eastAsia"/>
          <w:szCs w:val="24"/>
        </w:rPr>
        <w:t>银行间账户维护费</w:t>
      </w:r>
      <w:r w:rsidRPr="00364B9A">
        <w:rPr>
          <w:rFonts w:hint="eastAsia"/>
          <w:szCs w:val="24"/>
        </w:rPr>
        <w:t>等</w:t>
      </w:r>
      <w:r w:rsidR="0045457D" w:rsidRPr="00364B9A">
        <w:rPr>
          <w:rFonts w:hint="eastAsia"/>
          <w:szCs w:val="24"/>
        </w:rPr>
        <w:t>。</w:t>
      </w:r>
    </w:p>
    <w:p w:rsidR="00583F83" w:rsidRPr="00364B9A" w:rsidRDefault="00E22DB5" w:rsidP="00F50B4C">
      <w:pPr>
        <w:spacing w:after="180"/>
        <w:ind w:left="613" w:firstLine="0"/>
        <w:rPr>
          <w:szCs w:val="24"/>
        </w:rPr>
      </w:pPr>
      <w:r w:rsidRPr="00364B9A">
        <w:rPr>
          <w:szCs w:val="24"/>
        </w:rPr>
        <w:t>（五）截至本次清算期结束日的剩余财产情况</w:t>
      </w:r>
    </w:p>
    <w:p w:rsidR="00583F83" w:rsidRPr="00364B9A" w:rsidRDefault="00E22DB5">
      <w:pPr>
        <w:spacing w:after="0"/>
        <w:ind w:right="47"/>
        <w:jc w:val="right"/>
        <w:rPr>
          <w:szCs w:val="24"/>
        </w:rPr>
      </w:pPr>
      <w:r w:rsidRPr="00364B9A">
        <w:rPr>
          <w:szCs w:val="24"/>
        </w:rPr>
        <w:t>单位：人民币元</w:t>
      </w:r>
    </w:p>
    <w:tbl>
      <w:tblPr>
        <w:tblStyle w:val="TableGrid"/>
        <w:tblW w:w="8506" w:type="dxa"/>
        <w:tblInd w:w="566" w:type="dxa"/>
        <w:tblCellMar>
          <w:left w:w="108" w:type="dxa"/>
          <w:right w:w="55" w:type="dxa"/>
        </w:tblCellMar>
        <w:tblLook w:val="04A0"/>
      </w:tblPr>
      <w:tblGrid>
        <w:gridCol w:w="5388"/>
        <w:gridCol w:w="3118"/>
      </w:tblGrid>
      <w:tr w:rsidR="00583F83" w:rsidRPr="00364B9A">
        <w:trPr>
          <w:trHeight w:val="283"/>
        </w:trPr>
        <w:tc>
          <w:tcPr>
            <w:tcW w:w="5388" w:type="dxa"/>
            <w:tcBorders>
              <w:top w:val="single" w:sz="4" w:space="0" w:color="000000"/>
              <w:left w:val="single" w:sz="4" w:space="0" w:color="000000"/>
              <w:bottom w:val="single" w:sz="4" w:space="0" w:color="000000"/>
              <w:right w:val="single" w:sz="4" w:space="0" w:color="000000"/>
            </w:tcBorders>
          </w:tcPr>
          <w:p w:rsidR="00583F83" w:rsidRPr="00364B9A" w:rsidRDefault="00E22DB5">
            <w:pPr>
              <w:spacing w:after="0"/>
              <w:ind w:left="0" w:firstLine="0"/>
              <w:rPr>
                <w:szCs w:val="24"/>
              </w:rPr>
            </w:pPr>
            <w:r w:rsidRPr="00364B9A">
              <w:rPr>
                <w:szCs w:val="24"/>
              </w:rPr>
              <w:t>项目</w:t>
            </w:r>
          </w:p>
        </w:tc>
        <w:tc>
          <w:tcPr>
            <w:tcW w:w="3118" w:type="dxa"/>
            <w:tcBorders>
              <w:top w:val="single" w:sz="4" w:space="0" w:color="000000"/>
              <w:left w:val="single" w:sz="4" w:space="0" w:color="000000"/>
              <w:bottom w:val="single" w:sz="4" w:space="0" w:color="000000"/>
              <w:right w:val="single" w:sz="4" w:space="0" w:color="000000"/>
            </w:tcBorders>
          </w:tcPr>
          <w:p w:rsidR="00583F83" w:rsidRPr="00364B9A" w:rsidRDefault="00E22DB5">
            <w:pPr>
              <w:spacing w:after="0"/>
              <w:ind w:left="0" w:right="50" w:firstLine="0"/>
              <w:jc w:val="right"/>
              <w:rPr>
                <w:szCs w:val="24"/>
              </w:rPr>
            </w:pPr>
            <w:r w:rsidRPr="00364B9A">
              <w:rPr>
                <w:szCs w:val="24"/>
              </w:rPr>
              <w:t>金额</w:t>
            </w:r>
          </w:p>
        </w:tc>
      </w:tr>
      <w:tr w:rsidR="00583F83" w:rsidRPr="00364B9A">
        <w:trPr>
          <w:trHeight w:val="283"/>
        </w:trPr>
        <w:tc>
          <w:tcPr>
            <w:tcW w:w="5388" w:type="dxa"/>
            <w:tcBorders>
              <w:top w:val="single" w:sz="4" w:space="0" w:color="000000"/>
              <w:left w:val="single" w:sz="4" w:space="0" w:color="000000"/>
              <w:bottom w:val="single" w:sz="4" w:space="0" w:color="000000"/>
              <w:right w:val="single" w:sz="4" w:space="0" w:color="000000"/>
            </w:tcBorders>
          </w:tcPr>
          <w:p w:rsidR="00583F83" w:rsidRPr="00364B9A" w:rsidRDefault="00E22DB5">
            <w:pPr>
              <w:spacing w:after="0"/>
              <w:ind w:left="0" w:firstLine="0"/>
              <w:rPr>
                <w:szCs w:val="24"/>
              </w:rPr>
            </w:pPr>
            <w:r w:rsidRPr="00364B9A">
              <w:rPr>
                <w:szCs w:val="24"/>
              </w:rPr>
              <w:t>一、最后运作日</w:t>
            </w:r>
            <w:r w:rsidR="002F7911" w:rsidRPr="00364B9A">
              <w:rPr>
                <w:rFonts w:cs="Times New Roman"/>
                <w:szCs w:val="24"/>
              </w:rPr>
              <w:t>201</w:t>
            </w:r>
            <w:r w:rsidR="009204DD" w:rsidRPr="00364B9A">
              <w:rPr>
                <w:rFonts w:cs="Times New Roman"/>
                <w:szCs w:val="24"/>
              </w:rPr>
              <w:t>8</w:t>
            </w:r>
            <w:r w:rsidRPr="00364B9A">
              <w:rPr>
                <w:szCs w:val="24"/>
              </w:rPr>
              <w:t>年</w:t>
            </w:r>
            <w:r w:rsidR="00FF40FF" w:rsidRPr="00364B9A">
              <w:rPr>
                <w:rFonts w:cs="Times New Roman"/>
                <w:szCs w:val="24"/>
              </w:rPr>
              <w:t>8</w:t>
            </w:r>
            <w:r w:rsidRPr="00364B9A">
              <w:rPr>
                <w:szCs w:val="24"/>
              </w:rPr>
              <w:t>月</w:t>
            </w:r>
            <w:r w:rsidR="00FF40FF" w:rsidRPr="00364B9A">
              <w:rPr>
                <w:rFonts w:cs="Times New Roman"/>
                <w:szCs w:val="24"/>
              </w:rPr>
              <w:t>9</w:t>
            </w:r>
            <w:r w:rsidRPr="00364B9A">
              <w:rPr>
                <w:szCs w:val="24"/>
              </w:rPr>
              <w:t>日基金净资产</w:t>
            </w:r>
          </w:p>
        </w:tc>
        <w:tc>
          <w:tcPr>
            <w:tcW w:w="3118" w:type="dxa"/>
            <w:tcBorders>
              <w:top w:val="single" w:sz="4" w:space="0" w:color="000000"/>
              <w:left w:val="single" w:sz="4" w:space="0" w:color="000000"/>
              <w:bottom w:val="single" w:sz="4" w:space="0" w:color="000000"/>
              <w:right w:val="single" w:sz="4" w:space="0" w:color="000000"/>
            </w:tcBorders>
          </w:tcPr>
          <w:p w:rsidR="00583F83" w:rsidRPr="00364B9A" w:rsidRDefault="00B660C1" w:rsidP="00F50B4C">
            <w:pPr>
              <w:jc w:val="right"/>
              <w:rPr>
                <w:szCs w:val="24"/>
              </w:rPr>
            </w:pPr>
            <w:r w:rsidRPr="00364B9A">
              <w:rPr>
                <w:szCs w:val="24"/>
              </w:rPr>
              <w:t>8,761,245.04</w:t>
            </w:r>
          </w:p>
        </w:tc>
      </w:tr>
      <w:tr w:rsidR="00583F83" w:rsidRPr="00364B9A">
        <w:trPr>
          <w:trHeight w:val="281"/>
        </w:trPr>
        <w:tc>
          <w:tcPr>
            <w:tcW w:w="5388" w:type="dxa"/>
            <w:tcBorders>
              <w:top w:val="single" w:sz="4" w:space="0" w:color="000000"/>
              <w:left w:val="single" w:sz="4" w:space="0" w:color="000000"/>
              <w:bottom w:val="single" w:sz="4" w:space="0" w:color="000000"/>
              <w:right w:val="single" w:sz="4" w:space="0" w:color="000000"/>
            </w:tcBorders>
          </w:tcPr>
          <w:p w:rsidR="00583F83" w:rsidRPr="00364B9A" w:rsidRDefault="00E22DB5">
            <w:pPr>
              <w:spacing w:after="0"/>
              <w:ind w:left="0" w:firstLine="0"/>
              <w:rPr>
                <w:szCs w:val="24"/>
              </w:rPr>
            </w:pPr>
            <w:r w:rsidRPr="00364B9A">
              <w:rPr>
                <w:szCs w:val="24"/>
              </w:rPr>
              <w:t>加：清算期间净收益</w:t>
            </w:r>
          </w:p>
        </w:tc>
        <w:tc>
          <w:tcPr>
            <w:tcW w:w="3118" w:type="dxa"/>
            <w:tcBorders>
              <w:top w:val="single" w:sz="4" w:space="0" w:color="000000"/>
              <w:left w:val="single" w:sz="4" w:space="0" w:color="000000"/>
              <w:bottom w:val="single" w:sz="4" w:space="0" w:color="000000"/>
              <w:right w:val="single" w:sz="4" w:space="0" w:color="000000"/>
            </w:tcBorders>
          </w:tcPr>
          <w:p w:rsidR="00583F83" w:rsidRPr="00364B9A" w:rsidRDefault="004009DA" w:rsidP="00575A40">
            <w:pPr>
              <w:jc w:val="right"/>
              <w:rPr>
                <w:szCs w:val="24"/>
              </w:rPr>
            </w:pPr>
            <w:r w:rsidRPr="00364B9A">
              <w:rPr>
                <w:szCs w:val="24"/>
              </w:rPr>
              <w:t>-503.39</w:t>
            </w:r>
          </w:p>
        </w:tc>
      </w:tr>
      <w:tr w:rsidR="00BD400D" w:rsidRPr="00364B9A">
        <w:trPr>
          <w:trHeight w:val="283"/>
        </w:trPr>
        <w:tc>
          <w:tcPr>
            <w:tcW w:w="5388" w:type="dxa"/>
            <w:tcBorders>
              <w:top w:val="single" w:sz="4" w:space="0" w:color="000000"/>
              <w:left w:val="single" w:sz="4" w:space="0" w:color="000000"/>
              <w:bottom w:val="single" w:sz="4" w:space="0" w:color="000000"/>
              <w:right w:val="single" w:sz="4" w:space="0" w:color="000000"/>
            </w:tcBorders>
          </w:tcPr>
          <w:p w:rsidR="00BD400D" w:rsidRPr="00364B9A" w:rsidRDefault="00BD400D" w:rsidP="00BD400D">
            <w:pPr>
              <w:spacing w:after="0"/>
              <w:ind w:left="0" w:firstLine="0"/>
              <w:rPr>
                <w:szCs w:val="24"/>
              </w:rPr>
            </w:pPr>
            <w:r w:rsidRPr="00364B9A">
              <w:rPr>
                <w:rFonts w:hint="eastAsia"/>
                <w:szCs w:val="24"/>
              </w:rPr>
              <w:t>减</w:t>
            </w:r>
            <w:r w:rsidRPr="00364B9A">
              <w:rPr>
                <w:szCs w:val="24"/>
              </w:rPr>
              <w:t>：</w:t>
            </w:r>
            <w:r w:rsidRPr="00364B9A">
              <w:rPr>
                <w:rFonts w:hint="eastAsia"/>
                <w:szCs w:val="24"/>
              </w:rPr>
              <w:t>基金</w:t>
            </w:r>
            <w:r w:rsidRPr="00364B9A">
              <w:rPr>
                <w:szCs w:val="24"/>
              </w:rPr>
              <w:t>净赎</w:t>
            </w:r>
            <w:r w:rsidRPr="00364B9A">
              <w:rPr>
                <w:rFonts w:hint="eastAsia"/>
                <w:szCs w:val="24"/>
              </w:rPr>
              <w:t>回</w:t>
            </w:r>
            <w:r w:rsidRPr="00364B9A">
              <w:rPr>
                <w:szCs w:val="24"/>
              </w:rPr>
              <w:t>金额</w:t>
            </w:r>
            <w:r w:rsidRPr="00364B9A">
              <w:rPr>
                <w:rFonts w:hint="eastAsia"/>
                <w:szCs w:val="24"/>
              </w:rPr>
              <w:t>（于</w:t>
            </w:r>
            <w:r w:rsidR="00340368" w:rsidRPr="00364B9A">
              <w:rPr>
                <w:szCs w:val="24"/>
              </w:rPr>
              <w:t>2018</w:t>
            </w:r>
            <w:r w:rsidRPr="00364B9A">
              <w:rPr>
                <w:rFonts w:hint="eastAsia"/>
                <w:szCs w:val="24"/>
              </w:rPr>
              <w:t>年</w:t>
            </w:r>
            <w:r w:rsidR="00F309AC" w:rsidRPr="00364B9A">
              <w:rPr>
                <w:szCs w:val="24"/>
              </w:rPr>
              <w:t>8</w:t>
            </w:r>
            <w:r w:rsidRPr="00364B9A">
              <w:rPr>
                <w:rFonts w:hint="eastAsia"/>
                <w:szCs w:val="24"/>
              </w:rPr>
              <w:t>月</w:t>
            </w:r>
            <w:r w:rsidR="00F309AC" w:rsidRPr="00364B9A">
              <w:rPr>
                <w:szCs w:val="24"/>
              </w:rPr>
              <w:t>10</w:t>
            </w:r>
            <w:r w:rsidRPr="00364B9A">
              <w:rPr>
                <w:rFonts w:hint="eastAsia"/>
                <w:szCs w:val="24"/>
              </w:rPr>
              <w:t>日</w:t>
            </w:r>
            <w:r w:rsidRPr="00364B9A">
              <w:rPr>
                <w:szCs w:val="24"/>
              </w:rPr>
              <w:t>确认的投资</w:t>
            </w:r>
            <w:r w:rsidRPr="00364B9A">
              <w:rPr>
                <w:rFonts w:hint="eastAsia"/>
                <w:szCs w:val="24"/>
              </w:rPr>
              <w:t>者</w:t>
            </w:r>
            <w:r w:rsidRPr="00364B9A">
              <w:rPr>
                <w:szCs w:val="24"/>
              </w:rPr>
              <w:t>赎</w:t>
            </w:r>
            <w:r w:rsidRPr="00364B9A">
              <w:rPr>
                <w:rFonts w:hint="eastAsia"/>
                <w:szCs w:val="24"/>
              </w:rPr>
              <w:t>回申</w:t>
            </w:r>
            <w:r w:rsidRPr="00364B9A">
              <w:rPr>
                <w:szCs w:val="24"/>
              </w:rPr>
              <w:t>请</w:t>
            </w:r>
            <w:r w:rsidRPr="00364B9A">
              <w:rPr>
                <w:rFonts w:hint="eastAsia"/>
                <w:szCs w:val="24"/>
              </w:rPr>
              <w:t>）</w:t>
            </w:r>
          </w:p>
        </w:tc>
        <w:tc>
          <w:tcPr>
            <w:tcW w:w="3118" w:type="dxa"/>
            <w:tcBorders>
              <w:top w:val="single" w:sz="4" w:space="0" w:color="000000"/>
              <w:left w:val="single" w:sz="4" w:space="0" w:color="000000"/>
              <w:bottom w:val="single" w:sz="4" w:space="0" w:color="000000"/>
              <w:right w:val="single" w:sz="4" w:space="0" w:color="000000"/>
            </w:tcBorders>
          </w:tcPr>
          <w:p w:rsidR="00BD400D" w:rsidRPr="00364B9A" w:rsidRDefault="00314310" w:rsidP="007F489A">
            <w:pPr>
              <w:jc w:val="right"/>
              <w:rPr>
                <w:szCs w:val="24"/>
              </w:rPr>
            </w:pPr>
            <w:r w:rsidRPr="00364B9A">
              <w:rPr>
                <w:szCs w:val="24"/>
              </w:rPr>
              <w:t>103</w:t>
            </w:r>
            <w:r w:rsidR="00F132A6" w:rsidRPr="00364B9A">
              <w:rPr>
                <w:szCs w:val="24"/>
              </w:rPr>
              <w:t>,</w:t>
            </w:r>
            <w:r w:rsidRPr="00364B9A">
              <w:rPr>
                <w:szCs w:val="24"/>
              </w:rPr>
              <w:t>838.43</w:t>
            </w:r>
          </w:p>
        </w:tc>
      </w:tr>
      <w:tr w:rsidR="00BD400D" w:rsidRPr="00364B9A">
        <w:trPr>
          <w:trHeight w:val="283"/>
        </w:trPr>
        <w:tc>
          <w:tcPr>
            <w:tcW w:w="5388" w:type="dxa"/>
            <w:tcBorders>
              <w:top w:val="single" w:sz="4" w:space="0" w:color="000000"/>
              <w:left w:val="single" w:sz="4" w:space="0" w:color="000000"/>
              <w:bottom w:val="single" w:sz="4" w:space="0" w:color="000000"/>
              <w:right w:val="single" w:sz="4" w:space="0" w:color="000000"/>
            </w:tcBorders>
          </w:tcPr>
          <w:p w:rsidR="00BD400D" w:rsidRPr="00364B9A" w:rsidRDefault="00BD400D" w:rsidP="00BD400D">
            <w:pPr>
              <w:spacing w:after="0"/>
              <w:ind w:left="0" w:firstLine="0"/>
              <w:rPr>
                <w:szCs w:val="24"/>
              </w:rPr>
            </w:pPr>
            <w:r w:rsidRPr="00364B9A">
              <w:rPr>
                <w:szCs w:val="24"/>
              </w:rPr>
              <w:t>二、</w:t>
            </w:r>
            <w:r w:rsidRPr="00364B9A">
              <w:rPr>
                <w:rFonts w:cs="Times New Roman"/>
                <w:szCs w:val="24"/>
              </w:rPr>
              <w:t>201</w:t>
            </w:r>
            <w:r w:rsidR="00340368" w:rsidRPr="00364B9A">
              <w:rPr>
                <w:rFonts w:cs="Times New Roman"/>
                <w:szCs w:val="24"/>
              </w:rPr>
              <w:t>8</w:t>
            </w:r>
            <w:r w:rsidRPr="00364B9A">
              <w:rPr>
                <w:szCs w:val="24"/>
              </w:rPr>
              <w:t>年</w:t>
            </w:r>
            <w:r w:rsidR="00633B71" w:rsidRPr="00364B9A">
              <w:rPr>
                <w:rFonts w:cs="Times New Roman"/>
                <w:szCs w:val="24"/>
              </w:rPr>
              <w:t>9</w:t>
            </w:r>
            <w:r w:rsidRPr="00364B9A">
              <w:rPr>
                <w:szCs w:val="24"/>
              </w:rPr>
              <w:t>月</w:t>
            </w:r>
            <w:r w:rsidR="00633B71" w:rsidRPr="00364B9A">
              <w:rPr>
                <w:rFonts w:cs="Times New Roman"/>
                <w:szCs w:val="24"/>
              </w:rPr>
              <w:t>7</w:t>
            </w:r>
            <w:r w:rsidRPr="00364B9A">
              <w:rPr>
                <w:szCs w:val="24"/>
              </w:rPr>
              <w:t>日基金净资产</w:t>
            </w:r>
          </w:p>
        </w:tc>
        <w:tc>
          <w:tcPr>
            <w:tcW w:w="3118" w:type="dxa"/>
            <w:tcBorders>
              <w:top w:val="single" w:sz="4" w:space="0" w:color="000000"/>
              <w:left w:val="single" w:sz="4" w:space="0" w:color="000000"/>
              <w:bottom w:val="single" w:sz="4" w:space="0" w:color="000000"/>
              <w:right w:val="single" w:sz="4" w:space="0" w:color="000000"/>
            </w:tcBorders>
          </w:tcPr>
          <w:p w:rsidR="00BD400D" w:rsidRPr="00364B9A" w:rsidRDefault="00633B71" w:rsidP="00CC62A4">
            <w:pPr>
              <w:jc w:val="right"/>
              <w:rPr>
                <w:szCs w:val="24"/>
              </w:rPr>
            </w:pPr>
            <w:r w:rsidRPr="00364B9A">
              <w:rPr>
                <w:szCs w:val="24"/>
              </w:rPr>
              <w:t>8,656,903.22</w:t>
            </w:r>
          </w:p>
        </w:tc>
      </w:tr>
    </w:tbl>
    <w:p w:rsidR="00296B31" w:rsidRPr="00364B9A" w:rsidRDefault="00296B31">
      <w:pPr>
        <w:spacing w:after="30" w:line="391" w:lineRule="auto"/>
        <w:ind w:left="574" w:firstLine="480"/>
        <w:rPr>
          <w:szCs w:val="24"/>
        </w:rPr>
      </w:pPr>
    </w:p>
    <w:p w:rsidR="00583F83" w:rsidRPr="00DA1D6C" w:rsidRDefault="00E22DB5" w:rsidP="008A7022">
      <w:pPr>
        <w:spacing w:after="30" w:line="391" w:lineRule="auto"/>
        <w:ind w:left="0" w:firstLine="480"/>
        <w:jc w:val="both"/>
        <w:rPr>
          <w:rFonts w:cs="Times New Roman"/>
          <w:szCs w:val="24"/>
        </w:rPr>
      </w:pPr>
      <w:r w:rsidRPr="00DA1D6C">
        <w:rPr>
          <w:szCs w:val="24"/>
        </w:rPr>
        <w:t>截至本次清算期结束日</w:t>
      </w:r>
      <w:r w:rsidR="00CA7858" w:rsidRPr="00DA1D6C">
        <w:rPr>
          <w:rFonts w:cs="Times New Roman"/>
          <w:szCs w:val="24"/>
        </w:rPr>
        <w:t>2018</w:t>
      </w:r>
      <w:r w:rsidR="00364B9A" w:rsidRPr="00DA1D6C">
        <w:rPr>
          <w:rFonts w:hint="eastAsia"/>
          <w:szCs w:val="24"/>
        </w:rPr>
        <w:t>年</w:t>
      </w:r>
      <w:r w:rsidR="00633B71" w:rsidRPr="00DA1D6C">
        <w:rPr>
          <w:rFonts w:cs="Times New Roman"/>
          <w:szCs w:val="24"/>
        </w:rPr>
        <w:t>9</w:t>
      </w:r>
      <w:r w:rsidR="00364B9A" w:rsidRPr="00DA1D6C">
        <w:rPr>
          <w:rFonts w:hint="eastAsia"/>
          <w:szCs w:val="24"/>
        </w:rPr>
        <w:t>月</w:t>
      </w:r>
      <w:r w:rsidR="00633B71" w:rsidRPr="00DA1D6C">
        <w:rPr>
          <w:rFonts w:cs="Times New Roman"/>
          <w:szCs w:val="24"/>
        </w:rPr>
        <w:t>7</w:t>
      </w:r>
      <w:r w:rsidR="00CC62A4" w:rsidRPr="00DA1D6C">
        <w:rPr>
          <w:szCs w:val="24"/>
        </w:rPr>
        <w:t>日，本基金剩余财产为人民</w:t>
      </w:r>
      <w:r w:rsidR="00CC62A4" w:rsidRPr="00DA1D6C">
        <w:rPr>
          <w:rFonts w:hint="eastAsia"/>
          <w:szCs w:val="24"/>
        </w:rPr>
        <w:t>币</w:t>
      </w:r>
      <w:r w:rsidR="00633B71" w:rsidRPr="00DA1D6C">
        <w:rPr>
          <w:szCs w:val="24"/>
        </w:rPr>
        <w:t>8,656,903.22</w:t>
      </w:r>
      <w:r w:rsidRPr="00DA1D6C">
        <w:rPr>
          <w:szCs w:val="24"/>
        </w:rPr>
        <w:t>元。自本次清算期结束日次日</w:t>
      </w:r>
      <w:r w:rsidR="00CA7858" w:rsidRPr="00DA1D6C">
        <w:rPr>
          <w:rFonts w:cs="Times New Roman"/>
          <w:szCs w:val="24"/>
        </w:rPr>
        <w:t>2018</w:t>
      </w:r>
      <w:r w:rsidRPr="00DA1D6C">
        <w:rPr>
          <w:szCs w:val="24"/>
        </w:rPr>
        <w:t>年</w:t>
      </w:r>
      <w:r w:rsidR="00633B71" w:rsidRPr="00DA1D6C">
        <w:rPr>
          <w:rFonts w:cs="Times New Roman"/>
          <w:szCs w:val="24"/>
        </w:rPr>
        <w:t>9</w:t>
      </w:r>
      <w:r w:rsidRPr="00DA1D6C">
        <w:rPr>
          <w:szCs w:val="24"/>
        </w:rPr>
        <w:t>月</w:t>
      </w:r>
      <w:r w:rsidR="00633B71" w:rsidRPr="00DA1D6C">
        <w:rPr>
          <w:rFonts w:cs="Times New Roman"/>
          <w:szCs w:val="24"/>
        </w:rPr>
        <w:t>8</w:t>
      </w:r>
      <w:r w:rsidRPr="00DA1D6C">
        <w:rPr>
          <w:szCs w:val="24"/>
        </w:rPr>
        <w:t>日至本次清算款划出前一日的银行存款产生的利息（包括基金管理人垫付资金本金产生的利息）亦归基金份额持有人所有。</w:t>
      </w:r>
    </w:p>
    <w:p w:rsidR="008A7022" w:rsidRPr="00DA1D6C" w:rsidRDefault="00E77AF0" w:rsidP="001E4431">
      <w:pPr>
        <w:spacing w:after="30" w:line="388" w:lineRule="auto"/>
        <w:ind w:left="0" w:firstLine="480"/>
        <w:jc w:val="both"/>
        <w:rPr>
          <w:szCs w:val="24"/>
        </w:rPr>
      </w:pPr>
      <w:r w:rsidRPr="00DA1D6C">
        <w:rPr>
          <w:rFonts w:hint="eastAsia"/>
          <w:szCs w:val="24"/>
        </w:rPr>
        <w:t>本基金所有剩余财产将按基金份额持有人持有的基金份额比例进行分配。</w:t>
      </w:r>
    </w:p>
    <w:p w:rsidR="00583F83" w:rsidRPr="00DA1D6C" w:rsidRDefault="00E22DB5" w:rsidP="008A7022">
      <w:pPr>
        <w:spacing w:after="170"/>
        <w:ind w:left="426" w:firstLine="0"/>
        <w:jc w:val="both"/>
        <w:rPr>
          <w:szCs w:val="24"/>
        </w:rPr>
      </w:pPr>
      <w:r w:rsidRPr="00DA1D6C">
        <w:rPr>
          <w:szCs w:val="24"/>
        </w:rPr>
        <w:t>（六）基金清算报告的告知及剩余财产分配安排</w:t>
      </w:r>
    </w:p>
    <w:p w:rsidR="00583F83" w:rsidRPr="00DA1D6C" w:rsidRDefault="00E22DB5" w:rsidP="008A7022">
      <w:pPr>
        <w:spacing w:after="394" w:line="366" w:lineRule="auto"/>
        <w:ind w:left="0" w:firstLine="480"/>
        <w:jc w:val="both"/>
        <w:rPr>
          <w:szCs w:val="24"/>
        </w:rPr>
      </w:pPr>
      <w:r w:rsidRPr="00DA1D6C">
        <w:rPr>
          <w:szCs w:val="24"/>
        </w:rPr>
        <w:t>本清算报告已经基金托管人复核，将与会计师事务所出具的清算审计报告、律师事务所出具的法律意见书一并报中国证监会备案后向基金份额持有人公告。清算报告公告后，基金管理人将遵照法律法规、基金合同等规定及时进行分配。</w:t>
      </w:r>
    </w:p>
    <w:p w:rsidR="00583F83" w:rsidRPr="00AB717A" w:rsidRDefault="00E22DB5" w:rsidP="00AB717A">
      <w:pPr>
        <w:pStyle w:val="1"/>
        <w:ind w:left="10" w:right="62" w:firstLineChars="1300" w:firstLine="3640"/>
        <w:jc w:val="both"/>
        <w:rPr>
          <w:szCs w:val="28"/>
        </w:rPr>
      </w:pPr>
      <w:bookmarkStart w:id="5" w:name="_Toc524096733"/>
      <w:r w:rsidRPr="00AB717A">
        <w:rPr>
          <w:szCs w:val="28"/>
        </w:rPr>
        <w:t>五、备查文件</w:t>
      </w:r>
      <w:bookmarkEnd w:id="5"/>
    </w:p>
    <w:p w:rsidR="00583F83" w:rsidRPr="00364B9A" w:rsidRDefault="00E22DB5" w:rsidP="008A7022">
      <w:pPr>
        <w:spacing w:after="201"/>
        <w:ind w:left="567"/>
        <w:jc w:val="both"/>
        <w:rPr>
          <w:szCs w:val="24"/>
        </w:rPr>
      </w:pPr>
      <w:r w:rsidRPr="00364B9A">
        <w:rPr>
          <w:szCs w:val="24"/>
        </w:rPr>
        <w:t>（一）备查文件目录</w:t>
      </w:r>
    </w:p>
    <w:p w:rsidR="00583F83" w:rsidRPr="00364B9A" w:rsidRDefault="00E22DB5" w:rsidP="001E4431">
      <w:pPr>
        <w:numPr>
          <w:ilvl w:val="0"/>
          <w:numId w:val="7"/>
        </w:numPr>
        <w:spacing w:after="204"/>
        <w:ind w:left="709" w:firstLine="0"/>
        <w:jc w:val="both"/>
        <w:rPr>
          <w:szCs w:val="24"/>
        </w:rPr>
      </w:pPr>
      <w:r w:rsidRPr="00364B9A">
        <w:rPr>
          <w:szCs w:val="24"/>
        </w:rPr>
        <w:t>《</w:t>
      </w:r>
      <w:r w:rsidR="007E7F53" w:rsidRPr="00364B9A">
        <w:rPr>
          <w:rFonts w:hint="eastAsia"/>
          <w:szCs w:val="24"/>
        </w:rPr>
        <w:t>泰达宏利</w:t>
      </w:r>
      <w:r w:rsidR="00F132A6" w:rsidRPr="00364B9A">
        <w:rPr>
          <w:rFonts w:hint="eastAsia"/>
          <w:szCs w:val="24"/>
        </w:rPr>
        <w:t>信用合利</w:t>
      </w:r>
      <w:r w:rsidR="00F132A6" w:rsidRPr="00364B9A">
        <w:rPr>
          <w:szCs w:val="24"/>
        </w:rPr>
        <w:t>定期开放</w:t>
      </w:r>
      <w:r w:rsidR="00F132A6" w:rsidRPr="00364B9A">
        <w:rPr>
          <w:rFonts w:hint="eastAsia"/>
          <w:szCs w:val="24"/>
        </w:rPr>
        <w:t>债券</w:t>
      </w:r>
      <w:r w:rsidR="007E7F53" w:rsidRPr="00364B9A">
        <w:rPr>
          <w:szCs w:val="24"/>
        </w:rPr>
        <w:t>型</w:t>
      </w:r>
      <w:r w:rsidRPr="00364B9A">
        <w:rPr>
          <w:szCs w:val="24"/>
        </w:rPr>
        <w:t>证券投资基金清算审计报告》</w:t>
      </w:r>
    </w:p>
    <w:p w:rsidR="00583F83" w:rsidRPr="00364B9A" w:rsidRDefault="00E22DB5" w:rsidP="001E4431">
      <w:pPr>
        <w:numPr>
          <w:ilvl w:val="0"/>
          <w:numId w:val="7"/>
        </w:numPr>
        <w:spacing w:after="202"/>
        <w:ind w:hanging="585"/>
        <w:jc w:val="both"/>
        <w:rPr>
          <w:szCs w:val="24"/>
        </w:rPr>
      </w:pPr>
      <w:r w:rsidRPr="00364B9A">
        <w:rPr>
          <w:szCs w:val="24"/>
        </w:rPr>
        <w:t>《关于</w:t>
      </w:r>
      <w:r w:rsidR="007E7F53" w:rsidRPr="00364B9A">
        <w:rPr>
          <w:rFonts w:hint="eastAsia"/>
          <w:szCs w:val="24"/>
        </w:rPr>
        <w:t>泰达宏利</w:t>
      </w:r>
      <w:r w:rsidR="00F132A6" w:rsidRPr="00364B9A">
        <w:rPr>
          <w:rFonts w:hint="eastAsia"/>
          <w:szCs w:val="24"/>
        </w:rPr>
        <w:t>信用合利</w:t>
      </w:r>
      <w:r w:rsidR="00F132A6" w:rsidRPr="00364B9A">
        <w:rPr>
          <w:szCs w:val="24"/>
        </w:rPr>
        <w:t>定期开放</w:t>
      </w:r>
      <w:r w:rsidR="00F132A6" w:rsidRPr="00364B9A">
        <w:rPr>
          <w:rFonts w:hint="eastAsia"/>
          <w:szCs w:val="24"/>
        </w:rPr>
        <w:t>债券</w:t>
      </w:r>
      <w:r w:rsidR="00F132A6" w:rsidRPr="00364B9A">
        <w:rPr>
          <w:szCs w:val="24"/>
        </w:rPr>
        <w:t>型证券投资基金</w:t>
      </w:r>
      <w:r w:rsidRPr="00364B9A">
        <w:rPr>
          <w:szCs w:val="24"/>
        </w:rPr>
        <w:t>清算的法律意见》</w:t>
      </w:r>
    </w:p>
    <w:p w:rsidR="00583F83" w:rsidRPr="00364B9A" w:rsidRDefault="008A7022" w:rsidP="008A7022">
      <w:pPr>
        <w:tabs>
          <w:tab w:val="left" w:pos="709"/>
          <w:tab w:val="left" w:pos="1418"/>
        </w:tabs>
        <w:spacing w:line="416" w:lineRule="auto"/>
        <w:ind w:leftChars="235" w:left="564" w:right="760" w:firstLine="1"/>
        <w:jc w:val="both"/>
        <w:rPr>
          <w:szCs w:val="24"/>
        </w:rPr>
      </w:pPr>
      <w:r>
        <w:rPr>
          <w:rFonts w:hint="eastAsia"/>
          <w:szCs w:val="24"/>
        </w:rPr>
        <w:t>（二）</w:t>
      </w:r>
      <w:r w:rsidR="00E12E94">
        <w:rPr>
          <w:szCs w:val="24"/>
        </w:rPr>
        <w:t>存放地点备查文件存放于基金管理人、基金托管人处</w:t>
      </w:r>
      <w:r>
        <w:rPr>
          <w:rFonts w:cs="Times New Roman" w:hint="eastAsia"/>
          <w:szCs w:val="24"/>
        </w:rPr>
        <w:t>。</w:t>
      </w:r>
    </w:p>
    <w:p w:rsidR="00583F83" w:rsidRPr="00364B9A" w:rsidRDefault="008A7022" w:rsidP="008A7022">
      <w:pPr>
        <w:spacing w:after="201"/>
        <w:ind w:leftChars="118" w:left="283" w:firstLine="274"/>
        <w:jc w:val="both"/>
        <w:rPr>
          <w:szCs w:val="24"/>
        </w:rPr>
      </w:pPr>
      <w:r>
        <w:rPr>
          <w:rFonts w:hint="eastAsia"/>
          <w:szCs w:val="24"/>
        </w:rPr>
        <w:t>（三）</w:t>
      </w:r>
      <w:r w:rsidR="00E22DB5" w:rsidRPr="00364B9A">
        <w:rPr>
          <w:szCs w:val="24"/>
        </w:rPr>
        <w:t>查阅方式</w:t>
      </w:r>
    </w:p>
    <w:p w:rsidR="00583F83" w:rsidRPr="00364B9A" w:rsidRDefault="00E22DB5" w:rsidP="001E4431">
      <w:pPr>
        <w:spacing w:after="146"/>
        <w:ind w:left="1064" w:hanging="355"/>
        <w:jc w:val="both"/>
        <w:rPr>
          <w:szCs w:val="24"/>
        </w:rPr>
      </w:pPr>
      <w:r w:rsidRPr="00364B9A">
        <w:rPr>
          <w:szCs w:val="24"/>
        </w:rPr>
        <w:t>投资者可在营业时间免费查阅备查文件。</w:t>
      </w:r>
    </w:p>
    <w:p w:rsidR="00583F83" w:rsidRPr="00364B9A" w:rsidRDefault="00583F83" w:rsidP="00A21300">
      <w:pPr>
        <w:spacing w:after="115"/>
        <w:ind w:left="0" w:firstLine="0"/>
        <w:jc w:val="both"/>
        <w:rPr>
          <w:rFonts w:cs="Times New Roman"/>
          <w:szCs w:val="24"/>
        </w:rPr>
      </w:pPr>
    </w:p>
    <w:p w:rsidR="007E7F53" w:rsidRPr="00364B9A" w:rsidRDefault="007E7F53" w:rsidP="00A21300">
      <w:pPr>
        <w:spacing w:after="115"/>
        <w:ind w:left="0" w:firstLine="0"/>
        <w:jc w:val="both"/>
        <w:rPr>
          <w:szCs w:val="24"/>
        </w:rPr>
      </w:pPr>
    </w:p>
    <w:p w:rsidR="006D0F9A" w:rsidRPr="00364B9A" w:rsidRDefault="006D0F9A" w:rsidP="004B23B3">
      <w:pPr>
        <w:spacing w:line="378" w:lineRule="auto"/>
        <w:ind w:left="2343" w:right="41"/>
        <w:jc w:val="right"/>
        <w:rPr>
          <w:szCs w:val="24"/>
        </w:rPr>
      </w:pPr>
      <w:r w:rsidRPr="00364B9A">
        <w:rPr>
          <w:rFonts w:hint="eastAsia"/>
          <w:szCs w:val="24"/>
        </w:rPr>
        <w:t>泰达宏利</w:t>
      </w:r>
      <w:r w:rsidR="00F132A6" w:rsidRPr="00364B9A">
        <w:rPr>
          <w:rFonts w:hint="eastAsia"/>
          <w:szCs w:val="24"/>
        </w:rPr>
        <w:t>信用合利</w:t>
      </w:r>
      <w:r w:rsidR="00F132A6" w:rsidRPr="00364B9A">
        <w:rPr>
          <w:szCs w:val="24"/>
        </w:rPr>
        <w:t>定期开放</w:t>
      </w:r>
      <w:r w:rsidR="00F132A6" w:rsidRPr="00364B9A">
        <w:rPr>
          <w:rFonts w:hint="eastAsia"/>
          <w:szCs w:val="24"/>
        </w:rPr>
        <w:t>债券</w:t>
      </w:r>
      <w:r w:rsidR="00F132A6" w:rsidRPr="00364B9A">
        <w:rPr>
          <w:szCs w:val="24"/>
        </w:rPr>
        <w:t>型证券投资</w:t>
      </w:r>
      <w:r w:rsidR="00E22DB5" w:rsidRPr="00364B9A">
        <w:rPr>
          <w:szCs w:val="24"/>
        </w:rPr>
        <w:t>基金财产清算组</w:t>
      </w:r>
    </w:p>
    <w:p w:rsidR="00583F83" w:rsidRPr="00364B9A" w:rsidRDefault="00FC7095" w:rsidP="004B23B3">
      <w:pPr>
        <w:spacing w:line="378" w:lineRule="auto"/>
        <w:ind w:left="2343" w:right="-15"/>
        <w:jc w:val="right"/>
        <w:rPr>
          <w:szCs w:val="24"/>
        </w:rPr>
      </w:pPr>
      <w:r w:rsidRPr="00364B9A">
        <w:rPr>
          <w:szCs w:val="24"/>
        </w:rPr>
        <w:t>2018</w:t>
      </w:r>
      <w:r w:rsidR="00E22DB5" w:rsidRPr="00364B9A">
        <w:rPr>
          <w:szCs w:val="24"/>
        </w:rPr>
        <w:t>年</w:t>
      </w:r>
      <w:r w:rsidR="00633B71" w:rsidRPr="00364B9A">
        <w:rPr>
          <w:szCs w:val="24"/>
        </w:rPr>
        <w:t>9</w:t>
      </w:r>
      <w:r w:rsidR="00E22DB5" w:rsidRPr="00364B9A">
        <w:rPr>
          <w:szCs w:val="24"/>
        </w:rPr>
        <w:t>月</w:t>
      </w:r>
      <w:r w:rsidR="00633B71" w:rsidRPr="00364B9A">
        <w:rPr>
          <w:szCs w:val="24"/>
        </w:rPr>
        <w:t>7</w:t>
      </w:r>
      <w:r w:rsidR="00E22DB5" w:rsidRPr="00364B9A">
        <w:rPr>
          <w:szCs w:val="24"/>
        </w:rPr>
        <w:t>日</w:t>
      </w:r>
      <w:bookmarkStart w:id="6" w:name="_GoBack"/>
      <w:bookmarkEnd w:id="6"/>
    </w:p>
    <w:sectPr w:rsidR="00583F83" w:rsidRPr="00364B9A" w:rsidSect="00057108">
      <w:headerReference w:type="even" r:id="rId8"/>
      <w:headerReference w:type="default" r:id="rId9"/>
      <w:footerReference w:type="even" r:id="rId10"/>
      <w:footerReference w:type="default" r:id="rId11"/>
      <w:headerReference w:type="first" r:id="rId12"/>
      <w:footerReference w:type="first" r:id="rId13"/>
      <w:pgSz w:w="11906" w:h="16838"/>
      <w:pgMar w:top="1253" w:right="1375" w:bottom="129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2E1" w:rsidRDefault="00BD22E1">
      <w:pPr>
        <w:spacing w:after="0" w:line="240" w:lineRule="auto"/>
      </w:pPr>
      <w:r>
        <w:separator/>
      </w:r>
    </w:p>
  </w:endnote>
  <w:endnote w:type="continuationSeparator" w:id="1">
    <w:p w:rsidR="00BD22E1" w:rsidRDefault="00BD2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8" w:rsidRDefault="00187C9D">
    <w:pPr>
      <w:spacing w:after="0"/>
      <w:ind w:left="0" w:right="61" w:firstLine="0"/>
      <w:jc w:val="center"/>
    </w:pPr>
    <w:r w:rsidRPr="00187C9D">
      <w:fldChar w:fldCharType="begin"/>
    </w:r>
    <w:r w:rsidR="00340368">
      <w:instrText xml:space="preserve"> PAGE   \* MERGEFORMAT </w:instrText>
    </w:r>
    <w:r w:rsidRPr="00187C9D">
      <w:fldChar w:fldCharType="separate"/>
    </w:r>
    <w:r w:rsidR="00340368">
      <w:rPr>
        <w:rFonts w:ascii="Times New Roman" w:eastAsia="Times New Roman" w:hAnsi="Times New Roman" w:cs="Times New Roman"/>
        <w:sz w:val="18"/>
      </w:rPr>
      <w:t>2</w:t>
    </w:r>
    <w:r>
      <w:rPr>
        <w:rFonts w:ascii="Times New Roman" w:eastAsia="Times New Roman" w:hAnsi="Times New Roman" w:cs="Times New Roman"/>
        <w:sz w:val="18"/>
      </w:rPr>
      <w:fldChar w:fldCharType="end"/>
    </w:r>
  </w:p>
  <w:p w:rsidR="00340368" w:rsidRDefault="00340368">
    <w:pPr>
      <w:spacing w:after="0"/>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8" w:rsidRDefault="00187C9D">
    <w:pPr>
      <w:spacing w:after="0"/>
      <w:ind w:left="0" w:right="61" w:firstLine="0"/>
      <w:jc w:val="center"/>
    </w:pPr>
    <w:r w:rsidRPr="00187C9D">
      <w:fldChar w:fldCharType="begin"/>
    </w:r>
    <w:r w:rsidR="00340368">
      <w:instrText xml:space="preserve"> PAGE   \* MERGEFORMAT </w:instrText>
    </w:r>
    <w:r w:rsidRPr="00187C9D">
      <w:fldChar w:fldCharType="separate"/>
    </w:r>
    <w:r w:rsidR="00F62692" w:rsidRPr="00F62692">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p>
  <w:p w:rsidR="00340368" w:rsidRDefault="00340368">
    <w:pPr>
      <w:spacing w:after="0"/>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8" w:rsidRDefault="00340368">
    <w:pPr>
      <w:spacing w:after="160"/>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2E1" w:rsidRDefault="00BD22E1">
      <w:pPr>
        <w:spacing w:after="0" w:line="240" w:lineRule="auto"/>
      </w:pPr>
      <w:r>
        <w:separator/>
      </w:r>
    </w:p>
  </w:footnote>
  <w:footnote w:type="continuationSeparator" w:id="1">
    <w:p w:rsidR="00BD22E1" w:rsidRDefault="00BD22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8" w:rsidRDefault="00187C9D">
    <w:pPr>
      <w:spacing w:after="0"/>
      <w:ind w:left="0" w:right="60" w:firstLine="0"/>
      <w:jc w:val="right"/>
    </w:pPr>
    <w:r w:rsidRPr="00187C9D">
      <w:rPr>
        <w:rFonts w:ascii="Calibri" w:eastAsia="Calibri" w:hAnsi="Calibri" w:cs="Calibri"/>
        <w:noProof/>
        <w:sz w:val="22"/>
      </w:rPr>
      <w:pict>
        <v:group id="Group 12084" o:spid="_x0000_s22531" style="position:absolute;left:0;text-align:left;margin-left:69.5pt;margin-top:55.2pt;width:455.5pt;height:.5pt;z-index:251658240;mso-position-horizontal-relative:page;mso-position-vertical-relative:page" coordsize="578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">
          <v:shape id="Shape 12705" o:spid="_x0000_s22532" style="position:absolute;width:57851;height:91;visibility:visible;mso-wrap-style:square;v-text-anchor:top" coordsize="5785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" path="m,l5785104,r,9144l,9144,,e" fillcolor="black" stroked="f" strokeweight="0">
            <v:stroke opacity="0" miterlimit="10" joinstyle="miter"/>
            <v:path o:connecttype="custom" o:connectlocs="0,0;57851,0;57851,91;0,91;0,0" o:connectangles="0,0,0,0,0"/>
          </v:shape>
          <w10:wrap type="square" anchorx="page" anchory="page"/>
        </v:group>
      </w:pict>
    </w:r>
    <w:r w:rsidR="00340368">
      <w:rPr>
        <w:sz w:val="18"/>
      </w:rPr>
      <w:t>上证能源交易型开放式指数发起式证券投资基金清算报告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8" w:rsidRDefault="00187C9D">
    <w:pPr>
      <w:spacing w:after="0"/>
      <w:ind w:left="0" w:right="60" w:firstLine="0"/>
      <w:jc w:val="right"/>
    </w:pPr>
    <w:r w:rsidRPr="00187C9D">
      <w:rPr>
        <w:rFonts w:ascii="Calibri" w:eastAsia="Calibri" w:hAnsi="Calibri" w:cs="Calibri"/>
        <w:noProof/>
        <w:sz w:val="22"/>
      </w:rPr>
      <w:pict>
        <v:group id="Group 12065" o:spid="_x0000_s22529" style="position:absolute;left:0;text-align:left;margin-left:69.5pt;margin-top:55.2pt;width:455.5pt;height:.5pt;z-index:251659264;mso-position-horizontal-relative:page;mso-position-vertical-relative:page" coordsize="578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">
          <v:shape id="Shape 12703" o:spid="_x0000_s22530" style="position:absolute;width:57851;height:91;visibility:visible;mso-wrap-style:square;v-text-anchor:top" coordsize="5785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" path="m,l5785104,r,9144l,9144,,e" fillcolor="black" stroked="f" strokeweight="0">
            <v:stroke opacity="0" miterlimit="10" joinstyle="miter"/>
            <v:path o:connecttype="custom" o:connectlocs="0,0;57851,0;57851,91;0,91;0,0" o:connectangles="0,0,0,0,0"/>
          </v:shape>
          <w10:wrap type="square" anchorx="page" anchory="page"/>
        </v:group>
      </w:pict>
    </w:r>
    <w:r w:rsidR="00340368">
      <w:rPr>
        <w:rFonts w:hint="eastAsia"/>
        <w:sz w:val="18"/>
      </w:rPr>
      <w:t>泰达宏利</w:t>
    </w:r>
    <w:r w:rsidR="00432C57" w:rsidRPr="00432C57">
      <w:rPr>
        <w:rFonts w:hint="eastAsia"/>
        <w:sz w:val="18"/>
      </w:rPr>
      <w:t>信用合利定期开放债券型</w:t>
    </w:r>
    <w:r w:rsidR="00340368">
      <w:rPr>
        <w:sz w:val="18"/>
      </w:rPr>
      <w:t>证券投资基金清算报告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8" w:rsidRDefault="00340368">
    <w:pPr>
      <w:spacing w:after="160"/>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6221"/>
    <w:multiLevelType w:val="hybridMultilevel"/>
    <w:tmpl w:val="AB28B7AC"/>
    <w:lvl w:ilvl="0" w:tplc="D5E0A4E2">
      <w:start w:val="1"/>
      <w:numFmt w:val="ideographDigital"/>
      <w:lvlText w:val="（%1）"/>
      <w:lvlJc w:val="left"/>
      <w:pPr>
        <w:ind w:left="12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D602978">
      <w:start w:val="1"/>
      <w:numFmt w:val="lowerLetter"/>
      <w:lvlText w:val="%2"/>
      <w:lvlJc w:val="left"/>
      <w:pPr>
        <w:ind w:left="15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D564500">
      <w:start w:val="1"/>
      <w:numFmt w:val="lowerRoman"/>
      <w:lvlText w:val="%3"/>
      <w:lvlJc w:val="left"/>
      <w:pPr>
        <w:ind w:left="22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62E09BBC">
      <w:start w:val="1"/>
      <w:numFmt w:val="decimal"/>
      <w:lvlText w:val="%4"/>
      <w:lvlJc w:val="left"/>
      <w:pPr>
        <w:ind w:left="30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E2686390">
      <w:start w:val="1"/>
      <w:numFmt w:val="lowerLetter"/>
      <w:lvlText w:val="%5"/>
      <w:lvlJc w:val="left"/>
      <w:pPr>
        <w:ind w:left="37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F0BE3284">
      <w:start w:val="1"/>
      <w:numFmt w:val="lowerRoman"/>
      <w:lvlText w:val="%6"/>
      <w:lvlJc w:val="left"/>
      <w:pPr>
        <w:ind w:left="444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80D4EBAE">
      <w:start w:val="1"/>
      <w:numFmt w:val="decimal"/>
      <w:lvlText w:val="%7"/>
      <w:lvlJc w:val="left"/>
      <w:pPr>
        <w:ind w:left="516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22BE2374">
      <w:start w:val="1"/>
      <w:numFmt w:val="lowerLetter"/>
      <w:lvlText w:val="%8"/>
      <w:lvlJc w:val="left"/>
      <w:pPr>
        <w:ind w:left="588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84CE59C4">
      <w:start w:val="1"/>
      <w:numFmt w:val="lowerRoman"/>
      <w:lvlText w:val="%9"/>
      <w:lvlJc w:val="left"/>
      <w:pPr>
        <w:ind w:left="660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nsid w:val="24EF0BFB"/>
    <w:multiLevelType w:val="hybridMultilevel"/>
    <w:tmpl w:val="86E6A4D2"/>
    <w:lvl w:ilvl="0" w:tplc="9AF65F8C">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C2AE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09DB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83E6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BA5176">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D2212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2F7B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0DE9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ABA1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B8679FB"/>
    <w:multiLevelType w:val="hybridMultilevel"/>
    <w:tmpl w:val="A718F042"/>
    <w:lvl w:ilvl="0" w:tplc="B474795A">
      <w:start w:val="2"/>
      <w:numFmt w:val="ideographDigital"/>
      <w:lvlText w:val="（%1）"/>
      <w:lvlJc w:val="left"/>
      <w:pPr>
        <w:ind w:left="1419"/>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E300088C">
      <w:start w:val="1"/>
      <w:numFmt w:val="lowerLetter"/>
      <w:lvlText w:val="%2"/>
      <w:lvlJc w:val="left"/>
      <w:pPr>
        <w:ind w:left="1299"/>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6161C0A">
      <w:start w:val="1"/>
      <w:numFmt w:val="lowerRoman"/>
      <w:lvlText w:val="%3"/>
      <w:lvlJc w:val="left"/>
      <w:pPr>
        <w:ind w:left="2019"/>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0A084CCE">
      <w:start w:val="1"/>
      <w:numFmt w:val="decimal"/>
      <w:lvlText w:val="%4"/>
      <w:lvlJc w:val="left"/>
      <w:pPr>
        <w:ind w:left="2739"/>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D35E49FE">
      <w:start w:val="1"/>
      <w:numFmt w:val="lowerLetter"/>
      <w:lvlText w:val="%5"/>
      <w:lvlJc w:val="left"/>
      <w:pPr>
        <w:ind w:left="3459"/>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1444DA86">
      <w:start w:val="1"/>
      <w:numFmt w:val="lowerRoman"/>
      <w:lvlText w:val="%6"/>
      <w:lvlJc w:val="left"/>
      <w:pPr>
        <w:ind w:left="4179"/>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F014ECBE">
      <w:start w:val="1"/>
      <w:numFmt w:val="decimal"/>
      <w:lvlText w:val="%7"/>
      <w:lvlJc w:val="left"/>
      <w:pPr>
        <w:ind w:left="4899"/>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43ECEBA">
      <w:start w:val="1"/>
      <w:numFmt w:val="lowerLetter"/>
      <w:lvlText w:val="%8"/>
      <w:lvlJc w:val="left"/>
      <w:pPr>
        <w:ind w:left="5619"/>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393AEBC6">
      <w:start w:val="1"/>
      <w:numFmt w:val="lowerRoman"/>
      <w:lvlText w:val="%9"/>
      <w:lvlJc w:val="left"/>
      <w:pPr>
        <w:ind w:left="6339"/>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
    <w:nsid w:val="330160AA"/>
    <w:multiLevelType w:val="hybridMultilevel"/>
    <w:tmpl w:val="669A947E"/>
    <w:lvl w:ilvl="0" w:tplc="8E8E6F7C">
      <w:start w:val="1"/>
      <w:numFmt w:val="japaneseCounting"/>
      <w:lvlText w:val="%1、"/>
      <w:lvlJc w:val="left"/>
      <w:pPr>
        <w:ind w:left="570" w:hanging="570"/>
      </w:pPr>
      <w:rPr>
        <w:rFonts w:ascii="宋体" w:eastAsia="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C354BF"/>
    <w:multiLevelType w:val="hybridMultilevel"/>
    <w:tmpl w:val="DBF6197C"/>
    <w:lvl w:ilvl="0" w:tplc="FABA4D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6AA52">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C957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8DAD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CD5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CD8C">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26EF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0490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86EF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48C44E5"/>
    <w:multiLevelType w:val="hybridMultilevel"/>
    <w:tmpl w:val="91946244"/>
    <w:lvl w:ilvl="0" w:tplc="5CE2E1B8">
      <w:start w:val="1"/>
      <w:numFmt w:val="decimal"/>
      <w:lvlText w:val="%1、"/>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A45A2">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EEA06A">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85A54">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CD2E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C56D0">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6570E">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A5A82">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838E2">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4B44104"/>
    <w:multiLevelType w:val="hybridMultilevel"/>
    <w:tmpl w:val="EB1AF392"/>
    <w:lvl w:ilvl="0" w:tplc="D38E643C">
      <w:start w:val="1"/>
      <w:numFmt w:val="decimal"/>
      <w:lvlText w:val="（%1）"/>
      <w:lvlJc w:val="left"/>
      <w:pPr>
        <w:ind w:left="28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D0C6BD04">
      <w:start w:val="1"/>
      <w:numFmt w:val="lowerLetter"/>
      <w:lvlText w:val="%2"/>
      <w:lvlJc w:val="left"/>
      <w:pPr>
        <w:ind w:left="76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FC3E8354">
      <w:start w:val="1"/>
      <w:numFmt w:val="lowerRoman"/>
      <w:lvlText w:val="%3"/>
      <w:lvlJc w:val="left"/>
      <w:pPr>
        <w:ind w:left="148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BEF0A91E">
      <w:start w:val="1"/>
      <w:numFmt w:val="decimal"/>
      <w:lvlText w:val="%4"/>
      <w:lvlJc w:val="left"/>
      <w:pPr>
        <w:ind w:left="220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6AC6C0CE">
      <w:start w:val="1"/>
      <w:numFmt w:val="lowerLetter"/>
      <w:lvlText w:val="%5"/>
      <w:lvlJc w:val="left"/>
      <w:pPr>
        <w:ind w:left="292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44F6EF9E">
      <w:start w:val="1"/>
      <w:numFmt w:val="lowerRoman"/>
      <w:lvlText w:val="%6"/>
      <w:lvlJc w:val="left"/>
      <w:pPr>
        <w:ind w:left="364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2E2A0D0">
      <w:start w:val="1"/>
      <w:numFmt w:val="decimal"/>
      <w:lvlText w:val="%7"/>
      <w:lvlJc w:val="left"/>
      <w:pPr>
        <w:ind w:left="436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0E8CB5A">
      <w:start w:val="1"/>
      <w:numFmt w:val="lowerLetter"/>
      <w:lvlText w:val="%8"/>
      <w:lvlJc w:val="left"/>
      <w:pPr>
        <w:ind w:left="508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C53AF274">
      <w:start w:val="1"/>
      <w:numFmt w:val="lowerRoman"/>
      <w:lvlText w:val="%9"/>
      <w:lvlJc w:val="left"/>
      <w:pPr>
        <w:ind w:left="5803"/>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7">
    <w:nsid w:val="5EFA65DB"/>
    <w:multiLevelType w:val="hybridMultilevel"/>
    <w:tmpl w:val="7CBA6C42"/>
    <w:lvl w:ilvl="0" w:tplc="BCD00B9A">
      <w:start w:val="1"/>
      <w:numFmt w:val="decimal"/>
      <w:lvlText w:val="%1、"/>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22C46">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64D85E">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28F74">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E100A">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811FA">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43078">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F4C30E">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8B662">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F7521AF"/>
    <w:multiLevelType w:val="hybridMultilevel"/>
    <w:tmpl w:val="E988C7F4"/>
    <w:lvl w:ilvl="0" w:tplc="7ED433B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4995C">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0E89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28AE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8D4A2">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288B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6128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6E88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CC1FE2">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8"/>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2533"/>
    <o:shapelayout v:ext="edit">
      <o:idmap v:ext="edit" data="22"/>
    </o:shapelayout>
  </w:hdrShapeDefaults>
  <w:footnotePr>
    <w:footnote w:id="0"/>
    <w:footnote w:id="1"/>
  </w:footnotePr>
  <w:endnotePr>
    <w:endnote w:id="0"/>
    <w:endnote w:id="1"/>
  </w:endnotePr>
  <w:compat>
    <w:useFELayout/>
  </w:compat>
  <w:rsids>
    <w:rsidRoot w:val="00583F83"/>
    <w:rsid w:val="000047AE"/>
    <w:rsid w:val="00007F21"/>
    <w:rsid w:val="00010201"/>
    <w:rsid w:val="000110AB"/>
    <w:rsid w:val="000147D7"/>
    <w:rsid w:val="00015A39"/>
    <w:rsid w:val="000272CC"/>
    <w:rsid w:val="00027FD9"/>
    <w:rsid w:val="000318CE"/>
    <w:rsid w:val="00040E04"/>
    <w:rsid w:val="00041996"/>
    <w:rsid w:val="000468B4"/>
    <w:rsid w:val="00057108"/>
    <w:rsid w:val="00062451"/>
    <w:rsid w:val="000745FE"/>
    <w:rsid w:val="00081CD4"/>
    <w:rsid w:val="000853BB"/>
    <w:rsid w:val="000938D2"/>
    <w:rsid w:val="000C6144"/>
    <w:rsid w:val="000D2498"/>
    <w:rsid w:val="000D3436"/>
    <w:rsid w:val="00107239"/>
    <w:rsid w:val="00130035"/>
    <w:rsid w:val="00131641"/>
    <w:rsid w:val="00136D3C"/>
    <w:rsid w:val="00144FC8"/>
    <w:rsid w:val="00144FEE"/>
    <w:rsid w:val="00147E14"/>
    <w:rsid w:val="00166889"/>
    <w:rsid w:val="00175D28"/>
    <w:rsid w:val="00187C9D"/>
    <w:rsid w:val="001947BD"/>
    <w:rsid w:val="001B3DF6"/>
    <w:rsid w:val="001B5561"/>
    <w:rsid w:val="001B696B"/>
    <w:rsid w:val="001C4225"/>
    <w:rsid w:val="001D0730"/>
    <w:rsid w:val="001E02D9"/>
    <w:rsid w:val="001E1541"/>
    <w:rsid w:val="001E4431"/>
    <w:rsid w:val="001E7294"/>
    <w:rsid w:val="001F57C8"/>
    <w:rsid w:val="001F5CB8"/>
    <w:rsid w:val="002003A8"/>
    <w:rsid w:val="002130E9"/>
    <w:rsid w:val="00213FFA"/>
    <w:rsid w:val="002201AA"/>
    <w:rsid w:val="00235CC3"/>
    <w:rsid w:val="002375C6"/>
    <w:rsid w:val="00237A05"/>
    <w:rsid w:val="00262714"/>
    <w:rsid w:val="00265CA5"/>
    <w:rsid w:val="00266749"/>
    <w:rsid w:val="00267DDC"/>
    <w:rsid w:val="0027521A"/>
    <w:rsid w:val="00277593"/>
    <w:rsid w:val="00292227"/>
    <w:rsid w:val="00293BD8"/>
    <w:rsid w:val="00296B31"/>
    <w:rsid w:val="002C112B"/>
    <w:rsid w:val="002D3725"/>
    <w:rsid w:val="002D4DAA"/>
    <w:rsid w:val="002E52BB"/>
    <w:rsid w:val="002F3404"/>
    <w:rsid w:val="002F7911"/>
    <w:rsid w:val="002F7C15"/>
    <w:rsid w:val="00311201"/>
    <w:rsid w:val="0031233C"/>
    <w:rsid w:val="00314310"/>
    <w:rsid w:val="003157B8"/>
    <w:rsid w:val="0032210D"/>
    <w:rsid w:val="003251A6"/>
    <w:rsid w:val="003262CB"/>
    <w:rsid w:val="00332169"/>
    <w:rsid w:val="00340368"/>
    <w:rsid w:val="0035037E"/>
    <w:rsid w:val="003536A9"/>
    <w:rsid w:val="00364B9A"/>
    <w:rsid w:val="003662D2"/>
    <w:rsid w:val="003756AC"/>
    <w:rsid w:val="0038248D"/>
    <w:rsid w:val="003868D1"/>
    <w:rsid w:val="00397199"/>
    <w:rsid w:val="00397C7F"/>
    <w:rsid w:val="003A3506"/>
    <w:rsid w:val="003A4202"/>
    <w:rsid w:val="003B41A3"/>
    <w:rsid w:val="003C7E0A"/>
    <w:rsid w:val="003D3DF6"/>
    <w:rsid w:val="003D44C7"/>
    <w:rsid w:val="003D62AB"/>
    <w:rsid w:val="003D7420"/>
    <w:rsid w:val="003F0DB1"/>
    <w:rsid w:val="003F206A"/>
    <w:rsid w:val="003F771C"/>
    <w:rsid w:val="004009DA"/>
    <w:rsid w:val="00401832"/>
    <w:rsid w:val="00401F1D"/>
    <w:rsid w:val="00407EBF"/>
    <w:rsid w:val="004118C9"/>
    <w:rsid w:val="00423792"/>
    <w:rsid w:val="00424901"/>
    <w:rsid w:val="004316C8"/>
    <w:rsid w:val="00432C57"/>
    <w:rsid w:val="00443794"/>
    <w:rsid w:val="004441E9"/>
    <w:rsid w:val="0045457D"/>
    <w:rsid w:val="00460EE8"/>
    <w:rsid w:val="0046224B"/>
    <w:rsid w:val="00466925"/>
    <w:rsid w:val="004927A2"/>
    <w:rsid w:val="00493D50"/>
    <w:rsid w:val="00495924"/>
    <w:rsid w:val="004A0FC2"/>
    <w:rsid w:val="004B0F8D"/>
    <w:rsid w:val="004B23B3"/>
    <w:rsid w:val="004C5FE0"/>
    <w:rsid w:val="004D1AFB"/>
    <w:rsid w:val="004D37D4"/>
    <w:rsid w:val="004E07D9"/>
    <w:rsid w:val="004E2859"/>
    <w:rsid w:val="004F1AF9"/>
    <w:rsid w:val="004F413E"/>
    <w:rsid w:val="004F5382"/>
    <w:rsid w:val="0051230B"/>
    <w:rsid w:val="00514129"/>
    <w:rsid w:val="005269B5"/>
    <w:rsid w:val="00535260"/>
    <w:rsid w:val="005363C0"/>
    <w:rsid w:val="00540177"/>
    <w:rsid w:val="00541750"/>
    <w:rsid w:val="00575A40"/>
    <w:rsid w:val="0058043E"/>
    <w:rsid w:val="005833BD"/>
    <w:rsid w:val="00583F83"/>
    <w:rsid w:val="00586D78"/>
    <w:rsid w:val="00597E07"/>
    <w:rsid w:val="005A7EBC"/>
    <w:rsid w:val="005D2965"/>
    <w:rsid w:val="005F46F3"/>
    <w:rsid w:val="005F4B42"/>
    <w:rsid w:val="006022E1"/>
    <w:rsid w:val="006203D0"/>
    <w:rsid w:val="00621C09"/>
    <w:rsid w:val="00633B71"/>
    <w:rsid w:val="00634ADB"/>
    <w:rsid w:val="00655ECC"/>
    <w:rsid w:val="00656F34"/>
    <w:rsid w:val="00693A51"/>
    <w:rsid w:val="006A0E6F"/>
    <w:rsid w:val="006B2401"/>
    <w:rsid w:val="006C0FFC"/>
    <w:rsid w:val="006C3BBA"/>
    <w:rsid w:val="006C4FDC"/>
    <w:rsid w:val="006D04F5"/>
    <w:rsid w:val="006D0F9A"/>
    <w:rsid w:val="006E0D85"/>
    <w:rsid w:val="006E146B"/>
    <w:rsid w:val="006E43C3"/>
    <w:rsid w:val="007004A6"/>
    <w:rsid w:val="00710E91"/>
    <w:rsid w:val="0071283A"/>
    <w:rsid w:val="00714D31"/>
    <w:rsid w:val="007174A8"/>
    <w:rsid w:val="0072662D"/>
    <w:rsid w:val="00751359"/>
    <w:rsid w:val="00783016"/>
    <w:rsid w:val="007A2602"/>
    <w:rsid w:val="007A4D74"/>
    <w:rsid w:val="007A5182"/>
    <w:rsid w:val="007C0222"/>
    <w:rsid w:val="007D0BBF"/>
    <w:rsid w:val="007E511A"/>
    <w:rsid w:val="007E7F53"/>
    <w:rsid w:val="007F12EF"/>
    <w:rsid w:val="007F3697"/>
    <w:rsid w:val="007F489A"/>
    <w:rsid w:val="007F60D6"/>
    <w:rsid w:val="00802598"/>
    <w:rsid w:val="00810FBB"/>
    <w:rsid w:val="008160FE"/>
    <w:rsid w:val="00834D20"/>
    <w:rsid w:val="008477AF"/>
    <w:rsid w:val="00852D7D"/>
    <w:rsid w:val="00853652"/>
    <w:rsid w:val="0085702A"/>
    <w:rsid w:val="00867382"/>
    <w:rsid w:val="008829EE"/>
    <w:rsid w:val="008A29B3"/>
    <w:rsid w:val="008A5FB4"/>
    <w:rsid w:val="008A7022"/>
    <w:rsid w:val="008B154C"/>
    <w:rsid w:val="008B3E0D"/>
    <w:rsid w:val="008B46B9"/>
    <w:rsid w:val="008B5F42"/>
    <w:rsid w:val="008B76DE"/>
    <w:rsid w:val="008C4909"/>
    <w:rsid w:val="008E0936"/>
    <w:rsid w:val="008E5D30"/>
    <w:rsid w:val="008E70DB"/>
    <w:rsid w:val="008F5F32"/>
    <w:rsid w:val="00902294"/>
    <w:rsid w:val="009204DD"/>
    <w:rsid w:val="009273BF"/>
    <w:rsid w:val="00934A97"/>
    <w:rsid w:val="0093765D"/>
    <w:rsid w:val="00952C7A"/>
    <w:rsid w:val="00953C89"/>
    <w:rsid w:val="009638E0"/>
    <w:rsid w:val="00963961"/>
    <w:rsid w:val="009675B5"/>
    <w:rsid w:val="00967C37"/>
    <w:rsid w:val="0097352C"/>
    <w:rsid w:val="00994A7A"/>
    <w:rsid w:val="009B5D93"/>
    <w:rsid w:val="009D1B4F"/>
    <w:rsid w:val="009E2C1E"/>
    <w:rsid w:val="009F067E"/>
    <w:rsid w:val="00A0264D"/>
    <w:rsid w:val="00A21300"/>
    <w:rsid w:val="00A269F9"/>
    <w:rsid w:val="00A45D14"/>
    <w:rsid w:val="00A50230"/>
    <w:rsid w:val="00A51041"/>
    <w:rsid w:val="00A64E68"/>
    <w:rsid w:val="00A6696F"/>
    <w:rsid w:val="00A720E3"/>
    <w:rsid w:val="00A97FD0"/>
    <w:rsid w:val="00AA153C"/>
    <w:rsid w:val="00AA4340"/>
    <w:rsid w:val="00AB57F3"/>
    <w:rsid w:val="00AB717A"/>
    <w:rsid w:val="00AD0BB6"/>
    <w:rsid w:val="00AD2EC6"/>
    <w:rsid w:val="00AD385D"/>
    <w:rsid w:val="00AD54BF"/>
    <w:rsid w:val="00AF4DFB"/>
    <w:rsid w:val="00B1356C"/>
    <w:rsid w:val="00B217C4"/>
    <w:rsid w:val="00B323A7"/>
    <w:rsid w:val="00B41B7D"/>
    <w:rsid w:val="00B520EF"/>
    <w:rsid w:val="00B551EE"/>
    <w:rsid w:val="00B63175"/>
    <w:rsid w:val="00B660C1"/>
    <w:rsid w:val="00B74321"/>
    <w:rsid w:val="00BB27AF"/>
    <w:rsid w:val="00BC2CBE"/>
    <w:rsid w:val="00BD22E1"/>
    <w:rsid w:val="00BD400D"/>
    <w:rsid w:val="00BE5FD6"/>
    <w:rsid w:val="00C039F9"/>
    <w:rsid w:val="00C03C74"/>
    <w:rsid w:val="00C03F13"/>
    <w:rsid w:val="00C056D9"/>
    <w:rsid w:val="00C067CB"/>
    <w:rsid w:val="00C11EC9"/>
    <w:rsid w:val="00C14CF2"/>
    <w:rsid w:val="00C410A1"/>
    <w:rsid w:val="00C51B87"/>
    <w:rsid w:val="00C64648"/>
    <w:rsid w:val="00C653F7"/>
    <w:rsid w:val="00C72652"/>
    <w:rsid w:val="00C7661B"/>
    <w:rsid w:val="00C86EC0"/>
    <w:rsid w:val="00C9044D"/>
    <w:rsid w:val="00C96A8F"/>
    <w:rsid w:val="00CA351F"/>
    <w:rsid w:val="00CA6703"/>
    <w:rsid w:val="00CA7858"/>
    <w:rsid w:val="00CB2788"/>
    <w:rsid w:val="00CB3F0A"/>
    <w:rsid w:val="00CC62A4"/>
    <w:rsid w:val="00CD347B"/>
    <w:rsid w:val="00CF04F5"/>
    <w:rsid w:val="00D166DE"/>
    <w:rsid w:val="00D17AE8"/>
    <w:rsid w:val="00D41196"/>
    <w:rsid w:val="00D47680"/>
    <w:rsid w:val="00D52848"/>
    <w:rsid w:val="00D772FA"/>
    <w:rsid w:val="00D83CF6"/>
    <w:rsid w:val="00D85332"/>
    <w:rsid w:val="00D85E00"/>
    <w:rsid w:val="00DA1D6C"/>
    <w:rsid w:val="00DA31D5"/>
    <w:rsid w:val="00DA3710"/>
    <w:rsid w:val="00DC6442"/>
    <w:rsid w:val="00DD0DE9"/>
    <w:rsid w:val="00DD2C2C"/>
    <w:rsid w:val="00DF5BC6"/>
    <w:rsid w:val="00E100EA"/>
    <w:rsid w:val="00E12E94"/>
    <w:rsid w:val="00E22DB5"/>
    <w:rsid w:val="00E24CE0"/>
    <w:rsid w:val="00E31B95"/>
    <w:rsid w:val="00E37320"/>
    <w:rsid w:val="00E46279"/>
    <w:rsid w:val="00E52913"/>
    <w:rsid w:val="00E54B91"/>
    <w:rsid w:val="00E62A83"/>
    <w:rsid w:val="00E73490"/>
    <w:rsid w:val="00E77AF0"/>
    <w:rsid w:val="00E8399E"/>
    <w:rsid w:val="00E9688E"/>
    <w:rsid w:val="00EA1524"/>
    <w:rsid w:val="00ED05B4"/>
    <w:rsid w:val="00EE6FA5"/>
    <w:rsid w:val="00EF43BF"/>
    <w:rsid w:val="00EF595F"/>
    <w:rsid w:val="00F02B83"/>
    <w:rsid w:val="00F132A6"/>
    <w:rsid w:val="00F21053"/>
    <w:rsid w:val="00F309AC"/>
    <w:rsid w:val="00F41814"/>
    <w:rsid w:val="00F44C80"/>
    <w:rsid w:val="00F50B4C"/>
    <w:rsid w:val="00F62692"/>
    <w:rsid w:val="00F74981"/>
    <w:rsid w:val="00F84A2F"/>
    <w:rsid w:val="00F86295"/>
    <w:rsid w:val="00F87A77"/>
    <w:rsid w:val="00F95A61"/>
    <w:rsid w:val="00FA7940"/>
    <w:rsid w:val="00FB01D6"/>
    <w:rsid w:val="00FB2651"/>
    <w:rsid w:val="00FB37A5"/>
    <w:rsid w:val="00FB3E72"/>
    <w:rsid w:val="00FB5D06"/>
    <w:rsid w:val="00FC1D38"/>
    <w:rsid w:val="00FC7095"/>
    <w:rsid w:val="00FD085F"/>
    <w:rsid w:val="00FF0678"/>
    <w:rsid w:val="00FF4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08"/>
    <w:pPr>
      <w:spacing w:after="3" w:line="259" w:lineRule="auto"/>
      <w:ind w:left="10" w:hanging="10"/>
    </w:pPr>
    <w:rPr>
      <w:rFonts w:ascii="宋体" w:eastAsia="宋体" w:hAnsi="宋体" w:cs="宋体"/>
      <w:color w:val="000000"/>
      <w:sz w:val="24"/>
    </w:rPr>
  </w:style>
  <w:style w:type="paragraph" w:styleId="1">
    <w:name w:val="heading 1"/>
    <w:next w:val="a"/>
    <w:link w:val="1Char"/>
    <w:uiPriority w:val="9"/>
    <w:unhideWhenUsed/>
    <w:qFormat/>
    <w:rsid w:val="00057108"/>
    <w:pPr>
      <w:keepNext/>
      <w:keepLines/>
      <w:spacing w:after="467" w:line="259" w:lineRule="auto"/>
      <w:ind w:left="1997" w:hanging="10"/>
      <w:jc w:val="center"/>
      <w:outlineLvl w:val="0"/>
    </w:pPr>
    <w:rPr>
      <w:rFonts w:ascii="宋体" w:eastAsia="宋体" w:hAnsi="宋体" w:cs="宋体"/>
      <w:color w:val="000000"/>
      <w:sz w:val="28"/>
    </w:rPr>
  </w:style>
  <w:style w:type="paragraph" w:styleId="2">
    <w:name w:val="heading 2"/>
    <w:next w:val="a"/>
    <w:link w:val="2Char"/>
    <w:uiPriority w:val="9"/>
    <w:unhideWhenUsed/>
    <w:qFormat/>
    <w:rsid w:val="00057108"/>
    <w:pPr>
      <w:keepNext/>
      <w:keepLines/>
      <w:spacing w:after="467" w:line="259" w:lineRule="auto"/>
      <w:ind w:left="1997" w:hanging="10"/>
      <w:jc w:val="center"/>
      <w:outlineLvl w:val="1"/>
    </w:pPr>
    <w:rPr>
      <w:rFonts w:ascii="宋体" w:eastAsia="宋体" w:hAnsi="宋体" w:cs="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057108"/>
    <w:rPr>
      <w:rFonts w:ascii="宋体" w:eastAsia="宋体" w:hAnsi="宋体" w:cs="宋体"/>
      <w:color w:val="000000"/>
      <w:sz w:val="28"/>
    </w:rPr>
  </w:style>
  <w:style w:type="character" w:customStyle="1" w:styleId="1Char">
    <w:name w:val="标题 1 Char"/>
    <w:link w:val="1"/>
    <w:rsid w:val="00057108"/>
    <w:rPr>
      <w:rFonts w:ascii="宋体" w:eastAsia="宋体" w:hAnsi="宋体" w:cs="宋体"/>
      <w:color w:val="000000"/>
      <w:sz w:val="28"/>
    </w:rPr>
  </w:style>
  <w:style w:type="paragraph" w:styleId="10">
    <w:name w:val="toc 1"/>
    <w:hidden/>
    <w:uiPriority w:val="39"/>
    <w:rsid w:val="00057108"/>
    <w:pPr>
      <w:spacing w:after="63" w:line="366" w:lineRule="auto"/>
      <w:ind w:left="15" w:right="52"/>
      <w:jc w:val="center"/>
    </w:pPr>
    <w:rPr>
      <w:rFonts w:ascii="Times New Roman" w:eastAsia="Times New Roman" w:hAnsi="Times New Roman" w:cs="Times New Roman"/>
      <w:color w:val="000000"/>
    </w:rPr>
  </w:style>
  <w:style w:type="table" w:customStyle="1" w:styleId="TableGrid">
    <w:name w:val="TableGrid"/>
    <w:rsid w:val="00057108"/>
    <w:tblPr>
      <w:tblCellMar>
        <w:top w:w="0" w:type="dxa"/>
        <w:left w:w="0" w:type="dxa"/>
        <w:bottom w:w="0" w:type="dxa"/>
        <w:right w:w="0" w:type="dxa"/>
      </w:tblCellMar>
    </w:tblPr>
  </w:style>
  <w:style w:type="paragraph" w:styleId="a3">
    <w:name w:val="Normal (Web)"/>
    <w:basedOn w:val="a"/>
    <w:rsid w:val="006D0F9A"/>
    <w:pPr>
      <w:spacing w:before="100" w:beforeAutospacing="1" w:after="100" w:afterAutospacing="1" w:line="240" w:lineRule="auto"/>
      <w:ind w:left="0" w:firstLine="0"/>
    </w:pPr>
    <w:rPr>
      <w:rFonts w:ascii="Arial Unicode MS" w:eastAsia="Arial Unicode MS" w:hAnsi="Arial Unicode MS" w:cs="Arial Unicode MS"/>
      <w:color w:val="auto"/>
      <w:kern w:val="0"/>
      <w:szCs w:val="24"/>
      <w:lang w:val="en-GB" w:eastAsia="en-US"/>
    </w:rPr>
  </w:style>
  <w:style w:type="paragraph" w:styleId="a4">
    <w:name w:val="Balloon Text"/>
    <w:basedOn w:val="a"/>
    <w:link w:val="Char"/>
    <w:uiPriority w:val="99"/>
    <w:semiHidden/>
    <w:unhideWhenUsed/>
    <w:rsid w:val="006E146B"/>
    <w:pPr>
      <w:spacing w:after="0" w:line="240" w:lineRule="auto"/>
    </w:pPr>
    <w:rPr>
      <w:sz w:val="18"/>
      <w:szCs w:val="18"/>
    </w:rPr>
  </w:style>
  <w:style w:type="character" w:customStyle="1" w:styleId="Char">
    <w:name w:val="批注框文本 Char"/>
    <w:basedOn w:val="a0"/>
    <w:link w:val="a4"/>
    <w:uiPriority w:val="99"/>
    <w:semiHidden/>
    <w:rsid w:val="006E146B"/>
    <w:rPr>
      <w:rFonts w:ascii="宋体" w:eastAsia="宋体" w:hAnsi="宋体" w:cs="宋体"/>
      <w:color w:val="000000"/>
      <w:sz w:val="18"/>
      <w:szCs w:val="18"/>
    </w:rPr>
  </w:style>
  <w:style w:type="paragraph" w:customStyle="1" w:styleId="Default">
    <w:name w:val="Default"/>
    <w:rsid w:val="00FB01D6"/>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39"/>
    <w:rsid w:val="00BB2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44C80"/>
    <w:pPr>
      <w:ind w:firstLineChars="200" w:firstLine="420"/>
    </w:pPr>
  </w:style>
  <w:style w:type="character" w:styleId="a7">
    <w:name w:val="annotation reference"/>
    <w:basedOn w:val="a0"/>
    <w:uiPriority w:val="99"/>
    <w:semiHidden/>
    <w:unhideWhenUsed/>
    <w:rsid w:val="00423792"/>
    <w:rPr>
      <w:sz w:val="21"/>
      <w:szCs w:val="21"/>
    </w:rPr>
  </w:style>
  <w:style w:type="paragraph" w:styleId="a8">
    <w:name w:val="annotation text"/>
    <w:basedOn w:val="a"/>
    <w:link w:val="Char0"/>
    <w:uiPriority w:val="99"/>
    <w:semiHidden/>
    <w:unhideWhenUsed/>
    <w:rsid w:val="00423792"/>
  </w:style>
  <w:style w:type="character" w:customStyle="1" w:styleId="Char0">
    <w:name w:val="批注文字 Char"/>
    <w:basedOn w:val="a0"/>
    <w:link w:val="a8"/>
    <w:uiPriority w:val="99"/>
    <w:semiHidden/>
    <w:rsid w:val="00423792"/>
    <w:rPr>
      <w:rFonts w:ascii="宋体" w:eastAsia="宋体" w:hAnsi="宋体" w:cs="宋体"/>
      <w:color w:val="000000"/>
      <w:sz w:val="24"/>
    </w:rPr>
  </w:style>
  <w:style w:type="character" w:styleId="a9">
    <w:name w:val="Hyperlink"/>
    <w:basedOn w:val="a0"/>
    <w:uiPriority w:val="99"/>
    <w:unhideWhenUsed/>
    <w:rsid w:val="00296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17606">
      <w:bodyDiv w:val="1"/>
      <w:marLeft w:val="0"/>
      <w:marRight w:val="0"/>
      <w:marTop w:val="0"/>
      <w:marBottom w:val="0"/>
      <w:divBdr>
        <w:top w:val="none" w:sz="0" w:space="0" w:color="auto"/>
        <w:left w:val="none" w:sz="0" w:space="0" w:color="auto"/>
        <w:bottom w:val="none" w:sz="0" w:space="0" w:color="auto"/>
        <w:right w:val="none" w:sz="0" w:space="0" w:color="auto"/>
      </w:divBdr>
    </w:div>
    <w:div w:id="81806214">
      <w:bodyDiv w:val="1"/>
      <w:marLeft w:val="0"/>
      <w:marRight w:val="0"/>
      <w:marTop w:val="0"/>
      <w:marBottom w:val="0"/>
      <w:divBdr>
        <w:top w:val="none" w:sz="0" w:space="0" w:color="auto"/>
        <w:left w:val="none" w:sz="0" w:space="0" w:color="auto"/>
        <w:bottom w:val="none" w:sz="0" w:space="0" w:color="auto"/>
        <w:right w:val="none" w:sz="0" w:space="0" w:color="auto"/>
      </w:divBdr>
    </w:div>
    <w:div w:id="106119791">
      <w:bodyDiv w:val="1"/>
      <w:marLeft w:val="0"/>
      <w:marRight w:val="0"/>
      <w:marTop w:val="0"/>
      <w:marBottom w:val="0"/>
      <w:divBdr>
        <w:top w:val="none" w:sz="0" w:space="0" w:color="auto"/>
        <w:left w:val="none" w:sz="0" w:space="0" w:color="auto"/>
        <w:bottom w:val="none" w:sz="0" w:space="0" w:color="auto"/>
        <w:right w:val="none" w:sz="0" w:space="0" w:color="auto"/>
      </w:divBdr>
    </w:div>
    <w:div w:id="108163972">
      <w:bodyDiv w:val="1"/>
      <w:marLeft w:val="0"/>
      <w:marRight w:val="0"/>
      <w:marTop w:val="0"/>
      <w:marBottom w:val="0"/>
      <w:divBdr>
        <w:top w:val="none" w:sz="0" w:space="0" w:color="auto"/>
        <w:left w:val="none" w:sz="0" w:space="0" w:color="auto"/>
        <w:bottom w:val="none" w:sz="0" w:space="0" w:color="auto"/>
        <w:right w:val="none" w:sz="0" w:space="0" w:color="auto"/>
      </w:divBdr>
    </w:div>
    <w:div w:id="128010714">
      <w:bodyDiv w:val="1"/>
      <w:marLeft w:val="0"/>
      <w:marRight w:val="0"/>
      <w:marTop w:val="0"/>
      <w:marBottom w:val="0"/>
      <w:divBdr>
        <w:top w:val="none" w:sz="0" w:space="0" w:color="auto"/>
        <w:left w:val="none" w:sz="0" w:space="0" w:color="auto"/>
        <w:bottom w:val="none" w:sz="0" w:space="0" w:color="auto"/>
        <w:right w:val="none" w:sz="0" w:space="0" w:color="auto"/>
      </w:divBdr>
    </w:div>
    <w:div w:id="159851171">
      <w:bodyDiv w:val="1"/>
      <w:marLeft w:val="0"/>
      <w:marRight w:val="0"/>
      <w:marTop w:val="0"/>
      <w:marBottom w:val="0"/>
      <w:divBdr>
        <w:top w:val="none" w:sz="0" w:space="0" w:color="auto"/>
        <w:left w:val="none" w:sz="0" w:space="0" w:color="auto"/>
        <w:bottom w:val="none" w:sz="0" w:space="0" w:color="auto"/>
        <w:right w:val="none" w:sz="0" w:space="0" w:color="auto"/>
      </w:divBdr>
    </w:div>
    <w:div w:id="164370541">
      <w:bodyDiv w:val="1"/>
      <w:marLeft w:val="0"/>
      <w:marRight w:val="0"/>
      <w:marTop w:val="0"/>
      <w:marBottom w:val="0"/>
      <w:divBdr>
        <w:top w:val="none" w:sz="0" w:space="0" w:color="auto"/>
        <w:left w:val="none" w:sz="0" w:space="0" w:color="auto"/>
        <w:bottom w:val="none" w:sz="0" w:space="0" w:color="auto"/>
        <w:right w:val="none" w:sz="0" w:space="0" w:color="auto"/>
      </w:divBdr>
    </w:div>
    <w:div w:id="261650140">
      <w:bodyDiv w:val="1"/>
      <w:marLeft w:val="0"/>
      <w:marRight w:val="0"/>
      <w:marTop w:val="0"/>
      <w:marBottom w:val="0"/>
      <w:divBdr>
        <w:top w:val="none" w:sz="0" w:space="0" w:color="auto"/>
        <w:left w:val="none" w:sz="0" w:space="0" w:color="auto"/>
        <w:bottom w:val="none" w:sz="0" w:space="0" w:color="auto"/>
        <w:right w:val="none" w:sz="0" w:space="0" w:color="auto"/>
      </w:divBdr>
    </w:div>
    <w:div w:id="322205102">
      <w:bodyDiv w:val="1"/>
      <w:marLeft w:val="0"/>
      <w:marRight w:val="0"/>
      <w:marTop w:val="0"/>
      <w:marBottom w:val="0"/>
      <w:divBdr>
        <w:top w:val="none" w:sz="0" w:space="0" w:color="auto"/>
        <w:left w:val="none" w:sz="0" w:space="0" w:color="auto"/>
        <w:bottom w:val="none" w:sz="0" w:space="0" w:color="auto"/>
        <w:right w:val="none" w:sz="0" w:space="0" w:color="auto"/>
      </w:divBdr>
    </w:div>
    <w:div w:id="322440931">
      <w:bodyDiv w:val="1"/>
      <w:marLeft w:val="0"/>
      <w:marRight w:val="0"/>
      <w:marTop w:val="0"/>
      <w:marBottom w:val="0"/>
      <w:divBdr>
        <w:top w:val="none" w:sz="0" w:space="0" w:color="auto"/>
        <w:left w:val="none" w:sz="0" w:space="0" w:color="auto"/>
        <w:bottom w:val="none" w:sz="0" w:space="0" w:color="auto"/>
        <w:right w:val="none" w:sz="0" w:space="0" w:color="auto"/>
      </w:divBdr>
    </w:div>
    <w:div w:id="358434999">
      <w:bodyDiv w:val="1"/>
      <w:marLeft w:val="0"/>
      <w:marRight w:val="0"/>
      <w:marTop w:val="0"/>
      <w:marBottom w:val="0"/>
      <w:divBdr>
        <w:top w:val="none" w:sz="0" w:space="0" w:color="auto"/>
        <w:left w:val="none" w:sz="0" w:space="0" w:color="auto"/>
        <w:bottom w:val="none" w:sz="0" w:space="0" w:color="auto"/>
        <w:right w:val="none" w:sz="0" w:space="0" w:color="auto"/>
      </w:divBdr>
    </w:div>
    <w:div w:id="361051231">
      <w:bodyDiv w:val="1"/>
      <w:marLeft w:val="0"/>
      <w:marRight w:val="0"/>
      <w:marTop w:val="0"/>
      <w:marBottom w:val="0"/>
      <w:divBdr>
        <w:top w:val="none" w:sz="0" w:space="0" w:color="auto"/>
        <w:left w:val="none" w:sz="0" w:space="0" w:color="auto"/>
        <w:bottom w:val="none" w:sz="0" w:space="0" w:color="auto"/>
        <w:right w:val="none" w:sz="0" w:space="0" w:color="auto"/>
      </w:divBdr>
    </w:div>
    <w:div w:id="478889151">
      <w:bodyDiv w:val="1"/>
      <w:marLeft w:val="0"/>
      <w:marRight w:val="0"/>
      <w:marTop w:val="0"/>
      <w:marBottom w:val="0"/>
      <w:divBdr>
        <w:top w:val="none" w:sz="0" w:space="0" w:color="auto"/>
        <w:left w:val="none" w:sz="0" w:space="0" w:color="auto"/>
        <w:bottom w:val="none" w:sz="0" w:space="0" w:color="auto"/>
        <w:right w:val="none" w:sz="0" w:space="0" w:color="auto"/>
      </w:divBdr>
    </w:div>
    <w:div w:id="535239436">
      <w:bodyDiv w:val="1"/>
      <w:marLeft w:val="0"/>
      <w:marRight w:val="0"/>
      <w:marTop w:val="0"/>
      <w:marBottom w:val="0"/>
      <w:divBdr>
        <w:top w:val="none" w:sz="0" w:space="0" w:color="auto"/>
        <w:left w:val="none" w:sz="0" w:space="0" w:color="auto"/>
        <w:bottom w:val="none" w:sz="0" w:space="0" w:color="auto"/>
        <w:right w:val="none" w:sz="0" w:space="0" w:color="auto"/>
      </w:divBdr>
    </w:div>
    <w:div w:id="564029874">
      <w:bodyDiv w:val="1"/>
      <w:marLeft w:val="0"/>
      <w:marRight w:val="0"/>
      <w:marTop w:val="0"/>
      <w:marBottom w:val="0"/>
      <w:divBdr>
        <w:top w:val="none" w:sz="0" w:space="0" w:color="auto"/>
        <w:left w:val="none" w:sz="0" w:space="0" w:color="auto"/>
        <w:bottom w:val="none" w:sz="0" w:space="0" w:color="auto"/>
        <w:right w:val="none" w:sz="0" w:space="0" w:color="auto"/>
      </w:divBdr>
    </w:div>
    <w:div w:id="568808858">
      <w:bodyDiv w:val="1"/>
      <w:marLeft w:val="0"/>
      <w:marRight w:val="0"/>
      <w:marTop w:val="0"/>
      <w:marBottom w:val="0"/>
      <w:divBdr>
        <w:top w:val="none" w:sz="0" w:space="0" w:color="auto"/>
        <w:left w:val="none" w:sz="0" w:space="0" w:color="auto"/>
        <w:bottom w:val="none" w:sz="0" w:space="0" w:color="auto"/>
        <w:right w:val="none" w:sz="0" w:space="0" w:color="auto"/>
      </w:divBdr>
    </w:div>
    <w:div w:id="591358869">
      <w:bodyDiv w:val="1"/>
      <w:marLeft w:val="0"/>
      <w:marRight w:val="0"/>
      <w:marTop w:val="0"/>
      <w:marBottom w:val="0"/>
      <w:divBdr>
        <w:top w:val="none" w:sz="0" w:space="0" w:color="auto"/>
        <w:left w:val="none" w:sz="0" w:space="0" w:color="auto"/>
        <w:bottom w:val="none" w:sz="0" w:space="0" w:color="auto"/>
        <w:right w:val="none" w:sz="0" w:space="0" w:color="auto"/>
      </w:divBdr>
    </w:div>
    <w:div w:id="630021661">
      <w:bodyDiv w:val="1"/>
      <w:marLeft w:val="0"/>
      <w:marRight w:val="0"/>
      <w:marTop w:val="0"/>
      <w:marBottom w:val="0"/>
      <w:divBdr>
        <w:top w:val="none" w:sz="0" w:space="0" w:color="auto"/>
        <w:left w:val="none" w:sz="0" w:space="0" w:color="auto"/>
        <w:bottom w:val="none" w:sz="0" w:space="0" w:color="auto"/>
        <w:right w:val="none" w:sz="0" w:space="0" w:color="auto"/>
      </w:divBdr>
    </w:div>
    <w:div w:id="640965024">
      <w:bodyDiv w:val="1"/>
      <w:marLeft w:val="0"/>
      <w:marRight w:val="0"/>
      <w:marTop w:val="0"/>
      <w:marBottom w:val="0"/>
      <w:divBdr>
        <w:top w:val="none" w:sz="0" w:space="0" w:color="auto"/>
        <w:left w:val="none" w:sz="0" w:space="0" w:color="auto"/>
        <w:bottom w:val="none" w:sz="0" w:space="0" w:color="auto"/>
        <w:right w:val="none" w:sz="0" w:space="0" w:color="auto"/>
      </w:divBdr>
    </w:div>
    <w:div w:id="865288756">
      <w:bodyDiv w:val="1"/>
      <w:marLeft w:val="0"/>
      <w:marRight w:val="0"/>
      <w:marTop w:val="0"/>
      <w:marBottom w:val="0"/>
      <w:divBdr>
        <w:top w:val="none" w:sz="0" w:space="0" w:color="auto"/>
        <w:left w:val="none" w:sz="0" w:space="0" w:color="auto"/>
        <w:bottom w:val="none" w:sz="0" w:space="0" w:color="auto"/>
        <w:right w:val="none" w:sz="0" w:space="0" w:color="auto"/>
      </w:divBdr>
    </w:div>
    <w:div w:id="915018198">
      <w:bodyDiv w:val="1"/>
      <w:marLeft w:val="0"/>
      <w:marRight w:val="0"/>
      <w:marTop w:val="0"/>
      <w:marBottom w:val="0"/>
      <w:divBdr>
        <w:top w:val="none" w:sz="0" w:space="0" w:color="auto"/>
        <w:left w:val="none" w:sz="0" w:space="0" w:color="auto"/>
        <w:bottom w:val="none" w:sz="0" w:space="0" w:color="auto"/>
        <w:right w:val="none" w:sz="0" w:space="0" w:color="auto"/>
      </w:divBdr>
    </w:div>
    <w:div w:id="919370554">
      <w:bodyDiv w:val="1"/>
      <w:marLeft w:val="0"/>
      <w:marRight w:val="0"/>
      <w:marTop w:val="0"/>
      <w:marBottom w:val="0"/>
      <w:divBdr>
        <w:top w:val="none" w:sz="0" w:space="0" w:color="auto"/>
        <w:left w:val="none" w:sz="0" w:space="0" w:color="auto"/>
        <w:bottom w:val="none" w:sz="0" w:space="0" w:color="auto"/>
        <w:right w:val="none" w:sz="0" w:space="0" w:color="auto"/>
      </w:divBdr>
    </w:div>
    <w:div w:id="1013188597">
      <w:bodyDiv w:val="1"/>
      <w:marLeft w:val="0"/>
      <w:marRight w:val="0"/>
      <w:marTop w:val="0"/>
      <w:marBottom w:val="0"/>
      <w:divBdr>
        <w:top w:val="none" w:sz="0" w:space="0" w:color="auto"/>
        <w:left w:val="none" w:sz="0" w:space="0" w:color="auto"/>
        <w:bottom w:val="none" w:sz="0" w:space="0" w:color="auto"/>
        <w:right w:val="none" w:sz="0" w:space="0" w:color="auto"/>
      </w:divBdr>
    </w:div>
    <w:div w:id="1027025013">
      <w:bodyDiv w:val="1"/>
      <w:marLeft w:val="0"/>
      <w:marRight w:val="0"/>
      <w:marTop w:val="0"/>
      <w:marBottom w:val="0"/>
      <w:divBdr>
        <w:top w:val="none" w:sz="0" w:space="0" w:color="auto"/>
        <w:left w:val="none" w:sz="0" w:space="0" w:color="auto"/>
        <w:bottom w:val="none" w:sz="0" w:space="0" w:color="auto"/>
        <w:right w:val="none" w:sz="0" w:space="0" w:color="auto"/>
      </w:divBdr>
    </w:div>
    <w:div w:id="1058476481">
      <w:bodyDiv w:val="1"/>
      <w:marLeft w:val="0"/>
      <w:marRight w:val="0"/>
      <w:marTop w:val="0"/>
      <w:marBottom w:val="0"/>
      <w:divBdr>
        <w:top w:val="none" w:sz="0" w:space="0" w:color="auto"/>
        <w:left w:val="none" w:sz="0" w:space="0" w:color="auto"/>
        <w:bottom w:val="none" w:sz="0" w:space="0" w:color="auto"/>
        <w:right w:val="none" w:sz="0" w:space="0" w:color="auto"/>
      </w:divBdr>
    </w:div>
    <w:div w:id="1083070791">
      <w:bodyDiv w:val="1"/>
      <w:marLeft w:val="0"/>
      <w:marRight w:val="0"/>
      <w:marTop w:val="0"/>
      <w:marBottom w:val="0"/>
      <w:divBdr>
        <w:top w:val="none" w:sz="0" w:space="0" w:color="auto"/>
        <w:left w:val="none" w:sz="0" w:space="0" w:color="auto"/>
        <w:bottom w:val="none" w:sz="0" w:space="0" w:color="auto"/>
        <w:right w:val="none" w:sz="0" w:space="0" w:color="auto"/>
      </w:divBdr>
    </w:div>
    <w:div w:id="1088305085">
      <w:bodyDiv w:val="1"/>
      <w:marLeft w:val="0"/>
      <w:marRight w:val="0"/>
      <w:marTop w:val="0"/>
      <w:marBottom w:val="0"/>
      <w:divBdr>
        <w:top w:val="none" w:sz="0" w:space="0" w:color="auto"/>
        <w:left w:val="none" w:sz="0" w:space="0" w:color="auto"/>
        <w:bottom w:val="none" w:sz="0" w:space="0" w:color="auto"/>
        <w:right w:val="none" w:sz="0" w:space="0" w:color="auto"/>
      </w:divBdr>
    </w:div>
    <w:div w:id="1093626937">
      <w:bodyDiv w:val="1"/>
      <w:marLeft w:val="0"/>
      <w:marRight w:val="0"/>
      <w:marTop w:val="0"/>
      <w:marBottom w:val="0"/>
      <w:divBdr>
        <w:top w:val="none" w:sz="0" w:space="0" w:color="auto"/>
        <w:left w:val="none" w:sz="0" w:space="0" w:color="auto"/>
        <w:bottom w:val="none" w:sz="0" w:space="0" w:color="auto"/>
        <w:right w:val="none" w:sz="0" w:space="0" w:color="auto"/>
      </w:divBdr>
    </w:div>
    <w:div w:id="1138760517">
      <w:bodyDiv w:val="1"/>
      <w:marLeft w:val="0"/>
      <w:marRight w:val="0"/>
      <w:marTop w:val="0"/>
      <w:marBottom w:val="0"/>
      <w:divBdr>
        <w:top w:val="none" w:sz="0" w:space="0" w:color="auto"/>
        <w:left w:val="none" w:sz="0" w:space="0" w:color="auto"/>
        <w:bottom w:val="none" w:sz="0" w:space="0" w:color="auto"/>
        <w:right w:val="none" w:sz="0" w:space="0" w:color="auto"/>
      </w:divBdr>
    </w:div>
    <w:div w:id="1157845521">
      <w:bodyDiv w:val="1"/>
      <w:marLeft w:val="0"/>
      <w:marRight w:val="0"/>
      <w:marTop w:val="0"/>
      <w:marBottom w:val="0"/>
      <w:divBdr>
        <w:top w:val="none" w:sz="0" w:space="0" w:color="auto"/>
        <w:left w:val="none" w:sz="0" w:space="0" w:color="auto"/>
        <w:bottom w:val="none" w:sz="0" w:space="0" w:color="auto"/>
        <w:right w:val="none" w:sz="0" w:space="0" w:color="auto"/>
      </w:divBdr>
    </w:div>
    <w:div w:id="1248347834">
      <w:bodyDiv w:val="1"/>
      <w:marLeft w:val="0"/>
      <w:marRight w:val="0"/>
      <w:marTop w:val="0"/>
      <w:marBottom w:val="0"/>
      <w:divBdr>
        <w:top w:val="none" w:sz="0" w:space="0" w:color="auto"/>
        <w:left w:val="none" w:sz="0" w:space="0" w:color="auto"/>
        <w:bottom w:val="none" w:sz="0" w:space="0" w:color="auto"/>
        <w:right w:val="none" w:sz="0" w:space="0" w:color="auto"/>
      </w:divBdr>
    </w:div>
    <w:div w:id="1381978989">
      <w:bodyDiv w:val="1"/>
      <w:marLeft w:val="0"/>
      <w:marRight w:val="0"/>
      <w:marTop w:val="0"/>
      <w:marBottom w:val="0"/>
      <w:divBdr>
        <w:top w:val="none" w:sz="0" w:space="0" w:color="auto"/>
        <w:left w:val="none" w:sz="0" w:space="0" w:color="auto"/>
        <w:bottom w:val="none" w:sz="0" w:space="0" w:color="auto"/>
        <w:right w:val="none" w:sz="0" w:space="0" w:color="auto"/>
      </w:divBdr>
    </w:div>
    <w:div w:id="1393500324">
      <w:bodyDiv w:val="1"/>
      <w:marLeft w:val="0"/>
      <w:marRight w:val="0"/>
      <w:marTop w:val="0"/>
      <w:marBottom w:val="0"/>
      <w:divBdr>
        <w:top w:val="none" w:sz="0" w:space="0" w:color="auto"/>
        <w:left w:val="none" w:sz="0" w:space="0" w:color="auto"/>
        <w:bottom w:val="none" w:sz="0" w:space="0" w:color="auto"/>
        <w:right w:val="none" w:sz="0" w:space="0" w:color="auto"/>
      </w:divBdr>
    </w:div>
    <w:div w:id="1571114358">
      <w:bodyDiv w:val="1"/>
      <w:marLeft w:val="0"/>
      <w:marRight w:val="0"/>
      <w:marTop w:val="0"/>
      <w:marBottom w:val="0"/>
      <w:divBdr>
        <w:top w:val="none" w:sz="0" w:space="0" w:color="auto"/>
        <w:left w:val="none" w:sz="0" w:space="0" w:color="auto"/>
        <w:bottom w:val="none" w:sz="0" w:space="0" w:color="auto"/>
        <w:right w:val="none" w:sz="0" w:space="0" w:color="auto"/>
      </w:divBdr>
    </w:div>
    <w:div w:id="1622762727">
      <w:bodyDiv w:val="1"/>
      <w:marLeft w:val="0"/>
      <w:marRight w:val="0"/>
      <w:marTop w:val="0"/>
      <w:marBottom w:val="0"/>
      <w:divBdr>
        <w:top w:val="none" w:sz="0" w:space="0" w:color="auto"/>
        <w:left w:val="none" w:sz="0" w:space="0" w:color="auto"/>
        <w:bottom w:val="none" w:sz="0" w:space="0" w:color="auto"/>
        <w:right w:val="none" w:sz="0" w:space="0" w:color="auto"/>
      </w:divBdr>
    </w:div>
    <w:div w:id="1673020383">
      <w:bodyDiv w:val="1"/>
      <w:marLeft w:val="0"/>
      <w:marRight w:val="0"/>
      <w:marTop w:val="0"/>
      <w:marBottom w:val="0"/>
      <w:divBdr>
        <w:top w:val="none" w:sz="0" w:space="0" w:color="auto"/>
        <w:left w:val="none" w:sz="0" w:space="0" w:color="auto"/>
        <w:bottom w:val="none" w:sz="0" w:space="0" w:color="auto"/>
        <w:right w:val="none" w:sz="0" w:space="0" w:color="auto"/>
      </w:divBdr>
    </w:div>
    <w:div w:id="1683627380">
      <w:bodyDiv w:val="1"/>
      <w:marLeft w:val="0"/>
      <w:marRight w:val="0"/>
      <w:marTop w:val="0"/>
      <w:marBottom w:val="0"/>
      <w:divBdr>
        <w:top w:val="none" w:sz="0" w:space="0" w:color="auto"/>
        <w:left w:val="none" w:sz="0" w:space="0" w:color="auto"/>
        <w:bottom w:val="none" w:sz="0" w:space="0" w:color="auto"/>
        <w:right w:val="none" w:sz="0" w:space="0" w:color="auto"/>
      </w:divBdr>
    </w:div>
    <w:div w:id="1877427468">
      <w:bodyDiv w:val="1"/>
      <w:marLeft w:val="0"/>
      <w:marRight w:val="0"/>
      <w:marTop w:val="0"/>
      <w:marBottom w:val="0"/>
      <w:divBdr>
        <w:top w:val="none" w:sz="0" w:space="0" w:color="auto"/>
        <w:left w:val="none" w:sz="0" w:space="0" w:color="auto"/>
        <w:bottom w:val="none" w:sz="0" w:space="0" w:color="auto"/>
        <w:right w:val="none" w:sz="0" w:space="0" w:color="auto"/>
      </w:divBdr>
    </w:div>
    <w:div w:id="2037540455">
      <w:bodyDiv w:val="1"/>
      <w:marLeft w:val="0"/>
      <w:marRight w:val="0"/>
      <w:marTop w:val="0"/>
      <w:marBottom w:val="0"/>
      <w:divBdr>
        <w:top w:val="none" w:sz="0" w:space="0" w:color="auto"/>
        <w:left w:val="none" w:sz="0" w:space="0" w:color="auto"/>
        <w:bottom w:val="none" w:sz="0" w:space="0" w:color="auto"/>
        <w:right w:val="none" w:sz="0" w:space="0" w:color="auto"/>
      </w:divBdr>
    </w:div>
    <w:div w:id="2130659221">
      <w:bodyDiv w:val="1"/>
      <w:marLeft w:val="0"/>
      <w:marRight w:val="0"/>
      <w:marTop w:val="0"/>
      <w:marBottom w:val="0"/>
      <w:divBdr>
        <w:top w:val="none" w:sz="0" w:space="0" w:color="auto"/>
        <w:left w:val="none" w:sz="0" w:space="0" w:color="auto"/>
        <w:bottom w:val="none" w:sz="0" w:space="0" w:color="auto"/>
        <w:right w:val="none" w:sz="0" w:space="0" w:color="auto"/>
      </w:divBdr>
    </w:div>
    <w:div w:id="2132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B6C7-3067-4E1A-9828-9FAC3103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4065</Characters>
  <Application>Microsoft Office Word</Application>
  <DocSecurity>4</DocSecurity>
  <Lines>33</Lines>
  <Paragraphs>9</Paragraphs>
  <ScaleCrop>false</ScaleCrop>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清算审计报告</dc:title>
  <dc:creator>Celiya Zhang</dc:creator>
  <cp:lastModifiedBy>ZHONGM</cp:lastModifiedBy>
  <cp:revision>2</cp:revision>
  <cp:lastPrinted>2018-09-07T02:08:00Z</cp:lastPrinted>
  <dcterms:created xsi:type="dcterms:W3CDTF">2018-11-09T16:36:00Z</dcterms:created>
  <dcterms:modified xsi:type="dcterms:W3CDTF">2018-11-09T16:36:00Z</dcterms:modified>
</cp:coreProperties>
</file>