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0D" w:rsidRDefault="0013300D" w:rsidP="00815EBC">
      <w:pPr>
        <w:autoSpaceDE w:val="0"/>
        <w:autoSpaceDN w:val="0"/>
        <w:adjustRightInd w:val="0"/>
        <w:spacing w:line="598" w:lineRule="exact"/>
        <w:ind w:left="49" w:right="34"/>
        <w:jc w:val="center"/>
        <w:rPr>
          <w:rFonts w:ascii="微软雅黑" w:eastAsia="微软雅黑" w:hAnsi="Times New Roman" w:cs="微软雅黑"/>
          <w:kern w:val="0"/>
          <w:sz w:val="48"/>
          <w:szCs w:val="48"/>
        </w:rPr>
      </w:pPr>
      <w:r>
        <w:rPr>
          <w:rFonts w:ascii="微软雅黑" w:eastAsia="微软雅黑" w:hAnsi="Times New Roman" w:cs="微软雅黑" w:hint="eastAsia"/>
          <w:spacing w:val="2"/>
          <w:kern w:val="0"/>
          <w:position w:val="1"/>
          <w:sz w:val="48"/>
          <w:szCs w:val="48"/>
        </w:rPr>
        <w:t>永赢量化</w:t>
      </w:r>
      <w:r w:rsidR="00643C6C">
        <w:rPr>
          <w:rFonts w:ascii="微软雅黑" w:eastAsia="微软雅黑" w:hAnsi="Times New Roman" w:cs="微软雅黑" w:hint="eastAsia"/>
          <w:spacing w:val="2"/>
          <w:kern w:val="0"/>
          <w:position w:val="1"/>
          <w:sz w:val="48"/>
          <w:szCs w:val="48"/>
        </w:rPr>
        <w:t>灵活配置</w:t>
      </w:r>
      <w:r>
        <w:rPr>
          <w:rFonts w:ascii="微软雅黑" w:eastAsia="微软雅黑" w:hAnsi="Times New Roman" w:cs="微软雅黑"/>
          <w:spacing w:val="2"/>
          <w:kern w:val="0"/>
          <w:position w:val="1"/>
          <w:sz w:val="48"/>
          <w:szCs w:val="48"/>
        </w:rPr>
        <w:t>混合</w:t>
      </w:r>
      <w:r>
        <w:rPr>
          <w:rFonts w:ascii="微软雅黑" w:eastAsia="微软雅黑" w:hAnsi="Times New Roman" w:cs="微软雅黑" w:hint="eastAsia"/>
          <w:spacing w:val="2"/>
          <w:kern w:val="0"/>
          <w:position w:val="1"/>
          <w:sz w:val="48"/>
          <w:szCs w:val="48"/>
        </w:rPr>
        <w:t>型</w:t>
      </w:r>
      <w:r>
        <w:rPr>
          <w:rFonts w:ascii="微软雅黑" w:eastAsia="微软雅黑" w:hAnsi="Times New Roman" w:cs="微软雅黑"/>
          <w:spacing w:val="2"/>
          <w:kern w:val="0"/>
          <w:position w:val="1"/>
          <w:sz w:val="48"/>
          <w:szCs w:val="48"/>
        </w:rPr>
        <w:t>发起式</w:t>
      </w:r>
      <w:r>
        <w:rPr>
          <w:rFonts w:ascii="微软雅黑" w:eastAsia="微软雅黑" w:hAnsi="Times New Roman" w:cs="微软雅黑" w:hint="eastAsia"/>
          <w:kern w:val="0"/>
          <w:position w:val="1"/>
          <w:sz w:val="48"/>
          <w:szCs w:val="48"/>
        </w:rPr>
        <w:t>证</w:t>
      </w:r>
      <w:r>
        <w:rPr>
          <w:rFonts w:ascii="微软雅黑" w:eastAsia="微软雅黑" w:hAnsi="Times New Roman" w:cs="微软雅黑" w:hint="eastAsia"/>
          <w:spacing w:val="2"/>
          <w:kern w:val="0"/>
          <w:position w:val="1"/>
          <w:sz w:val="48"/>
          <w:szCs w:val="48"/>
        </w:rPr>
        <w:t>券</w:t>
      </w:r>
      <w:r>
        <w:rPr>
          <w:rFonts w:ascii="微软雅黑" w:eastAsia="微软雅黑" w:hAnsi="Times New Roman" w:cs="微软雅黑" w:hint="eastAsia"/>
          <w:kern w:val="0"/>
          <w:position w:val="1"/>
          <w:sz w:val="48"/>
          <w:szCs w:val="48"/>
        </w:rPr>
        <w:t>投</w:t>
      </w:r>
      <w:r>
        <w:rPr>
          <w:rFonts w:ascii="微软雅黑" w:eastAsia="微软雅黑" w:hAnsi="Times New Roman" w:cs="微软雅黑" w:hint="eastAsia"/>
          <w:spacing w:val="2"/>
          <w:kern w:val="0"/>
          <w:sz w:val="48"/>
          <w:szCs w:val="48"/>
        </w:rPr>
        <w:t>资基</w:t>
      </w:r>
      <w:r>
        <w:rPr>
          <w:rFonts w:ascii="微软雅黑" w:eastAsia="微软雅黑" w:hAnsi="Times New Roman" w:cs="微软雅黑" w:hint="eastAsia"/>
          <w:kern w:val="0"/>
          <w:sz w:val="48"/>
          <w:szCs w:val="48"/>
        </w:rPr>
        <w:t>金</w:t>
      </w:r>
      <w:r>
        <w:rPr>
          <w:rFonts w:ascii="微软雅黑" w:eastAsia="微软雅黑" w:hAnsi="Times New Roman" w:cs="微软雅黑" w:hint="eastAsia"/>
          <w:spacing w:val="2"/>
          <w:kern w:val="0"/>
          <w:sz w:val="48"/>
          <w:szCs w:val="48"/>
        </w:rPr>
        <w:t>清算报</w:t>
      </w:r>
      <w:r>
        <w:rPr>
          <w:rFonts w:ascii="微软雅黑" w:eastAsia="微软雅黑" w:hAnsi="Times New Roman" w:cs="微软雅黑" w:hint="eastAsia"/>
          <w:kern w:val="0"/>
          <w:sz w:val="48"/>
          <w:szCs w:val="48"/>
        </w:rPr>
        <w:t>告</w:t>
      </w: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before="8" w:line="240" w:lineRule="exact"/>
        <w:jc w:val="left"/>
        <w:rPr>
          <w:rFonts w:ascii="微软雅黑" w:eastAsia="微软雅黑" w:hAnsi="Times New Roman" w:cs="微软雅黑"/>
          <w:kern w:val="0"/>
          <w:sz w:val="24"/>
          <w:szCs w:val="24"/>
        </w:rPr>
      </w:pPr>
    </w:p>
    <w:p w:rsidR="0013300D" w:rsidRDefault="0013300D" w:rsidP="0013300D">
      <w:pPr>
        <w:autoSpaceDE w:val="0"/>
        <w:autoSpaceDN w:val="0"/>
        <w:adjustRightInd w:val="0"/>
        <w:ind w:right="3373"/>
        <w:jc w:val="center"/>
        <w:rPr>
          <w:rFonts w:ascii="微软雅黑" w:eastAsia="微软雅黑" w:hAnsi="Times New Roman" w:cs="微软雅黑"/>
          <w:kern w:val="0"/>
          <w:sz w:val="28"/>
          <w:szCs w:val="28"/>
        </w:rPr>
      </w:pPr>
    </w:p>
    <w:p w:rsidR="0013300D" w:rsidRDefault="0013300D" w:rsidP="0013300D">
      <w:pPr>
        <w:autoSpaceDE w:val="0"/>
        <w:autoSpaceDN w:val="0"/>
        <w:adjustRightInd w:val="0"/>
        <w:spacing w:before="6" w:line="180" w:lineRule="exact"/>
        <w:jc w:val="left"/>
        <w:rPr>
          <w:rFonts w:ascii="微软雅黑" w:eastAsia="微软雅黑" w:hAnsi="Times New Roman" w:cs="微软雅黑"/>
          <w:kern w:val="0"/>
          <w:sz w:val="18"/>
          <w:szCs w:val="18"/>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Pr="00F522C4"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200" w:lineRule="exact"/>
        <w:jc w:val="left"/>
        <w:rPr>
          <w:rFonts w:ascii="微软雅黑" w:eastAsia="微软雅黑" w:hAnsi="Times New Roman" w:cs="微软雅黑"/>
          <w:kern w:val="0"/>
          <w:sz w:val="20"/>
          <w:szCs w:val="20"/>
        </w:rPr>
      </w:pPr>
    </w:p>
    <w:p w:rsidR="0013300D" w:rsidRDefault="0013300D" w:rsidP="0013300D">
      <w:pPr>
        <w:autoSpaceDE w:val="0"/>
        <w:autoSpaceDN w:val="0"/>
        <w:adjustRightInd w:val="0"/>
        <w:spacing w:line="313" w:lineRule="auto"/>
        <w:ind w:left="1691" w:right="2608"/>
        <w:rPr>
          <w:rFonts w:ascii="微软雅黑" w:eastAsia="微软雅黑" w:hAnsi="Times New Roman" w:cs="微软雅黑"/>
          <w:kern w:val="0"/>
          <w:sz w:val="28"/>
          <w:szCs w:val="28"/>
        </w:rPr>
      </w:pPr>
      <w:r>
        <w:rPr>
          <w:rFonts w:ascii="微软雅黑" w:eastAsia="微软雅黑" w:hAnsi="Times New Roman" w:cs="微软雅黑" w:hint="eastAsia"/>
          <w:kern w:val="0"/>
          <w:sz w:val="28"/>
          <w:szCs w:val="28"/>
        </w:rPr>
        <w:t>基金管理</w:t>
      </w:r>
      <w:r>
        <w:rPr>
          <w:rFonts w:ascii="微软雅黑" w:eastAsia="微软雅黑" w:hAnsi="Times New Roman" w:cs="微软雅黑" w:hint="eastAsia"/>
          <w:spacing w:val="2"/>
          <w:kern w:val="0"/>
          <w:sz w:val="28"/>
          <w:szCs w:val="28"/>
        </w:rPr>
        <w:t>人</w:t>
      </w:r>
      <w:r>
        <w:rPr>
          <w:rFonts w:ascii="微软雅黑" w:eastAsia="微软雅黑" w:hAnsi="Times New Roman" w:cs="微软雅黑" w:hint="eastAsia"/>
          <w:spacing w:val="-3"/>
          <w:kern w:val="0"/>
          <w:sz w:val="28"/>
          <w:szCs w:val="28"/>
        </w:rPr>
        <w:t>：</w:t>
      </w:r>
      <w:r>
        <w:rPr>
          <w:rFonts w:ascii="微软雅黑" w:eastAsia="微软雅黑" w:hAnsi="Times New Roman" w:cs="微软雅黑" w:hint="eastAsia"/>
          <w:kern w:val="0"/>
          <w:sz w:val="28"/>
          <w:szCs w:val="28"/>
        </w:rPr>
        <w:t>永赢基金</w:t>
      </w:r>
      <w:r>
        <w:rPr>
          <w:rFonts w:ascii="微软雅黑" w:eastAsia="微软雅黑" w:hAnsi="Times New Roman" w:cs="微软雅黑" w:hint="eastAsia"/>
          <w:spacing w:val="2"/>
          <w:kern w:val="0"/>
          <w:sz w:val="28"/>
          <w:szCs w:val="28"/>
        </w:rPr>
        <w:t>管</w:t>
      </w:r>
      <w:r>
        <w:rPr>
          <w:rFonts w:ascii="微软雅黑" w:eastAsia="微软雅黑" w:hAnsi="Times New Roman" w:cs="微软雅黑" w:hint="eastAsia"/>
          <w:kern w:val="0"/>
          <w:sz w:val="28"/>
          <w:szCs w:val="28"/>
        </w:rPr>
        <w:t>理有限公司</w:t>
      </w:r>
      <w:bookmarkStart w:id="0" w:name="_GoBack"/>
      <w:bookmarkEnd w:id="0"/>
      <w:r>
        <w:rPr>
          <w:rFonts w:ascii="微软雅黑" w:eastAsia="微软雅黑" w:hAnsi="Times New Roman" w:cs="微软雅黑" w:hint="eastAsia"/>
          <w:kern w:val="0"/>
          <w:sz w:val="28"/>
          <w:szCs w:val="28"/>
        </w:rPr>
        <w:t>基金托管</w:t>
      </w:r>
      <w:r>
        <w:rPr>
          <w:rFonts w:ascii="微软雅黑" w:eastAsia="微软雅黑" w:hAnsi="Times New Roman" w:cs="微软雅黑" w:hint="eastAsia"/>
          <w:spacing w:val="2"/>
          <w:kern w:val="0"/>
          <w:sz w:val="28"/>
          <w:szCs w:val="28"/>
        </w:rPr>
        <w:t>人</w:t>
      </w:r>
      <w:r>
        <w:rPr>
          <w:rFonts w:ascii="微软雅黑" w:eastAsia="微软雅黑" w:hAnsi="Times New Roman" w:cs="微软雅黑" w:hint="eastAsia"/>
          <w:spacing w:val="-3"/>
          <w:kern w:val="0"/>
          <w:sz w:val="28"/>
          <w:szCs w:val="28"/>
        </w:rPr>
        <w:t>：</w:t>
      </w:r>
      <w:r w:rsidR="00643C6C">
        <w:rPr>
          <w:rFonts w:ascii="微软雅黑" w:eastAsia="微软雅黑" w:hAnsi="Times New Roman" w:cs="微软雅黑" w:hint="eastAsia"/>
          <w:kern w:val="0"/>
          <w:sz w:val="28"/>
          <w:szCs w:val="28"/>
        </w:rPr>
        <w:t>华泰</w:t>
      </w:r>
      <w:r>
        <w:rPr>
          <w:rFonts w:ascii="微软雅黑" w:eastAsia="微软雅黑" w:hAnsi="Times New Roman" w:cs="微软雅黑" w:hint="eastAsia"/>
          <w:kern w:val="0"/>
          <w:sz w:val="28"/>
          <w:szCs w:val="28"/>
        </w:rPr>
        <w:t>证券</w:t>
      </w:r>
      <w:r>
        <w:rPr>
          <w:rFonts w:ascii="微软雅黑" w:eastAsia="微软雅黑" w:hAnsi="Times New Roman" w:cs="微软雅黑" w:hint="eastAsia"/>
          <w:spacing w:val="2"/>
          <w:kern w:val="0"/>
          <w:sz w:val="28"/>
          <w:szCs w:val="28"/>
        </w:rPr>
        <w:t>股</w:t>
      </w:r>
      <w:r>
        <w:rPr>
          <w:rFonts w:ascii="微软雅黑" w:eastAsia="微软雅黑" w:hAnsi="Times New Roman" w:cs="微软雅黑" w:hint="eastAsia"/>
          <w:kern w:val="0"/>
          <w:sz w:val="28"/>
          <w:szCs w:val="28"/>
        </w:rPr>
        <w:t>份有限公司</w:t>
      </w:r>
      <w:r>
        <w:rPr>
          <w:rFonts w:ascii="微软雅黑" w:eastAsia="微软雅黑" w:hAnsi="Times New Roman" w:cs="微软雅黑" w:hint="eastAsia"/>
          <w:w w:val="95"/>
          <w:kern w:val="0"/>
          <w:sz w:val="28"/>
          <w:szCs w:val="28"/>
        </w:rPr>
        <w:t>公告日期：</w:t>
      </w:r>
      <w:r>
        <w:rPr>
          <w:rFonts w:ascii="微软雅黑" w:eastAsia="微软雅黑" w:hAnsi="Times New Roman" w:cs="微软雅黑"/>
          <w:spacing w:val="1"/>
          <w:w w:val="95"/>
          <w:kern w:val="0"/>
          <w:sz w:val="28"/>
          <w:szCs w:val="28"/>
        </w:rPr>
        <w:t>201</w:t>
      </w:r>
      <w:r>
        <w:rPr>
          <w:rFonts w:ascii="微软雅黑" w:eastAsia="微软雅黑" w:hAnsi="Times New Roman" w:cs="微软雅黑"/>
          <w:w w:val="95"/>
          <w:kern w:val="0"/>
          <w:sz w:val="28"/>
          <w:szCs w:val="28"/>
        </w:rPr>
        <w:t>8</w:t>
      </w:r>
      <w:r>
        <w:rPr>
          <w:rFonts w:ascii="微软雅黑" w:eastAsia="微软雅黑" w:hAnsi="Times New Roman" w:cs="微软雅黑" w:hint="eastAsia"/>
          <w:kern w:val="0"/>
          <w:sz w:val="28"/>
          <w:szCs w:val="28"/>
        </w:rPr>
        <w:t>年</w:t>
      </w:r>
      <w:r w:rsidR="003D28E5">
        <w:rPr>
          <w:rFonts w:ascii="微软雅黑" w:eastAsia="微软雅黑" w:hAnsi="Times New Roman" w:cs="微软雅黑"/>
          <w:w w:val="85"/>
          <w:kern w:val="0"/>
          <w:sz w:val="28"/>
          <w:szCs w:val="28"/>
        </w:rPr>
        <w:t>11</w:t>
      </w:r>
      <w:r>
        <w:rPr>
          <w:rFonts w:ascii="微软雅黑" w:eastAsia="微软雅黑" w:hAnsi="Times New Roman" w:cs="微软雅黑" w:hint="eastAsia"/>
          <w:kern w:val="0"/>
          <w:sz w:val="28"/>
          <w:szCs w:val="28"/>
        </w:rPr>
        <w:t>月</w:t>
      </w:r>
      <w:r w:rsidR="003D28E5">
        <w:rPr>
          <w:rFonts w:ascii="微软雅黑" w:eastAsia="微软雅黑" w:hAnsi="Times New Roman" w:cs="微软雅黑"/>
          <w:spacing w:val="1"/>
          <w:w w:val="85"/>
          <w:kern w:val="0"/>
          <w:sz w:val="28"/>
          <w:szCs w:val="28"/>
        </w:rPr>
        <w:t>10</w:t>
      </w:r>
      <w:r>
        <w:rPr>
          <w:rFonts w:ascii="微软雅黑" w:eastAsia="微软雅黑" w:hAnsi="Times New Roman" w:cs="微软雅黑" w:hint="eastAsia"/>
          <w:kern w:val="0"/>
          <w:sz w:val="28"/>
          <w:szCs w:val="28"/>
        </w:rPr>
        <w:t>日</w:t>
      </w:r>
    </w:p>
    <w:p w:rsidR="0013300D" w:rsidRPr="00F522C4" w:rsidRDefault="0013300D" w:rsidP="0013300D">
      <w:pPr>
        <w:autoSpaceDE w:val="0"/>
        <w:autoSpaceDN w:val="0"/>
        <w:adjustRightInd w:val="0"/>
        <w:spacing w:line="313" w:lineRule="auto"/>
        <w:ind w:left="1691" w:right="2608"/>
        <w:rPr>
          <w:rFonts w:ascii="微软雅黑" w:eastAsia="微软雅黑" w:hAnsi="Times New Roman" w:cs="微软雅黑"/>
          <w:kern w:val="0"/>
          <w:sz w:val="28"/>
          <w:szCs w:val="28"/>
        </w:rPr>
        <w:sectPr w:rsidR="0013300D" w:rsidRPr="00F522C4" w:rsidSect="0013300D">
          <w:pgSz w:w="11920" w:h="16840"/>
          <w:pgMar w:top="1560" w:right="1500" w:bottom="280" w:left="1520" w:header="720" w:footer="720" w:gutter="0"/>
          <w:cols w:space="720"/>
          <w:noEndnote/>
        </w:sectPr>
      </w:pPr>
    </w:p>
    <w:p w:rsidR="00D27823" w:rsidRPr="00C20FCE" w:rsidRDefault="00D27823" w:rsidP="00D27823">
      <w:pPr>
        <w:pStyle w:val="a3"/>
        <w:spacing w:before="0" w:after="0" w:line="360" w:lineRule="auto"/>
        <w:ind w:firstLineChars="200" w:firstLine="562"/>
        <w:jc w:val="both"/>
        <w:rPr>
          <w:rFonts w:ascii="Times New Roman" w:hAnsi="宋体"/>
          <w:sz w:val="28"/>
          <w:szCs w:val="28"/>
        </w:rPr>
      </w:pPr>
      <w:r w:rsidRPr="00C20FCE">
        <w:rPr>
          <w:rFonts w:ascii="Times New Roman" w:hAnsi="宋体" w:hint="eastAsia"/>
          <w:sz w:val="28"/>
          <w:szCs w:val="28"/>
        </w:rPr>
        <w:lastRenderedPageBreak/>
        <w:t>一</w:t>
      </w:r>
      <w:r w:rsidRPr="00C20FCE">
        <w:rPr>
          <w:rFonts w:ascii="Times New Roman" w:hAnsi="宋体"/>
          <w:sz w:val="28"/>
          <w:szCs w:val="28"/>
        </w:rPr>
        <w:t>、重要提示及目录</w:t>
      </w:r>
    </w:p>
    <w:p w:rsidR="00D27823" w:rsidRPr="00423FFC" w:rsidRDefault="00D27823" w:rsidP="00423FFC">
      <w:pPr>
        <w:rPr>
          <w:sz w:val="24"/>
          <w:szCs w:val="24"/>
        </w:rPr>
      </w:pPr>
    </w:p>
    <w:p w:rsidR="00643C6C" w:rsidRPr="0002371E" w:rsidRDefault="00643C6C" w:rsidP="0002371E">
      <w:pPr>
        <w:pStyle w:val="a3"/>
        <w:spacing w:before="0" w:after="0" w:line="360" w:lineRule="auto"/>
        <w:ind w:firstLineChars="200" w:firstLine="480"/>
        <w:jc w:val="both"/>
        <w:rPr>
          <w:rFonts w:ascii="Times New Roman" w:hAnsi="宋体"/>
          <w:b w:val="0"/>
          <w:sz w:val="24"/>
          <w:szCs w:val="24"/>
        </w:rPr>
      </w:pPr>
      <w:r w:rsidRPr="0002371E">
        <w:rPr>
          <w:rFonts w:ascii="Times New Roman" w:hAnsi="宋体" w:hint="eastAsia"/>
          <w:b w:val="0"/>
          <w:sz w:val="24"/>
          <w:szCs w:val="24"/>
        </w:rPr>
        <w:t>永赢量化灵活配置混合型发起式证券投资基金（以下简称</w:t>
      </w:r>
      <w:r w:rsidRPr="0002371E">
        <w:rPr>
          <w:rFonts w:ascii="Times New Roman" w:hAnsi="宋体" w:hint="eastAsia"/>
          <w:b w:val="0"/>
          <w:sz w:val="24"/>
          <w:szCs w:val="24"/>
        </w:rPr>
        <w:t>"</w:t>
      </w:r>
      <w:r w:rsidRPr="0002371E">
        <w:rPr>
          <w:rFonts w:ascii="Times New Roman" w:hAnsi="宋体" w:hint="eastAsia"/>
          <w:b w:val="0"/>
          <w:sz w:val="24"/>
          <w:szCs w:val="24"/>
        </w:rPr>
        <w:t>本基金</w:t>
      </w:r>
      <w:r w:rsidRPr="0002371E">
        <w:rPr>
          <w:rFonts w:ascii="Times New Roman" w:hAnsi="宋体" w:hint="eastAsia"/>
          <w:b w:val="0"/>
          <w:sz w:val="24"/>
          <w:szCs w:val="24"/>
        </w:rPr>
        <w:t>")</w:t>
      </w:r>
      <w:r w:rsidRPr="0002371E">
        <w:rPr>
          <w:rFonts w:ascii="Times New Roman" w:hAnsi="宋体" w:hint="eastAsia"/>
          <w:b w:val="0"/>
          <w:sz w:val="24"/>
          <w:szCs w:val="24"/>
        </w:rPr>
        <w:t>，系经中国证券监督管理委员会（以下简称</w:t>
      </w:r>
      <w:r w:rsidRPr="0002371E">
        <w:rPr>
          <w:rFonts w:ascii="Times New Roman" w:hAnsi="宋体" w:hint="eastAsia"/>
          <w:b w:val="0"/>
          <w:sz w:val="24"/>
          <w:szCs w:val="24"/>
        </w:rPr>
        <w:t>"</w:t>
      </w:r>
      <w:r w:rsidRPr="0002371E">
        <w:rPr>
          <w:rFonts w:ascii="Times New Roman" w:hAnsi="宋体" w:hint="eastAsia"/>
          <w:b w:val="0"/>
          <w:sz w:val="24"/>
          <w:szCs w:val="24"/>
        </w:rPr>
        <w:t>中国证监会</w:t>
      </w:r>
      <w:r w:rsidRPr="0002371E">
        <w:rPr>
          <w:rFonts w:ascii="Times New Roman" w:hAnsi="宋体" w:hint="eastAsia"/>
          <w:b w:val="0"/>
          <w:sz w:val="24"/>
          <w:szCs w:val="24"/>
        </w:rPr>
        <w:t>"</w:t>
      </w:r>
      <w:r w:rsidRPr="0002371E">
        <w:rPr>
          <w:rFonts w:ascii="Times New Roman" w:hAnsi="宋体" w:hint="eastAsia"/>
          <w:b w:val="0"/>
          <w:sz w:val="24"/>
          <w:szCs w:val="24"/>
        </w:rPr>
        <w:t>）证监许可</w:t>
      </w:r>
      <w:r w:rsidRPr="0002371E">
        <w:rPr>
          <w:rFonts w:ascii="Times New Roman" w:hAnsi="宋体" w:hint="eastAsia"/>
          <w:b w:val="0"/>
          <w:sz w:val="24"/>
          <w:szCs w:val="24"/>
        </w:rPr>
        <w:t>[2015]1700</w:t>
      </w:r>
      <w:r w:rsidRPr="0002371E">
        <w:rPr>
          <w:rFonts w:ascii="Times New Roman" w:hAnsi="宋体" w:hint="eastAsia"/>
          <w:b w:val="0"/>
          <w:sz w:val="24"/>
          <w:szCs w:val="24"/>
        </w:rPr>
        <w:t>号文《关于准予永赢量化灵活配置混合型发起式证券投资基金注册的批复》的核准，由永赢基金管理有限公司作</w:t>
      </w:r>
      <w:r w:rsidR="004555F3" w:rsidRPr="00553DB5">
        <w:rPr>
          <w:rFonts w:ascii="Times New Roman" w:hAnsi="宋体" w:hint="eastAsia"/>
          <w:b w:val="0"/>
          <w:sz w:val="24"/>
          <w:szCs w:val="24"/>
        </w:rPr>
        <w:t>为基金管</w:t>
      </w:r>
      <w:r w:rsidRPr="0002371E">
        <w:rPr>
          <w:rFonts w:ascii="Times New Roman" w:hAnsi="宋体" w:hint="eastAsia"/>
          <w:b w:val="0"/>
          <w:sz w:val="24"/>
          <w:szCs w:val="24"/>
        </w:rPr>
        <w:t>理人自</w:t>
      </w:r>
      <w:r w:rsidRPr="0002371E">
        <w:rPr>
          <w:rFonts w:ascii="Times New Roman" w:hAnsi="宋体" w:hint="eastAsia"/>
          <w:b w:val="0"/>
          <w:sz w:val="24"/>
          <w:szCs w:val="24"/>
        </w:rPr>
        <w:t>2015</w:t>
      </w:r>
      <w:r w:rsidRPr="0002371E">
        <w:rPr>
          <w:rFonts w:ascii="Times New Roman" w:hAnsi="宋体" w:hint="eastAsia"/>
          <w:b w:val="0"/>
          <w:sz w:val="24"/>
          <w:szCs w:val="24"/>
        </w:rPr>
        <w:t>年</w:t>
      </w:r>
      <w:r w:rsidRPr="0002371E">
        <w:rPr>
          <w:rFonts w:ascii="Times New Roman" w:hAnsi="宋体" w:hint="eastAsia"/>
          <w:b w:val="0"/>
          <w:sz w:val="24"/>
          <w:szCs w:val="24"/>
        </w:rPr>
        <w:t>8</w:t>
      </w:r>
      <w:r w:rsidRPr="0002371E">
        <w:rPr>
          <w:rFonts w:ascii="Times New Roman" w:hAnsi="宋体" w:hint="eastAsia"/>
          <w:b w:val="0"/>
          <w:sz w:val="24"/>
          <w:szCs w:val="24"/>
        </w:rPr>
        <w:t>月</w:t>
      </w:r>
      <w:r w:rsidRPr="0002371E">
        <w:rPr>
          <w:rFonts w:ascii="Times New Roman" w:hAnsi="宋体" w:hint="eastAsia"/>
          <w:b w:val="0"/>
          <w:sz w:val="24"/>
          <w:szCs w:val="24"/>
        </w:rPr>
        <w:t>17</w:t>
      </w:r>
      <w:r w:rsidRPr="0002371E">
        <w:rPr>
          <w:rFonts w:ascii="Times New Roman" w:hAnsi="宋体" w:hint="eastAsia"/>
          <w:b w:val="0"/>
          <w:sz w:val="24"/>
          <w:szCs w:val="24"/>
        </w:rPr>
        <w:t>日至</w:t>
      </w:r>
      <w:r w:rsidRPr="0002371E">
        <w:rPr>
          <w:rFonts w:ascii="Times New Roman" w:hAnsi="宋体" w:hint="eastAsia"/>
          <w:b w:val="0"/>
          <w:sz w:val="24"/>
          <w:szCs w:val="24"/>
        </w:rPr>
        <w:t>2015</w:t>
      </w:r>
      <w:r w:rsidRPr="0002371E">
        <w:rPr>
          <w:rFonts w:ascii="Times New Roman" w:hAnsi="宋体" w:hint="eastAsia"/>
          <w:b w:val="0"/>
          <w:sz w:val="24"/>
          <w:szCs w:val="24"/>
        </w:rPr>
        <w:t>年</w:t>
      </w:r>
      <w:r w:rsidRPr="0002371E">
        <w:rPr>
          <w:rFonts w:ascii="Times New Roman" w:hAnsi="宋体" w:hint="eastAsia"/>
          <w:b w:val="0"/>
          <w:sz w:val="24"/>
          <w:szCs w:val="24"/>
        </w:rPr>
        <w:t>8</w:t>
      </w:r>
      <w:r w:rsidRPr="0002371E">
        <w:rPr>
          <w:rFonts w:ascii="Times New Roman" w:hAnsi="宋体" w:hint="eastAsia"/>
          <w:b w:val="0"/>
          <w:sz w:val="24"/>
          <w:szCs w:val="24"/>
        </w:rPr>
        <w:t>月</w:t>
      </w:r>
      <w:r w:rsidRPr="0002371E">
        <w:rPr>
          <w:rFonts w:ascii="Times New Roman" w:hAnsi="宋体" w:hint="eastAsia"/>
          <w:b w:val="0"/>
          <w:sz w:val="24"/>
          <w:szCs w:val="24"/>
        </w:rPr>
        <w:t>28</w:t>
      </w:r>
      <w:r w:rsidRPr="0002371E">
        <w:rPr>
          <w:rFonts w:ascii="Times New Roman" w:hAnsi="宋体" w:hint="eastAsia"/>
          <w:b w:val="0"/>
          <w:sz w:val="24"/>
          <w:szCs w:val="24"/>
        </w:rPr>
        <w:t>日止期间向社会公开发行募集，募集期结束经安永华明会计师事务所（特殊普通合伙）验证并出具安永华明（</w:t>
      </w:r>
      <w:r w:rsidRPr="0002371E">
        <w:rPr>
          <w:rFonts w:ascii="Times New Roman" w:hAnsi="宋体" w:hint="eastAsia"/>
          <w:b w:val="0"/>
          <w:sz w:val="24"/>
          <w:szCs w:val="24"/>
        </w:rPr>
        <w:t>2015</w:t>
      </w:r>
      <w:r w:rsidRPr="0002371E">
        <w:rPr>
          <w:rFonts w:ascii="Times New Roman" w:hAnsi="宋体" w:hint="eastAsia"/>
          <w:b w:val="0"/>
          <w:sz w:val="24"/>
          <w:szCs w:val="24"/>
        </w:rPr>
        <w:t>）验字第</w:t>
      </w:r>
      <w:r w:rsidRPr="0002371E">
        <w:rPr>
          <w:rFonts w:ascii="Times New Roman" w:hAnsi="宋体" w:hint="eastAsia"/>
          <w:b w:val="0"/>
          <w:sz w:val="24"/>
          <w:szCs w:val="24"/>
        </w:rPr>
        <w:t>61090672_B11</w:t>
      </w:r>
      <w:r w:rsidRPr="0002371E">
        <w:rPr>
          <w:rFonts w:ascii="Times New Roman" w:hAnsi="宋体" w:hint="eastAsia"/>
          <w:b w:val="0"/>
          <w:sz w:val="24"/>
          <w:szCs w:val="24"/>
        </w:rPr>
        <w:t>号验资报告后，向中国证监会报送基金备案材料。基金合同于</w:t>
      </w:r>
      <w:r w:rsidRPr="0002371E">
        <w:rPr>
          <w:rFonts w:ascii="Times New Roman" w:hAnsi="宋体" w:hint="eastAsia"/>
          <w:b w:val="0"/>
          <w:sz w:val="24"/>
          <w:szCs w:val="24"/>
        </w:rPr>
        <w:t>2015</w:t>
      </w:r>
      <w:r w:rsidRPr="0002371E">
        <w:rPr>
          <w:rFonts w:ascii="Times New Roman" w:hAnsi="宋体" w:hint="eastAsia"/>
          <w:b w:val="0"/>
          <w:sz w:val="24"/>
          <w:szCs w:val="24"/>
        </w:rPr>
        <w:t>年</w:t>
      </w:r>
      <w:r w:rsidRPr="0002371E">
        <w:rPr>
          <w:rFonts w:ascii="Times New Roman" w:hAnsi="宋体" w:hint="eastAsia"/>
          <w:b w:val="0"/>
          <w:sz w:val="24"/>
          <w:szCs w:val="24"/>
        </w:rPr>
        <w:t>9</w:t>
      </w:r>
      <w:r w:rsidRPr="0002371E">
        <w:rPr>
          <w:rFonts w:ascii="Times New Roman" w:hAnsi="宋体" w:hint="eastAsia"/>
          <w:b w:val="0"/>
          <w:sz w:val="24"/>
          <w:szCs w:val="24"/>
        </w:rPr>
        <w:t>月</w:t>
      </w:r>
      <w:r w:rsidRPr="0002371E">
        <w:rPr>
          <w:rFonts w:ascii="Times New Roman" w:hAnsi="宋体" w:hint="eastAsia"/>
          <w:b w:val="0"/>
          <w:sz w:val="24"/>
          <w:szCs w:val="24"/>
        </w:rPr>
        <w:t>1</w:t>
      </w:r>
      <w:r w:rsidRPr="0002371E">
        <w:rPr>
          <w:rFonts w:ascii="Times New Roman" w:hAnsi="宋体" w:hint="eastAsia"/>
          <w:b w:val="0"/>
          <w:sz w:val="24"/>
          <w:szCs w:val="24"/>
        </w:rPr>
        <w:t>日正式生效。本</w:t>
      </w:r>
      <w:r w:rsidR="004555F3" w:rsidRPr="00553DB5">
        <w:rPr>
          <w:rFonts w:ascii="Times New Roman" w:hAnsi="宋体" w:hint="eastAsia"/>
          <w:b w:val="0"/>
          <w:sz w:val="24"/>
          <w:szCs w:val="24"/>
        </w:rPr>
        <w:t>基金的</w:t>
      </w:r>
      <w:r w:rsidR="004555F3" w:rsidRPr="00553DB5">
        <w:rPr>
          <w:rFonts w:ascii="Times New Roman" w:hAnsi="宋体"/>
          <w:b w:val="0"/>
          <w:sz w:val="24"/>
          <w:szCs w:val="24"/>
        </w:rPr>
        <w:t>运作方式</w:t>
      </w:r>
      <w:r w:rsidR="004555F3" w:rsidRPr="00553DB5">
        <w:rPr>
          <w:rFonts w:ascii="Times New Roman" w:hAnsi="宋体" w:hint="eastAsia"/>
          <w:b w:val="0"/>
          <w:sz w:val="24"/>
          <w:szCs w:val="24"/>
        </w:rPr>
        <w:t>为契</w:t>
      </w:r>
      <w:r w:rsidRPr="0002371E">
        <w:rPr>
          <w:rFonts w:ascii="Times New Roman" w:hAnsi="宋体" w:hint="eastAsia"/>
          <w:b w:val="0"/>
          <w:sz w:val="24"/>
          <w:szCs w:val="24"/>
        </w:rPr>
        <w:t>约型开放式，存续期限不</w:t>
      </w:r>
      <w:r w:rsidR="004555F3" w:rsidRPr="00553DB5">
        <w:rPr>
          <w:rFonts w:ascii="Times New Roman" w:hAnsi="宋体" w:hint="eastAsia"/>
          <w:b w:val="0"/>
          <w:sz w:val="24"/>
          <w:szCs w:val="24"/>
        </w:rPr>
        <w:t>定。本基金设立</w:t>
      </w:r>
      <w:r w:rsidRPr="0002371E">
        <w:rPr>
          <w:rFonts w:ascii="Times New Roman" w:hAnsi="宋体" w:hint="eastAsia"/>
          <w:b w:val="0"/>
          <w:sz w:val="24"/>
          <w:szCs w:val="24"/>
        </w:rPr>
        <w:t>时募集的扣除认购费后的实收基金</w:t>
      </w:r>
      <w:r w:rsidRPr="0002371E">
        <w:rPr>
          <w:rFonts w:ascii="Times New Roman" w:hAnsi="宋体" w:hint="eastAsia"/>
          <w:b w:val="0"/>
          <w:sz w:val="24"/>
          <w:szCs w:val="24"/>
        </w:rPr>
        <w:t>(</w:t>
      </w:r>
      <w:r w:rsidRPr="0002371E">
        <w:rPr>
          <w:rFonts w:ascii="Times New Roman" w:hAnsi="宋体" w:hint="eastAsia"/>
          <w:b w:val="0"/>
          <w:sz w:val="24"/>
          <w:szCs w:val="24"/>
        </w:rPr>
        <w:t>本金</w:t>
      </w:r>
      <w:r w:rsidRPr="0002371E">
        <w:rPr>
          <w:rFonts w:ascii="Times New Roman" w:hAnsi="宋体" w:hint="eastAsia"/>
          <w:b w:val="0"/>
          <w:sz w:val="24"/>
          <w:szCs w:val="24"/>
        </w:rPr>
        <w:t>)</w:t>
      </w:r>
      <w:r w:rsidRPr="0002371E">
        <w:rPr>
          <w:rFonts w:ascii="Times New Roman" w:hAnsi="宋体" w:hint="eastAsia"/>
          <w:b w:val="0"/>
          <w:sz w:val="24"/>
          <w:szCs w:val="24"/>
        </w:rPr>
        <w:t>为人民币</w:t>
      </w:r>
      <w:r w:rsidRPr="0002371E">
        <w:rPr>
          <w:rFonts w:ascii="Times New Roman" w:hAnsi="宋体" w:hint="eastAsia"/>
          <w:b w:val="0"/>
          <w:sz w:val="24"/>
          <w:szCs w:val="24"/>
        </w:rPr>
        <w:t>302,044,785.92</w:t>
      </w:r>
      <w:r w:rsidRPr="0002371E">
        <w:rPr>
          <w:rFonts w:ascii="Times New Roman" w:hAnsi="宋体" w:hint="eastAsia"/>
          <w:b w:val="0"/>
          <w:sz w:val="24"/>
          <w:szCs w:val="24"/>
        </w:rPr>
        <w:t>元，募集资金在募集期间产生的利息为人民币</w:t>
      </w:r>
      <w:r w:rsidRPr="0002371E">
        <w:rPr>
          <w:rFonts w:ascii="Times New Roman" w:hAnsi="宋体" w:hint="eastAsia"/>
          <w:b w:val="0"/>
          <w:sz w:val="24"/>
          <w:szCs w:val="24"/>
        </w:rPr>
        <w:t>95,463.65</w:t>
      </w:r>
      <w:r w:rsidRPr="0002371E">
        <w:rPr>
          <w:rFonts w:ascii="Times New Roman" w:hAnsi="宋体" w:hint="eastAsia"/>
          <w:b w:val="0"/>
          <w:sz w:val="24"/>
          <w:szCs w:val="24"/>
        </w:rPr>
        <w:t>元，以上实收基金（本息）共计人民币</w:t>
      </w:r>
      <w:r w:rsidRPr="0002371E">
        <w:rPr>
          <w:rFonts w:ascii="Times New Roman" w:hAnsi="宋体" w:hint="eastAsia"/>
          <w:b w:val="0"/>
          <w:sz w:val="24"/>
          <w:szCs w:val="24"/>
        </w:rPr>
        <w:t>302,140,249.57</w:t>
      </w:r>
      <w:r w:rsidRPr="0002371E">
        <w:rPr>
          <w:rFonts w:ascii="Times New Roman" w:hAnsi="宋体" w:hint="eastAsia"/>
          <w:b w:val="0"/>
          <w:sz w:val="24"/>
          <w:szCs w:val="24"/>
        </w:rPr>
        <w:t>元，折合</w:t>
      </w:r>
      <w:r w:rsidRPr="0002371E">
        <w:rPr>
          <w:rFonts w:ascii="Times New Roman" w:hAnsi="宋体" w:hint="eastAsia"/>
          <w:b w:val="0"/>
          <w:sz w:val="24"/>
          <w:szCs w:val="24"/>
        </w:rPr>
        <w:t>302,140,249.57</w:t>
      </w:r>
      <w:r w:rsidRPr="0002371E">
        <w:rPr>
          <w:rFonts w:ascii="Times New Roman" w:hAnsi="宋体" w:hint="eastAsia"/>
          <w:b w:val="0"/>
          <w:sz w:val="24"/>
          <w:szCs w:val="24"/>
        </w:rPr>
        <w:t>份基金份额。本基金的基金管理人及注册登记机构为永赢基金管理有限公司，基金托管人为华泰证券股份有限公司。</w:t>
      </w:r>
    </w:p>
    <w:p w:rsidR="00FD10F7" w:rsidRPr="00D27823" w:rsidRDefault="00FD10F7" w:rsidP="00FD10F7">
      <w:pPr>
        <w:autoSpaceDE w:val="0"/>
        <w:autoSpaceDN w:val="0"/>
        <w:adjustRightInd w:val="0"/>
        <w:jc w:val="left"/>
        <w:rPr>
          <w:rFonts w:ascii="Times New Roman" w:eastAsia="宋体" w:hAnsi="宋体" w:cs="Times New Roman"/>
          <w:bCs/>
          <w:sz w:val="24"/>
          <w:szCs w:val="24"/>
        </w:rPr>
      </w:pPr>
    </w:p>
    <w:p w:rsidR="00A6751E" w:rsidRDefault="00A6751E" w:rsidP="00A6751E">
      <w:pPr>
        <w:pStyle w:val="a3"/>
        <w:spacing w:before="0" w:after="0" w:line="360" w:lineRule="auto"/>
        <w:ind w:firstLineChars="200" w:firstLine="480"/>
        <w:jc w:val="both"/>
        <w:rPr>
          <w:rFonts w:ascii="Times New Roman" w:hAnsi="宋体"/>
          <w:b w:val="0"/>
          <w:sz w:val="24"/>
          <w:szCs w:val="24"/>
        </w:rPr>
      </w:pPr>
      <w:r w:rsidRPr="00A6751E">
        <w:rPr>
          <w:rFonts w:ascii="Times New Roman" w:hAnsi="宋体" w:hint="eastAsia"/>
          <w:b w:val="0"/>
          <w:sz w:val="24"/>
          <w:szCs w:val="24"/>
        </w:rPr>
        <w:t>根据《永赢量化</w:t>
      </w:r>
      <w:r w:rsidR="00643C6C">
        <w:rPr>
          <w:rFonts w:ascii="Times New Roman" w:hAnsi="宋体" w:hint="eastAsia"/>
          <w:b w:val="0"/>
          <w:sz w:val="24"/>
          <w:szCs w:val="24"/>
        </w:rPr>
        <w:t>灵活配置</w:t>
      </w:r>
      <w:r w:rsidRPr="00A6751E">
        <w:rPr>
          <w:rFonts w:ascii="Times New Roman" w:hAnsi="宋体" w:hint="eastAsia"/>
          <w:b w:val="0"/>
          <w:sz w:val="24"/>
          <w:szCs w:val="24"/>
        </w:rPr>
        <w:t>混合型发起式证券投资基金基金合同》（以下简称“《基金合同》”）</w:t>
      </w:r>
      <w:r w:rsidR="007312DC" w:rsidRPr="007312DC">
        <w:rPr>
          <w:rFonts w:ascii="Times New Roman" w:hAnsi="宋体" w:hint="eastAsia"/>
          <w:b w:val="0"/>
          <w:sz w:val="24"/>
          <w:szCs w:val="24"/>
        </w:rPr>
        <w:t>第五部分“基金备案”第三条约定：“基金合同生效满</w:t>
      </w:r>
      <w:r w:rsidR="007312DC" w:rsidRPr="007312DC">
        <w:rPr>
          <w:rFonts w:ascii="Times New Roman" w:hAnsi="宋体" w:hint="eastAsia"/>
          <w:b w:val="0"/>
          <w:sz w:val="24"/>
          <w:szCs w:val="24"/>
        </w:rPr>
        <w:t>3</w:t>
      </w:r>
      <w:r w:rsidR="007312DC" w:rsidRPr="007312DC">
        <w:rPr>
          <w:rFonts w:ascii="Times New Roman" w:hAnsi="宋体" w:hint="eastAsia"/>
          <w:b w:val="0"/>
          <w:sz w:val="24"/>
          <w:szCs w:val="24"/>
        </w:rPr>
        <w:t>年之日（自基金合同生效之日起</w:t>
      </w:r>
      <w:r w:rsidR="007312DC" w:rsidRPr="007312DC">
        <w:rPr>
          <w:rFonts w:ascii="Times New Roman" w:hAnsi="宋体" w:hint="eastAsia"/>
          <w:b w:val="0"/>
          <w:sz w:val="24"/>
          <w:szCs w:val="24"/>
        </w:rPr>
        <w:t>3</w:t>
      </w:r>
      <w:r w:rsidR="007312DC" w:rsidRPr="007312DC">
        <w:rPr>
          <w:rFonts w:ascii="Times New Roman" w:hAnsi="宋体" w:hint="eastAsia"/>
          <w:b w:val="0"/>
          <w:sz w:val="24"/>
          <w:szCs w:val="24"/>
        </w:rPr>
        <w:t>年后的对应日，若该日为非工作日则顺延至下一工作日），若基金资产净值低于</w:t>
      </w:r>
      <w:r w:rsidR="007312DC" w:rsidRPr="007312DC">
        <w:rPr>
          <w:rFonts w:ascii="Times New Roman" w:hAnsi="宋体" w:hint="eastAsia"/>
          <w:b w:val="0"/>
          <w:sz w:val="24"/>
          <w:szCs w:val="24"/>
        </w:rPr>
        <w:t>2</w:t>
      </w:r>
      <w:r w:rsidR="007312DC" w:rsidRPr="007312DC">
        <w:rPr>
          <w:rFonts w:ascii="Times New Roman" w:hAnsi="宋体" w:hint="eastAsia"/>
          <w:b w:val="0"/>
          <w:sz w:val="24"/>
          <w:szCs w:val="24"/>
        </w:rPr>
        <w:t>亿元，本基金合同自动终止，且不得通过召开基金份额持有人大会延续基金合同期限。”</w:t>
      </w:r>
    </w:p>
    <w:p w:rsidR="007312DC" w:rsidRPr="007312DC" w:rsidRDefault="007312DC" w:rsidP="007312DC"/>
    <w:p w:rsidR="00D27823" w:rsidRPr="00A6751E" w:rsidRDefault="007312DC" w:rsidP="00A6751E">
      <w:pPr>
        <w:pStyle w:val="a3"/>
        <w:spacing w:before="0" w:after="0" w:line="360" w:lineRule="auto"/>
        <w:ind w:firstLineChars="200" w:firstLine="480"/>
        <w:jc w:val="both"/>
        <w:rPr>
          <w:rFonts w:ascii="Times New Roman" w:hAnsi="宋体"/>
          <w:b w:val="0"/>
          <w:sz w:val="24"/>
          <w:szCs w:val="24"/>
        </w:rPr>
      </w:pPr>
      <w:r w:rsidRPr="007312DC">
        <w:rPr>
          <w:rFonts w:ascii="Times New Roman" w:hAnsi="宋体" w:hint="eastAsia"/>
          <w:b w:val="0"/>
          <w:sz w:val="24"/>
          <w:szCs w:val="24"/>
        </w:rPr>
        <w:t>本基金基金合同生效日为</w:t>
      </w:r>
      <w:r w:rsidRPr="007312DC">
        <w:rPr>
          <w:rFonts w:ascii="Times New Roman" w:hAnsi="宋体" w:hint="eastAsia"/>
          <w:b w:val="0"/>
          <w:sz w:val="24"/>
          <w:szCs w:val="24"/>
        </w:rPr>
        <w:t>2015</w:t>
      </w:r>
      <w:r w:rsidRPr="007312DC">
        <w:rPr>
          <w:rFonts w:ascii="Times New Roman" w:hAnsi="宋体" w:hint="eastAsia"/>
          <w:b w:val="0"/>
          <w:sz w:val="24"/>
          <w:szCs w:val="24"/>
        </w:rPr>
        <w:t>年</w:t>
      </w:r>
      <w:r w:rsidRPr="007312DC">
        <w:rPr>
          <w:rFonts w:ascii="Times New Roman" w:hAnsi="宋体" w:hint="eastAsia"/>
          <w:b w:val="0"/>
          <w:sz w:val="24"/>
          <w:szCs w:val="24"/>
        </w:rPr>
        <w:t>9</w:t>
      </w:r>
      <w:r w:rsidRPr="007312DC">
        <w:rPr>
          <w:rFonts w:ascii="Times New Roman" w:hAnsi="宋体" w:hint="eastAsia"/>
          <w:b w:val="0"/>
          <w:sz w:val="24"/>
          <w:szCs w:val="24"/>
        </w:rPr>
        <w:t>月</w:t>
      </w:r>
      <w:r w:rsidR="004555F3" w:rsidRPr="00553DB5">
        <w:rPr>
          <w:rFonts w:ascii="Times New Roman" w:hAnsi="宋体"/>
          <w:b w:val="0"/>
          <w:sz w:val="24"/>
          <w:szCs w:val="24"/>
        </w:rPr>
        <w:t>1</w:t>
      </w:r>
      <w:r w:rsidR="004555F3" w:rsidRPr="00553DB5">
        <w:rPr>
          <w:rFonts w:ascii="Times New Roman" w:hAnsi="宋体" w:hint="eastAsia"/>
          <w:b w:val="0"/>
          <w:sz w:val="24"/>
          <w:szCs w:val="24"/>
        </w:rPr>
        <w:t>日，基</w:t>
      </w:r>
      <w:r w:rsidRPr="007312DC">
        <w:rPr>
          <w:rFonts w:ascii="Times New Roman" w:hAnsi="宋体" w:hint="eastAsia"/>
          <w:b w:val="0"/>
          <w:sz w:val="24"/>
          <w:szCs w:val="24"/>
        </w:rPr>
        <w:t>金合同生效满三年之日为</w:t>
      </w:r>
      <w:r w:rsidRPr="007312DC">
        <w:rPr>
          <w:rFonts w:ascii="Times New Roman" w:hAnsi="宋体" w:hint="eastAsia"/>
          <w:b w:val="0"/>
          <w:sz w:val="24"/>
          <w:szCs w:val="24"/>
        </w:rPr>
        <w:t>2018</w:t>
      </w:r>
      <w:r w:rsidRPr="007312DC">
        <w:rPr>
          <w:rFonts w:ascii="Times New Roman" w:hAnsi="宋体" w:hint="eastAsia"/>
          <w:b w:val="0"/>
          <w:sz w:val="24"/>
          <w:szCs w:val="24"/>
        </w:rPr>
        <w:t>年</w:t>
      </w:r>
      <w:r w:rsidRPr="007312DC">
        <w:rPr>
          <w:rFonts w:ascii="Times New Roman" w:hAnsi="宋体" w:hint="eastAsia"/>
          <w:b w:val="0"/>
          <w:sz w:val="24"/>
          <w:szCs w:val="24"/>
        </w:rPr>
        <w:t>9</w:t>
      </w:r>
      <w:r w:rsidRPr="007312DC">
        <w:rPr>
          <w:rFonts w:ascii="Times New Roman" w:hAnsi="宋体" w:hint="eastAsia"/>
          <w:b w:val="0"/>
          <w:sz w:val="24"/>
          <w:szCs w:val="24"/>
        </w:rPr>
        <w:t>月</w:t>
      </w:r>
      <w:r w:rsidRPr="007312DC">
        <w:rPr>
          <w:rFonts w:ascii="Times New Roman" w:hAnsi="宋体" w:hint="eastAsia"/>
          <w:b w:val="0"/>
          <w:sz w:val="24"/>
          <w:szCs w:val="24"/>
        </w:rPr>
        <w:t>1</w:t>
      </w:r>
      <w:r w:rsidRPr="007312DC">
        <w:rPr>
          <w:rFonts w:ascii="Times New Roman" w:hAnsi="宋体" w:hint="eastAsia"/>
          <w:b w:val="0"/>
          <w:sz w:val="24"/>
          <w:szCs w:val="24"/>
        </w:rPr>
        <w:t>日，因该日为非工作日，故基金合同生效满三年之日顺延至</w:t>
      </w:r>
      <w:r w:rsidRPr="007312DC">
        <w:rPr>
          <w:rFonts w:ascii="Times New Roman" w:hAnsi="宋体" w:hint="eastAsia"/>
          <w:b w:val="0"/>
          <w:sz w:val="24"/>
          <w:szCs w:val="24"/>
        </w:rPr>
        <w:t>2018</w:t>
      </w:r>
      <w:r w:rsidRPr="007312DC">
        <w:rPr>
          <w:rFonts w:ascii="Times New Roman" w:hAnsi="宋体" w:hint="eastAsia"/>
          <w:b w:val="0"/>
          <w:sz w:val="24"/>
          <w:szCs w:val="24"/>
        </w:rPr>
        <w:t>年</w:t>
      </w:r>
      <w:r w:rsidRPr="007312DC">
        <w:rPr>
          <w:rFonts w:ascii="Times New Roman" w:hAnsi="宋体" w:hint="eastAsia"/>
          <w:b w:val="0"/>
          <w:sz w:val="24"/>
          <w:szCs w:val="24"/>
        </w:rPr>
        <w:t>9</w:t>
      </w:r>
      <w:r w:rsidRPr="007312DC">
        <w:rPr>
          <w:rFonts w:ascii="Times New Roman" w:hAnsi="宋体" w:hint="eastAsia"/>
          <w:b w:val="0"/>
          <w:sz w:val="24"/>
          <w:szCs w:val="24"/>
        </w:rPr>
        <w:t>月</w:t>
      </w:r>
      <w:r w:rsidRPr="007312DC">
        <w:rPr>
          <w:rFonts w:ascii="Times New Roman" w:hAnsi="宋体" w:hint="eastAsia"/>
          <w:b w:val="0"/>
          <w:sz w:val="24"/>
          <w:szCs w:val="24"/>
        </w:rPr>
        <w:t>3</w:t>
      </w:r>
      <w:r w:rsidRPr="007312DC">
        <w:rPr>
          <w:rFonts w:ascii="Times New Roman" w:hAnsi="宋体" w:hint="eastAsia"/>
          <w:b w:val="0"/>
          <w:sz w:val="24"/>
          <w:szCs w:val="24"/>
        </w:rPr>
        <w:t>日。截至</w:t>
      </w:r>
      <w:r w:rsidRPr="007312DC">
        <w:rPr>
          <w:rFonts w:ascii="Times New Roman" w:hAnsi="宋体" w:hint="eastAsia"/>
          <w:b w:val="0"/>
          <w:sz w:val="24"/>
          <w:szCs w:val="24"/>
        </w:rPr>
        <w:t>2018</w:t>
      </w:r>
      <w:r w:rsidRPr="007312DC">
        <w:rPr>
          <w:rFonts w:ascii="Times New Roman" w:hAnsi="宋体" w:hint="eastAsia"/>
          <w:b w:val="0"/>
          <w:sz w:val="24"/>
          <w:szCs w:val="24"/>
        </w:rPr>
        <w:t>年</w:t>
      </w:r>
      <w:r w:rsidRPr="007312DC">
        <w:rPr>
          <w:rFonts w:ascii="Times New Roman" w:hAnsi="宋体" w:hint="eastAsia"/>
          <w:b w:val="0"/>
          <w:sz w:val="24"/>
          <w:szCs w:val="24"/>
        </w:rPr>
        <w:t>9</w:t>
      </w:r>
      <w:r w:rsidRPr="007312DC">
        <w:rPr>
          <w:rFonts w:ascii="Times New Roman" w:hAnsi="宋体" w:hint="eastAsia"/>
          <w:b w:val="0"/>
          <w:sz w:val="24"/>
          <w:szCs w:val="24"/>
        </w:rPr>
        <w:t>月</w:t>
      </w:r>
      <w:r w:rsidRPr="007312DC">
        <w:rPr>
          <w:rFonts w:ascii="Times New Roman" w:hAnsi="宋体" w:hint="eastAsia"/>
          <w:b w:val="0"/>
          <w:sz w:val="24"/>
          <w:szCs w:val="24"/>
        </w:rPr>
        <w:t>3</w:t>
      </w:r>
      <w:r w:rsidRPr="007312DC">
        <w:rPr>
          <w:rFonts w:ascii="Times New Roman" w:hAnsi="宋体" w:hint="eastAsia"/>
          <w:b w:val="0"/>
          <w:sz w:val="24"/>
          <w:szCs w:val="24"/>
        </w:rPr>
        <w:t>日日终，本基金出现触发基金合同自动终止的情形（即本基金基金资产净值低于</w:t>
      </w:r>
      <w:r w:rsidRPr="007312DC">
        <w:rPr>
          <w:rFonts w:ascii="Times New Roman" w:hAnsi="宋体" w:hint="eastAsia"/>
          <w:b w:val="0"/>
          <w:sz w:val="24"/>
          <w:szCs w:val="24"/>
        </w:rPr>
        <w:t>2</w:t>
      </w:r>
      <w:r w:rsidRPr="007312DC">
        <w:rPr>
          <w:rFonts w:ascii="Times New Roman" w:hAnsi="宋体" w:hint="eastAsia"/>
          <w:b w:val="0"/>
          <w:sz w:val="24"/>
          <w:szCs w:val="24"/>
        </w:rPr>
        <w:t>亿元），</w:t>
      </w:r>
      <w:r w:rsidR="002106C0" w:rsidRPr="002A5E12">
        <w:rPr>
          <w:rFonts w:ascii="Times New Roman" w:hAnsi="宋体" w:hint="eastAsia"/>
          <w:b w:val="0"/>
          <w:sz w:val="24"/>
          <w:szCs w:val="24"/>
        </w:rPr>
        <w:t>《基金合同》自动终止，基金管理人自</w:t>
      </w:r>
      <w:r w:rsidR="002106C0" w:rsidRPr="002A5E12">
        <w:rPr>
          <w:rFonts w:ascii="Times New Roman" w:hAnsi="宋体" w:hint="eastAsia"/>
          <w:b w:val="0"/>
          <w:sz w:val="24"/>
          <w:szCs w:val="24"/>
        </w:rPr>
        <w:t>2018</w:t>
      </w:r>
      <w:r w:rsidR="002106C0" w:rsidRPr="002A5E12">
        <w:rPr>
          <w:rFonts w:ascii="Times New Roman" w:hAnsi="宋体" w:hint="eastAsia"/>
          <w:b w:val="0"/>
          <w:sz w:val="24"/>
          <w:szCs w:val="24"/>
        </w:rPr>
        <w:t>年</w:t>
      </w:r>
      <w:r w:rsidR="002106C0" w:rsidRPr="002A5E12">
        <w:rPr>
          <w:rFonts w:ascii="Times New Roman" w:hAnsi="宋体"/>
          <w:b w:val="0"/>
          <w:sz w:val="24"/>
          <w:szCs w:val="24"/>
        </w:rPr>
        <w:t>9</w:t>
      </w:r>
      <w:r w:rsidR="002106C0" w:rsidRPr="002A5E12">
        <w:rPr>
          <w:rFonts w:ascii="Times New Roman" w:hAnsi="宋体" w:hint="eastAsia"/>
          <w:b w:val="0"/>
          <w:sz w:val="24"/>
          <w:szCs w:val="24"/>
        </w:rPr>
        <w:t>月</w:t>
      </w:r>
      <w:r w:rsidR="002106C0" w:rsidRPr="002A5E12">
        <w:rPr>
          <w:rFonts w:ascii="Times New Roman" w:hAnsi="宋体"/>
          <w:b w:val="0"/>
          <w:sz w:val="24"/>
          <w:szCs w:val="24"/>
        </w:rPr>
        <w:t>4</w:t>
      </w:r>
      <w:r w:rsidR="002106C0" w:rsidRPr="002A5E12">
        <w:rPr>
          <w:rFonts w:ascii="Times New Roman" w:hAnsi="宋体" w:hint="eastAsia"/>
          <w:b w:val="0"/>
          <w:sz w:val="24"/>
          <w:szCs w:val="24"/>
        </w:rPr>
        <w:t>日起根据相关法律法规、《基金合同》等规定履行基金财产清算程序，无须召开基金份额持有人大会。</w:t>
      </w:r>
    </w:p>
    <w:p w:rsidR="00D27823" w:rsidRPr="00A6751E" w:rsidRDefault="00D27823" w:rsidP="00A6751E">
      <w:pPr>
        <w:pStyle w:val="a3"/>
        <w:spacing w:before="0" w:after="0" w:line="360" w:lineRule="auto"/>
        <w:ind w:firstLineChars="200" w:firstLine="480"/>
        <w:jc w:val="both"/>
        <w:rPr>
          <w:rFonts w:ascii="Times New Roman" w:hAnsi="宋体"/>
          <w:b w:val="0"/>
          <w:sz w:val="24"/>
          <w:szCs w:val="24"/>
        </w:rPr>
      </w:pPr>
    </w:p>
    <w:p w:rsidR="00D27823" w:rsidRPr="00A6751E" w:rsidRDefault="00D27823" w:rsidP="00A6751E">
      <w:pPr>
        <w:pStyle w:val="a3"/>
        <w:spacing w:before="0" w:after="0" w:line="360" w:lineRule="auto"/>
        <w:ind w:firstLineChars="200" w:firstLine="480"/>
        <w:jc w:val="both"/>
        <w:rPr>
          <w:rFonts w:ascii="Times New Roman" w:hAnsi="宋体"/>
          <w:b w:val="0"/>
          <w:sz w:val="24"/>
          <w:szCs w:val="24"/>
        </w:rPr>
      </w:pPr>
    </w:p>
    <w:p w:rsidR="00D27823" w:rsidRDefault="00D27823" w:rsidP="00FD10F7">
      <w:pPr>
        <w:rPr>
          <w:rFonts w:ascii="Times New Roman" w:eastAsia="宋体" w:hAnsi="宋体" w:cs="Times New Roman"/>
          <w:bCs/>
          <w:sz w:val="24"/>
          <w:szCs w:val="24"/>
        </w:rPr>
      </w:pPr>
    </w:p>
    <w:p w:rsidR="00A6751E" w:rsidRDefault="00A6751E" w:rsidP="00FD10F7"/>
    <w:p w:rsidR="006576C9" w:rsidRDefault="006576C9" w:rsidP="00FD10F7"/>
    <w:p w:rsidR="006576C9" w:rsidRDefault="006576C9" w:rsidP="00FD10F7"/>
    <w:p w:rsidR="006576C9" w:rsidRDefault="006576C9" w:rsidP="00FD10F7"/>
    <w:p w:rsidR="006576C9" w:rsidRDefault="006576C9" w:rsidP="00FD10F7"/>
    <w:p w:rsidR="006576C9" w:rsidRDefault="006576C9" w:rsidP="00FD10F7"/>
    <w:p w:rsidR="002106C0" w:rsidRDefault="002106C0" w:rsidP="00FD10F7"/>
    <w:p w:rsidR="002106C0" w:rsidRDefault="002106C0" w:rsidP="00FD10F7"/>
    <w:p w:rsidR="00D27823" w:rsidRPr="00C20FCE" w:rsidRDefault="00D27823" w:rsidP="005B2DA3">
      <w:pPr>
        <w:pStyle w:val="a3"/>
        <w:spacing w:before="0" w:after="0" w:line="360" w:lineRule="auto"/>
        <w:ind w:firstLineChars="200" w:firstLine="562"/>
        <w:jc w:val="both"/>
        <w:rPr>
          <w:rFonts w:ascii="Times New Roman" w:hAnsi="宋体"/>
          <w:sz w:val="28"/>
          <w:szCs w:val="28"/>
        </w:rPr>
      </w:pPr>
      <w:r w:rsidRPr="00C20FCE">
        <w:rPr>
          <w:rFonts w:ascii="Times New Roman" w:hAnsi="宋体" w:hint="eastAsia"/>
          <w:sz w:val="28"/>
          <w:szCs w:val="28"/>
        </w:rPr>
        <w:lastRenderedPageBreak/>
        <w:t>二、基金</w:t>
      </w:r>
      <w:r w:rsidRPr="00C20FCE">
        <w:rPr>
          <w:rFonts w:ascii="Times New Roman" w:hAnsi="宋体"/>
          <w:sz w:val="28"/>
          <w:szCs w:val="28"/>
        </w:rPr>
        <w:t>概况</w:t>
      </w:r>
    </w:p>
    <w:p w:rsidR="005B2DA3" w:rsidRPr="00423FFC" w:rsidRDefault="005B2DA3" w:rsidP="00423FFC">
      <w:pPr>
        <w:rPr>
          <w:sz w:val="24"/>
          <w:szCs w:val="24"/>
        </w:rPr>
      </w:pPr>
    </w:p>
    <w:p w:rsidR="003F03E7" w:rsidRPr="005B2DA3" w:rsidRDefault="003F03E7" w:rsidP="005B2DA3">
      <w:pPr>
        <w:pStyle w:val="a3"/>
        <w:spacing w:before="0" w:after="0" w:line="360" w:lineRule="auto"/>
        <w:ind w:firstLineChars="200" w:firstLine="480"/>
        <w:jc w:val="both"/>
        <w:rPr>
          <w:rFonts w:ascii="Times New Roman" w:hAnsi="宋体"/>
          <w:b w:val="0"/>
          <w:sz w:val="24"/>
          <w:szCs w:val="24"/>
        </w:rPr>
      </w:pPr>
      <w:r w:rsidRPr="005B2DA3">
        <w:rPr>
          <w:rFonts w:ascii="Times New Roman" w:hAnsi="宋体"/>
          <w:b w:val="0"/>
          <w:sz w:val="24"/>
          <w:szCs w:val="24"/>
        </w:rPr>
        <w:t>1</w:t>
      </w:r>
      <w:r w:rsidRPr="005B2DA3">
        <w:rPr>
          <w:rFonts w:ascii="Times New Roman" w:hAnsi="宋体" w:hint="eastAsia"/>
          <w:b w:val="0"/>
          <w:sz w:val="24"/>
          <w:szCs w:val="24"/>
        </w:rPr>
        <w:t>、基金名称：永赢量化</w:t>
      </w:r>
      <w:r w:rsidR="006135EE">
        <w:rPr>
          <w:rFonts w:ascii="Times New Roman" w:hAnsi="宋体" w:hint="eastAsia"/>
          <w:b w:val="0"/>
          <w:sz w:val="24"/>
          <w:szCs w:val="24"/>
        </w:rPr>
        <w:t>灵活配置</w:t>
      </w:r>
      <w:r w:rsidRPr="005B2DA3">
        <w:rPr>
          <w:rFonts w:ascii="Times New Roman" w:hAnsi="宋体" w:hint="eastAsia"/>
          <w:b w:val="0"/>
          <w:sz w:val="24"/>
          <w:szCs w:val="24"/>
        </w:rPr>
        <w:t>混合型发起式证券投资基金。基金简称：永赢量化</w:t>
      </w:r>
      <w:r w:rsidR="006135EE">
        <w:rPr>
          <w:rFonts w:ascii="Times New Roman" w:hAnsi="宋体" w:hint="eastAsia"/>
          <w:b w:val="0"/>
          <w:sz w:val="24"/>
          <w:szCs w:val="24"/>
        </w:rPr>
        <w:t>灵活配置</w:t>
      </w:r>
      <w:r w:rsidRPr="005B2DA3">
        <w:rPr>
          <w:rFonts w:ascii="Times New Roman" w:hAnsi="宋体" w:hint="eastAsia"/>
          <w:b w:val="0"/>
          <w:sz w:val="24"/>
          <w:szCs w:val="24"/>
        </w:rPr>
        <w:t>混合发起式。基金代码：</w:t>
      </w:r>
      <w:r w:rsidR="006135EE">
        <w:rPr>
          <w:rFonts w:ascii="Times New Roman" w:hAnsi="宋体" w:hint="eastAsia"/>
          <w:b w:val="0"/>
          <w:sz w:val="24"/>
          <w:szCs w:val="24"/>
        </w:rPr>
        <w:t>001754</w:t>
      </w:r>
    </w:p>
    <w:p w:rsidR="003F03E7" w:rsidRPr="005B2DA3" w:rsidRDefault="003F03E7" w:rsidP="005B2DA3">
      <w:pPr>
        <w:pStyle w:val="a3"/>
        <w:spacing w:before="0" w:after="0" w:line="360" w:lineRule="auto"/>
        <w:ind w:firstLineChars="200" w:firstLine="480"/>
        <w:jc w:val="both"/>
        <w:rPr>
          <w:rFonts w:ascii="Times New Roman" w:hAnsi="宋体"/>
          <w:b w:val="0"/>
          <w:sz w:val="24"/>
          <w:szCs w:val="24"/>
        </w:rPr>
      </w:pPr>
      <w:r w:rsidRPr="005B2DA3">
        <w:rPr>
          <w:rFonts w:ascii="Times New Roman" w:hAnsi="宋体"/>
          <w:b w:val="0"/>
          <w:sz w:val="24"/>
          <w:szCs w:val="24"/>
        </w:rPr>
        <w:t>2</w:t>
      </w:r>
      <w:r w:rsidRPr="005B2DA3">
        <w:rPr>
          <w:rFonts w:ascii="Times New Roman" w:hAnsi="宋体" w:hint="eastAsia"/>
          <w:b w:val="0"/>
          <w:sz w:val="24"/>
          <w:szCs w:val="24"/>
        </w:rPr>
        <w:t>、基金运作方式：契约型开放式</w:t>
      </w:r>
    </w:p>
    <w:p w:rsidR="003F03E7" w:rsidRPr="005B2DA3" w:rsidRDefault="003F03E7" w:rsidP="005B2DA3">
      <w:pPr>
        <w:pStyle w:val="a3"/>
        <w:spacing w:before="0" w:after="0" w:line="360" w:lineRule="auto"/>
        <w:ind w:firstLineChars="200" w:firstLine="480"/>
        <w:jc w:val="both"/>
        <w:rPr>
          <w:rFonts w:ascii="Times New Roman" w:hAnsi="宋体"/>
          <w:b w:val="0"/>
          <w:sz w:val="24"/>
          <w:szCs w:val="24"/>
        </w:rPr>
      </w:pPr>
      <w:r w:rsidRPr="005B2DA3">
        <w:rPr>
          <w:rFonts w:ascii="Times New Roman" w:hAnsi="宋体"/>
          <w:b w:val="0"/>
          <w:sz w:val="24"/>
          <w:szCs w:val="24"/>
        </w:rPr>
        <w:t>3</w:t>
      </w:r>
      <w:r w:rsidRPr="005B2DA3">
        <w:rPr>
          <w:rFonts w:ascii="Times New Roman" w:hAnsi="宋体" w:hint="eastAsia"/>
          <w:b w:val="0"/>
          <w:sz w:val="24"/>
          <w:szCs w:val="24"/>
        </w:rPr>
        <w:t>、基金合同生效日：</w:t>
      </w:r>
      <w:r w:rsidRPr="00553DB5">
        <w:rPr>
          <w:rFonts w:ascii="Times New Roman" w:hAnsi="宋体"/>
          <w:b w:val="0"/>
          <w:sz w:val="24"/>
          <w:szCs w:val="24"/>
        </w:rPr>
        <w:t>20</w:t>
      </w:r>
      <w:r w:rsidR="004555F3" w:rsidRPr="00553DB5">
        <w:rPr>
          <w:rFonts w:ascii="Times New Roman" w:hAnsi="宋体"/>
          <w:b w:val="0"/>
          <w:sz w:val="24"/>
          <w:szCs w:val="24"/>
        </w:rPr>
        <w:t>15</w:t>
      </w:r>
      <w:r w:rsidR="004555F3" w:rsidRPr="00553DB5">
        <w:rPr>
          <w:rFonts w:ascii="Times New Roman" w:hAnsi="宋体" w:hint="eastAsia"/>
          <w:b w:val="0"/>
          <w:sz w:val="24"/>
          <w:szCs w:val="24"/>
        </w:rPr>
        <w:t>年</w:t>
      </w:r>
      <w:r w:rsidR="004555F3" w:rsidRPr="00553DB5">
        <w:rPr>
          <w:rFonts w:ascii="Times New Roman" w:hAnsi="宋体"/>
          <w:b w:val="0"/>
          <w:sz w:val="24"/>
          <w:szCs w:val="24"/>
        </w:rPr>
        <w:t>9</w:t>
      </w:r>
      <w:r w:rsidR="004555F3" w:rsidRPr="00553DB5">
        <w:rPr>
          <w:rFonts w:ascii="Times New Roman" w:hAnsi="宋体" w:hint="eastAsia"/>
          <w:b w:val="0"/>
          <w:sz w:val="24"/>
          <w:szCs w:val="24"/>
        </w:rPr>
        <w:t>月</w:t>
      </w:r>
      <w:r w:rsidR="004555F3" w:rsidRPr="00553DB5">
        <w:rPr>
          <w:rFonts w:ascii="Times New Roman" w:hAnsi="宋体"/>
          <w:b w:val="0"/>
          <w:sz w:val="24"/>
          <w:szCs w:val="24"/>
        </w:rPr>
        <w:t>1</w:t>
      </w:r>
      <w:r w:rsidR="004555F3" w:rsidRPr="00553DB5">
        <w:rPr>
          <w:rFonts w:ascii="Times New Roman" w:hAnsi="宋体" w:hint="eastAsia"/>
          <w:b w:val="0"/>
          <w:sz w:val="24"/>
          <w:szCs w:val="24"/>
        </w:rPr>
        <w:t>日</w:t>
      </w:r>
    </w:p>
    <w:p w:rsidR="003F03E7" w:rsidRPr="005B2DA3" w:rsidRDefault="003F03E7" w:rsidP="005B2DA3">
      <w:pPr>
        <w:pStyle w:val="a3"/>
        <w:spacing w:before="0" w:after="0" w:line="360" w:lineRule="auto"/>
        <w:ind w:firstLineChars="200" w:firstLine="480"/>
        <w:jc w:val="both"/>
        <w:rPr>
          <w:rFonts w:ascii="Times New Roman" w:hAnsi="宋体"/>
          <w:b w:val="0"/>
          <w:sz w:val="24"/>
          <w:szCs w:val="24"/>
        </w:rPr>
      </w:pPr>
      <w:r w:rsidRPr="005B2DA3">
        <w:rPr>
          <w:rFonts w:ascii="Times New Roman" w:hAnsi="宋体"/>
          <w:b w:val="0"/>
          <w:sz w:val="24"/>
          <w:szCs w:val="24"/>
        </w:rPr>
        <w:t>4</w:t>
      </w:r>
      <w:r w:rsidRPr="005B2DA3">
        <w:rPr>
          <w:rFonts w:ascii="Times New Roman" w:hAnsi="宋体" w:hint="eastAsia"/>
          <w:b w:val="0"/>
          <w:sz w:val="24"/>
          <w:szCs w:val="24"/>
        </w:rPr>
        <w:t>、基金运作终止日：</w:t>
      </w:r>
      <w:r w:rsidRPr="005B2DA3">
        <w:rPr>
          <w:rFonts w:ascii="Times New Roman" w:hAnsi="宋体"/>
          <w:b w:val="0"/>
          <w:sz w:val="24"/>
          <w:szCs w:val="24"/>
        </w:rPr>
        <w:t xml:space="preserve">2018 </w:t>
      </w:r>
      <w:r w:rsidR="004555F3" w:rsidRPr="00553DB5">
        <w:rPr>
          <w:rFonts w:ascii="Times New Roman" w:hAnsi="宋体" w:hint="eastAsia"/>
          <w:b w:val="0"/>
          <w:sz w:val="24"/>
          <w:szCs w:val="24"/>
        </w:rPr>
        <w:t>年</w:t>
      </w:r>
      <w:r w:rsidR="004555F3" w:rsidRPr="00553DB5">
        <w:rPr>
          <w:rFonts w:ascii="Times New Roman" w:hAnsi="宋体"/>
          <w:b w:val="0"/>
          <w:sz w:val="24"/>
          <w:szCs w:val="24"/>
        </w:rPr>
        <w:t>9</w:t>
      </w:r>
      <w:r w:rsidR="004555F3" w:rsidRPr="00553DB5">
        <w:rPr>
          <w:rFonts w:ascii="Times New Roman" w:hAnsi="宋体" w:hint="eastAsia"/>
          <w:b w:val="0"/>
          <w:sz w:val="24"/>
          <w:szCs w:val="24"/>
        </w:rPr>
        <w:t>月</w:t>
      </w:r>
      <w:r w:rsidR="004555F3" w:rsidRPr="00553DB5">
        <w:rPr>
          <w:rFonts w:ascii="Times New Roman" w:hAnsi="宋体"/>
          <w:b w:val="0"/>
          <w:sz w:val="24"/>
          <w:szCs w:val="24"/>
        </w:rPr>
        <w:t>3</w:t>
      </w:r>
      <w:r w:rsidRPr="00553DB5">
        <w:rPr>
          <w:rFonts w:ascii="Times New Roman" w:hAnsi="宋体" w:hint="eastAsia"/>
          <w:b w:val="0"/>
          <w:sz w:val="24"/>
          <w:szCs w:val="24"/>
        </w:rPr>
        <w:t>日</w:t>
      </w:r>
      <w:r w:rsidRPr="005B2DA3">
        <w:rPr>
          <w:rFonts w:ascii="Times New Roman" w:hAnsi="宋体" w:hint="eastAsia"/>
          <w:b w:val="0"/>
          <w:sz w:val="24"/>
          <w:szCs w:val="24"/>
        </w:rPr>
        <w:t>。基金份额总额：</w:t>
      </w:r>
      <w:r w:rsidR="007312DC">
        <w:rPr>
          <w:rFonts w:ascii="Times New Roman" w:hAnsi="宋体" w:hint="eastAsia"/>
          <w:b w:val="0"/>
          <w:sz w:val="24"/>
          <w:szCs w:val="24"/>
        </w:rPr>
        <w:t>38,892,973.90</w:t>
      </w:r>
      <w:r w:rsidRPr="005B2DA3">
        <w:rPr>
          <w:rFonts w:ascii="Times New Roman" w:hAnsi="宋体" w:hint="eastAsia"/>
          <w:b w:val="0"/>
          <w:sz w:val="24"/>
          <w:szCs w:val="24"/>
        </w:rPr>
        <w:t>份，基金</w:t>
      </w:r>
      <w:r w:rsidR="004555F3" w:rsidRPr="00553DB5">
        <w:rPr>
          <w:rFonts w:ascii="Times New Roman" w:hAnsi="宋体" w:hint="eastAsia"/>
          <w:b w:val="0"/>
          <w:sz w:val="24"/>
          <w:szCs w:val="24"/>
        </w:rPr>
        <w:t>单位份</w:t>
      </w:r>
      <w:r w:rsidRPr="00553DB5">
        <w:rPr>
          <w:rFonts w:ascii="Times New Roman" w:hAnsi="宋体" w:hint="eastAsia"/>
          <w:b w:val="0"/>
          <w:sz w:val="24"/>
          <w:szCs w:val="24"/>
        </w:rPr>
        <w:t>额净值为人民币</w:t>
      </w:r>
      <w:r w:rsidR="007312DC" w:rsidRPr="00553DB5">
        <w:rPr>
          <w:rFonts w:ascii="Times New Roman" w:hAnsi="宋体" w:hint="eastAsia"/>
          <w:b w:val="0"/>
          <w:sz w:val="24"/>
          <w:szCs w:val="24"/>
        </w:rPr>
        <w:t>0.8502</w:t>
      </w:r>
      <w:r w:rsidRPr="00553DB5">
        <w:rPr>
          <w:rFonts w:ascii="Times New Roman" w:hAnsi="宋体" w:hint="eastAsia"/>
          <w:b w:val="0"/>
          <w:sz w:val="24"/>
          <w:szCs w:val="24"/>
        </w:rPr>
        <w:t>元。</w:t>
      </w:r>
    </w:p>
    <w:p w:rsidR="003F03E7" w:rsidRPr="005B2DA3" w:rsidRDefault="003F03E7" w:rsidP="005B2DA3">
      <w:pPr>
        <w:pStyle w:val="a3"/>
        <w:spacing w:before="0" w:after="0" w:line="360" w:lineRule="auto"/>
        <w:ind w:firstLineChars="200" w:firstLine="480"/>
        <w:jc w:val="both"/>
        <w:rPr>
          <w:rFonts w:ascii="Times New Roman" w:hAnsi="宋体"/>
          <w:b w:val="0"/>
          <w:sz w:val="24"/>
          <w:szCs w:val="24"/>
        </w:rPr>
      </w:pPr>
      <w:r w:rsidRPr="005B2DA3">
        <w:rPr>
          <w:rFonts w:ascii="Times New Roman" w:hAnsi="宋体"/>
          <w:b w:val="0"/>
          <w:sz w:val="24"/>
          <w:szCs w:val="24"/>
        </w:rPr>
        <w:t>5</w:t>
      </w:r>
      <w:r w:rsidRPr="005B2DA3">
        <w:rPr>
          <w:rFonts w:ascii="Times New Roman" w:hAnsi="宋体" w:hint="eastAsia"/>
          <w:b w:val="0"/>
          <w:sz w:val="24"/>
          <w:szCs w:val="24"/>
        </w:rPr>
        <w:t>、投资目标：</w:t>
      </w:r>
      <w:r w:rsidR="006135EE" w:rsidRPr="006135EE">
        <w:rPr>
          <w:rFonts w:ascii="Times New Roman" w:hAnsi="宋体" w:hint="eastAsia"/>
          <w:b w:val="0"/>
          <w:sz w:val="24"/>
          <w:szCs w:val="24"/>
        </w:rPr>
        <w:t>本基金通过灵活应用多种量化策略，在充分控制基金财产风险和保证基金财产流动性的基础上，追求超越业绩比较基准的投资回报，力争实现基金财产的长期稳健增值。</w:t>
      </w:r>
    </w:p>
    <w:p w:rsidR="003F03E7" w:rsidRPr="005B2DA3" w:rsidRDefault="003F03E7" w:rsidP="005B2DA3">
      <w:pPr>
        <w:pStyle w:val="a3"/>
        <w:spacing w:before="0" w:after="0" w:line="360" w:lineRule="auto"/>
        <w:ind w:firstLineChars="200" w:firstLine="480"/>
        <w:jc w:val="both"/>
        <w:rPr>
          <w:rFonts w:ascii="Times New Roman" w:hAnsi="宋体"/>
          <w:b w:val="0"/>
          <w:sz w:val="24"/>
          <w:szCs w:val="24"/>
        </w:rPr>
      </w:pPr>
      <w:r w:rsidRPr="005B2DA3">
        <w:rPr>
          <w:rFonts w:ascii="Times New Roman" w:hAnsi="宋体"/>
          <w:b w:val="0"/>
          <w:sz w:val="24"/>
          <w:szCs w:val="24"/>
        </w:rPr>
        <w:t>6</w:t>
      </w:r>
      <w:r w:rsidRPr="005B2DA3">
        <w:rPr>
          <w:rFonts w:ascii="Times New Roman" w:hAnsi="宋体" w:hint="eastAsia"/>
          <w:b w:val="0"/>
          <w:sz w:val="24"/>
          <w:szCs w:val="24"/>
        </w:rPr>
        <w:t>、投资策略：</w:t>
      </w:r>
    </w:p>
    <w:p w:rsidR="0035302E" w:rsidRDefault="0035302E" w:rsidP="0035302E">
      <w:pPr>
        <w:pStyle w:val="a3"/>
        <w:spacing w:before="0" w:after="0" w:line="360" w:lineRule="auto"/>
        <w:ind w:firstLineChars="200" w:firstLine="480"/>
        <w:jc w:val="both"/>
        <w:rPr>
          <w:rFonts w:ascii="Times New Roman" w:hAnsi="宋体"/>
          <w:b w:val="0"/>
          <w:sz w:val="24"/>
          <w:szCs w:val="24"/>
        </w:rPr>
      </w:pPr>
      <w:r w:rsidRPr="0035302E">
        <w:rPr>
          <w:rFonts w:ascii="Times New Roman" w:hAnsi="宋体" w:hint="eastAsia"/>
          <w:b w:val="0"/>
          <w:sz w:val="24"/>
          <w:szCs w:val="24"/>
        </w:rPr>
        <w:t>本基金采用多因子选股策略为主，辅以事件驱动以及宏观择时等其他量化策略，力争实现稳定的绝对回报。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w:t>
      </w:r>
      <w:r w:rsidR="003F03E7" w:rsidRPr="005B2DA3">
        <w:rPr>
          <w:rFonts w:ascii="Times New Roman" w:hAnsi="宋体" w:hint="eastAsia"/>
          <w:b w:val="0"/>
          <w:sz w:val="24"/>
          <w:szCs w:val="24"/>
        </w:rPr>
        <w:t>1</w:t>
      </w:r>
      <w:r w:rsidR="003F03E7" w:rsidRPr="005B2DA3">
        <w:rPr>
          <w:rFonts w:ascii="Times New Roman" w:hAnsi="宋体" w:hint="eastAsia"/>
          <w:b w:val="0"/>
          <w:sz w:val="24"/>
          <w:szCs w:val="24"/>
        </w:rPr>
        <w:t>）多因子选股策略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该策略以对中国股票市场较长期的回测研究为基础，运用量化多因子模型框架，结合定性指标和定量指标，综合考虑上市公司基本经营状况和市场对股票的反应两大因素，通过计算市场上所有股票的管理质量、价值、成长变化、市场情绪以及行业特殊因素等量化因子，将计算结果组合成</w:t>
      </w:r>
      <w:r w:rsidRPr="0035302E">
        <w:rPr>
          <w:rFonts w:ascii="Times New Roman" w:hAnsi="宋体" w:hint="eastAsia"/>
          <w:b w:val="0"/>
          <w:sz w:val="24"/>
          <w:szCs w:val="24"/>
        </w:rPr>
        <w:t>alpha</w:t>
      </w:r>
      <w:r w:rsidRPr="0035302E">
        <w:rPr>
          <w:rFonts w:ascii="Times New Roman" w:hAnsi="宋体" w:hint="eastAsia"/>
          <w:b w:val="0"/>
          <w:sz w:val="24"/>
          <w:szCs w:val="24"/>
        </w:rPr>
        <w:t>模型，同时结合风险模型构建股票现货组合。基金经理根据市场状况及变化对各类信息的重要性做出具有一定前瞻性的判断，适时调整各因子类别的具体组成及权重。</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①基本面因子</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管理质量：利用计算横截面多种比率来判断上市公司的报表质量以及管理能力，例如衡量报表质量的应收应付因子，衡量管理能力的周转率、偿债能力、</w:t>
      </w:r>
      <w:r w:rsidRPr="0035302E">
        <w:rPr>
          <w:rFonts w:ascii="Times New Roman" w:hAnsi="宋体" w:hint="eastAsia"/>
          <w:b w:val="0"/>
          <w:sz w:val="24"/>
          <w:szCs w:val="24"/>
        </w:rPr>
        <w:t>ROA</w:t>
      </w:r>
      <w:r w:rsidRPr="0035302E">
        <w:rPr>
          <w:rFonts w:ascii="Times New Roman" w:hAnsi="宋体" w:hint="eastAsia"/>
          <w:b w:val="0"/>
          <w:sz w:val="24"/>
          <w:szCs w:val="24"/>
        </w:rPr>
        <w:t>和</w:t>
      </w:r>
      <w:r w:rsidRPr="0035302E">
        <w:rPr>
          <w:rFonts w:ascii="Times New Roman" w:hAnsi="宋体" w:hint="eastAsia"/>
          <w:b w:val="0"/>
          <w:sz w:val="24"/>
          <w:szCs w:val="24"/>
        </w:rPr>
        <w:t>ROE</w:t>
      </w:r>
      <w:r w:rsidRPr="0035302E">
        <w:rPr>
          <w:rFonts w:ascii="Times New Roman" w:hAnsi="宋体" w:hint="eastAsia"/>
          <w:b w:val="0"/>
          <w:sz w:val="24"/>
          <w:szCs w:val="24"/>
        </w:rPr>
        <w:t>等因子；</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成长变化：通过计算时间序列上各种比率的变化来衡量公司基本面的成长性；</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价值：判断公司的股票价格相对于它的内在价值是否合理。由于内在价值无法直接计算，我们通过计算全市场所有公司的利润、销售量、总资产等多种指标来综合间接反映公司的内在价值。</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②市场因子</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市场情绪：从技术面的动量、反转、枢轴突破等指标来衡量投资者情绪；</w:t>
      </w:r>
    </w:p>
    <w:p w:rsidR="00D27823" w:rsidRDefault="0035302E" w:rsidP="0035302E">
      <w:pPr>
        <w:pStyle w:val="a3"/>
        <w:spacing w:before="0" w:after="0" w:line="360" w:lineRule="auto"/>
        <w:ind w:firstLineChars="200" w:firstLine="480"/>
        <w:jc w:val="both"/>
        <w:rPr>
          <w:rFonts w:ascii="Times New Roman" w:hAnsi="宋体"/>
          <w:b w:val="0"/>
          <w:sz w:val="24"/>
          <w:szCs w:val="24"/>
        </w:rPr>
      </w:pPr>
      <w:r w:rsidRPr="0035302E">
        <w:rPr>
          <w:rFonts w:ascii="Times New Roman" w:hAnsi="宋体" w:hint="eastAsia"/>
          <w:b w:val="0"/>
          <w:sz w:val="24"/>
          <w:szCs w:val="24"/>
        </w:rPr>
        <w:t>分析师预测：通过扫描市场上分析师观点的变化来预测市场反应。</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w:t>
      </w:r>
      <w:r w:rsidR="003F03E7" w:rsidRPr="005B2DA3">
        <w:rPr>
          <w:rFonts w:ascii="Times New Roman" w:hAnsi="宋体" w:hint="eastAsia"/>
          <w:b w:val="0"/>
          <w:sz w:val="24"/>
          <w:szCs w:val="24"/>
        </w:rPr>
        <w:t>2</w:t>
      </w:r>
      <w:r w:rsidR="003F03E7" w:rsidRPr="005B2DA3">
        <w:rPr>
          <w:rFonts w:ascii="Times New Roman" w:hAnsi="宋体" w:hint="eastAsia"/>
          <w:b w:val="0"/>
          <w:sz w:val="24"/>
          <w:szCs w:val="24"/>
        </w:rPr>
        <w:t>）事件驱动策略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该策略通过对某些公司事件和市场事件的研究，分析事件对股价造成波动的方向，以赚取超额收益。此外，该策略还利用市场上存在的金融产品定价非有效性，实现套利收益。</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w:t>
      </w:r>
      <w:r w:rsidR="003F03E7" w:rsidRPr="005B2DA3">
        <w:rPr>
          <w:rFonts w:ascii="Times New Roman" w:hAnsi="宋体" w:hint="eastAsia"/>
          <w:b w:val="0"/>
          <w:sz w:val="24"/>
          <w:szCs w:val="24"/>
        </w:rPr>
        <w:t>3</w:t>
      </w:r>
      <w:r w:rsidR="003F03E7" w:rsidRPr="005B2DA3">
        <w:rPr>
          <w:rFonts w:ascii="Times New Roman" w:hAnsi="宋体" w:hint="eastAsia"/>
          <w:b w:val="0"/>
          <w:sz w:val="24"/>
          <w:szCs w:val="24"/>
        </w:rPr>
        <w:t>）宏观择时策略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该策略通过计算和跟踪多种宏观经济变量和市场变量，运用计量经济学方法对未来大盘走势进行预测。</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w:t>
      </w:r>
      <w:r>
        <w:rPr>
          <w:rFonts w:ascii="Times New Roman" w:hAnsi="宋体" w:hint="eastAsia"/>
          <w:b w:val="0"/>
          <w:sz w:val="24"/>
          <w:szCs w:val="24"/>
        </w:rPr>
        <w:t>4</w:t>
      </w:r>
      <w:r w:rsidR="003F03E7" w:rsidRPr="005B2DA3">
        <w:rPr>
          <w:rFonts w:ascii="Times New Roman" w:hAnsi="宋体" w:hint="eastAsia"/>
          <w:b w:val="0"/>
          <w:sz w:val="24"/>
          <w:szCs w:val="24"/>
        </w:rPr>
        <w:t>）其他投资策略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①债券投资策略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Pr="0035302E">
        <w:rPr>
          <w:rFonts w:ascii="Times New Roman" w:hAnsi="宋体" w:hint="eastAsia"/>
          <w:b w:val="0"/>
          <w:sz w:val="24"/>
          <w:szCs w:val="24"/>
        </w:rPr>
        <w:t>出于对流动性、有效利用基金财产的考虑，本基金适时对债券进行投资。通过深入分析宏观经济数据、货币政策和利率变化趋势等因素，制定久期控制下的投资策略，构造能够提供稳定收益的债券和货币市场工具组合。</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②金融衍生工具投资策略</w:t>
      </w:r>
      <w:r w:rsidR="003F03E7" w:rsidRPr="005B2DA3">
        <w:rPr>
          <w:rFonts w:ascii="Times New Roman" w:hAnsi="宋体" w:hint="eastAsia"/>
          <w:b w:val="0"/>
          <w:sz w:val="24"/>
          <w:szCs w:val="24"/>
        </w:rPr>
        <w:br/>
      </w:r>
      <w:r w:rsidR="003F03E7" w:rsidRPr="005B2DA3">
        <w:rPr>
          <w:rFonts w:ascii="Times New Roman" w:hAnsi="宋体" w:hint="eastAsia"/>
          <w:b w:val="0"/>
          <w:sz w:val="24"/>
          <w:szCs w:val="24"/>
        </w:rPr>
        <w:t>  </w:t>
      </w:r>
      <w:r w:rsidR="00AC4B68" w:rsidRPr="00AC4B68">
        <w:rPr>
          <w:rFonts w:ascii="Times New Roman" w:hAnsi="宋体" w:hint="eastAsia"/>
          <w:b w:val="0"/>
          <w:sz w:val="24"/>
          <w:szCs w:val="24"/>
        </w:rPr>
        <w:t>在法律法规允许的范围内，本基金可基于谨慎原则运用权证、股票指数期货等相关金融衍生工具对基金投资组合进行管理，以控制投资组合风险、提高投资效率，从而更好地实现本基金的投资目标。</w:t>
      </w:r>
    </w:p>
    <w:p w:rsidR="00C469D7" w:rsidRDefault="00C469D7" w:rsidP="00C469D7">
      <w:pPr>
        <w:pStyle w:val="a3"/>
        <w:spacing w:before="0" w:after="0" w:line="360" w:lineRule="auto"/>
        <w:ind w:firstLineChars="200" w:firstLine="480"/>
        <w:jc w:val="both"/>
        <w:rPr>
          <w:rFonts w:ascii="Times New Roman" w:hAnsi="宋体"/>
          <w:b w:val="0"/>
          <w:sz w:val="24"/>
          <w:szCs w:val="24"/>
        </w:rPr>
      </w:pPr>
      <w:r w:rsidRPr="00C469D7">
        <w:rPr>
          <w:rFonts w:ascii="Times New Roman" w:hAnsi="宋体" w:hint="eastAsia"/>
          <w:b w:val="0"/>
          <w:sz w:val="24"/>
          <w:szCs w:val="24"/>
        </w:rPr>
        <w:t>7</w:t>
      </w:r>
      <w:r w:rsidRPr="00C469D7">
        <w:rPr>
          <w:rFonts w:ascii="Times New Roman" w:hAnsi="宋体" w:hint="eastAsia"/>
          <w:b w:val="0"/>
          <w:sz w:val="24"/>
          <w:szCs w:val="24"/>
        </w:rPr>
        <w:t>、</w:t>
      </w:r>
      <w:r w:rsidRPr="00C469D7">
        <w:rPr>
          <w:rFonts w:ascii="Times New Roman" w:hAnsi="宋体"/>
          <w:b w:val="0"/>
          <w:sz w:val="24"/>
          <w:szCs w:val="24"/>
        </w:rPr>
        <w:t>业绩比较基准</w:t>
      </w:r>
      <w:r>
        <w:rPr>
          <w:rFonts w:ascii="Times New Roman" w:hAnsi="宋体" w:hint="eastAsia"/>
          <w:b w:val="0"/>
          <w:sz w:val="24"/>
          <w:szCs w:val="24"/>
        </w:rPr>
        <w:t>：</w:t>
      </w:r>
      <w:r w:rsidR="00AC4B68" w:rsidRPr="00AC4B68">
        <w:rPr>
          <w:rFonts w:ascii="Times New Roman" w:hAnsi="宋体" w:hint="eastAsia"/>
          <w:b w:val="0"/>
          <w:sz w:val="24"/>
          <w:szCs w:val="24"/>
        </w:rPr>
        <w:t>95%*</w:t>
      </w:r>
      <w:r w:rsidR="00AC4B68" w:rsidRPr="00AC4B68">
        <w:rPr>
          <w:rFonts w:ascii="Times New Roman" w:hAnsi="宋体" w:hint="eastAsia"/>
          <w:b w:val="0"/>
          <w:sz w:val="24"/>
          <w:szCs w:val="24"/>
        </w:rPr>
        <w:t>沪深</w:t>
      </w:r>
      <w:r w:rsidR="00AC4B68" w:rsidRPr="00AC4B68">
        <w:rPr>
          <w:rFonts w:ascii="Times New Roman" w:hAnsi="宋体" w:hint="eastAsia"/>
          <w:b w:val="0"/>
          <w:sz w:val="24"/>
          <w:szCs w:val="24"/>
        </w:rPr>
        <w:t>300</w:t>
      </w:r>
      <w:r w:rsidR="00AC4B68" w:rsidRPr="00AC4B68">
        <w:rPr>
          <w:rFonts w:ascii="Times New Roman" w:hAnsi="宋体" w:hint="eastAsia"/>
          <w:b w:val="0"/>
          <w:sz w:val="24"/>
          <w:szCs w:val="24"/>
        </w:rPr>
        <w:t>指数收益率</w:t>
      </w:r>
      <w:r w:rsidR="00AC4B68" w:rsidRPr="00AC4B68">
        <w:rPr>
          <w:rFonts w:ascii="Times New Roman" w:hAnsi="宋体" w:hint="eastAsia"/>
          <w:b w:val="0"/>
          <w:sz w:val="24"/>
          <w:szCs w:val="24"/>
        </w:rPr>
        <w:t>+5%*</w:t>
      </w:r>
      <w:r w:rsidR="00AC4B68" w:rsidRPr="00AC4B68">
        <w:rPr>
          <w:rFonts w:ascii="Times New Roman" w:hAnsi="宋体" w:hint="eastAsia"/>
          <w:b w:val="0"/>
          <w:sz w:val="24"/>
          <w:szCs w:val="24"/>
        </w:rPr>
        <w:t>银行活期存款利率（税后）</w:t>
      </w:r>
    </w:p>
    <w:p w:rsidR="00C469D7" w:rsidRDefault="00C469D7" w:rsidP="00C469D7">
      <w:pPr>
        <w:pStyle w:val="a3"/>
        <w:spacing w:before="0" w:after="0" w:line="360" w:lineRule="auto"/>
        <w:ind w:firstLineChars="200" w:firstLine="480"/>
        <w:jc w:val="both"/>
        <w:rPr>
          <w:rFonts w:ascii="Times New Roman" w:hAnsi="宋体"/>
          <w:b w:val="0"/>
          <w:sz w:val="24"/>
          <w:szCs w:val="24"/>
        </w:rPr>
      </w:pPr>
      <w:r w:rsidRPr="00C469D7">
        <w:rPr>
          <w:rFonts w:ascii="Times New Roman" w:hAnsi="宋体" w:hint="eastAsia"/>
          <w:b w:val="0"/>
          <w:sz w:val="24"/>
          <w:szCs w:val="24"/>
        </w:rPr>
        <w:t>8</w:t>
      </w:r>
      <w:r w:rsidRPr="00C469D7">
        <w:rPr>
          <w:rFonts w:ascii="Times New Roman" w:hAnsi="宋体" w:hint="eastAsia"/>
          <w:b w:val="0"/>
          <w:sz w:val="24"/>
          <w:szCs w:val="24"/>
        </w:rPr>
        <w:t>、风险收益特征</w:t>
      </w:r>
      <w:r w:rsidR="004555F3" w:rsidRPr="00553DB5">
        <w:rPr>
          <w:rFonts w:ascii="Times New Roman" w:hAnsi="宋体" w:hint="eastAsia"/>
          <w:b w:val="0"/>
          <w:sz w:val="24"/>
          <w:szCs w:val="24"/>
        </w:rPr>
        <w:t>：本基金为混合型基金，其预期风险与收益高于债券型基金</w:t>
      </w:r>
      <w:r w:rsidR="00630C54">
        <w:rPr>
          <w:rFonts w:ascii="Times New Roman" w:hAnsi="宋体" w:hint="eastAsia"/>
          <w:b w:val="0"/>
          <w:sz w:val="24"/>
          <w:szCs w:val="24"/>
        </w:rPr>
        <w:t>与</w:t>
      </w:r>
      <w:r w:rsidR="004555F3" w:rsidRPr="00553DB5">
        <w:rPr>
          <w:rFonts w:ascii="Times New Roman" w:hAnsi="宋体"/>
          <w:b w:val="0"/>
          <w:sz w:val="24"/>
          <w:szCs w:val="24"/>
        </w:rPr>
        <w:t>货币市场基金</w:t>
      </w:r>
      <w:r w:rsidR="004555F3" w:rsidRPr="00553DB5">
        <w:rPr>
          <w:rFonts w:ascii="Times New Roman" w:hAnsi="宋体" w:hint="eastAsia"/>
          <w:b w:val="0"/>
          <w:sz w:val="24"/>
          <w:szCs w:val="24"/>
        </w:rPr>
        <w:t>，低于</w:t>
      </w:r>
      <w:r w:rsidR="00AC4B68" w:rsidRPr="00553DB5">
        <w:rPr>
          <w:rFonts w:ascii="Times New Roman" w:hAnsi="宋体" w:hint="eastAsia"/>
          <w:b w:val="0"/>
          <w:sz w:val="24"/>
          <w:szCs w:val="24"/>
        </w:rPr>
        <w:t>股票型基金。</w:t>
      </w:r>
    </w:p>
    <w:p w:rsidR="00C469D7" w:rsidRPr="00C469D7" w:rsidRDefault="00C469D7" w:rsidP="00C469D7">
      <w:pPr>
        <w:pStyle w:val="a3"/>
        <w:spacing w:before="0" w:after="0" w:line="360" w:lineRule="auto"/>
        <w:ind w:firstLineChars="200" w:firstLine="480"/>
        <w:jc w:val="both"/>
        <w:rPr>
          <w:rFonts w:ascii="Times New Roman" w:hAnsi="宋体"/>
          <w:b w:val="0"/>
          <w:sz w:val="24"/>
          <w:szCs w:val="24"/>
        </w:rPr>
      </w:pPr>
      <w:r w:rsidRPr="00C469D7">
        <w:rPr>
          <w:rFonts w:ascii="Times New Roman" w:hAnsi="宋体" w:hint="eastAsia"/>
          <w:b w:val="0"/>
          <w:sz w:val="24"/>
          <w:szCs w:val="24"/>
        </w:rPr>
        <w:t>9</w:t>
      </w:r>
      <w:r w:rsidRPr="00C469D7">
        <w:rPr>
          <w:rFonts w:ascii="Times New Roman" w:hAnsi="宋体" w:hint="eastAsia"/>
          <w:b w:val="0"/>
          <w:sz w:val="24"/>
          <w:szCs w:val="24"/>
        </w:rPr>
        <w:t>、基金管理人：</w:t>
      </w:r>
      <w:r>
        <w:rPr>
          <w:rFonts w:ascii="Times New Roman" w:hAnsi="宋体" w:hint="eastAsia"/>
          <w:b w:val="0"/>
          <w:sz w:val="24"/>
          <w:szCs w:val="24"/>
        </w:rPr>
        <w:t>永赢</w:t>
      </w:r>
      <w:r w:rsidRPr="00C469D7">
        <w:rPr>
          <w:rFonts w:ascii="Times New Roman" w:hAnsi="宋体" w:hint="eastAsia"/>
          <w:b w:val="0"/>
          <w:sz w:val="24"/>
          <w:szCs w:val="24"/>
        </w:rPr>
        <w:t>基金管理有限公司</w:t>
      </w:r>
    </w:p>
    <w:p w:rsidR="00C469D7" w:rsidRPr="00C469D7" w:rsidRDefault="00C469D7" w:rsidP="00C469D7">
      <w:pPr>
        <w:pStyle w:val="a3"/>
        <w:spacing w:before="0" w:after="0" w:line="360" w:lineRule="auto"/>
        <w:ind w:firstLineChars="200" w:firstLine="480"/>
        <w:jc w:val="both"/>
        <w:rPr>
          <w:rFonts w:ascii="Times New Roman" w:hAnsi="宋体"/>
          <w:b w:val="0"/>
          <w:sz w:val="24"/>
          <w:szCs w:val="24"/>
        </w:rPr>
      </w:pPr>
      <w:r w:rsidRPr="00C469D7">
        <w:rPr>
          <w:rFonts w:ascii="Times New Roman" w:hAnsi="宋体" w:hint="eastAsia"/>
          <w:b w:val="0"/>
          <w:sz w:val="24"/>
          <w:szCs w:val="24"/>
        </w:rPr>
        <w:t>10</w:t>
      </w:r>
      <w:r w:rsidR="00C83EFD">
        <w:rPr>
          <w:rFonts w:ascii="Times New Roman" w:hAnsi="宋体" w:hint="eastAsia"/>
          <w:b w:val="0"/>
          <w:sz w:val="24"/>
          <w:szCs w:val="24"/>
        </w:rPr>
        <w:t>、</w:t>
      </w:r>
      <w:r w:rsidRPr="00C469D7">
        <w:rPr>
          <w:rFonts w:ascii="Times New Roman" w:hAnsi="宋体" w:hint="eastAsia"/>
          <w:b w:val="0"/>
          <w:sz w:val="24"/>
          <w:szCs w:val="24"/>
        </w:rPr>
        <w:t>基金托管人：</w:t>
      </w:r>
      <w:r w:rsidR="00AC4B68">
        <w:rPr>
          <w:rFonts w:ascii="Times New Roman" w:hAnsi="宋体" w:hint="eastAsia"/>
          <w:b w:val="0"/>
          <w:sz w:val="24"/>
          <w:szCs w:val="24"/>
        </w:rPr>
        <w:t>华泰</w:t>
      </w:r>
      <w:r>
        <w:rPr>
          <w:rFonts w:ascii="Times New Roman" w:hAnsi="宋体" w:hint="eastAsia"/>
          <w:b w:val="0"/>
          <w:sz w:val="24"/>
          <w:szCs w:val="24"/>
        </w:rPr>
        <w:t>证券</w:t>
      </w:r>
      <w:r w:rsidRPr="00C469D7">
        <w:rPr>
          <w:rFonts w:ascii="Times New Roman" w:hAnsi="宋体" w:hint="eastAsia"/>
          <w:b w:val="0"/>
          <w:sz w:val="24"/>
          <w:szCs w:val="24"/>
        </w:rPr>
        <w:t>股份有限公司</w:t>
      </w:r>
    </w:p>
    <w:p w:rsidR="00C469D7" w:rsidRDefault="00C469D7" w:rsidP="00C469D7">
      <w:pPr>
        <w:pStyle w:val="a3"/>
        <w:spacing w:before="0" w:after="0" w:line="360" w:lineRule="auto"/>
        <w:ind w:firstLineChars="200" w:firstLine="480"/>
        <w:jc w:val="both"/>
        <w:rPr>
          <w:rFonts w:ascii="Times New Roman" w:hAnsi="宋体"/>
          <w:b w:val="0"/>
          <w:sz w:val="24"/>
          <w:szCs w:val="24"/>
        </w:rPr>
      </w:pPr>
    </w:p>
    <w:p w:rsidR="00A969BA" w:rsidRDefault="00A969BA" w:rsidP="00A969BA"/>
    <w:p w:rsidR="00A969BA" w:rsidRDefault="00A969BA" w:rsidP="00A969BA"/>
    <w:p w:rsidR="00A969BA" w:rsidRPr="00A969BA" w:rsidRDefault="00A969BA" w:rsidP="00A969BA"/>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6576C9" w:rsidRDefault="006576C9" w:rsidP="00FD10F7">
      <w:pPr>
        <w:rPr>
          <w:rFonts w:ascii="Times New Roman" w:eastAsia="宋体" w:hAnsi="宋体" w:cs="Times New Roman"/>
          <w:b/>
          <w:bCs/>
          <w:sz w:val="28"/>
          <w:szCs w:val="28"/>
        </w:rPr>
      </w:pPr>
    </w:p>
    <w:p w:rsidR="0002371E" w:rsidRDefault="0002371E" w:rsidP="00FD10F7">
      <w:pPr>
        <w:rPr>
          <w:rFonts w:ascii="Times New Roman" w:eastAsia="宋体" w:hAnsi="宋体" w:cs="Times New Roman"/>
          <w:b/>
          <w:bCs/>
          <w:sz w:val="28"/>
          <w:szCs w:val="28"/>
        </w:rPr>
      </w:pPr>
    </w:p>
    <w:p w:rsidR="00D27823" w:rsidRPr="00C20FCE" w:rsidRDefault="003C6CED" w:rsidP="00FD10F7">
      <w:pPr>
        <w:rPr>
          <w:rFonts w:ascii="Times New Roman" w:eastAsia="宋体" w:hAnsi="宋体" w:cs="Times New Roman"/>
          <w:b/>
          <w:bCs/>
          <w:sz w:val="28"/>
          <w:szCs w:val="28"/>
        </w:rPr>
      </w:pPr>
      <w:r w:rsidRPr="00C20FCE">
        <w:rPr>
          <w:rFonts w:ascii="Times New Roman" w:eastAsia="宋体" w:hAnsi="宋体" w:cs="Times New Roman" w:hint="eastAsia"/>
          <w:b/>
          <w:bCs/>
          <w:sz w:val="28"/>
          <w:szCs w:val="28"/>
        </w:rPr>
        <w:t>三、</w:t>
      </w:r>
      <w:r w:rsidRPr="00C20FCE">
        <w:rPr>
          <w:rFonts w:ascii="Times New Roman" w:eastAsia="宋体" w:hAnsi="宋体" w:cs="Times New Roman"/>
          <w:b/>
          <w:bCs/>
          <w:sz w:val="28"/>
          <w:szCs w:val="28"/>
        </w:rPr>
        <w:t>财务会计报告</w:t>
      </w:r>
    </w:p>
    <w:p w:rsidR="003C6CED" w:rsidRPr="00423FFC" w:rsidRDefault="003C6CED" w:rsidP="00423FFC">
      <w:pPr>
        <w:rPr>
          <w:sz w:val="24"/>
          <w:szCs w:val="24"/>
        </w:rPr>
      </w:pPr>
    </w:p>
    <w:p w:rsidR="003C6CED" w:rsidRDefault="003C6CED" w:rsidP="00FD10F7">
      <w:pPr>
        <w:rPr>
          <w:rFonts w:ascii="Times New Roman" w:eastAsia="宋体" w:hAnsi="宋体" w:cs="Times New Roman"/>
          <w:bCs/>
          <w:sz w:val="24"/>
          <w:szCs w:val="24"/>
        </w:rPr>
      </w:pPr>
      <w:r>
        <w:rPr>
          <w:rFonts w:ascii="Times New Roman" w:eastAsia="宋体" w:hAnsi="宋体" w:cs="Times New Roman" w:hint="eastAsia"/>
          <w:bCs/>
          <w:sz w:val="24"/>
          <w:szCs w:val="24"/>
        </w:rPr>
        <w:t>资产</w:t>
      </w:r>
      <w:r>
        <w:rPr>
          <w:rFonts w:ascii="Times New Roman" w:eastAsia="宋体" w:hAnsi="宋体" w:cs="Times New Roman"/>
          <w:bCs/>
          <w:sz w:val="24"/>
          <w:szCs w:val="24"/>
        </w:rPr>
        <w:t>负债表（</w:t>
      </w:r>
      <w:r>
        <w:rPr>
          <w:rFonts w:ascii="Times New Roman" w:eastAsia="宋体" w:hAnsi="宋体" w:cs="Times New Roman" w:hint="eastAsia"/>
          <w:bCs/>
          <w:sz w:val="24"/>
          <w:szCs w:val="24"/>
        </w:rPr>
        <w:t>经</w:t>
      </w:r>
      <w:r>
        <w:rPr>
          <w:rFonts w:ascii="Times New Roman" w:eastAsia="宋体" w:hAnsi="宋体" w:cs="Times New Roman"/>
          <w:bCs/>
          <w:sz w:val="24"/>
          <w:szCs w:val="24"/>
        </w:rPr>
        <w:t>审计）</w:t>
      </w:r>
    </w:p>
    <w:p w:rsidR="003C6CED" w:rsidRDefault="003C6CED" w:rsidP="00FD10F7">
      <w:pPr>
        <w:rPr>
          <w:rFonts w:ascii="Times New Roman" w:eastAsia="宋体" w:hAnsi="宋体" w:cs="Times New Roman"/>
          <w:bCs/>
          <w:sz w:val="24"/>
          <w:szCs w:val="24"/>
        </w:rPr>
      </w:pPr>
      <w:r>
        <w:rPr>
          <w:rFonts w:ascii="Times New Roman" w:eastAsia="宋体" w:hAnsi="宋体" w:cs="Times New Roman" w:hint="eastAsia"/>
          <w:bCs/>
          <w:sz w:val="24"/>
          <w:szCs w:val="24"/>
        </w:rPr>
        <w:t>会计</w:t>
      </w:r>
      <w:r>
        <w:rPr>
          <w:rFonts w:ascii="Times New Roman" w:eastAsia="宋体" w:hAnsi="宋体" w:cs="Times New Roman"/>
          <w:bCs/>
          <w:sz w:val="24"/>
          <w:szCs w:val="24"/>
        </w:rPr>
        <w:t>主体：</w:t>
      </w:r>
      <w:r w:rsidRPr="003C6CED">
        <w:rPr>
          <w:rFonts w:ascii="Times New Roman" w:eastAsia="宋体" w:hAnsi="宋体" w:cs="Times New Roman" w:hint="eastAsia"/>
          <w:bCs/>
          <w:sz w:val="24"/>
          <w:szCs w:val="24"/>
        </w:rPr>
        <w:t>永赢量化</w:t>
      </w:r>
      <w:r w:rsidR="00AC4B68">
        <w:rPr>
          <w:rFonts w:ascii="Times New Roman" w:eastAsia="宋体" w:hAnsi="宋体" w:cs="Times New Roman" w:hint="eastAsia"/>
          <w:bCs/>
          <w:sz w:val="24"/>
          <w:szCs w:val="24"/>
        </w:rPr>
        <w:t>灵活配置</w:t>
      </w:r>
      <w:r w:rsidRPr="003C6CED">
        <w:rPr>
          <w:rFonts w:ascii="Times New Roman" w:eastAsia="宋体" w:hAnsi="宋体" w:cs="Times New Roman" w:hint="eastAsia"/>
          <w:bCs/>
          <w:sz w:val="24"/>
          <w:szCs w:val="24"/>
        </w:rPr>
        <w:t>混合型发起式证券投资基金</w:t>
      </w:r>
    </w:p>
    <w:p w:rsidR="00C253BC" w:rsidRDefault="00C253BC" w:rsidP="00FD10F7">
      <w:pPr>
        <w:rPr>
          <w:rFonts w:ascii="Times New Roman" w:eastAsia="宋体" w:hAnsi="宋体" w:cs="Times New Roman"/>
          <w:bCs/>
          <w:sz w:val="24"/>
          <w:szCs w:val="24"/>
        </w:rPr>
      </w:pPr>
    </w:p>
    <w:p w:rsidR="003C6CED" w:rsidRPr="006545AC" w:rsidRDefault="00C253BC" w:rsidP="00220355">
      <w:pPr>
        <w:spacing w:line="360" w:lineRule="auto"/>
        <w:jc w:val="right"/>
        <w:rPr>
          <w:rFonts w:ascii="黑体" w:eastAsia="黑体" w:hAnsi="黑体"/>
          <w:sz w:val="22"/>
        </w:rPr>
      </w:pPr>
      <w:r w:rsidRPr="006545AC">
        <w:rPr>
          <w:rFonts w:ascii="黑体" w:eastAsia="黑体" w:hAnsi="黑体" w:hint="eastAsia"/>
          <w:sz w:val="22"/>
        </w:rPr>
        <w:t>单位：人民币元</w:t>
      </w:r>
    </w:p>
    <w:tbl>
      <w:tblPr>
        <w:tblW w:w="9214" w:type="dxa"/>
        <w:tblInd w:w="5" w:type="dxa"/>
        <w:tblLayout w:type="fixed"/>
        <w:tblCellMar>
          <w:left w:w="0" w:type="dxa"/>
          <w:right w:w="0" w:type="dxa"/>
        </w:tblCellMar>
        <w:tblLook w:val="0000"/>
      </w:tblPr>
      <w:tblGrid>
        <w:gridCol w:w="3544"/>
        <w:gridCol w:w="5670"/>
      </w:tblGrid>
      <w:tr w:rsidR="00B44BE1" w:rsidTr="006545AC">
        <w:trPr>
          <w:trHeight w:hRule="exact" w:val="644"/>
        </w:trPr>
        <w:tc>
          <w:tcPr>
            <w:tcW w:w="3544" w:type="dxa"/>
            <w:tcBorders>
              <w:top w:val="single" w:sz="4" w:space="0" w:color="000000"/>
              <w:left w:val="single" w:sz="4" w:space="0" w:color="000000"/>
              <w:bottom w:val="single" w:sz="4" w:space="0" w:color="000000"/>
              <w:right w:val="single" w:sz="4" w:space="0" w:color="000000"/>
            </w:tcBorders>
          </w:tcPr>
          <w:p w:rsidR="00B44BE1" w:rsidRDefault="00B44BE1" w:rsidP="0078342A">
            <w:pPr>
              <w:autoSpaceDE w:val="0"/>
              <w:autoSpaceDN w:val="0"/>
              <w:adjustRightInd w:val="0"/>
              <w:jc w:val="left"/>
              <w:rPr>
                <w:rFonts w:ascii="Times New Roman" w:hAnsi="Times New Roman" w:cs="Times New Roman"/>
                <w:kern w:val="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44BE1" w:rsidRPr="003C6CED" w:rsidRDefault="00B44BE1" w:rsidP="003C6CED">
            <w:pPr>
              <w:ind w:right="110"/>
              <w:jc w:val="right"/>
              <w:rPr>
                <w:rFonts w:ascii="黑体" w:eastAsia="黑体" w:hAnsi="黑体" w:cs="宋体"/>
                <w:color w:val="000000"/>
                <w:kern w:val="0"/>
                <w:sz w:val="22"/>
              </w:rPr>
            </w:pPr>
            <w:r w:rsidRPr="003C6CED">
              <w:rPr>
                <w:rFonts w:ascii="黑体" w:eastAsia="黑体" w:hAnsi="黑体" w:cs="宋体" w:hint="eastAsia"/>
                <w:color w:val="000000"/>
                <w:kern w:val="0"/>
                <w:sz w:val="22"/>
              </w:rPr>
              <w:t>最后运作日</w:t>
            </w:r>
          </w:p>
          <w:p w:rsidR="00B44BE1" w:rsidRDefault="00B44BE1" w:rsidP="003C6CED">
            <w:pPr>
              <w:ind w:right="110"/>
              <w:jc w:val="right"/>
              <w:rPr>
                <w:rFonts w:ascii="Times New Roman" w:hAnsi="Times New Roman" w:cs="Times New Roman"/>
                <w:kern w:val="0"/>
                <w:sz w:val="24"/>
                <w:szCs w:val="24"/>
              </w:rPr>
            </w:pPr>
            <w:r w:rsidRPr="003C6CED">
              <w:rPr>
                <w:rFonts w:ascii="黑体" w:eastAsia="黑体" w:hAnsi="黑体" w:cs="宋体"/>
                <w:color w:val="000000"/>
                <w:kern w:val="0"/>
                <w:sz w:val="22"/>
              </w:rPr>
              <w:t xml:space="preserve">2018 </w:t>
            </w:r>
            <w:r w:rsidRPr="003C6CED">
              <w:rPr>
                <w:rFonts w:ascii="黑体" w:eastAsia="黑体" w:hAnsi="黑体" w:cs="宋体" w:hint="eastAsia"/>
                <w:color w:val="000000"/>
                <w:kern w:val="0"/>
                <w:sz w:val="22"/>
              </w:rPr>
              <w:t xml:space="preserve">年 </w:t>
            </w:r>
            <w:r w:rsidR="00AC4B68">
              <w:rPr>
                <w:rFonts w:ascii="黑体" w:eastAsia="黑体" w:hAnsi="黑体" w:cs="宋体" w:hint="eastAsia"/>
                <w:color w:val="000000"/>
                <w:kern w:val="0"/>
                <w:sz w:val="22"/>
              </w:rPr>
              <w:t>9</w:t>
            </w:r>
            <w:r w:rsidRPr="003C6CED">
              <w:rPr>
                <w:rFonts w:ascii="黑体" w:eastAsia="黑体" w:hAnsi="黑体" w:cs="宋体" w:hint="eastAsia"/>
                <w:color w:val="000000"/>
                <w:kern w:val="0"/>
                <w:sz w:val="22"/>
              </w:rPr>
              <w:t>月</w:t>
            </w:r>
            <w:r w:rsidR="00AC4B68">
              <w:rPr>
                <w:rFonts w:ascii="黑体" w:eastAsia="黑体" w:hAnsi="黑体" w:cs="宋体" w:hint="eastAsia"/>
                <w:color w:val="000000"/>
                <w:kern w:val="0"/>
                <w:sz w:val="22"/>
              </w:rPr>
              <w:t>3</w:t>
            </w:r>
            <w:r w:rsidRPr="003C6CED">
              <w:rPr>
                <w:rFonts w:ascii="黑体" w:eastAsia="黑体" w:hAnsi="黑体" w:cs="宋体" w:hint="eastAsia"/>
                <w:color w:val="000000"/>
                <w:kern w:val="0"/>
                <w:sz w:val="22"/>
              </w:rPr>
              <w:t>日</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b/>
                <w:sz w:val="22"/>
                <w:szCs w:val="22"/>
              </w:rPr>
            </w:pPr>
            <w:r w:rsidRPr="00007AB5">
              <w:rPr>
                <w:rFonts w:ascii="黑体" w:eastAsia="黑体" w:hAnsi="黑体" w:hint="eastAsia"/>
                <w:b/>
                <w:sz w:val="22"/>
                <w:szCs w:val="22"/>
              </w:rPr>
              <w:t>资 产：</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007AB5" w:rsidRDefault="00B44BE1" w:rsidP="003C6CED">
            <w:pPr>
              <w:pStyle w:val="a4"/>
              <w:jc w:val="right"/>
              <w:rPr>
                <w:rFonts w:ascii="黑体" w:eastAsia="黑体" w:hAnsi="黑体"/>
                <w:sz w:val="22"/>
                <w:szCs w:val="22"/>
              </w:rPr>
            </w:pP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银行存款</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2856C1" w:rsidRDefault="00C83EFD" w:rsidP="003C6CED">
            <w:pPr>
              <w:ind w:right="110"/>
              <w:jc w:val="right"/>
              <w:rPr>
                <w:rFonts w:ascii="黑体" w:eastAsia="黑体" w:hAnsi="黑体" w:cs="宋体"/>
                <w:color w:val="000000"/>
                <w:kern w:val="0"/>
                <w:sz w:val="22"/>
              </w:rPr>
            </w:pPr>
            <w:r>
              <w:rPr>
                <w:rFonts w:ascii="黑体" w:eastAsia="黑体" w:hAnsi="黑体" w:cs="宋体" w:hint="eastAsia"/>
                <w:color w:val="000000"/>
                <w:kern w:val="0"/>
                <w:sz w:val="22"/>
              </w:rPr>
              <w:t>34,228,321.93</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6C3B0B">
              <w:rPr>
                <w:rFonts w:ascii="黑体" w:eastAsia="黑体" w:hAnsi="黑体" w:hint="eastAsia"/>
                <w:sz w:val="22"/>
                <w:szCs w:val="22"/>
              </w:rPr>
              <w:t>结算备付金</w:t>
            </w:r>
          </w:p>
        </w:tc>
        <w:tc>
          <w:tcPr>
            <w:tcW w:w="5670" w:type="dxa"/>
            <w:tcBorders>
              <w:top w:val="single" w:sz="4" w:space="0" w:color="000000"/>
              <w:left w:val="single" w:sz="4" w:space="0" w:color="000000"/>
              <w:bottom w:val="single" w:sz="4" w:space="0" w:color="000000"/>
              <w:right w:val="single" w:sz="4" w:space="0" w:color="000000"/>
            </w:tcBorders>
          </w:tcPr>
          <w:p w:rsidR="00B44BE1" w:rsidRPr="006C3B0B" w:rsidRDefault="00C83EFD" w:rsidP="003C6CED">
            <w:pPr>
              <w:ind w:right="110"/>
              <w:jc w:val="right"/>
              <w:rPr>
                <w:rFonts w:ascii="黑体" w:eastAsia="黑体" w:hAnsi="黑体" w:cs="宋体"/>
                <w:color w:val="000000"/>
                <w:kern w:val="0"/>
                <w:sz w:val="22"/>
              </w:rPr>
            </w:pPr>
            <w:r>
              <w:rPr>
                <w:rFonts w:ascii="黑体" w:eastAsia="黑体" w:hAnsi="黑体" w:cs="宋体" w:hint="eastAsia"/>
                <w:color w:val="000000"/>
                <w:kern w:val="0"/>
                <w:sz w:val="22"/>
              </w:rPr>
              <w:t>608,345.92</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color w:val="000000"/>
                <w:sz w:val="22"/>
                <w:szCs w:val="22"/>
              </w:rPr>
            </w:pPr>
            <w:r>
              <w:rPr>
                <w:rFonts w:ascii="黑体" w:eastAsia="黑体" w:hAnsi="黑体" w:hint="eastAsia"/>
                <w:color w:val="000000"/>
                <w:sz w:val="22"/>
                <w:szCs w:val="22"/>
              </w:rPr>
              <w:t>存出保证金</w:t>
            </w:r>
          </w:p>
        </w:tc>
        <w:tc>
          <w:tcPr>
            <w:tcW w:w="5670" w:type="dxa"/>
            <w:tcBorders>
              <w:top w:val="single" w:sz="4" w:space="0" w:color="000000"/>
              <w:left w:val="single" w:sz="4" w:space="0" w:color="000000"/>
              <w:bottom w:val="single" w:sz="4" w:space="0" w:color="000000"/>
              <w:right w:val="single" w:sz="4" w:space="0" w:color="000000"/>
            </w:tcBorders>
          </w:tcPr>
          <w:p w:rsidR="00B44BE1" w:rsidRPr="002856C1" w:rsidRDefault="00C83EFD" w:rsidP="003C6CED">
            <w:pPr>
              <w:ind w:right="110"/>
              <w:jc w:val="right"/>
              <w:rPr>
                <w:rFonts w:ascii="黑体" w:eastAsia="黑体" w:hAnsi="黑体" w:cs="宋体"/>
                <w:color w:val="000000"/>
                <w:kern w:val="0"/>
                <w:sz w:val="22"/>
              </w:rPr>
            </w:pPr>
            <w:r>
              <w:rPr>
                <w:rFonts w:ascii="黑体" w:eastAsia="黑体" w:hAnsi="黑体" w:cs="宋体" w:hint="eastAsia"/>
                <w:color w:val="000000"/>
                <w:kern w:val="0"/>
                <w:sz w:val="22"/>
              </w:rPr>
              <w:t>104,564.79</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应收利息</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007AB5" w:rsidRDefault="00600C28" w:rsidP="003C6CED">
            <w:pPr>
              <w:pStyle w:val="a4"/>
              <w:ind w:right="110"/>
              <w:jc w:val="right"/>
              <w:rPr>
                <w:rFonts w:ascii="黑体" w:eastAsia="黑体" w:hAnsi="黑体"/>
                <w:sz w:val="22"/>
                <w:szCs w:val="22"/>
                <w:highlight w:val="yellow"/>
              </w:rPr>
            </w:pPr>
            <w:r w:rsidRPr="00600C28">
              <w:rPr>
                <w:rFonts w:ascii="黑体" w:eastAsia="黑体" w:hAnsi="黑体" w:hint="eastAsia"/>
                <w:sz w:val="22"/>
                <w:szCs w:val="22"/>
              </w:rPr>
              <w:t>21,054.11</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资产总计</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007AB5" w:rsidRDefault="00600C28" w:rsidP="003C6CED">
            <w:pPr>
              <w:pStyle w:val="a4"/>
              <w:ind w:right="110"/>
              <w:jc w:val="right"/>
              <w:rPr>
                <w:rFonts w:ascii="黑体" w:eastAsia="黑体" w:hAnsi="黑体"/>
                <w:sz w:val="22"/>
                <w:szCs w:val="22"/>
                <w:highlight w:val="yellow"/>
              </w:rPr>
            </w:pPr>
            <w:r w:rsidRPr="00600C28">
              <w:rPr>
                <w:rFonts w:ascii="黑体" w:eastAsia="黑体" w:hAnsi="黑体" w:hint="eastAsia"/>
                <w:sz w:val="22"/>
                <w:szCs w:val="22"/>
              </w:rPr>
              <w:t>34,962,286.75</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b/>
                <w:sz w:val="22"/>
                <w:szCs w:val="22"/>
              </w:rPr>
              <w:t>负 债：</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007AB5" w:rsidRDefault="00B44BE1" w:rsidP="003C6CED">
            <w:pPr>
              <w:pStyle w:val="a4"/>
              <w:jc w:val="right"/>
              <w:rPr>
                <w:rFonts w:ascii="黑体" w:eastAsia="黑体" w:hAnsi="黑体"/>
                <w:sz w:val="22"/>
                <w:szCs w:val="22"/>
                <w:highlight w:val="yellow"/>
              </w:rPr>
            </w:pP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tcPr>
          <w:p w:rsidR="00B44BE1" w:rsidRPr="00F84534" w:rsidRDefault="00B44BE1" w:rsidP="003C6CED">
            <w:pPr>
              <w:pStyle w:val="a4"/>
              <w:rPr>
                <w:rFonts w:ascii="黑体" w:eastAsia="黑体" w:hAnsi="黑体"/>
                <w:sz w:val="22"/>
                <w:szCs w:val="22"/>
              </w:rPr>
            </w:pPr>
            <w:r>
              <w:rPr>
                <w:rFonts w:ascii="黑体" w:eastAsia="黑体" w:hAnsi="黑体" w:hint="eastAsia"/>
                <w:sz w:val="22"/>
                <w:szCs w:val="22"/>
              </w:rPr>
              <w:t>应付赎回款</w:t>
            </w:r>
          </w:p>
        </w:tc>
        <w:tc>
          <w:tcPr>
            <w:tcW w:w="5670" w:type="dxa"/>
            <w:tcBorders>
              <w:top w:val="single" w:sz="4" w:space="0" w:color="000000"/>
              <w:left w:val="single" w:sz="4" w:space="0" w:color="000000"/>
              <w:bottom w:val="single" w:sz="4" w:space="0" w:color="000000"/>
              <w:right w:val="single" w:sz="4" w:space="0" w:color="000000"/>
            </w:tcBorders>
          </w:tcPr>
          <w:p w:rsidR="00B44BE1" w:rsidRPr="00432BBC" w:rsidRDefault="00600C28" w:rsidP="00624525">
            <w:pPr>
              <w:pStyle w:val="a4"/>
              <w:ind w:right="110"/>
              <w:jc w:val="right"/>
              <w:rPr>
                <w:rFonts w:ascii="黑体" w:eastAsia="黑体" w:hAnsi="黑体"/>
                <w:color w:val="000000"/>
                <w:sz w:val="22"/>
                <w:szCs w:val="22"/>
              </w:rPr>
            </w:pPr>
            <w:r>
              <w:rPr>
                <w:rFonts w:ascii="黑体" w:eastAsia="黑体" w:hAnsi="黑体" w:hint="eastAsia"/>
                <w:color w:val="000000"/>
                <w:sz w:val="22"/>
                <w:szCs w:val="22"/>
              </w:rPr>
              <w:t>1,258,618.40</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tcPr>
          <w:p w:rsidR="00B44BE1" w:rsidRPr="00F84534" w:rsidRDefault="00B44BE1" w:rsidP="003C6CED">
            <w:pPr>
              <w:pStyle w:val="a4"/>
              <w:rPr>
                <w:rFonts w:ascii="黑体" w:eastAsia="黑体" w:hAnsi="黑体"/>
                <w:sz w:val="22"/>
                <w:szCs w:val="22"/>
              </w:rPr>
            </w:pPr>
            <w:r w:rsidRPr="00F84534">
              <w:rPr>
                <w:rFonts w:ascii="黑体" w:eastAsia="黑体" w:hAnsi="黑体" w:hint="eastAsia"/>
                <w:sz w:val="22"/>
                <w:szCs w:val="22"/>
              </w:rPr>
              <w:t>应付管理人报酬</w:t>
            </w:r>
          </w:p>
        </w:tc>
        <w:tc>
          <w:tcPr>
            <w:tcW w:w="5670" w:type="dxa"/>
            <w:tcBorders>
              <w:top w:val="single" w:sz="4" w:space="0" w:color="000000"/>
              <w:left w:val="single" w:sz="4" w:space="0" w:color="000000"/>
              <w:bottom w:val="single" w:sz="4" w:space="0" w:color="000000"/>
              <w:right w:val="single" w:sz="4" w:space="0" w:color="000000"/>
            </w:tcBorders>
          </w:tcPr>
          <w:p w:rsidR="00B44BE1" w:rsidRPr="00432BBC"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54,004.50</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tcPr>
          <w:p w:rsidR="00B44BE1" w:rsidRPr="00F84534" w:rsidRDefault="00B44BE1" w:rsidP="003C6CED">
            <w:pPr>
              <w:pStyle w:val="a4"/>
              <w:rPr>
                <w:rFonts w:ascii="黑体" w:eastAsia="黑体" w:hAnsi="黑体"/>
                <w:sz w:val="22"/>
                <w:szCs w:val="22"/>
              </w:rPr>
            </w:pPr>
            <w:r w:rsidRPr="00F84534">
              <w:rPr>
                <w:rFonts w:ascii="黑体" w:eastAsia="黑体" w:hAnsi="黑体" w:hint="eastAsia"/>
                <w:sz w:val="22"/>
                <w:szCs w:val="22"/>
              </w:rPr>
              <w:t>应付托管费</w:t>
            </w:r>
          </w:p>
        </w:tc>
        <w:tc>
          <w:tcPr>
            <w:tcW w:w="5670" w:type="dxa"/>
            <w:tcBorders>
              <w:top w:val="single" w:sz="4" w:space="0" w:color="000000"/>
              <w:left w:val="single" w:sz="4" w:space="0" w:color="000000"/>
              <w:bottom w:val="single" w:sz="4" w:space="0" w:color="000000"/>
              <w:right w:val="single" w:sz="4" w:space="0" w:color="000000"/>
            </w:tcBorders>
          </w:tcPr>
          <w:p w:rsidR="00B44BE1" w:rsidRPr="00432BBC"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7,200.60</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tcPr>
          <w:p w:rsidR="00B44BE1" w:rsidRPr="00F84534" w:rsidRDefault="00B44BE1" w:rsidP="003C6CED">
            <w:pPr>
              <w:pStyle w:val="a4"/>
              <w:rPr>
                <w:rFonts w:ascii="黑体" w:eastAsia="黑体" w:hAnsi="黑体"/>
                <w:sz w:val="22"/>
                <w:szCs w:val="22"/>
              </w:rPr>
            </w:pPr>
            <w:r w:rsidRPr="00F84534">
              <w:rPr>
                <w:rFonts w:ascii="黑体" w:eastAsia="黑体" w:hAnsi="黑体" w:hint="eastAsia"/>
                <w:sz w:val="22"/>
                <w:szCs w:val="22"/>
              </w:rPr>
              <w:t>应付</w:t>
            </w:r>
            <w:r>
              <w:rPr>
                <w:rFonts w:ascii="黑体" w:eastAsia="黑体" w:hAnsi="黑体" w:hint="eastAsia"/>
                <w:sz w:val="22"/>
                <w:szCs w:val="22"/>
              </w:rPr>
              <w:t>交易</w:t>
            </w:r>
            <w:r w:rsidRPr="00F84534">
              <w:rPr>
                <w:rFonts w:ascii="黑体" w:eastAsia="黑体" w:hAnsi="黑体" w:hint="eastAsia"/>
                <w:sz w:val="22"/>
                <w:szCs w:val="22"/>
              </w:rPr>
              <w:t>费</w:t>
            </w:r>
            <w:r>
              <w:rPr>
                <w:rFonts w:ascii="黑体" w:eastAsia="黑体" w:hAnsi="黑体" w:hint="eastAsia"/>
                <w:sz w:val="22"/>
                <w:szCs w:val="22"/>
              </w:rPr>
              <w:t>用</w:t>
            </w:r>
          </w:p>
        </w:tc>
        <w:tc>
          <w:tcPr>
            <w:tcW w:w="5670" w:type="dxa"/>
            <w:tcBorders>
              <w:top w:val="single" w:sz="4" w:space="0" w:color="000000"/>
              <w:left w:val="single" w:sz="4" w:space="0" w:color="000000"/>
              <w:bottom w:val="single" w:sz="4" w:space="0" w:color="000000"/>
              <w:right w:val="single" w:sz="4" w:space="0" w:color="000000"/>
            </w:tcBorders>
          </w:tcPr>
          <w:p w:rsidR="00B44BE1" w:rsidRPr="00432BBC"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66,585.57</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tcPr>
          <w:p w:rsidR="00B44BE1" w:rsidRPr="00F84534" w:rsidRDefault="00B44BE1" w:rsidP="003C6CED">
            <w:pPr>
              <w:pStyle w:val="a4"/>
              <w:rPr>
                <w:rFonts w:ascii="黑体" w:eastAsia="黑体" w:hAnsi="黑体"/>
                <w:sz w:val="22"/>
                <w:szCs w:val="22"/>
              </w:rPr>
            </w:pPr>
            <w:r w:rsidRPr="00F84534">
              <w:rPr>
                <w:rFonts w:ascii="黑体" w:eastAsia="黑体" w:hAnsi="黑体" w:hint="eastAsia"/>
                <w:sz w:val="22"/>
                <w:szCs w:val="22"/>
              </w:rPr>
              <w:t>其他负债</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432BBC" w:rsidRDefault="00600C28" w:rsidP="00624525">
            <w:pPr>
              <w:pStyle w:val="a4"/>
              <w:ind w:right="110"/>
              <w:jc w:val="right"/>
              <w:rPr>
                <w:rFonts w:ascii="黑体" w:eastAsia="黑体" w:hAnsi="黑体"/>
                <w:color w:val="000000"/>
                <w:sz w:val="22"/>
                <w:szCs w:val="22"/>
              </w:rPr>
            </w:pPr>
            <w:r>
              <w:rPr>
                <w:rFonts w:ascii="黑体" w:eastAsia="黑体" w:hAnsi="黑体" w:hint="eastAsia"/>
                <w:color w:val="000000"/>
                <w:sz w:val="22"/>
                <w:szCs w:val="22"/>
              </w:rPr>
              <w:t>510,306.30</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负债合计</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432BBC"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1,896,715.37</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b/>
                <w:sz w:val="22"/>
                <w:szCs w:val="22"/>
              </w:rPr>
              <w:t>所有者权益：</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8F2FAC" w:rsidRDefault="00B44BE1" w:rsidP="003C6CED">
            <w:pPr>
              <w:jc w:val="right"/>
              <w:rPr>
                <w:rFonts w:ascii="黑体" w:eastAsia="黑体" w:hAnsi="黑体" w:cs="宋体"/>
                <w:color w:val="000000"/>
                <w:kern w:val="0"/>
                <w:sz w:val="22"/>
              </w:rPr>
            </w:pP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b/>
                <w:sz w:val="22"/>
                <w:szCs w:val="22"/>
              </w:rPr>
            </w:pPr>
            <w:r w:rsidRPr="00007AB5">
              <w:rPr>
                <w:rFonts w:ascii="黑体" w:eastAsia="黑体" w:hAnsi="黑体" w:hint="eastAsia"/>
                <w:sz w:val="22"/>
                <w:szCs w:val="22"/>
              </w:rPr>
              <w:t>实收基金</w:t>
            </w:r>
          </w:p>
        </w:tc>
        <w:tc>
          <w:tcPr>
            <w:tcW w:w="5670" w:type="dxa"/>
            <w:tcBorders>
              <w:top w:val="single" w:sz="4" w:space="0" w:color="000000"/>
              <w:left w:val="single" w:sz="4" w:space="0" w:color="000000"/>
              <w:bottom w:val="single" w:sz="4" w:space="0" w:color="000000"/>
              <w:right w:val="single" w:sz="4" w:space="0" w:color="000000"/>
            </w:tcBorders>
          </w:tcPr>
          <w:p w:rsidR="00B44BE1" w:rsidRPr="008F2FAC"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38,892,973.90</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未分配利润</w:t>
            </w:r>
          </w:p>
        </w:tc>
        <w:tc>
          <w:tcPr>
            <w:tcW w:w="5670" w:type="dxa"/>
            <w:tcBorders>
              <w:top w:val="single" w:sz="4" w:space="0" w:color="000000"/>
              <w:left w:val="single" w:sz="4" w:space="0" w:color="000000"/>
              <w:bottom w:val="single" w:sz="4" w:space="0" w:color="000000"/>
              <w:right w:val="single" w:sz="4" w:space="0" w:color="000000"/>
            </w:tcBorders>
          </w:tcPr>
          <w:p w:rsidR="00B44BE1" w:rsidRPr="009A18AD"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-5,827,402.52</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所有者权益合计</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9A18AD" w:rsidRDefault="00600C28" w:rsidP="003C6CED">
            <w:pPr>
              <w:pStyle w:val="a4"/>
              <w:ind w:right="110"/>
              <w:jc w:val="right"/>
              <w:rPr>
                <w:rFonts w:ascii="黑体" w:eastAsia="黑体" w:hAnsi="黑体"/>
                <w:color w:val="000000"/>
                <w:sz w:val="22"/>
                <w:szCs w:val="22"/>
              </w:rPr>
            </w:pPr>
            <w:r>
              <w:rPr>
                <w:rFonts w:ascii="黑体" w:eastAsia="黑体" w:hAnsi="黑体" w:hint="eastAsia"/>
                <w:color w:val="000000"/>
                <w:sz w:val="22"/>
                <w:szCs w:val="22"/>
              </w:rPr>
              <w:t>33,065,571.38</w:t>
            </w:r>
          </w:p>
        </w:tc>
      </w:tr>
      <w:tr w:rsidR="00B44BE1" w:rsidTr="006545AC">
        <w:trPr>
          <w:trHeight w:hRule="exact" w:val="322"/>
        </w:trPr>
        <w:tc>
          <w:tcPr>
            <w:tcW w:w="3544" w:type="dxa"/>
            <w:tcBorders>
              <w:top w:val="single" w:sz="4" w:space="0" w:color="000000"/>
              <w:left w:val="single" w:sz="4" w:space="0" w:color="000000"/>
              <w:bottom w:val="single" w:sz="4" w:space="0" w:color="000000"/>
              <w:right w:val="single" w:sz="4" w:space="0" w:color="000000"/>
            </w:tcBorders>
            <w:vAlign w:val="center"/>
          </w:tcPr>
          <w:p w:rsidR="00B44BE1" w:rsidRPr="00007AB5" w:rsidRDefault="00B44BE1" w:rsidP="003C6CED">
            <w:pPr>
              <w:pStyle w:val="a4"/>
              <w:rPr>
                <w:rFonts w:ascii="黑体" w:eastAsia="黑体" w:hAnsi="黑体"/>
                <w:sz w:val="22"/>
                <w:szCs w:val="22"/>
              </w:rPr>
            </w:pPr>
            <w:r w:rsidRPr="00007AB5">
              <w:rPr>
                <w:rFonts w:ascii="黑体" w:eastAsia="黑体" w:hAnsi="黑体" w:hint="eastAsia"/>
                <w:sz w:val="22"/>
                <w:szCs w:val="22"/>
              </w:rPr>
              <w:t>负债和所有者权益总计</w:t>
            </w:r>
          </w:p>
        </w:tc>
        <w:tc>
          <w:tcPr>
            <w:tcW w:w="5670" w:type="dxa"/>
            <w:tcBorders>
              <w:top w:val="single" w:sz="4" w:space="0" w:color="000000"/>
              <w:left w:val="single" w:sz="4" w:space="0" w:color="000000"/>
              <w:bottom w:val="single" w:sz="4" w:space="0" w:color="000000"/>
              <w:right w:val="single" w:sz="4" w:space="0" w:color="000000"/>
            </w:tcBorders>
            <w:vAlign w:val="bottom"/>
          </w:tcPr>
          <w:p w:rsidR="00B44BE1" w:rsidRPr="008F2FAC" w:rsidRDefault="00C324F9" w:rsidP="003C6CED">
            <w:pPr>
              <w:ind w:right="110"/>
              <w:jc w:val="right"/>
              <w:rPr>
                <w:rFonts w:ascii="黑体" w:eastAsia="黑体" w:hAnsi="黑体" w:cs="宋体"/>
                <w:color w:val="000000"/>
                <w:kern w:val="0"/>
                <w:sz w:val="22"/>
              </w:rPr>
            </w:pPr>
            <w:r>
              <w:rPr>
                <w:rFonts w:ascii="黑体" w:eastAsia="黑体" w:hAnsi="黑体" w:cs="宋体" w:hint="eastAsia"/>
                <w:color w:val="000000"/>
                <w:kern w:val="0"/>
                <w:sz w:val="22"/>
              </w:rPr>
              <w:t>34,962,286.75</w:t>
            </w:r>
          </w:p>
        </w:tc>
      </w:tr>
    </w:tbl>
    <w:p w:rsidR="00397845" w:rsidRDefault="00397845" w:rsidP="00BC5BA0">
      <w:pPr>
        <w:widowControl/>
        <w:rPr>
          <w:rFonts w:ascii="黑体" w:eastAsia="黑体" w:hAnsi="黑体" w:cs="宋体"/>
          <w:kern w:val="0"/>
          <w:sz w:val="22"/>
        </w:rPr>
      </w:pPr>
    </w:p>
    <w:p w:rsidR="00BC5BA0" w:rsidRPr="00397845" w:rsidRDefault="00397845" w:rsidP="00220355">
      <w:pPr>
        <w:widowControl/>
        <w:ind w:left="440" w:hangingChars="200" w:hanging="440"/>
        <w:rPr>
          <w:rFonts w:ascii="黑体" w:eastAsia="黑体" w:hAnsi="黑体" w:cs="宋体"/>
          <w:kern w:val="0"/>
          <w:sz w:val="22"/>
        </w:rPr>
      </w:pPr>
      <w:r w:rsidRPr="00397845">
        <w:rPr>
          <w:rFonts w:ascii="黑体" w:eastAsia="黑体" w:hAnsi="黑体" w:cs="宋体" w:hint="eastAsia"/>
          <w:kern w:val="0"/>
          <w:sz w:val="22"/>
        </w:rPr>
        <w:t>注：永赢量化灵活配置混合型发起式证券投资基金截至最后运作日止的基金资产净值为人民币33,065,571.38元，基金单位净值为人民币0.8502元，份额为38,892,973.90份。</w:t>
      </w:r>
    </w:p>
    <w:p w:rsidR="00BC5BA0" w:rsidRDefault="00BC5BA0"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Pr="00397845"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A969BA" w:rsidRDefault="00A969BA" w:rsidP="00BC5BA0">
      <w:pPr>
        <w:widowControl/>
        <w:rPr>
          <w:rFonts w:ascii="Times New Roman" w:eastAsia="宋体" w:hAnsi="宋体" w:cs="Times New Roman"/>
          <w:bCs/>
          <w:sz w:val="24"/>
          <w:szCs w:val="24"/>
        </w:rPr>
      </w:pPr>
    </w:p>
    <w:p w:rsidR="00D47563" w:rsidRDefault="00D47563" w:rsidP="00BC5BA0">
      <w:pPr>
        <w:widowControl/>
        <w:rPr>
          <w:rFonts w:ascii="Times New Roman" w:eastAsia="宋体" w:hAnsi="宋体" w:cs="Times New Roman"/>
          <w:bCs/>
          <w:sz w:val="24"/>
          <w:szCs w:val="24"/>
        </w:rPr>
      </w:pPr>
    </w:p>
    <w:p w:rsidR="0002371E" w:rsidRDefault="0002371E" w:rsidP="00BC5BA0">
      <w:pPr>
        <w:widowControl/>
        <w:rPr>
          <w:rFonts w:ascii="Times New Roman" w:eastAsia="宋体" w:hAnsi="宋体" w:cs="Times New Roman"/>
          <w:bCs/>
          <w:sz w:val="24"/>
          <w:szCs w:val="24"/>
        </w:rPr>
      </w:pPr>
    </w:p>
    <w:p w:rsidR="0002371E" w:rsidRDefault="0002371E" w:rsidP="00BC5BA0">
      <w:pPr>
        <w:widowControl/>
        <w:rPr>
          <w:rFonts w:ascii="Times New Roman" w:eastAsia="宋体" w:hAnsi="宋体" w:cs="Times New Roman"/>
          <w:bCs/>
          <w:sz w:val="24"/>
          <w:szCs w:val="24"/>
        </w:rPr>
      </w:pPr>
    </w:p>
    <w:p w:rsidR="00BC5BA0" w:rsidRPr="00C20FCE" w:rsidRDefault="00BC5BA0" w:rsidP="00BC5BA0">
      <w:pPr>
        <w:widowControl/>
        <w:rPr>
          <w:rFonts w:ascii="Times New Roman" w:eastAsia="宋体" w:hAnsi="宋体" w:cs="Times New Roman"/>
          <w:b/>
          <w:bCs/>
          <w:sz w:val="28"/>
          <w:szCs w:val="28"/>
        </w:rPr>
      </w:pPr>
      <w:r w:rsidRPr="00C20FCE">
        <w:rPr>
          <w:rFonts w:ascii="Times New Roman" w:eastAsia="宋体" w:hAnsi="宋体" w:cs="Times New Roman" w:hint="eastAsia"/>
          <w:b/>
          <w:bCs/>
          <w:sz w:val="28"/>
          <w:szCs w:val="28"/>
        </w:rPr>
        <w:t>四</w:t>
      </w:r>
      <w:r w:rsidRPr="00C20FCE">
        <w:rPr>
          <w:rFonts w:ascii="Times New Roman" w:eastAsia="宋体" w:hAnsi="宋体" w:cs="Times New Roman"/>
          <w:b/>
          <w:bCs/>
          <w:sz w:val="28"/>
          <w:szCs w:val="28"/>
        </w:rPr>
        <w:t>、清盘事项说明</w:t>
      </w:r>
    </w:p>
    <w:p w:rsidR="00BC5BA0" w:rsidRDefault="00BC5BA0" w:rsidP="00BC5BA0">
      <w:pPr>
        <w:widowControl/>
        <w:rPr>
          <w:rFonts w:ascii="Times New Roman" w:eastAsia="宋体" w:hAnsi="宋体" w:cs="Times New Roman"/>
          <w:bCs/>
          <w:sz w:val="24"/>
          <w:szCs w:val="24"/>
        </w:rPr>
      </w:pPr>
    </w:p>
    <w:p w:rsidR="00A969BA" w:rsidRPr="00A969BA" w:rsidRDefault="004F74EE" w:rsidP="00423FFC">
      <w:pPr>
        <w:pStyle w:val="a5"/>
        <w:widowControl/>
        <w:numPr>
          <w:ilvl w:val="0"/>
          <w:numId w:val="2"/>
        </w:numPr>
        <w:spacing w:line="360" w:lineRule="auto"/>
        <w:ind w:firstLineChars="0"/>
        <w:rPr>
          <w:rFonts w:ascii="Times New Roman" w:eastAsia="宋体" w:hAnsi="宋体" w:cs="Times New Roman"/>
          <w:bCs/>
          <w:sz w:val="24"/>
          <w:szCs w:val="24"/>
        </w:rPr>
      </w:pPr>
      <w:r>
        <w:rPr>
          <w:rFonts w:ascii="Times New Roman" w:eastAsia="宋体" w:hAnsi="宋体" w:cs="Times New Roman"/>
          <w:bCs/>
          <w:sz w:val="24"/>
          <w:szCs w:val="24"/>
        </w:rPr>
        <w:t>清</w:t>
      </w:r>
      <w:r>
        <w:rPr>
          <w:rFonts w:ascii="Times New Roman" w:eastAsia="宋体" w:hAnsi="宋体" w:cs="Times New Roman" w:hint="eastAsia"/>
          <w:bCs/>
          <w:sz w:val="24"/>
          <w:szCs w:val="24"/>
        </w:rPr>
        <w:t>算</w:t>
      </w:r>
      <w:r w:rsidR="00A969BA" w:rsidRPr="00A969BA">
        <w:rPr>
          <w:rFonts w:ascii="Times New Roman" w:eastAsia="宋体" w:hAnsi="宋体" w:cs="Times New Roman"/>
          <w:bCs/>
          <w:sz w:val="24"/>
          <w:szCs w:val="24"/>
        </w:rPr>
        <w:t>原因</w:t>
      </w:r>
    </w:p>
    <w:p w:rsidR="00A969BA" w:rsidRPr="00A6751E" w:rsidRDefault="00A969BA" w:rsidP="00423FFC">
      <w:pPr>
        <w:pStyle w:val="a3"/>
        <w:spacing w:before="0" w:after="0" w:line="360" w:lineRule="auto"/>
        <w:ind w:firstLineChars="200" w:firstLine="480"/>
        <w:jc w:val="both"/>
        <w:rPr>
          <w:rFonts w:ascii="Times New Roman" w:hAnsi="宋体"/>
          <w:b w:val="0"/>
          <w:sz w:val="24"/>
          <w:szCs w:val="24"/>
        </w:rPr>
      </w:pPr>
    </w:p>
    <w:p w:rsidR="007E5892" w:rsidRPr="0002371E" w:rsidRDefault="007E5892" w:rsidP="00423FFC">
      <w:pPr>
        <w:pStyle w:val="a3"/>
        <w:spacing w:before="0" w:after="0" w:line="360" w:lineRule="auto"/>
        <w:ind w:firstLineChars="200" w:firstLine="480"/>
        <w:jc w:val="both"/>
        <w:rPr>
          <w:rFonts w:ascii="Times New Roman" w:hAnsi="宋体"/>
          <w:b w:val="0"/>
          <w:sz w:val="24"/>
          <w:szCs w:val="24"/>
        </w:rPr>
      </w:pPr>
      <w:r w:rsidRPr="0002371E">
        <w:rPr>
          <w:rFonts w:ascii="Times New Roman" w:hAnsi="宋体" w:hint="eastAsia"/>
          <w:b w:val="0"/>
          <w:sz w:val="24"/>
          <w:szCs w:val="24"/>
        </w:rPr>
        <w:t>《基金合同》第五部分“基金备案”第三条约定：“基金合同生效满</w:t>
      </w:r>
      <w:r w:rsidRPr="0002371E">
        <w:rPr>
          <w:rFonts w:ascii="Times New Roman" w:hAnsi="宋体" w:hint="eastAsia"/>
          <w:b w:val="0"/>
          <w:sz w:val="24"/>
          <w:szCs w:val="24"/>
        </w:rPr>
        <w:t>3</w:t>
      </w:r>
      <w:r w:rsidRPr="0002371E">
        <w:rPr>
          <w:rFonts w:ascii="Times New Roman" w:hAnsi="宋体" w:hint="eastAsia"/>
          <w:b w:val="0"/>
          <w:sz w:val="24"/>
          <w:szCs w:val="24"/>
        </w:rPr>
        <w:t>年之日（自基金合同生效之日起</w:t>
      </w:r>
      <w:r w:rsidRPr="0002371E">
        <w:rPr>
          <w:rFonts w:ascii="Times New Roman" w:hAnsi="宋体" w:hint="eastAsia"/>
          <w:b w:val="0"/>
          <w:sz w:val="24"/>
          <w:szCs w:val="24"/>
        </w:rPr>
        <w:t>3</w:t>
      </w:r>
      <w:r w:rsidRPr="0002371E">
        <w:rPr>
          <w:rFonts w:ascii="Times New Roman" w:hAnsi="宋体" w:hint="eastAsia"/>
          <w:b w:val="0"/>
          <w:sz w:val="24"/>
          <w:szCs w:val="24"/>
        </w:rPr>
        <w:t>年后的对应日，若该日为非工作日则顺延至下一工作日），若基金资产净值低于</w:t>
      </w:r>
      <w:r w:rsidRPr="0002371E">
        <w:rPr>
          <w:rFonts w:ascii="Times New Roman" w:hAnsi="宋体" w:hint="eastAsia"/>
          <w:b w:val="0"/>
          <w:sz w:val="24"/>
          <w:szCs w:val="24"/>
        </w:rPr>
        <w:t>2</w:t>
      </w:r>
      <w:r w:rsidRPr="0002371E">
        <w:rPr>
          <w:rFonts w:ascii="Times New Roman" w:hAnsi="宋体" w:hint="eastAsia"/>
          <w:b w:val="0"/>
          <w:sz w:val="24"/>
          <w:szCs w:val="24"/>
        </w:rPr>
        <w:t>亿元，本基金合同自动终止，且不得通过召开基金份额持有人大会延续基金合同期限。”</w:t>
      </w:r>
    </w:p>
    <w:p w:rsidR="00A969BA" w:rsidRPr="0002371E" w:rsidRDefault="007E5892" w:rsidP="00423FFC">
      <w:pPr>
        <w:pStyle w:val="a3"/>
        <w:spacing w:before="0" w:after="0" w:line="360" w:lineRule="auto"/>
        <w:ind w:firstLineChars="200" w:firstLine="480"/>
        <w:jc w:val="both"/>
        <w:rPr>
          <w:rFonts w:ascii="Times New Roman" w:hAnsi="宋体"/>
          <w:b w:val="0"/>
          <w:sz w:val="24"/>
          <w:szCs w:val="24"/>
        </w:rPr>
      </w:pPr>
      <w:r w:rsidRPr="0002371E">
        <w:rPr>
          <w:rFonts w:ascii="Times New Roman" w:hAnsi="宋体" w:hint="eastAsia"/>
          <w:b w:val="0"/>
          <w:sz w:val="24"/>
          <w:szCs w:val="24"/>
        </w:rPr>
        <w:t>本基金基金合同生效日为</w:t>
      </w:r>
      <w:r w:rsidRPr="0002371E">
        <w:rPr>
          <w:rFonts w:ascii="Times New Roman" w:hAnsi="宋体" w:hint="eastAsia"/>
          <w:b w:val="0"/>
          <w:sz w:val="24"/>
          <w:szCs w:val="24"/>
        </w:rPr>
        <w:t>2015</w:t>
      </w:r>
      <w:r w:rsidRPr="0002371E">
        <w:rPr>
          <w:rFonts w:ascii="Times New Roman" w:hAnsi="宋体" w:hint="eastAsia"/>
          <w:b w:val="0"/>
          <w:sz w:val="24"/>
          <w:szCs w:val="24"/>
        </w:rPr>
        <w:t>年</w:t>
      </w:r>
      <w:r w:rsidRPr="0002371E">
        <w:rPr>
          <w:rFonts w:ascii="Times New Roman" w:hAnsi="宋体" w:hint="eastAsia"/>
          <w:b w:val="0"/>
          <w:sz w:val="24"/>
          <w:szCs w:val="24"/>
        </w:rPr>
        <w:t>9</w:t>
      </w:r>
      <w:r w:rsidRPr="0002371E">
        <w:rPr>
          <w:rFonts w:ascii="Times New Roman" w:hAnsi="宋体" w:hint="eastAsia"/>
          <w:b w:val="0"/>
          <w:sz w:val="24"/>
          <w:szCs w:val="24"/>
        </w:rPr>
        <w:t>月</w:t>
      </w:r>
      <w:r w:rsidRPr="0002371E">
        <w:rPr>
          <w:rFonts w:ascii="Times New Roman" w:hAnsi="宋体" w:hint="eastAsia"/>
          <w:b w:val="0"/>
          <w:sz w:val="24"/>
          <w:szCs w:val="24"/>
        </w:rPr>
        <w:t>1</w:t>
      </w:r>
      <w:r w:rsidRPr="0002371E">
        <w:rPr>
          <w:rFonts w:ascii="Times New Roman" w:hAnsi="宋体" w:hint="eastAsia"/>
          <w:b w:val="0"/>
          <w:sz w:val="24"/>
          <w:szCs w:val="24"/>
        </w:rPr>
        <w:t>日</w:t>
      </w:r>
      <w:r w:rsidR="00E229F5">
        <w:rPr>
          <w:rFonts w:ascii="Times New Roman" w:hAnsi="宋体" w:hint="eastAsia"/>
          <w:b w:val="0"/>
          <w:sz w:val="24"/>
          <w:szCs w:val="24"/>
        </w:rPr>
        <w:t>，</w:t>
      </w:r>
      <w:r w:rsidRPr="0002371E">
        <w:rPr>
          <w:rFonts w:ascii="Times New Roman" w:hAnsi="宋体" w:hint="eastAsia"/>
          <w:b w:val="0"/>
          <w:sz w:val="24"/>
          <w:szCs w:val="24"/>
        </w:rPr>
        <w:t>基金合同生效满三年之日为</w:t>
      </w:r>
      <w:r w:rsidRPr="0002371E">
        <w:rPr>
          <w:rFonts w:ascii="Times New Roman" w:hAnsi="宋体" w:hint="eastAsia"/>
          <w:b w:val="0"/>
          <w:sz w:val="24"/>
          <w:szCs w:val="24"/>
        </w:rPr>
        <w:t>2018</w:t>
      </w:r>
      <w:r w:rsidRPr="0002371E">
        <w:rPr>
          <w:rFonts w:ascii="Times New Roman" w:hAnsi="宋体" w:hint="eastAsia"/>
          <w:b w:val="0"/>
          <w:sz w:val="24"/>
          <w:szCs w:val="24"/>
        </w:rPr>
        <w:t>年</w:t>
      </w:r>
      <w:r w:rsidRPr="0002371E">
        <w:rPr>
          <w:rFonts w:ascii="Times New Roman" w:hAnsi="宋体" w:hint="eastAsia"/>
          <w:b w:val="0"/>
          <w:sz w:val="24"/>
          <w:szCs w:val="24"/>
        </w:rPr>
        <w:t>9</w:t>
      </w:r>
      <w:r w:rsidRPr="0002371E">
        <w:rPr>
          <w:rFonts w:ascii="Times New Roman" w:hAnsi="宋体" w:hint="eastAsia"/>
          <w:b w:val="0"/>
          <w:sz w:val="24"/>
          <w:szCs w:val="24"/>
        </w:rPr>
        <w:t>月</w:t>
      </w:r>
      <w:r w:rsidRPr="0002371E">
        <w:rPr>
          <w:rFonts w:ascii="Times New Roman" w:hAnsi="宋体" w:hint="eastAsia"/>
          <w:b w:val="0"/>
          <w:sz w:val="24"/>
          <w:szCs w:val="24"/>
        </w:rPr>
        <w:t>1</w:t>
      </w:r>
      <w:r w:rsidRPr="0002371E">
        <w:rPr>
          <w:rFonts w:ascii="Times New Roman" w:hAnsi="宋体" w:hint="eastAsia"/>
          <w:b w:val="0"/>
          <w:sz w:val="24"/>
          <w:szCs w:val="24"/>
        </w:rPr>
        <w:t>日，因该日为非工作日，故基金合同生效满三年之日顺延至</w:t>
      </w:r>
      <w:r w:rsidRPr="0002371E">
        <w:rPr>
          <w:rFonts w:ascii="Times New Roman" w:hAnsi="宋体" w:hint="eastAsia"/>
          <w:b w:val="0"/>
          <w:sz w:val="24"/>
          <w:szCs w:val="24"/>
        </w:rPr>
        <w:t>2018</w:t>
      </w:r>
      <w:r w:rsidRPr="0002371E">
        <w:rPr>
          <w:rFonts w:ascii="Times New Roman" w:hAnsi="宋体" w:hint="eastAsia"/>
          <w:b w:val="0"/>
          <w:sz w:val="24"/>
          <w:szCs w:val="24"/>
        </w:rPr>
        <w:t>年</w:t>
      </w:r>
      <w:r w:rsidRPr="0002371E">
        <w:rPr>
          <w:rFonts w:ascii="Times New Roman" w:hAnsi="宋体" w:hint="eastAsia"/>
          <w:b w:val="0"/>
          <w:sz w:val="24"/>
          <w:szCs w:val="24"/>
        </w:rPr>
        <w:t>9</w:t>
      </w:r>
      <w:r w:rsidRPr="0002371E">
        <w:rPr>
          <w:rFonts w:ascii="Times New Roman" w:hAnsi="宋体" w:hint="eastAsia"/>
          <w:b w:val="0"/>
          <w:sz w:val="24"/>
          <w:szCs w:val="24"/>
        </w:rPr>
        <w:t>月</w:t>
      </w:r>
      <w:r w:rsidRPr="0002371E">
        <w:rPr>
          <w:rFonts w:ascii="Times New Roman" w:hAnsi="宋体" w:hint="eastAsia"/>
          <w:b w:val="0"/>
          <w:sz w:val="24"/>
          <w:szCs w:val="24"/>
        </w:rPr>
        <w:t>3</w:t>
      </w:r>
      <w:r w:rsidRPr="0002371E">
        <w:rPr>
          <w:rFonts w:ascii="Times New Roman" w:hAnsi="宋体" w:hint="eastAsia"/>
          <w:b w:val="0"/>
          <w:sz w:val="24"/>
          <w:szCs w:val="24"/>
        </w:rPr>
        <w:t>日。截至</w:t>
      </w:r>
      <w:r w:rsidRPr="0002371E">
        <w:rPr>
          <w:rFonts w:ascii="Times New Roman" w:hAnsi="宋体" w:hint="eastAsia"/>
          <w:b w:val="0"/>
          <w:sz w:val="24"/>
          <w:szCs w:val="24"/>
        </w:rPr>
        <w:t>2018</w:t>
      </w:r>
      <w:r w:rsidRPr="0002371E">
        <w:rPr>
          <w:rFonts w:ascii="Times New Roman" w:hAnsi="宋体" w:hint="eastAsia"/>
          <w:b w:val="0"/>
          <w:sz w:val="24"/>
          <w:szCs w:val="24"/>
        </w:rPr>
        <w:t>年</w:t>
      </w:r>
      <w:r w:rsidRPr="0002371E">
        <w:rPr>
          <w:rFonts w:ascii="Times New Roman" w:hAnsi="宋体" w:hint="eastAsia"/>
          <w:b w:val="0"/>
          <w:sz w:val="24"/>
          <w:szCs w:val="24"/>
        </w:rPr>
        <w:t>9</w:t>
      </w:r>
      <w:r w:rsidRPr="0002371E">
        <w:rPr>
          <w:rFonts w:ascii="Times New Roman" w:hAnsi="宋体" w:hint="eastAsia"/>
          <w:b w:val="0"/>
          <w:sz w:val="24"/>
          <w:szCs w:val="24"/>
        </w:rPr>
        <w:t>月</w:t>
      </w:r>
      <w:r w:rsidRPr="0002371E">
        <w:rPr>
          <w:rFonts w:ascii="Times New Roman" w:hAnsi="宋体" w:hint="eastAsia"/>
          <w:b w:val="0"/>
          <w:sz w:val="24"/>
          <w:szCs w:val="24"/>
        </w:rPr>
        <w:t>3</w:t>
      </w:r>
      <w:r w:rsidRPr="0002371E">
        <w:rPr>
          <w:rFonts w:ascii="Times New Roman" w:hAnsi="宋体" w:hint="eastAsia"/>
          <w:b w:val="0"/>
          <w:sz w:val="24"/>
          <w:szCs w:val="24"/>
        </w:rPr>
        <w:t>日日终，本基金出现触发基金合同自动终止的情形（即本基金基金资产净值低于</w:t>
      </w:r>
      <w:r w:rsidRPr="0002371E">
        <w:rPr>
          <w:rFonts w:ascii="Times New Roman" w:hAnsi="宋体" w:hint="eastAsia"/>
          <w:b w:val="0"/>
          <w:sz w:val="24"/>
          <w:szCs w:val="24"/>
        </w:rPr>
        <w:t>2</w:t>
      </w:r>
      <w:r w:rsidRPr="0002371E">
        <w:rPr>
          <w:rFonts w:ascii="Times New Roman" w:hAnsi="宋体" w:hint="eastAsia"/>
          <w:b w:val="0"/>
          <w:sz w:val="24"/>
          <w:szCs w:val="24"/>
        </w:rPr>
        <w:t>亿元），</w:t>
      </w:r>
      <w:r w:rsidR="00442614" w:rsidRPr="002A5E12">
        <w:rPr>
          <w:rFonts w:ascii="Times New Roman" w:hAnsi="宋体" w:hint="eastAsia"/>
          <w:b w:val="0"/>
          <w:sz w:val="24"/>
          <w:szCs w:val="24"/>
        </w:rPr>
        <w:t>《基金合同》自动终止，基金管理人自</w:t>
      </w:r>
      <w:r w:rsidR="00442614" w:rsidRPr="002A5E12">
        <w:rPr>
          <w:rFonts w:ascii="Times New Roman" w:hAnsi="宋体" w:hint="eastAsia"/>
          <w:b w:val="0"/>
          <w:sz w:val="24"/>
          <w:szCs w:val="24"/>
        </w:rPr>
        <w:t>2018</w:t>
      </w:r>
      <w:r w:rsidR="00442614" w:rsidRPr="002A5E12">
        <w:rPr>
          <w:rFonts w:ascii="Times New Roman" w:hAnsi="宋体" w:hint="eastAsia"/>
          <w:b w:val="0"/>
          <w:sz w:val="24"/>
          <w:szCs w:val="24"/>
        </w:rPr>
        <w:t>年</w:t>
      </w:r>
      <w:r w:rsidR="00442614" w:rsidRPr="002A5E12">
        <w:rPr>
          <w:rFonts w:ascii="Times New Roman" w:hAnsi="宋体"/>
          <w:b w:val="0"/>
          <w:sz w:val="24"/>
          <w:szCs w:val="24"/>
        </w:rPr>
        <w:t>9</w:t>
      </w:r>
      <w:r w:rsidR="00442614" w:rsidRPr="002A5E12">
        <w:rPr>
          <w:rFonts w:ascii="Times New Roman" w:hAnsi="宋体" w:hint="eastAsia"/>
          <w:b w:val="0"/>
          <w:sz w:val="24"/>
          <w:szCs w:val="24"/>
        </w:rPr>
        <w:t>月</w:t>
      </w:r>
      <w:r w:rsidR="00442614" w:rsidRPr="002A5E12">
        <w:rPr>
          <w:rFonts w:ascii="Times New Roman" w:hAnsi="宋体"/>
          <w:b w:val="0"/>
          <w:sz w:val="24"/>
          <w:szCs w:val="24"/>
        </w:rPr>
        <w:t>4</w:t>
      </w:r>
      <w:r w:rsidR="00442614" w:rsidRPr="002A5E12">
        <w:rPr>
          <w:rFonts w:ascii="Times New Roman" w:hAnsi="宋体" w:hint="eastAsia"/>
          <w:b w:val="0"/>
          <w:sz w:val="24"/>
          <w:szCs w:val="24"/>
        </w:rPr>
        <w:t>日起根据相关法律法规、《基金合同》等规定履行基金财产清算程序，无须召开基金份额持有人大会。</w:t>
      </w:r>
    </w:p>
    <w:p w:rsidR="007E5892" w:rsidRPr="00423FFC" w:rsidRDefault="007E5892" w:rsidP="00423FFC">
      <w:pPr>
        <w:spacing w:line="360" w:lineRule="auto"/>
        <w:ind w:firstLineChars="200" w:firstLine="480"/>
        <w:rPr>
          <w:sz w:val="24"/>
          <w:szCs w:val="24"/>
        </w:rPr>
      </w:pPr>
    </w:p>
    <w:p w:rsidR="00A969BA" w:rsidRPr="00A969BA" w:rsidRDefault="00A969BA" w:rsidP="00423FFC">
      <w:pPr>
        <w:pStyle w:val="a5"/>
        <w:widowControl/>
        <w:numPr>
          <w:ilvl w:val="0"/>
          <w:numId w:val="2"/>
        </w:numPr>
        <w:spacing w:line="360" w:lineRule="auto"/>
        <w:ind w:firstLineChars="0"/>
        <w:rPr>
          <w:rFonts w:ascii="Times New Roman" w:eastAsia="宋体" w:hAnsi="宋体" w:cs="Times New Roman"/>
          <w:bCs/>
          <w:sz w:val="24"/>
          <w:szCs w:val="24"/>
        </w:rPr>
      </w:pPr>
      <w:r w:rsidRPr="00A969BA">
        <w:rPr>
          <w:rFonts w:ascii="Times New Roman" w:eastAsia="宋体" w:hAnsi="宋体" w:cs="Times New Roman"/>
          <w:bCs/>
          <w:sz w:val="24"/>
          <w:szCs w:val="24"/>
        </w:rPr>
        <w:t>清算起始日</w:t>
      </w:r>
    </w:p>
    <w:p w:rsidR="00A969BA" w:rsidRPr="00423FFC" w:rsidRDefault="00A969BA" w:rsidP="00423FFC">
      <w:pPr>
        <w:pStyle w:val="a3"/>
        <w:spacing w:before="0" w:after="0" w:line="360" w:lineRule="auto"/>
        <w:jc w:val="both"/>
        <w:rPr>
          <w:sz w:val="24"/>
          <w:szCs w:val="24"/>
        </w:rPr>
      </w:pPr>
    </w:p>
    <w:p w:rsidR="00A6751E" w:rsidRPr="00A6751E" w:rsidRDefault="00A6751E" w:rsidP="00423FFC">
      <w:pPr>
        <w:pStyle w:val="a3"/>
        <w:spacing w:before="0" w:after="0" w:line="360" w:lineRule="auto"/>
        <w:ind w:firstLineChars="200" w:firstLine="480"/>
        <w:jc w:val="both"/>
        <w:rPr>
          <w:rFonts w:ascii="Times New Roman" w:hAnsi="宋体"/>
          <w:b w:val="0"/>
          <w:sz w:val="24"/>
          <w:szCs w:val="24"/>
        </w:rPr>
      </w:pPr>
      <w:r w:rsidRPr="00A6751E">
        <w:rPr>
          <w:rFonts w:ascii="Times New Roman" w:hAnsi="宋体" w:hint="eastAsia"/>
          <w:b w:val="0"/>
          <w:sz w:val="24"/>
          <w:szCs w:val="24"/>
        </w:rPr>
        <w:t>根据《永赢基金管理有限公司关于永赢量化</w:t>
      </w:r>
      <w:r w:rsidR="00AC4B68">
        <w:rPr>
          <w:rFonts w:ascii="Times New Roman" w:hAnsi="宋体" w:hint="eastAsia"/>
          <w:b w:val="0"/>
          <w:sz w:val="24"/>
          <w:szCs w:val="24"/>
        </w:rPr>
        <w:t>灵活配置</w:t>
      </w:r>
      <w:r w:rsidRPr="00A6751E">
        <w:rPr>
          <w:rFonts w:ascii="Times New Roman" w:hAnsi="宋体" w:hint="eastAsia"/>
          <w:b w:val="0"/>
          <w:sz w:val="24"/>
          <w:szCs w:val="24"/>
        </w:rPr>
        <w:t>混合型发起式证券投资基金基金合同终止及基金财产清算的公告》，本基金自</w:t>
      </w:r>
      <w:r w:rsidRPr="00A6751E">
        <w:rPr>
          <w:rFonts w:ascii="Times New Roman" w:hAnsi="宋体" w:hint="eastAsia"/>
          <w:b w:val="0"/>
          <w:sz w:val="24"/>
          <w:szCs w:val="24"/>
        </w:rPr>
        <w:t>2018</w:t>
      </w:r>
      <w:r w:rsidRPr="00A6751E">
        <w:rPr>
          <w:rFonts w:ascii="Times New Roman" w:hAnsi="宋体" w:hint="eastAsia"/>
          <w:b w:val="0"/>
          <w:sz w:val="24"/>
          <w:szCs w:val="24"/>
        </w:rPr>
        <w:t>年</w:t>
      </w:r>
      <w:r w:rsidR="00AC4B68">
        <w:rPr>
          <w:rFonts w:ascii="Times New Roman" w:hAnsi="宋体" w:hint="eastAsia"/>
          <w:b w:val="0"/>
          <w:sz w:val="24"/>
          <w:szCs w:val="24"/>
        </w:rPr>
        <w:t>9</w:t>
      </w:r>
      <w:r w:rsidRPr="00A6751E">
        <w:rPr>
          <w:rFonts w:ascii="Times New Roman" w:hAnsi="宋体" w:hint="eastAsia"/>
          <w:b w:val="0"/>
          <w:sz w:val="24"/>
          <w:szCs w:val="24"/>
        </w:rPr>
        <w:t>月</w:t>
      </w:r>
      <w:r w:rsidR="00AC4B68">
        <w:rPr>
          <w:rFonts w:ascii="Times New Roman" w:hAnsi="宋体" w:hint="eastAsia"/>
          <w:b w:val="0"/>
          <w:sz w:val="24"/>
          <w:szCs w:val="24"/>
        </w:rPr>
        <w:t>4</w:t>
      </w:r>
      <w:r w:rsidRPr="00A6751E">
        <w:rPr>
          <w:rFonts w:ascii="Times New Roman" w:hAnsi="宋体" w:hint="eastAsia"/>
          <w:b w:val="0"/>
          <w:sz w:val="24"/>
          <w:szCs w:val="24"/>
        </w:rPr>
        <w:t>日起进入清算程序，故本基金清算起始日为</w:t>
      </w:r>
      <w:r w:rsidRPr="00A6751E">
        <w:rPr>
          <w:rFonts w:ascii="Times New Roman" w:hAnsi="宋体" w:hint="eastAsia"/>
          <w:b w:val="0"/>
          <w:sz w:val="24"/>
          <w:szCs w:val="24"/>
        </w:rPr>
        <w:t>2018</w:t>
      </w:r>
      <w:r w:rsidRPr="00A6751E">
        <w:rPr>
          <w:rFonts w:ascii="Times New Roman" w:hAnsi="宋体" w:hint="eastAsia"/>
          <w:b w:val="0"/>
          <w:sz w:val="24"/>
          <w:szCs w:val="24"/>
        </w:rPr>
        <w:t>年</w:t>
      </w:r>
      <w:r w:rsidR="00AC4B68">
        <w:rPr>
          <w:rFonts w:ascii="Times New Roman" w:hAnsi="宋体" w:hint="eastAsia"/>
          <w:b w:val="0"/>
          <w:sz w:val="24"/>
          <w:szCs w:val="24"/>
        </w:rPr>
        <w:t>9</w:t>
      </w:r>
      <w:r w:rsidRPr="00A6751E">
        <w:rPr>
          <w:rFonts w:ascii="Times New Roman" w:hAnsi="宋体" w:hint="eastAsia"/>
          <w:b w:val="0"/>
          <w:sz w:val="24"/>
          <w:szCs w:val="24"/>
        </w:rPr>
        <w:t>月</w:t>
      </w:r>
      <w:r w:rsidR="00AC4B68">
        <w:rPr>
          <w:rFonts w:ascii="Times New Roman" w:hAnsi="宋体" w:hint="eastAsia"/>
          <w:b w:val="0"/>
          <w:sz w:val="24"/>
          <w:szCs w:val="24"/>
        </w:rPr>
        <w:t>4</w:t>
      </w:r>
      <w:r w:rsidRPr="00A6751E">
        <w:rPr>
          <w:rFonts w:ascii="Times New Roman" w:hAnsi="宋体" w:hint="eastAsia"/>
          <w:b w:val="0"/>
          <w:sz w:val="24"/>
          <w:szCs w:val="24"/>
        </w:rPr>
        <w:t>日。</w:t>
      </w:r>
    </w:p>
    <w:p w:rsidR="00A969BA" w:rsidRPr="00A6751E" w:rsidRDefault="00A969BA" w:rsidP="00423FFC">
      <w:pPr>
        <w:spacing w:line="360" w:lineRule="auto"/>
      </w:pPr>
    </w:p>
    <w:p w:rsidR="00A969BA" w:rsidRDefault="00A969BA" w:rsidP="00423FFC">
      <w:pPr>
        <w:pStyle w:val="a3"/>
        <w:numPr>
          <w:ilvl w:val="0"/>
          <w:numId w:val="2"/>
        </w:numPr>
        <w:spacing w:before="0" w:after="0" w:line="360" w:lineRule="auto"/>
        <w:jc w:val="both"/>
        <w:rPr>
          <w:rFonts w:ascii="Times New Roman" w:hAnsi="宋体"/>
          <w:b w:val="0"/>
          <w:sz w:val="24"/>
          <w:szCs w:val="24"/>
        </w:rPr>
      </w:pPr>
      <w:r w:rsidRPr="00A969BA">
        <w:rPr>
          <w:rFonts w:ascii="Times New Roman" w:hAnsi="宋体" w:hint="eastAsia"/>
          <w:b w:val="0"/>
          <w:sz w:val="24"/>
          <w:szCs w:val="24"/>
        </w:rPr>
        <w:t>清算报表编制基础</w:t>
      </w:r>
    </w:p>
    <w:p w:rsidR="00A969BA" w:rsidRDefault="00A969BA" w:rsidP="00423FFC">
      <w:pPr>
        <w:pStyle w:val="a3"/>
        <w:spacing w:before="0" w:after="0" w:line="360" w:lineRule="auto"/>
        <w:jc w:val="both"/>
        <w:rPr>
          <w:rFonts w:ascii="Times New Roman" w:hAnsi="宋体"/>
          <w:b w:val="0"/>
          <w:sz w:val="24"/>
          <w:szCs w:val="24"/>
        </w:rPr>
      </w:pPr>
    </w:p>
    <w:p w:rsidR="00A969BA" w:rsidRPr="00A6751E" w:rsidRDefault="00A6751E" w:rsidP="00423FFC">
      <w:pPr>
        <w:pStyle w:val="a3"/>
        <w:spacing w:before="0" w:after="0" w:line="360" w:lineRule="auto"/>
        <w:ind w:firstLineChars="200" w:firstLine="480"/>
        <w:jc w:val="both"/>
        <w:rPr>
          <w:rFonts w:ascii="Times New Roman" w:hAnsi="宋体"/>
          <w:b w:val="0"/>
          <w:sz w:val="24"/>
          <w:szCs w:val="24"/>
        </w:rPr>
        <w:sectPr w:rsidR="00A969BA" w:rsidRPr="00A6751E">
          <w:pgSz w:w="11920" w:h="16840"/>
          <w:pgMar w:top="1100" w:right="1300" w:bottom="1180" w:left="1420" w:header="878" w:footer="997" w:gutter="0"/>
          <w:cols w:space="720" w:equalWidth="0">
            <w:col w:w="9200"/>
          </w:cols>
          <w:noEndnote/>
        </w:sectPr>
      </w:pPr>
      <w:r w:rsidRPr="00A6751E">
        <w:rPr>
          <w:rFonts w:ascii="Times New Roman" w:hAnsi="宋体" w:hint="eastAsia"/>
          <w:b w:val="0"/>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A969BA" w:rsidRPr="00D47563" w:rsidRDefault="00A6751E" w:rsidP="00A6751E">
      <w:pPr>
        <w:widowControl/>
        <w:rPr>
          <w:rFonts w:ascii="Times New Roman" w:eastAsia="宋体" w:hAnsi="宋体" w:cs="Times New Roman"/>
          <w:b/>
          <w:bCs/>
          <w:sz w:val="28"/>
          <w:szCs w:val="28"/>
        </w:rPr>
      </w:pPr>
      <w:r w:rsidRPr="00D47563">
        <w:rPr>
          <w:rFonts w:ascii="Times New Roman" w:eastAsia="宋体" w:hAnsi="宋体" w:cs="Times New Roman" w:hint="eastAsia"/>
          <w:b/>
          <w:bCs/>
          <w:sz w:val="28"/>
          <w:szCs w:val="28"/>
        </w:rPr>
        <w:t>五</w:t>
      </w:r>
      <w:r w:rsidRPr="00D47563">
        <w:rPr>
          <w:rFonts w:ascii="Times New Roman" w:eastAsia="宋体" w:hAnsi="宋体" w:cs="Times New Roman"/>
          <w:b/>
          <w:bCs/>
          <w:sz w:val="28"/>
          <w:szCs w:val="28"/>
        </w:rPr>
        <w:t>、清算情况</w:t>
      </w:r>
    </w:p>
    <w:p w:rsidR="00A6751E" w:rsidRPr="00423FFC" w:rsidRDefault="00A6751E" w:rsidP="00A969BA">
      <w:pPr>
        <w:rPr>
          <w:sz w:val="24"/>
          <w:szCs w:val="24"/>
        </w:rPr>
      </w:pPr>
    </w:p>
    <w:p w:rsidR="00A6751E" w:rsidRPr="003E71EC" w:rsidRDefault="00A6751E" w:rsidP="00423FFC">
      <w:pPr>
        <w:pStyle w:val="a3"/>
        <w:spacing w:before="0" w:after="0" w:line="360" w:lineRule="auto"/>
        <w:ind w:firstLineChars="200" w:firstLine="480"/>
        <w:jc w:val="both"/>
        <w:rPr>
          <w:rFonts w:ascii="Times New Roman" w:hAnsi="宋体"/>
          <w:b w:val="0"/>
          <w:sz w:val="24"/>
          <w:szCs w:val="24"/>
        </w:rPr>
      </w:pPr>
      <w:r w:rsidRPr="003E71EC">
        <w:rPr>
          <w:rFonts w:ascii="Times New Roman" w:hAnsi="宋体" w:hint="eastAsia"/>
          <w:b w:val="0"/>
          <w:sz w:val="24"/>
          <w:szCs w:val="24"/>
        </w:rPr>
        <w:t>自</w:t>
      </w:r>
      <w:r w:rsidRPr="003E71EC">
        <w:rPr>
          <w:rFonts w:ascii="Times New Roman" w:hAnsi="宋体" w:hint="eastAsia"/>
          <w:b w:val="0"/>
          <w:sz w:val="24"/>
          <w:szCs w:val="24"/>
        </w:rPr>
        <w:t>2018</w:t>
      </w:r>
      <w:r w:rsidRPr="003E71EC">
        <w:rPr>
          <w:rFonts w:ascii="Times New Roman" w:hAnsi="宋体" w:hint="eastAsia"/>
          <w:b w:val="0"/>
          <w:sz w:val="24"/>
          <w:szCs w:val="24"/>
        </w:rPr>
        <w:t>年</w:t>
      </w:r>
      <w:r w:rsidR="00AC4B68">
        <w:rPr>
          <w:rFonts w:ascii="Times New Roman" w:hAnsi="宋体" w:hint="eastAsia"/>
          <w:b w:val="0"/>
          <w:sz w:val="24"/>
          <w:szCs w:val="24"/>
        </w:rPr>
        <w:t>9</w:t>
      </w:r>
      <w:r w:rsidRPr="003E71EC">
        <w:rPr>
          <w:rFonts w:ascii="Times New Roman" w:hAnsi="宋体" w:hint="eastAsia"/>
          <w:b w:val="0"/>
          <w:sz w:val="24"/>
          <w:szCs w:val="24"/>
        </w:rPr>
        <w:t>月</w:t>
      </w:r>
      <w:r w:rsidR="00B16CF9">
        <w:rPr>
          <w:rFonts w:ascii="Times New Roman" w:hAnsi="宋体" w:hint="eastAsia"/>
          <w:b w:val="0"/>
          <w:sz w:val="24"/>
          <w:szCs w:val="24"/>
        </w:rPr>
        <w:t>4</w:t>
      </w:r>
      <w:r w:rsidRPr="003E71EC">
        <w:rPr>
          <w:rFonts w:ascii="Times New Roman" w:hAnsi="宋体" w:hint="eastAsia"/>
          <w:b w:val="0"/>
          <w:sz w:val="24"/>
          <w:szCs w:val="24"/>
        </w:rPr>
        <w:t>日至</w:t>
      </w:r>
      <w:r w:rsidRPr="00371A72">
        <w:rPr>
          <w:rFonts w:ascii="Times New Roman" w:hAnsi="宋体"/>
          <w:b w:val="0"/>
          <w:sz w:val="24"/>
          <w:szCs w:val="24"/>
        </w:rPr>
        <w:t>2018</w:t>
      </w:r>
      <w:r w:rsidRPr="00371A72">
        <w:rPr>
          <w:rFonts w:ascii="Times New Roman" w:hAnsi="宋体"/>
          <w:b w:val="0"/>
          <w:sz w:val="24"/>
          <w:szCs w:val="24"/>
        </w:rPr>
        <w:t>年</w:t>
      </w:r>
      <w:r w:rsidR="00AC4B68">
        <w:rPr>
          <w:rFonts w:ascii="Times New Roman" w:hAnsi="宋体" w:hint="eastAsia"/>
          <w:b w:val="0"/>
          <w:sz w:val="24"/>
          <w:szCs w:val="24"/>
        </w:rPr>
        <w:t>9</w:t>
      </w:r>
      <w:r w:rsidRPr="00371A72">
        <w:rPr>
          <w:rFonts w:ascii="Times New Roman" w:hAnsi="宋体"/>
          <w:b w:val="0"/>
          <w:sz w:val="24"/>
          <w:szCs w:val="24"/>
        </w:rPr>
        <w:t>月</w:t>
      </w:r>
      <w:r w:rsidR="00B62C99">
        <w:rPr>
          <w:rFonts w:ascii="Times New Roman" w:hAnsi="宋体" w:hint="eastAsia"/>
          <w:b w:val="0"/>
          <w:sz w:val="24"/>
          <w:szCs w:val="24"/>
        </w:rPr>
        <w:t>10</w:t>
      </w:r>
      <w:r w:rsidRPr="00371A72">
        <w:rPr>
          <w:rFonts w:ascii="Times New Roman" w:hAnsi="宋体"/>
          <w:b w:val="0"/>
          <w:sz w:val="24"/>
          <w:szCs w:val="24"/>
        </w:rPr>
        <w:t>日</w:t>
      </w:r>
      <w:r w:rsidRPr="00371A72">
        <w:rPr>
          <w:rFonts w:ascii="Times New Roman" w:hAnsi="宋体" w:hint="eastAsia"/>
          <w:b w:val="0"/>
          <w:sz w:val="24"/>
          <w:szCs w:val="24"/>
        </w:rPr>
        <w:t>止</w:t>
      </w:r>
      <w:r w:rsidRPr="003E71EC">
        <w:rPr>
          <w:rFonts w:ascii="Times New Roman" w:hAnsi="宋体" w:hint="eastAsia"/>
          <w:b w:val="0"/>
          <w:sz w:val="24"/>
          <w:szCs w:val="24"/>
        </w:rPr>
        <w:t>清算期间，基金财产清算小组对本基金的资产、负债进行清算，全部清算工作按清算原则和清算手续进行。具体清算情况如下：</w:t>
      </w:r>
    </w:p>
    <w:p w:rsidR="00A6751E" w:rsidRPr="003E71EC" w:rsidRDefault="00A6751E" w:rsidP="00423FFC">
      <w:pPr>
        <w:pStyle w:val="a3"/>
        <w:spacing w:before="0" w:after="0" w:line="360" w:lineRule="auto"/>
        <w:ind w:firstLineChars="200" w:firstLine="480"/>
        <w:jc w:val="both"/>
        <w:rPr>
          <w:rFonts w:ascii="Times New Roman" w:hAnsi="宋体"/>
          <w:b w:val="0"/>
          <w:sz w:val="24"/>
          <w:szCs w:val="24"/>
        </w:rPr>
      </w:pPr>
    </w:p>
    <w:p w:rsidR="00A6751E" w:rsidRPr="003E71EC" w:rsidRDefault="00A6751E" w:rsidP="00423FFC">
      <w:pPr>
        <w:pStyle w:val="a3"/>
        <w:numPr>
          <w:ilvl w:val="0"/>
          <w:numId w:val="14"/>
        </w:numPr>
        <w:spacing w:before="0" w:after="0" w:line="360" w:lineRule="auto"/>
        <w:jc w:val="both"/>
        <w:rPr>
          <w:rFonts w:ascii="Times New Roman" w:hAnsi="宋体"/>
          <w:b w:val="0"/>
          <w:sz w:val="24"/>
          <w:szCs w:val="24"/>
        </w:rPr>
      </w:pPr>
      <w:bookmarkStart w:id="1" w:name="OLE_LINK8"/>
      <w:bookmarkStart w:id="2" w:name="OLE_LINK9"/>
      <w:r w:rsidRPr="003E71EC">
        <w:rPr>
          <w:rFonts w:ascii="Times New Roman" w:hAnsi="宋体" w:hint="eastAsia"/>
          <w:b w:val="0"/>
          <w:sz w:val="24"/>
          <w:szCs w:val="24"/>
        </w:rPr>
        <w:t>资产处置情况</w:t>
      </w:r>
    </w:p>
    <w:bookmarkEnd w:id="1"/>
    <w:bookmarkEnd w:id="2"/>
    <w:p w:rsidR="00A6751E" w:rsidRPr="003E71EC" w:rsidRDefault="00A6751E" w:rsidP="00423FFC">
      <w:pPr>
        <w:pStyle w:val="a3"/>
        <w:spacing w:before="0" w:after="0" w:line="360" w:lineRule="auto"/>
        <w:ind w:firstLineChars="200" w:firstLine="480"/>
        <w:jc w:val="both"/>
        <w:rPr>
          <w:rFonts w:ascii="Times New Roman" w:hAnsi="宋体"/>
          <w:b w:val="0"/>
          <w:sz w:val="24"/>
          <w:szCs w:val="24"/>
        </w:rPr>
      </w:pPr>
    </w:p>
    <w:p w:rsidR="00A6751E" w:rsidRDefault="00BC7BD4"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1</w:t>
      </w:r>
      <w:r>
        <w:rPr>
          <w:rFonts w:ascii="Times New Roman" w:hAnsi="宋体" w:hint="eastAsia"/>
          <w:b w:val="0"/>
          <w:sz w:val="24"/>
          <w:szCs w:val="24"/>
        </w:rPr>
        <w:t>）</w:t>
      </w:r>
      <w:r w:rsidR="00827D25" w:rsidRPr="00827D25">
        <w:rPr>
          <w:rFonts w:ascii="Times New Roman" w:hAnsi="宋体" w:hint="eastAsia"/>
          <w:b w:val="0"/>
          <w:sz w:val="24"/>
          <w:szCs w:val="24"/>
        </w:rPr>
        <w:t>本基金最后运作日结算备付金为人民币</w:t>
      </w:r>
      <w:r w:rsidR="00827D25" w:rsidRPr="00827D25">
        <w:rPr>
          <w:rFonts w:ascii="Times New Roman" w:hAnsi="宋体" w:hint="eastAsia"/>
          <w:b w:val="0"/>
          <w:sz w:val="24"/>
          <w:szCs w:val="24"/>
        </w:rPr>
        <w:t>608,345.92</w:t>
      </w:r>
      <w:r w:rsidR="00827D25" w:rsidRPr="00827D25">
        <w:rPr>
          <w:rFonts w:ascii="Times New Roman" w:hAnsi="宋体" w:hint="eastAsia"/>
          <w:b w:val="0"/>
          <w:sz w:val="24"/>
          <w:szCs w:val="24"/>
        </w:rPr>
        <w:t>元。清算期间，因调整备付金金额，于</w:t>
      </w:r>
      <w:r w:rsidR="00827D25" w:rsidRPr="00827D25">
        <w:rPr>
          <w:rFonts w:ascii="Times New Roman" w:hAnsi="宋体" w:hint="eastAsia"/>
          <w:b w:val="0"/>
          <w:sz w:val="24"/>
          <w:szCs w:val="24"/>
        </w:rPr>
        <w:t>2018</w:t>
      </w:r>
      <w:r w:rsidR="00827D25" w:rsidRPr="00827D25">
        <w:rPr>
          <w:rFonts w:ascii="Times New Roman" w:hAnsi="宋体" w:hint="eastAsia"/>
          <w:b w:val="0"/>
          <w:sz w:val="24"/>
          <w:szCs w:val="24"/>
        </w:rPr>
        <w:t>年</w:t>
      </w:r>
      <w:r w:rsidR="00827D25" w:rsidRPr="00827D25">
        <w:rPr>
          <w:rFonts w:ascii="Times New Roman" w:hAnsi="宋体" w:hint="eastAsia"/>
          <w:b w:val="0"/>
          <w:sz w:val="24"/>
          <w:szCs w:val="24"/>
        </w:rPr>
        <w:t>9</w:t>
      </w:r>
      <w:r w:rsidR="00827D25" w:rsidRPr="00827D25">
        <w:rPr>
          <w:rFonts w:ascii="Times New Roman" w:hAnsi="宋体" w:hint="eastAsia"/>
          <w:b w:val="0"/>
          <w:sz w:val="24"/>
          <w:szCs w:val="24"/>
        </w:rPr>
        <w:t>月</w:t>
      </w:r>
      <w:r w:rsidR="00827D25" w:rsidRPr="00827D25">
        <w:rPr>
          <w:rFonts w:ascii="Times New Roman" w:hAnsi="宋体" w:hint="eastAsia"/>
          <w:b w:val="0"/>
          <w:sz w:val="24"/>
          <w:szCs w:val="24"/>
        </w:rPr>
        <w:t>4</w:t>
      </w:r>
      <w:r w:rsidR="00827D25" w:rsidRPr="00827D25">
        <w:rPr>
          <w:rFonts w:ascii="Times New Roman" w:hAnsi="宋体" w:hint="eastAsia"/>
          <w:b w:val="0"/>
          <w:sz w:val="24"/>
          <w:szCs w:val="24"/>
        </w:rPr>
        <w:t>日调整为人民币</w:t>
      </w:r>
      <w:r w:rsidR="00827D25" w:rsidRPr="00827D25">
        <w:rPr>
          <w:rFonts w:ascii="Times New Roman" w:hAnsi="宋体" w:hint="eastAsia"/>
          <w:b w:val="0"/>
          <w:sz w:val="24"/>
          <w:szCs w:val="24"/>
        </w:rPr>
        <w:t>170,212.47</w:t>
      </w:r>
      <w:r w:rsidR="00827D25" w:rsidRPr="00827D25">
        <w:rPr>
          <w:rFonts w:ascii="Times New Roman" w:hAnsi="宋体" w:hint="eastAsia"/>
          <w:b w:val="0"/>
          <w:sz w:val="24"/>
          <w:szCs w:val="24"/>
        </w:rPr>
        <w:t>元。该款项将于下月交易所调整备付金时划入托管户。若划付清算款前仍未进行调整，基金管理人以自有资金先行垫付，垫付资金将于划付清算款前划入本基金托管账户。基金管理人垫付的资金将于清算期后的结息日后退还给基金管理人，实际结息金额与垫付金额的尾差由基金管理人承担。</w:t>
      </w:r>
    </w:p>
    <w:p w:rsidR="00827D25" w:rsidRPr="00827D25" w:rsidRDefault="00827D25" w:rsidP="00423FFC">
      <w:pPr>
        <w:pStyle w:val="a3"/>
        <w:spacing w:before="0" w:after="0" w:line="360" w:lineRule="auto"/>
        <w:ind w:firstLineChars="200" w:firstLine="643"/>
        <w:jc w:val="both"/>
      </w:pPr>
    </w:p>
    <w:p w:rsidR="00827D25" w:rsidRDefault="00BC7BD4"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2</w:t>
      </w:r>
      <w:r>
        <w:rPr>
          <w:rFonts w:ascii="Times New Roman" w:hAnsi="宋体" w:hint="eastAsia"/>
          <w:b w:val="0"/>
          <w:sz w:val="24"/>
          <w:szCs w:val="24"/>
        </w:rPr>
        <w:t>）</w:t>
      </w:r>
      <w:r w:rsidR="00827D25" w:rsidRPr="00827D25">
        <w:rPr>
          <w:rFonts w:ascii="Times New Roman" w:hAnsi="宋体" w:hint="eastAsia"/>
          <w:b w:val="0"/>
          <w:sz w:val="24"/>
          <w:szCs w:val="24"/>
        </w:rPr>
        <w:t>本基金最后运作日存出保证金为人民币</w:t>
      </w:r>
      <w:r w:rsidR="00827D25" w:rsidRPr="00827D25">
        <w:rPr>
          <w:rFonts w:ascii="Times New Roman" w:hAnsi="宋体" w:hint="eastAsia"/>
          <w:b w:val="0"/>
          <w:sz w:val="24"/>
          <w:szCs w:val="24"/>
        </w:rPr>
        <w:t>104,564.79</w:t>
      </w:r>
      <w:r w:rsidR="00827D25" w:rsidRPr="00827D25">
        <w:rPr>
          <w:rFonts w:ascii="Times New Roman" w:hAnsi="宋体" w:hint="eastAsia"/>
          <w:b w:val="0"/>
          <w:sz w:val="24"/>
          <w:szCs w:val="24"/>
        </w:rPr>
        <w:t>元。清算期间，因调整保证金金额，于</w:t>
      </w:r>
      <w:r w:rsidR="00827D25" w:rsidRPr="00827D25">
        <w:rPr>
          <w:rFonts w:ascii="Times New Roman" w:hAnsi="宋体" w:hint="eastAsia"/>
          <w:b w:val="0"/>
          <w:sz w:val="24"/>
          <w:szCs w:val="24"/>
        </w:rPr>
        <w:t>2018</w:t>
      </w:r>
      <w:r w:rsidR="00827D25" w:rsidRPr="00827D25">
        <w:rPr>
          <w:rFonts w:ascii="Times New Roman" w:hAnsi="宋体" w:hint="eastAsia"/>
          <w:b w:val="0"/>
          <w:sz w:val="24"/>
          <w:szCs w:val="24"/>
        </w:rPr>
        <w:t>年</w:t>
      </w:r>
      <w:r w:rsidR="00827D25" w:rsidRPr="00827D25">
        <w:rPr>
          <w:rFonts w:ascii="Times New Roman" w:hAnsi="宋体" w:hint="eastAsia"/>
          <w:b w:val="0"/>
          <w:sz w:val="24"/>
          <w:szCs w:val="24"/>
        </w:rPr>
        <w:t>9</w:t>
      </w:r>
      <w:r w:rsidR="00827D25" w:rsidRPr="00827D25">
        <w:rPr>
          <w:rFonts w:ascii="Times New Roman" w:hAnsi="宋体" w:hint="eastAsia"/>
          <w:b w:val="0"/>
          <w:sz w:val="24"/>
          <w:szCs w:val="24"/>
        </w:rPr>
        <w:t>月</w:t>
      </w:r>
      <w:r w:rsidR="00827D25" w:rsidRPr="00827D25">
        <w:rPr>
          <w:rFonts w:ascii="Times New Roman" w:hAnsi="宋体" w:hint="eastAsia"/>
          <w:b w:val="0"/>
          <w:sz w:val="24"/>
          <w:szCs w:val="24"/>
        </w:rPr>
        <w:t>4</w:t>
      </w:r>
      <w:r w:rsidR="00827D25" w:rsidRPr="00827D25">
        <w:rPr>
          <w:rFonts w:ascii="Times New Roman" w:hAnsi="宋体" w:hint="eastAsia"/>
          <w:b w:val="0"/>
          <w:sz w:val="24"/>
          <w:szCs w:val="24"/>
        </w:rPr>
        <w:t>日调整为人民币</w:t>
      </w:r>
      <w:r w:rsidR="00827D25" w:rsidRPr="00827D25">
        <w:rPr>
          <w:rFonts w:ascii="Times New Roman" w:hAnsi="宋体" w:hint="eastAsia"/>
          <w:b w:val="0"/>
          <w:sz w:val="24"/>
          <w:szCs w:val="24"/>
        </w:rPr>
        <w:t>134,111.29</w:t>
      </w:r>
      <w:r w:rsidR="00827D25" w:rsidRPr="00827D25">
        <w:rPr>
          <w:rFonts w:ascii="Times New Roman" w:hAnsi="宋体" w:hint="eastAsia"/>
          <w:b w:val="0"/>
          <w:sz w:val="24"/>
          <w:szCs w:val="24"/>
        </w:rPr>
        <w:t>元。该款项将于下月交易所调整备付金时划入托管户。若划付清算款前仍未进行调整，基金管理人以自有资金先行垫付，垫付资金将于划付清算款前划入本基金托管账户。基金管理人垫付的资金将于清算期后的结息日后退还给基金管理人，实际结息金额与垫付金额的尾差由基金管理人承担。</w:t>
      </w:r>
    </w:p>
    <w:p w:rsidR="00827D25" w:rsidRPr="00827D25" w:rsidRDefault="00827D25" w:rsidP="00423FFC">
      <w:pPr>
        <w:pStyle w:val="a3"/>
        <w:spacing w:before="0" w:after="0" w:line="360" w:lineRule="auto"/>
      </w:pPr>
    </w:p>
    <w:p w:rsidR="005E0D92" w:rsidRPr="00940056" w:rsidRDefault="00BC7BD4"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3</w:t>
      </w:r>
      <w:r>
        <w:rPr>
          <w:rFonts w:ascii="Times New Roman" w:hAnsi="宋体" w:hint="eastAsia"/>
          <w:b w:val="0"/>
          <w:sz w:val="24"/>
          <w:szCs w:val="24"/>
        </w:rPr>
        <w:t>）</w:t>
      </w:r>
      <w:r w:rsidR="00827D25" w:rsidRPr="00827D25">
        <w:rPr>
          <w:rFonts w:ascii="Times New Roman" w:hAnsi="宋体" w:hint="eastAsia"/>
          <w:b w:val="0"/>
          <w:sz w:val="24"/>
          <w:szCs w:val="24"/>
        </w:rPr>
        <w:t>本基金最后运作日应收利息为人民币</w:t>
      </w:r>
      <w:r w:rsidR="00827D25" w:rsidRPr="00827D25">
        <w:rPr>
          <w:rFonts w:ascii="Times New Roman" w:hAnsi="宋体" w:hint="eastAsia"/>
          <w:b w:val="0"/>
          <w:sz w:val="24"/>
          <w:szCs w:val="24"/>
        </w:rPr>
        <w:t>21,054.11</w:t>
      </w:r>
      <w:r w:rsidR="00827D25" w:rsidRPr="00827D25">
        <w:rPr>
          <w:rFonts w:ascii="Times New Roman" w:hAnsi="宋体" w:hint="eastAsia"/>
          <w:b w:val="0"/>
          <w:sz w:val="24"/>
          <w:szCs w:val="24"/>
        </w:rPr>
        <w:t>元。其中应收银行存款利息人民币</w:t>
      </w:r>
      <w:r w:rsidR="00827D25" w:rsidRPr="00827D25">
        <w:rPr>
          <w:rFonts w:ascii="Times New Roman" w:hAnsi="宋体" w:hint="eastAsia"/>
          <w:b w:val="0"/>
          <w:sz w:val="24"/>
          <w:szCs w:val="24"/>
        </w:rPr>
        <w:t>19,086.62</w:t>
      </w:r>
      <w:r w:rsidR="00827D25" w:rsidRPr="00827D25">
        <w:rPr>
          <w:rFonts w:ascii="Times New Roman" w:hAnsi="宋体" w:hint="eastAsia"/>
          <w:b w:val="0"/>
          <w:sz w:val="24"/>
          <w:szCs w:val="24"/>
        </w:rPr>
        <w:t>元，应收结算备付金利息人民币</w:t>
      </w:r>
      <w:r w:rsidR="00827D25" w:rsidRPr="00827D25">
        <w:rPr>
          <w:rFonts w:ascii="Times New Roman" w:hAnsi="宋体" w:hint="eastAsia"/>
          <w:b w:val="0"/>
          <w:sz w:val="24"/>
          <w:szCs w:val="24"/>
        </w:rPr>
        <w:t>1,717.92</w:t>
      </w:r>
      <w:r w:rsidR="00827D25" w:rsidRPr="00827D25">
        <w:rPr>
          <w:rFonts w:ascii="Times New Roman" w:hAnsi="宋体" w:hint="eastAsia"/>
          <w:b w:val="0"/>
          <w:sz w:val="24"/>
          <w:szCs w:val="24"/>
        </w:rPr>
        <w:t>元，应收存出保证金利息人民币</w:t>
      </w:r>
      <w:r w:rsidR="00827D25" w:rsidRPr="00827D25">
        <w:rPr>
          <w:rFonts w:ascii="Times New Roman" w:hAnsi="宋体" w:hint="eastAsia"/>
          <w:b w:val="0"/>
          <w:sz w:val="24"/>
          <w:szCs w:val="24"/>
        </w:rPr>
        <w:t>249.57</w:t>
      </w:r>
      <w:r w:rsidR="00827D25" w:rsidRPr="00827D25">
        <w:rPr>
          <w:rFonts w:ascii="Times New Roman" w:hAnsi="宋体" w:hint="eastAsia"/>
          <w:b w:val="0"/>
          <w:sz w:val="24"/>
          <w:szCs w:val="24"/>
        </w:rPr>
        <w:t>元。截至</w:t>
      </w:r>
      <w:r w:rsidR="00827D25" w:rsidRPr="00827D25">
        <w:rPr>
          <w:rFonts w:ascii="Times New Roman" w:hAnsi="宋体" w:hint="eastAsia"/>
          <w:b w:val="0"/>
          <w:sz w:val="24"/>
          <w:szCs w:val="24"/>
        </w:rPr>
        <w:t>2018</w:t>
      </w:r>
      <w:r w:rsidR="00827D25" w:rsidRPr="00827D25">
        <w:rPr>
          <w:rFonts w:ascii="Times New Roman" w:hAnsi="宋体" w:hint="eastAsia"/>
          <w:b w:val="0"/>
          <w:sz w:val="24"/>
          <w:szCs w:val="24"/>
        </w:rPr>
        <w:t>年</w:t>
      </w:r>
      <w:r w:rsidR="00827D25" w:rsidRPr="00827D25">
        <w:rPr>
          <w:rFonts w:ascii="Times New Roman" w:hAnsi="宋体" w:hint="eastAsia"/>
          <w:b w:val="0"/>
          <w:sz w:val="24"/>
          <w:szCs w:val="24"/>
        </w:rPr>
        <w:t>9</w:t>
      </w:r>
      <w:r w:rsidR="00827D25" w:rsidRPr="00827D25">
        <w:rPr>
          <w:rFonts w:ascii="Times New Roman" w:hAnsi="宋体" w:hint="eastAsia"/>
          <w:b w:val="0"/>
          <w:sz w:val="24"/>
          <w:szCs w:val="24"/>
        </w:rPr>
        <w:t>月</w:t>
      </w:r>
      <w:r w:rsidR="00827D25" w:rsidRPr="00827D25">
        <w:rPr>
          <w:rFonts w:ascii="Times New Roman" w:hAnsi="宋体" w:hint="eastAsia"/>
          <w:b w:val="0"/>
          <w:sz w:val="24"/>
          <w:szCs w:val="24"/>
        </w:rPr>
        <w:t>10</w:t>
      </w:r>
      <w:r w:rsidR="00827D25" w:rsidRPr="00827D25">
        <w:rPr>
          <w:rFonts w:ascii="Times New Roman" w:hAnsi="宋体" w:hint="eastAsia"/>
          <w:b w:val="0"/>
          <w:sz w:val="24"/>
          <w:szCs w:val="24"/>
        </w:rPr>
        <w:t>日应收利息余额为人民币</w:t>
      </w:r>
      <w:r w:rsidR="00827D25" w:rsidRPr="00827D25">
        <w:rPr>
          <w:rFonts w:ascii="Times New Roman" w:hAnsi="宋体" w:hint="eastAsia"/>
          <w:b w:val="0"/>
          <w:sz w:val="24"/>
          <w:szCs w:val="24"/>
        </w:rPr>
        <w:t>31,465.87</w:t>
      </w:r>
      <w:r w:rsidR="00827D25" w:rsidRPr="00827D25">
        <w:rPr>
          <w:rFonts w:ascii="Times New Roman" w:hAnsi="宋体" w:hint="eastAsia"/>
          <w:b w:val="0"/>
          <w:sz w:val="24"/>
          <w:szCs w:val="24"/>
        </w:rPr>
        <w:t>元，其中应收银行存款利息人民币</w:t>
      </w:r>
      <w:r w:rsidR="00827D25" w:rsidRPr="00827D25">
        <w:rPr>
          <w:rFonts w:ascii="Times New Roman" w:hAnsi="宋体" w:hint="eastAsia"/>
          <w:b w:val="0"/>
          <w:sz w:val="24"/>
          <w:szCs w:val="24"/>
        </w:rPr>
        <w:t>29,402.48</w:t>
      </w:r>
      <w:r w:rsidR="00827D25" w:rsidRPr="00827D25">
        <w:rPr>
          <w:rFonts w:ascii="Times New Roman" w:hAnsi="宋体" w:hint="eastAsia"/>
          <w:b w:val="0"/>
          <w:sz w:val="24"/>
          <w:szCs w:val="24"/>
        </w:rPr>
        <w:t>元，应收结算备付金利息人民币</w:t>
      </w:r>
      <w:r w:rsidR="00827D25" w:rsidRPr="00827D25">
        <w:rPr>
          <w:rFonts w:ascii="Times New Roman" w:hAnsi="宋体" w:hint="eastAsia"/>
          <w:b w:val="0"/>
          <w:sz w:val="24"/>
          <w:szCs w:val="24"/>
        </w:rPr>
        <w:t>1,771.54</w:t>
      </w:r>
      <w:r w:rsidR="00827D25" w:rsidRPr="00827D25">
        <w:rPr>
          <w:rFonts w:ascii="Times New Roman" w:hAnsi="宋体" w:hint="eastAsia"/>
          <w:b w:val="0"/>
          <w:sz w:val="24"/>
          <w:szCs w:val="24"/>
        </w:rPr>
        <w:t>元，应收存出保证金利息人民币</w:t>
      </w:r>
      <w:r w:rsidR="00827D25" w:rsidRPr="00827D25">
        <w:rPr>
          <w:rFonts w:ascii="Times New Roman" w:hAnsi="宋体" w:hint="eastAsia"/>
          <w:b w:val="0"/>
          <w:sz w:val="24"/>
          <w:szCs w:val="24"/>
        </w:rPr>
        <w:t>291.85</w:t>
      </w:r>
      <w:r w:rsidR="00827D25" w:rsidRPr="00827D25">
        <w:rPr>
          <w:rFonts w:ascii="Times New Roman" w:hAnsi="宋体" w:hint="eastAsia"/>
          <w:b w:val="0"/>
          <w:sz w:val="24"/>
          <w:szCs w:val="24"/>
        </w:rPr>
        <w:t>元。基金管理人以自有资金先行垫付，垫付资金将于划付清算款前划入本基金托管账户。基金管理人垫付的资金将于清算期后的结息日后退还给基金管理人，实际结息金额与垫付金额的尾差由基金管理人承担。</w:t>
      </w:r>
    </w:p>
    <w:p w:rsidR="005E0D92" w:rsidRPr="005E0D92" w:rsidRDefault="005E0D92" w:rsidP="005E0D92"/>
    <w:p w:rsidR="00A6751E" w:rsidRDefault="00A6751E" w:rsidP="00656369">
      <w:pPr>
        <w:pStyle w:val="a3"/>
        <w:spacing w:before="0" w:after="0" w:line="360" w:lineRule="auto"/>
        <w:ind w:firstLineChars="250" w:firstLine="600"/>
        <w:jc w:val="both"/>
        <w:rPr>
          <w:rFonts w:ascii="Times New Roman" w:hAnsi="宋体"/>
          <w:b w:val="0"/>
          <w:sz w:val="24"/>
          <w:szCs w:val="24"/>
        </w:rPr>
      </w:pPr>
    </w:p>
    <w:p w:rsidR="0002371E" w:rsidRDefault="0002371E" w:rsidP="004D0FB5">
      <w:pPr>
        <w:pStyle w:val="a3"/>
        <w:spacing w:before="0" w:after="0" w:line="360" w:lineRule="auto"/>
        <w:ind w:firstLineChars="200" w:firstLine="480"/>
        <w:jc w:val="both"/>
        <w:rPr>
          <w:rFonts w:ascii="Times New Roman" w:hAnsi="宋体"/>
          <w:b w:val="0"/>
          <w:sz w:val="24"/>
          <w:szCs w:val="24"/>
        </w:rPr>
      </w:pPr>
    </w:p>
    <w:p w:rsidR="0002371E" w:rsidRDefault="0002371E" w:rsidP="004D0FB5">
      <w:pPr>
        <w:pStyle w:val="a3"/>
        <w:spacing w:before="0" w:after="0" w:line="360" w:lineRule="auto"/>
        <w:ind w:firstLineChars="200" w:firstLine="480"/>
        <w:jc w:val="both"/>
        <w:rPr>
          <w:rFonts w:ascii="Times New Roman" w:hAnsi="宋体"/>
          <w:b w:val="0"/>
          <w:sz w:val="24"/>
          <w:szCs w:val="24"/>
        </w:rPr>
      </w:pPr>
    </w:p>
    <w:p w:rsidR="00BC7BD4" w:rsidRDefault="00BC7BD4" w:rsidP="004D0FB5">
      <w:pPr>
        <w:pStyle w:val="a3"/>
        <w:spacing w:before="0" w:after="0" w:line="360" w:lineRule="auto"/>
        <w:ind w:firstLineChars="200" w:firstLine="480"/>
        <w:jc w:val="both"/>
        <w:rPr>
          <w:rFonts w:ascii="Times New Roman" w:hAnsi="宋体"/>
          <w:b w:val="0"/>
          <w:sz w:val="24"/>
          <w:szCs w:val="24"/>
        </w:rPr>
      </w:pPr>
    </w:p>
    <w:p w:rsidR="00BC7BD4" w:rsidRDefault="00BC7BD4" w:rsidP="004D0FB5">
      <w:pPr>
        <w:pStyle w:val="a3"/>
        <w:spacing w:before="0" w:after="0" w:line="360" w:lineRule="auto"/>
        <w:ind w:firstLineChars="200" w:firstLine="480"/>
        <w:jc w:val="both"/>
        <w:rPr>
          <w:rFonts w:ascii="Times New Roman" w:hAnsi="宋体"/>
          <w:b w:val="0"/>
          <w:sz w:val="24"/>
          <w:szCs w:val="24"/>
        </w:rPr>
      </w:pPr>
    </w:p>
    <w:p w:rsidR="004D0FB5" w:rsidRPr="004D0FB5" w:rsidRDefault="004D0FB5" w:rsidP="00423FFC">
      <w:pPr>
        <w:pStyle w:val="a3"/>
        <w:numPr>
          <w:ilvl w:val="0"/>
          <w:numId w:val="14"/>
        </w:numPr>
        <w:spacing w:before="0" w:after="0" w:line="360" w:lineRule="auto"/>
        <w:jc w:val="both"/>
        <w:rPr>
          <w:rFonts w:ascii="Times New Roman" w:hAnsi="宋体"/>
          <w:b w:val="0"/>
          <w:sz w:val="24"/>
          <w:szCs w:val="24"/>
        </w:rPr>
      </w:pPr>
      <w:r w:rsidRPr="004D0FB5">
        <w:rPr>
          <w:rFonts w:ascii="Times New Roman" w:hAnsi="宋体" w:hint="eastAsia"/>
          <w:b w:val="0"/>
          <w:sz w:val="24"/>
          <w:szCs w:val="24"/>
        </w:rPr>
        <w:t>负债清偿情况</w:t>
      </w:r>
    </w:p>
    <w:p w:rsidR="004D0FB5" w:rsidRPr="004D0FB5" w:rsidRDefault="004D0FB5" w:rsidP="00423FFC">
      <w:pPr>
        <w:pStyle w:val="a3"/>
        <w:spacing w:before="0" w:after="0" w:line="360" w:lineRule="auto"/>
        <w:ind w:firstLineChars="200" w:firstLine="480"/>
        <w:jc w:val="both"/>
        <w:rPr>
          <w:rFonts w:ascii="Times New Roman" w:hAnsi="宋体"/>
          <w:b w:val="0"/>
          <w:sz w:val="24"/>
          <w:szCs w:val="24"/>
        </w:rPr>
      </w:pPr>
    </w:p>
    <w:p w:rsidR="004D0FB5" w:rsidRPr="004D0FB5" w:rsidRDefault="004D0FB5"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1</w:t>
      </w:r>
      <w:r>
        <w:rPr>
          <w:rFonts w:ascii="Times New Roman" w:hAnsi="宋体" w:hint="eastAsia"/>
          <w:b w:val="0"/>
          <w:sz w:val="24"/>
          <w:szCs w:val="24"/>
        </w:rPr>
        <w:t>）</w:t>
      </w:r>
      <w:r w:rsidRPr="004D0FB5">
        <w:rPr>
          <w:rFonts w:ascii="Times New Roman" w:hAnsi="宋体" w:hint="eastAsia"/>
          <w:b w:val="0"/>
          <w:sz w:val="24"/>
          <w:szCs w:val="24"/>
        </w:rPr>
        <w:t>本基金最后运作日应付赎回款为人民币</w:t>
      </w:r>
      <w:r w:rsidR="00096170">
        <w:rPr>
          <w:rFonts w:ascii="Times New Roman" w:hAnsi="宋体" w:hint="eastAsia"/>
          <w:b w:val="0"/>
          <w:sz w:val="24"/>
          <w:szCs w:val="24"/>
        </w:rPr>
        <w:t>1,258,618.40</w:t>
      </w:r>
      <w:r w:rsidRPr="004D0FB5">
        <w:rPr>
          <w:rFonts w:ascii="Times New Roman" w:hAnsi="宋体" w:hint="eastAsia"/>
          <w:b w:val="0"/>
          <w:sz w:val="24"/>
          <w:szCs w:val="24"/>
        </w:rPr>
        <w:t>元，该款项已于</w:t>
      </w:r>
      <w:r w:rsidRPr="004D0FB5">
        <w:rPr>
          <w:rFonts w:ascii="Times New Roman" w:hAnsi="宋体" w:hint="eastAsia"/>
          <w:b w:val="0"/>
          <w:sz w:val="24"/>
          <w:szCs w:val="24"/>
        </w:rPr>
        <w:t>2018</w:t>
      </w:r>
      <w:r w:rsidRPr="004D0FB5">
        <w:rPr>
          <w:rFonts w:ascii="Times New Roman" w:hAnsi="宋体" w:hint="eastAsia"/>
          <w:b w:val="0"/>
          <w:sz w:val="24"/>
          <w:szCs w:val="24"/>
        </w:rPr>
        <w:t>年</w:t>
      </w:r>
      <w:r w:rsidR="00835C25">
        <w:rPr>
          <w:rFonts w:ascii="Times New Roman" w:hAnsi="宋体" w:hint="eastAsia"/>
          <w:b w:val="0"/>
          <w:sz w:val="24"/>
          <w:szCs w:val="24"/>
        </w:rPr>
        <w:t>9</w:t>
      </w:r>
      <w:r w:rsidRPr="004D0FB5">
        <w:rPr>
          <w:rFonts w:ascii="Times New Roman" w:hAnsi="宋体" w:hint="eastAsia"/>
          <w:b w:val="0"/>
          <w:sz w:val="24"/>
          <w:szCs w:val="24"/>
        </w:rPr>
        <w:t>月</w:t>
      </w:r>
      <w:r w:rsidR="00096170">
        <w:rPr>
          <w:rFonts w:ascii="Times New Roman" w:hAnsi="宋体" w:hint="eastAsia"/>
          <w:b w:val="0"/>
          <w:sz w:val="24"/>
          <w:szCs w:val="24"/>
        </w:rPr>
        <w:t>4</w:t>
      </w:r>
      <w:r w:rsidRPr="004D0FB5">
        <w:rPr>
          <w:rFonts w:ascii="Times New Roman" w:hAnsi="宋体" w:hint="eastAsia"/>
          <w:b w:val="0"/>
          <w:sz w:val="24"/>
          <w:szCs w:val="24"/>
        </w:rPr>
        <w:t>日及</w:t>
      </w:r>
      <w:r w:rsidRPr="004D0FB5">
        <w:rPr>
          <w:rFonts w:ascii="Times New Roman" w:hAnsi="宋体" w:hint="eastAsia"/>
          <w:b w:val="0"/>
          <w:sz w:val="24"/>
          <w:szCs w:val="24"/>
        </w:rPr>
        <w:t>2018</w:t>
      </w:r>
      <w:r w:rsidRPr="004D0FB5">
        <w:rPr>
          <w:rFonts w:ascii="Times New Roman" w:hAnsi="宋体" w:hint="eastAsia"/>
          <w:b w:val="0"/>
          <w:sz w:val="24"/>
          <w:szCs w:val="24"/>
        </w:rPr>
        <w:t>年</w:t>
      </w:r>
      <w:r w:rsidR="00835C25">
        <w:rPr>
          <w:rFonts w:ascii="Times New Roman" w:hAnsi="宋体" w:hint="eastAsia"/>
          <w:b w:val="0"/>
          <w:sz w:val="24"/>
          <w:szCs w:val="24"/>
        </w:rPr>
        <w:t>9</w:t>
      </w:r>
      <w:r w:rsidRPr="004D0FB5">
        <w:rPr>
          <w:rFonts w:ascii="Times New Roman" w:hAnsi="宋体" w:hint="eastAsia"/>
          <w:b w:val="0"/>
          <w:sz w:val="24"/>
          <w:szCs w:val="24"/>
        </w:rPr>
        <w:t>月</w:t>
      </w:r>
      <w:r w:rsidR="00096170">
        <w:rPr>
          <w:rFonts w:ascii="Times New Roman" w:hAnsi="宋体" w:hint="eastAsia"/>
          <w:b w:val="0"/>
          <w:sz w:val="24"/>
          <w:szCs w:val="24"/>
        </w:rPr>
        <w:t>5</w:t>
      </w:r>
      <w:r w:rsidRPr="004D0FB5">
        <w:rPr>
          <w:rFonts w:ascii="Times New Roman" w:hAnsi="宋体" w:hint="eastAsia"/>
          <w:b w:val="0"/>
          <w:sz w:val="24"/>
          <w:szCs w:val="24"/>
        </w:rPr>
        <w:t>日支付。</w:t>
      </w:r>
    </w:p>
    <w:p w:rsidR="004D0FB5" w:rsidRDefault="004D0FB5"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2</w:t>
      </w:r>
      <w:r>
        <w:rPr>
          <w:rFonts w:ascii="Times New Roman" w:hAnsi="宋体" w:hint="eastAsia"/>
          <w:b w:val="0"/>
          <w:sz w:val="24"/>
          <w:szCs w:val="24"/>
        </w:rPr>
        <w:t>）</w:t>
      </w:r>
      <w:r w:rsidRPr="004D0FB5">
        <w:rPr>
          <w:rFonts w:ascii="Times New Roman" w:hAnsi="宋体" w:hint="eastAsia"/>
          <w:b w:val="0"/>
          <w:sz w:val="24"/>
          <w:szCs w:val="24"/>
        </w:rPr>
        <w:t>本基金最后运作日应付管理人报酬为人民币</w:t>
      </w:r>
      <w:r w:rsidR="00473B9D">
        <w:rPr>
          <w:rFonts w:ascii="Times New Roman" w:hAnsi="宋体" w:hint="eastAsia"/>
          <w:b w:val="0"/>
          <w:sz w:val="24"/>
          <w:szCs w:val="24"/>
        </w:rPr>
        <w:t>54,004.50</w:t>
      </w:r>
      <w:r w:rsidRPr="004D0FB5">
        <w:rPr>
          <w:rFonts w:ascii="Times New Roman" w:hAnsi="宋体" w:hint="eastAsia"/>
          <w:b w:val="0"/>
          <w:sz w:val="24"/>
          <w:szCs w:val="24"/>
        </w:rPr>
        <w:t>元，该款项已于</w:t>
      </w:r>
      <w:r w:rsidRPr="004D0FB5">
        <w:rPr>
          <w:rFonts w:ascii="Times New Roman" w:hAnsi="宋体" w:hint="eastAsia"/>
          <w:b w:val="0"/>
          <w:sz w:val="24"/>
          <w:szCs w:val="24"/>
        </w:rPr>
        <w:t>201</w:t>
      </w:r>
      <w:r w:rsidRPr="004D0FB5">
        <w:rPr>
          <w:rFonts w:ascii="Times New Roman" w:hAnsi="宋体"/>
          <w:b w:val="0"/>
          <w:sz w:val="24"/>
          <w:szCs w:val="24"/>
        </w:rPr>
        <w:t>8</w:t>
      </w:r>
      <w:r w:rsidRPr="004D0FB5">
        <w:rPr>
          <w:rFonts w:ascii="Times New Roman" w:hAnsi="宋体" w:hint="eastAsia"/>
          <w:b w:val="0"/>
          <w:sz w:val="24"/>
          <w:szCs w:val="24"/>
        </w:rPr>
        <w:t>年</w:t>
      </w:r>
      <w:r w:rsidR="003744FC">
        <w:rPr>
          <w:rFonts w:ascii="Times New Roman" w:hAnsi="宋体" w:hint="eastAsia"/>
          <w:b w:val="0"/>
          <w:sz w:val="24"/>
          <w:szCs w:val="24"/>
        </w:rPr>
        <w:t>9</w:t>
      </w:r>
      <w:r w:rsidRPr="004D0FB5">
        <w:rPr>
          <w:rFonts w:ascii="Times New Roman" w:hAnsi="宋体" w:hint="eastAsia"/>
          <w:b w:val="0"/>
          <w:sz w:val="24"/>
          <w:szCs w:val="24"/>
        </w:rPr>
        <w:t>月</w:t>
      </w:r>
      <w:r w:rsidR="003744FC">
        <w:rPr>
          <w:rFonts w:ascii="Times New Roman" w:hAnsi="宋体" w:hint="eastAsia"/>
          <w:b w:val="0"/>
          <w:sz w:val="24"/>
          <w:szCs w:val="24"/>
        </w:rPr>
        <w:t>5</w:t>
      </w:r>
      <w:r w:rsidRPr="004D0FB5">
        <w:rPr>
          <w:rFonts w:ascii="Times New Roman" w:hAnsi="宋体" w:hint="eastAsia"/>
          <w:b w:val="0"/>
          <w:sz w:val="24"/>
          <w:szCs w:val="24"/>
        </w:rPr>
        <w:t>日支付。</w:t>
      </w:r>
    </w:p>
    <w:p w:rsidR="004D0FB5" w:rsidRDefault="004D0FB5"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3</w:t>
      </w:r>
      <w:r>
        <w:rPr>
          <w:rFonts w:ascii="Times New Roman" w:hAnsi="宋体" w:hint="eastAsia"/>
          <w:b w:val="0"/>
          <w:sz w:val="24"/>
          <w:szCs w:val="24"/>
        </w:rPr>
        <w:t>）</w:t>
      </w:r>
      <w:r w:rsidRPr="004D0FB5">
        <w:rPr>
          <w:rFonts w:ascii="Times New Roman" w:hAnsi="宋体" w:hint="eastAsia"/>
          <w:b w:val="0"/>
          <w:sz w:val="24"/>
          <w:szCs w:val="24"/>
        </w:rPr>
        <w:t>本基金最后运作日应付托管费为人民币</w:t>
      </w:r>
      <w:r w:rsidR="00473B9D">
        <w:rPr>
          <w:rFonts w:ascii="Times New Roman" w:hAnsi="宋体" w:hint="eastAsia"/>
          <w:b w:val="0"/>
          <w:sz w:val="24"/>
          <w:szCs w:val="24"/>
        </w:rPr>
        <w:t>7,200.60</w:t>
      </w:r>
      <w:r w:rsidRPr="004D0FB5">
        <w:rPr>
          <w:rFonts w:ascii="Times New Roman" w:hAnsi="宋体" w:hint="eastAsia"/>
          <w:b w:val="0"/>
          <w:sz w:val="24"/>
          <w:szCs w:val="24"/>
        </w:rPr>
        <w:t>元，该款项已于</w:t>
      </w:r>
      <w:r w:rsidRPr="004D0FB5">
        <w:rPr>
          <w:rFonts w:ascii="Times New Roman" w:hAnsi="宋体" w:hint="eastAsia"/>
          <w:b w:val="0"/>
          <w:sz w:val="24"/>
          <w:szCs w:val="24"/>
        </w:rPr>
        <w:t>201</w:t>
      </w:r>
      <w:r w:rsidRPr="004D0FB5">
        <w:rPr>
          <w:rFonts w:ascii="Times New Roman" w:hAnsi="宋体"/>
          <w:b w:val="0"/>
          <w:sz w:val="24"/>
          <w:szCs w:val="24"/>
        </w:rPr>
        <w:t>8</w:t>
      </w:r>
      <w:r w:rsidRPr="004D0FB5">
        <w:rPr>
          <w:rFonts w:ascii="Times New Roman" w:hAnsi="宋体" w:hint="eastAsia"/>
          <w:b w:val="0"/>
          <w:sz w:val="24"/>
          <w:szCs w:val="24"/>
        </w:rPr>
        <w:t>年</w:t>
      </w:r>
      <w:r w:rsidR="003744FC">
        <w:rPr>
          <w:rFonts w:ascii="Times New Roman" w:hAnsi="宋体" w:hint="eastAsia"/>
          <w:b w:val="0"/>
          <w:sz w:val="24"/>
          <w:szCs w:val="24"/>
        </w:rPr>
        <w:t>9</w:t>
      </w:r>
      <w:r w:rsidRPr="004D0FB5">
        <w:rPr>
          <w:rFonts w:ascii="Times New Roman" w:hAnsi="宋体" w:hint="eastAsia"/>
          <w:b w:val="0"/>
          <w:sz w:val="24"/>
          <w:szCs w:val="24"/>
        </w:rPr>
        <w:t>月</w:t>
      </w:r>
      <w:r w:rsidR="003744FC">
        <w:rPr>
          <w:rFonts w:ascii="Times New Roman" w:hAnsi="宋体" w:hint="eastAsia"/>
          <w:b w:val="0"/>
          <w:sz w:val="24"/>
          <w:szCs w:val="24"/>
        </w:rPr>
        <w:t>5</w:t>
      </w:r>
      <w:r w:rsidRPr="004D0FB5">
        <w:rPr>
          <w:rFonts w:ascii="Times New Roman" w:hAnsi="宋体" w:hint="eastAsia"/>
          <w:b w:val="0"/>
          <w:sz w:val="24"/>
          <w:szCs w:val="24"/>
        </w:rPr>
        <w:t>日支付。</w:t>
      </w:r>
    </w:p>
    <w:p w:rsidR="004D0FB5" w:rsidRDefault="004D0FB5"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4</w:t>
      </w:r>
      <w:r>
        <w:rPr>
          <w:rFonts w:ascii="Times New Roman" w:hAnsi="宋体" w:hint="eastAsia"/>
          <w:b w:val="0"/>
          <w:sz w:val="24"/>
          <w:szCs w:val="24"/>
        </w:rPr>
        <w:t>）</w:t>
      </w:r>
      <w:r w:rsidRPr="004D0FB5">
        <w:rPr>
          <w:rFonts w:ascii="Times New Roman" w:hAnsi="宋体" w:hint="eastAsia"/>
          <w:b w:val="0"/>
          <w:sz w:val="24"/>
          <w:szCs w:val="24"/>
        </w:rPr>
        <w:t>本基金最后运作日应付交易费用为人民</w:t>
      </w:r>
      <w:r w:rsidRPr="00B84229">
        <w:rPr>
          <w:rFonts w:ascii="Times New Roman" w:hAnsi="宋体" w:hint="eastAsia"/>
          <w:b w:val="0"/>
          <w:sz w:val="24"/>
          <w:szCs w:val="24"/>
        </w:rPr>
        <w:t>币</w:t>
      </w:r>
      <w:r w:rsidR="00473B9D">
        <w:rPr>
          <w:rFonts w:ascii="Times New Roman" w:hAnsi="宋体" w:hint="eastAsia"/>
          <w:b w:val="0"/>
          <w:sz w:val="24"/>
          <w:szCs w:val="24"/>
        </w:rPr>
        <w:t>66,585.57</w:t>
      </w:r>
      <w:r w:rsidRPr="004D0FB5">
        <w:rPr>
          <w:rFonts w:ascii="Times New Roman" w:hAnsi="宋体" w:hint="eastAsia"/>
          <w:b w:val="0"/>
          <w:sz w:val="24"/>
          <w:szCs w:val="24"/>
        </w:rPr>
        <w:t>元，为应付席位佣金，该款项已于</w:t>
      </w:r>
      <w:r w:rsidRPr="004D0FB5">
        <w:rPr>
          <w:rFonts w:ascii="Times New Roman" w:hAnsi="宋体" w:hint="eastAsia"/>
          <w:b w:val="0"/>
          <w:sz w:val="24"/>
          <w:szCs w:val="24"/>
        </w:rPr>
        <w:t>201</w:t>
      </w:r>
      <w:r w:rsidRPr="004D0FB5">
        <w:rPr>
          <w:rFonts w:ascii="Times New Roman" w:hAnsi="宋体"/>
          <w:b w:val="0"/>
          <w:sz w:val="24"/>
          <w:szCs w:val="24"/>
        </w:rPr>
        <w:t>8</w:t>
      </w:r>
      <w:r w:rsidRPr="004D0FB5">
        <w:rPr>
          <w:rFonts w:ascii="Times New Roman" w:hAnsi="宋体" w:hint="eastAsia"/>
          <w:b w:val="0"/>
          <w:sz w:val="24"/>
          <w:szCs w:val="24"/>
        </w:rPr>
        <w:t>年</w:t>
      </w:r>
      <w:r w:rsidR="003744FC">
        <w:rPr>
          <w:rFonts w:ascii="Times New Roman" w:hAnsi="宋体" w:hint="eastAsia"/>
          <w:b w:val="0"/>
          <w:sz w:val="24"/>
          <w:szCs w:val="24"/>
        </w:rPr>
        <w:t>9</w:t>
      </w:r>
      <w:r w:rsidRPr="004D0FB5">
        <w:rPr>
          <w:rFonts w:ascii="Times New Roman" w:hAnsi="宋体" w:hint="eastAsia"/>
          <w:b w:val="0"/>
          <w:sz w:val="24"/>
          <w:szCs w:val="24"/>
        </w:rPr>
        <w:t>月</w:t>
      </w:r>
      <w:r w:rsidR="00460481">
        <w:rPr>
          <w:rFonts w:ascii="Times New Roman" w:hAnsi="宋体" w:hint="eastAsia"/>
          <w:b w:val="0"/>
          <w:sz w:val="24"/>
          <w:szCs w:val="24"/>
        </w:rPr>
        <w:t>6</w:t>
      </w:r>
      <w:r w:rsidRPr="004D0FB5">
        <w:rPr>
          <w:rFonts w:ascii="Times New Roman" w:hAnsi="宋体" w:hint="eastAsia"/>
          <w:b w:val="0"/>
          <w:sz w:val="24"/>
          <w:szCs w:val="24"/>
        </w:rPr>
        <w:t>日支付。</w:t>
      </w:r>
    </w:p>
    <w:p w:rsidR="004D0FB5" w:rsidRPr="007518A9" w:rsidRDefault="00BC7BD4" w:rsidP="00423FFC">
      <w:pPr>
        <w:pStyle w:val="a3"/>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5</w:t>
      </w:r>
      <w:r>
        <w:rPr>
          <w:rFonts w:ascii="Times New Roman" w:hAnsi="宋体" w:hint="eastAsia"/>
          <w:b w:val="0"/>
          <w:sz w:val="24"/>
          <w:szCs w:val="24"/>
        </w:rPr>
        <w:t>）</w:t>
      </w:r>
      <w:r w:rsidRPr="00BC7BD4">
        <w:rPr>
          <w:rFonts w:ascii="Times New Roman" w:hAnsi="宋体" w:hint="eastAsia"/>
          <w:b w:val="0"/>
          <w:sz w:val="24"/>
          <w:szCs w:val="24"/>
        </w:rPr>
        <w:t>本基金最后运作日其他负债为人民币</w:t>
      </w:r>
      <w:r w:rsidRPr="00BC7BD4">
        <w:rPr>
          <w:rFonts w:ascii="Times New Roman" w:hAnsi="宋体" w:hint="eastAsia"/>
          <w:b w:val="0"/>
          <w:sz w:val="24"/>
          <w:szCs w:val="24"/>
        </w:rPr>
        <w:t>510,306.30</w:t>
      </w:r>
      <w:r w:rsidRPr="00BC7BD4">
        <w:rPr>
          <w:rFonts w:ascii="Times New Roman" w:hAnsi="宋体" w:hint="eastAsia"/>
          <w:b w:val="0"/>
          <w:sz w:val="24"/>
          <w:szCs w:val="24"/>
        </w:rPr>
        <w:t>元，</w:t>
      </w:r>
      <w:r w:rsidR="002A7350" w:rsidRPr="00BC7BD4">
        <w:rPr>
          <w:rFonts w:ascii="Times New Roman" w:hAnsi="宋体" w:hint="eastAsia"/>
          <w:b w:val="0"/>
          <w:sz w:val="24"/>
          <w:szCs w:val="24"/>
        </w:rPr>
        <w:t>应付赎回费人民币</w:t>
      </w:r>
      <w:r w:rsidR="002A7350" w:rsidRPr="00BC7BD4">
        <w:rPr>
          <w:rFonts w:ascii="Times New Roman" w:hAnsi="宋体" w:hint="eastAsia"/>
          <w:b w:val="0"/>
          <w:sz w:val="24"/>
          <w:szCs w:val="24"/>
        </w:rPr>
        <w:t>306.30</w:t>
      </w:r>
      <w:r w:rsidR="002A7350" w:rsidRPr="00BC7BD4">
        <w:rPr>
          <w:rFonts w:ascii="Times New Roman" w:hAnsi="宋体" w:hint="eastAsia"/>
          <w:b w:val="0"/>
          <w:sz w:val="24"/>
          <w:szCs w:val="24"/>
        </w:rPr>
        <w:t>元，预提信息披露费人民币</w:t>
      </w:r>
      <w:r w:rsidR="002A7350" w:rsidRPr="00BC7BD4">
        <w:rPr>
          <w:rFonts w:ascii="Times New Roman" w:hAnsi="宋体" w:hint="eastAsia"/>
          <w:b w:val="0"/>
          <w:sz w:val="24"/>
          <w:szCs w:val="24"/>
        </w:rPr>
        <w:t>510,000.00</w:t>
      </w:r>
      <w:r w:rsidR="002A7350" w:rsidRPr="00BC7BD4">
        <w:rPr>
          <w:rFonts w:ascii="Times New Roman" w:hAnsi="宋体" w:hint="eastAsia"/>
          <w:b w:val="0"/>
          <w:sz w:val="24"/>
          <w:szCs w:val="24"/>
        </w:rPr>
        <w:t>元</w:t>
      </w:r>
      <w:r w:rsidR="002A7350">
        <w:rPr>
          <w:rFonts w:ascii="Times New Roman" w:hAnsi="宋体" w:hint="eastAsia"/>
          <w:b w:val="0"/>
          <w:sz w:val="24"/>
          <w:szCs w:val="24"/>
        </w:rPr>
        <w:t>，</w:t>
      </w:r>
      <w:r w:rsidRPr="00BC7BD4">
        <w:rPr>
          <w:rFonts w:ascii="Times New Roman" w:hAnsi="宋体" w:hint="eastAsia"/>
          <w:b w:val="0"/>
          <w:sz w:val="24"/>
          <w:szCs w:val="24"/>
        </w:rPr>
        <w:t>其中</w:t>
      </w:r>
      <w:r w:rsidR="00737045">
        <w:rPr>
          <w:rFonts w:ascii="Times New Roman" w:hAnsi="宋体" w:hint="eastAsia"/>
          <w:b w:val="0"/>
          <w:sz w:val="24"/>
          <w:szCs w:val="24"/>
        </w:rPr>
        <w:t>预提</w:t>
      </w:r>
      <w:r w:rsidR="00737045">
        <w:rPr>
          <w:rFonts w:ascii="Times New Roman" w:hAnsi="宋体" w:hint="eastAsia"/>
          <w:b w:val="0"/>
          <w:sz w:val="24"/>
          <w:szCs w:val="24"/>
        </w:rPr>
        <w:t>2015</w:t>
      </w:r>
      <w:r w:rsidR="00737045">
        <w:rPr>
          <w:rFonts w:ascii="Times New Roman" w:hAnsi="宋体" w:hint="eastAsia"/>
          <w:b w:val="0"/>
          <w:sz w:val="24"/>
          <w:szCs w:val="24"/>
        </w:rPr>
        <w:t>年信息披露费为人民币</w:t>
      </w:r>
      <w:r w:rsidR="00992AC3">
        <w:rPr>
          <w:rFonts w:ascii="Times New Roman" w:hAnsi="宋体" w:hint="eastAsia"/>
          <w:b w:val="0"/>
          <w:sz w:val="24"/>
          <w:szCs w:val="24"/>
        </w:rPr>
        <w:t>27,500.02</w:t>
      </w:r>
      <w:r w:rsidR="00737045">
        <w:rPr>
          <w:rFonts w:ascii="Times New Roman" w:hAnsi="宋体" w:hint="eastAsia"/>
          <w:b w:val="0"/>
          <w:sz w:val="24"/>
          <w:szCs w:val="24"/>
        </w:rPr>
        <w:t>元，预提</w:t>
      </w:r>
      <w:r w:rsidR="00737045">
        <w:rPr>
          <w:rFonts w:ascii="Times New Roman" w:hAnsi="宋体" w:hint="eastAsia"/>
          <w:b w:val="0"/>
          <w:sz w:val="24"/>
          <w:szCs w:val="24"/>
        </w:rPr>
        <w:t>2016</w:t>
      </w:r>
      <w:r w:rsidR="00737045">
        <w:rPr>
          <w:rFonts w:ascii="Times New Roman" w:hAnsi="宋体" w:hint="eastAsia"/>
          <w:b w:val="0"/>
          <w:sz w:val="24"/>
          <w:szCs w:val="24"/>
        </w:rPr>
        <w:t>年信息披露费为人民币</w:t>
      </w:r>
      <w:r w:rsidR="00992AC3">
        <w:rPr>
          <w:rFonts w:ascii="Times New Roman" w:hAnsi="宋体" w:hint="eastAsia"/>
          <w:b w:val="0"/>
          <w:sz w:val="24"/>
          <w:szCs w:val="24"/>
        </w:rPr>
        <w:t>82</w:t>
      </w:r>
      <w:r w:rsidR="00737045">
        <w:rPr>
          <w:rFonts w:ascii="Times New Roman" w:hAnsi="宋体" w:hint="eastAsia"/>
          <w:b w:val="0"/>
          <w:sz w:val="24"/>
          <w:szCs w:val="24"/>
        </w:rPr>
        <w:t>,</w:t>
      </w:r>
      <w:r w:rsidR="00992AC3">
        <w:rPr>
          <w:rFonts w:ascii="Times New Roman" w:hAnsi="宋体" w:hint="eastAsia"/>
          <w:b w:val="0"/>
          <w:sz w:val="24"/>
          <w:szCs w:val="24"/>
        </w:rPr>
        <w:t>499</w:t>
      </w:r>
      <w:r w:rsidR="00737045">
        <w:rPr>
          <w:rFonts w:ascii="Times New Roman" w:hAnsi="宋体" w:hint="eastAsia"/>
          <w:b w:val="0"/>
          <w:sz w:val="24"/>
          <w:szCs w:val="24"/>
        </w:rPr>
        <w:t>.</w:t>
      </w:r>
      <w:r w:rsidR="00992AC3">
        <w:rPr>
          <w:rFonts w:ascii="Times New Roman" w:hAnsi="宋体" w:hint="eastAsia"/>
          <w:b w:val="0"/>
          <w:sz w:val="24"/>
          <w:szCs w:val="24"/>
        </w:rPr>
        <w:t>98</w:t>
      </w:r>
      <w:r w:rsidR="00737045">
        <w:rPr>
          <w:rFonts w:ascii="Times New Roman" w:hAnsi="宋体" w:hint="eastAsia"/>
          <w:b w:val="0"/>
          <w:sz w:val="24"/>
          <w:szCs w:val="24"/>
        </w:rPr>
        <w:t>元，预提</w:t>
      </w:r>
      <w:r w:rsidR="00737045">
        <w:rPr>
          <w:rFonts w:ascii="Times New Roman" w:hAnsi="宋体" w:hint="eastAsia"/>
          <w:b w:val="0"/>
          <w:sz w:val="24"/>
          <w:szCs w:val="24"/>
        </w:rPr>
        <w:t>2017</w:t>
      </w:r>
      <w:r w:rsidR="00737045">
        <w:rPr>
          <w:rFonts w:ascii="Times New Roman" w:hAnsi="宋体" w:hint="eastAsia"/>
          <w:b w:val="0"/>
          <w:sz w:val="24"/>
          <w:szCs w:val="24"/>
        </w:rPr>
        <w:t>年信息披露费为人民币</w:t>
      </w:r>
      <w:r w:rsidR="00737045">
        <w:rPr>
          <w:rFonts w:ascii="Times New Roman" w:hAnsi="宋体" w:hint="eastAsia"/>
          <w:b w:val="0"/>
          <w:sz w:val="24"/>
          <w:szCs w:val="24"/>
        </w:rPr>
        <w:t>220,000.00</w:t>
      </w:r>
      <w:r w:rsidR="00737045">
        <w:rPr>
          <w:rFonts w:ascii="Times New Roman" w:hAnsi="宋体" w:hint="eastAsia"/>
          <w:b w:val="0"/>
          <w:sz w:val="24"/>
          <w:szCs w:val="24"/>
        </w:rPr>
        <w:t>元，预提</w:t>
      </w:r>
      <w:r w:rsidR="00E44900">
        <w:rPr>
          <w:rFonts w:ascii="Times New Roman" w:hAnsi="宋体" w:hint="eastAsia"/>
          <w:b w:val="0"/>
          <w:sz w:val="24"/>
          <w:szCs w:val="24"/>
        </w:rPr>
        <w:t>2018</w:t>
      </w:r>
      <w:r w:rsidR="00E44900">
        <w:rPr>
          <w:rFonts w:ascii="Times New Roman" w:hAnsi="宋体" w:hint="eastAsia"/>
          <w:b w:val="0"/>
          <w:sz w:val="24"/>
          <w:szCs w:val="24"/>
        </w:rPr>
        <w:t>年信息披露费</w:t>
      </w:r>
      <w:r w:rsidR="00E44900">
        <w:rPr>
          <w:rFonts w:ascii="Times New Roman" w:hAnsi="宋体" w:hint="eastAsia"/>
          <w:b w:val="0"/>
          <w:sz w:val="24"/>
          <w:szCs w:val="24"/>
        </w:rPr>
        <w:t>180,000.00</w:t>
      </w:r>
      <w:r w:rsidR="002A7350">
        <w:rPr>
          <w:rFonts w:ascii="Times New Roman" w:hAnsi="宋体" w:hint="eastAsia"/>
          <w:b w:val="0"/>
          <w:sz w:val="24"/>
          <w:szCs w:val="24"/>
        </w:rPr>
        <w:t>元</w:t>
      </w:r>
      <w:r w:rsidRPr="00BC7BD4">
        <w:rPr>
          <w:rFonts w:ascii="Times New Roman" w:hAnsi="宋体" w:hint="eastAsia"/>
          <w:b w:val="0"/>
          <w:sz w:val="24"/>
          <w:szCs w:val="24"/>
        </w:rPr>
        <w:t>。其中应付赎回费人民币</w:t>
      </w:r>
      <w:r w:rsidRPr="00BC7BD4">
        <w:rPr>
          <w:rFonts w:ascii="Times New Roman" w:hAnsi="宋体" w:hint="eastAsia"/>
          <w:b w:val="0"/>
          <w:sz w:val="24"/>
          <w:szCs w:val="24"/>
        </w:rPr>
        <w:t>306.30</w:t>
      </w:r>
      <w:r w:rsidRPr="00BC7BD4">
        <w:rPr>
          <w:rFonts w:ascii="Times New Roman" w:hAnsi="宋体" w:hint="eastAsia"/>
          <w:b w:val="0"/>
          <w:sz w:val="24"/>
          <w:szCs w:val="24"/>
        </w:rPr>
        <w:t>元已于</w:t>
      </w:r>
      <w:r w:rsidRPr="00BC7BD4">
        <w:rPr>
          <w:rFonts w:ascii="Times New Roman" w:hAnsi="宋体" w:hint="eastAsia"/>
          <w:b w:val="0"/>
          <w:sz w:val="24"/>
          <w:szCs w:val="24"/>
        </w:rPr>
        <w:t>2018</w:t>
      </w:r>
      <w:r w:rsidRPr="00BC7BD4">
        <w:rPr>
          <w:rFonts w:ascii="Times New Roman" w:hAnsi="宋体" w:hint="eastAsia"/>
          <w:b w:val="0"/>
          <w:sz w:val="24"/>
          <w:szCs w:val="24"/>
        </w:rPr>
        <w:t>年</w:t>
      </w:r>
      <w:r w:rsidRPr="00BC7BD4">
        <w:rPr>
          <w:rFonts w:ascii="Times New Roman" w:hAnsi="宋体" w:hint="eastAsia"/>
          <w:b w:val="0"/>
          <w:sz w:val="24"/>
          <w:szCs w:val="24"/>
        </w:rPr>
        <w:t>9</w:t>
      </w:r>
      <w:r w:rsidRPr="00BC7BD4">
        <w:rPr>
          <w:rFonts w:ascii="Times New Roman" w:hAnsi="宋体" w:hint="eastAsia"/>
          <w:b w:val="0"/>
          <w:sz w:val="24"/>
          <w:szCs w:val="24"/>
        </w:rPr>
        <w:t>月</w:t>
      </w:r>
      <w:r w:rsidRPr="00BC7BD4">
        <w:rPr>
          <w:rFonts w:ascii="Times New Roman" w:hAnsi="宋体" w:hint="eastAsia"/>
          <w:b w:val="0"/>
          <w:sz w:val="24"/>
          <w:szCs w:val="24"/>
        </w:rPr>
        <w:t>4</w:t>
      </w:r>
      <w:r w:rsidRPr="00BC7BD4">
        <w:rPr>
          <w:rFonts w:ascii="Times New Roman" w:hAnsi="宋体" w:hint="eastAsia"/>
          <w:b w:val="0"/>
          <w:sz w:val="24"/>
          <w:szCs w:val="24"/>
        </w:rPr>
        <w:t>日及</w:t>
      </w:r>
      <w:r w:rsidRPr="00BC7BD4">
        <w:rPr>
          <w:rFonts w:ascii="Times New Roman" w:hAnsi="宋体" w:hint="eastAsia"/>
          <w:b w:val="0"/>
          <w:sz w:val="24"/>
          <w:szCs w:val="24"/>
        </w:rPr>
        <w:t>2018</w:t>
      </w:r>
      <w:r w:rsidRPr="00BC7BD4">
        <w:rPr>
          <w:rFonts w:ascii="Times New Roman" w:hAnsi="宋体" w:hint="eastAsia"/>
          <w:b w:val="0"/>
          <w:sz w:val="24"/>
          <w:szCs w:val="24"/>
        </w:rPr>
        <w:t>年</w:t>
      </w:r>
      <w:r w:rsidRPr="00BC7BD4">
        <w:rPr>
          <w:rFonts w:ascii="Times New Roman" w:hAnsi="宋体" w:hint="eastAsia"/>
          <w:b w:val="0"/>
          <w:sz w:val="24"/>
          <w:szCs w:val="24"/>
        </w:rPr>
        <w:t>9</w:t>
      </w:r>
      <w:r w:rsidRPr="00BC7BD4">
        <w:rPr>
          <w:rFonts w:ascii="Times New Roman" w:hAnsi="宋体" w:hint="eastAsia"/>
          <w:b w:val="0"/>
          <w:sz w:val="24"/>
          <w:szCs w:val="24"/>
        </w:rPr>
        <w:t>月</w:t>
      </w:r>
      <w:r w:rsidRPr="00BC7BD4">
        <w:rPr>
          <w:rFonts w:ascii="Times New Roman" w:hAnsi="宋体" w:hint="eastAsia"/>
          <w:b w:val="0"/>
          <w:sz w:val="24"/>
          <w:szCs w:val="24"/>
        </w:rPr>
        <w:t>5</w:t>
      </w:r>
      <w:r w:rsidRPr="00BC7BD4">
        <w:rPr>
          <w:rFonts w:ascii="Times New Roman" w:hAnsi="宋体" w:hint="eastAsia"/>
          <w:b w:val="0"/>
          <w:sz w:val="24"/>
          <w:szCs w:val="24"/>
        </w:rPr>
        <w:t>日支付，预提上海证券报信息披露费人民币</w:t>
      </w:r>
      <w:r w:rsidRPr="00BC7BD4">
        <w:rPr>
          <w:rFonts w:ascii="Times New Roman" w:hAnsi="宋体" w:hint="eastAsia"/>
          <w:b w:val="0"/>
          <w:sz w:val="24"/>
          <w:szCs w:val="24"/>
        </w:rPr>
        <w:t>60,000.00</w:t>
      </w:r>
      <w:r w:rsidRPr="00BC7BD4">
        <w:rPr>
          <w:rFonts w:ascii="Times New Roman" w:hAnsi="宋体" w:hint="eastAsia"/>
          <w:b w:val="0"/>
          <w:sz w:val="24"/>
          <w:szCs w:val="24"/>
        </w:rPr>
        <w:t>元已于</w:t>
      </w:r>
      <w:r w:rsidRPr="00BC7BD4">
        <w:rPr>
          <w:rFonts w:ascii="Times New Roman" w:hAnsi="宋体" w:hint="eastAsia"/>
          <w:b w:val="0"/>
          <w:sz w:val="24"/>
          <w:szCs w:val="24"/>
        </w:rPr>
        <w:t>2018</w:t>
      </w:r>
      <w:r w:rsidRPr="00BC7BD4">
        <w:rPr>
          <w:rFonts w:ascii="Times New Roman" w:hAnsi="宋体" w:hint="eastAsia"/>
          <w:b w:val="0"/>
          <w:sz w:val="24"/>
          <w:szCs w:val="24"/>
        </w:rPr>
        <w:t>年</w:t>
      </w:r>
      <w:r w:rsidRPr="00BC7BD4">
        <w:rPr>
          <w:rFonts w:ascii="Times New Roman" w:hAnsi="宋体" w:hint="eastAsia"/>
          <w:b w:val="0"/>
          <w:sz w:val="24"/>
          <w:szCs w:val="24"/>
        </w:rPr>
        <w:t>9</w:t>
      </w:r>
      <w:r w:rsidRPr="00BC7BD4">
        <w:rPr>
          <w:rFonts w:ascii="Times New Roman" w:hAnsi="宋体" w:hint="eastAsia"/>
          <w:b w:val="0"/>
          <w:sz w:val="24"/>
          <w:szCs w:val="24"/>
        </w:rPr>
        <w:t>月</w:t>
      </w:r>
      <w:r w:rsidRPr="00BC7BD4">
        <w:rPr>
          <w:rFonts w:ascii="Times New Roman" w:hAnsi="宋体" w:hint="eastAsia"/>
          <w:b w:val="0"/>
          <w:sz w:val="24"/>
          <w:szCs w:val="24"/>
        </w:rPr>
        <w:t>5</w:t>
      </w:r>
      <w:r w:rsidRPr="00BC7BD4">
        <w:rPr>
          <w:rFonts w:ascii="Times New Roman" w:hAnsi="宋体" w:hint="eastAsia"/>
          <w:b w:val="0"/>
          <w:sz w:val="24"/>
          <w:szCs w:val="24"/>
        </w:rPr>
        <w:t>日支付，剩余的信息披露费将于</w:t>
      </w:r>
      <w:r w:rsidRPr="00BC7BD4">
        <w:rPr>
          <w:rFonts w:ascii="Times New Roman" w:hAnsi="宋体" w:hint="eastAsia"/>
          <w:b w:val="0"/>
          <w:sz w:val="24"/>
          <w:szCs w:val="24"/>
        </w:rPr>
        <w:t>2018</w:t>
      </w:r>
      <w:r w:rsidRPr="00BC7BD4">
        <w:rPr>
          <w:rFonts w:ascii="Times New Roman" w:hAnsi="宋体" w:hint="eastAsia"/>
          <w:b w:val="0"/>
          <w:sz w:val="24"/>
          <w:szCs w:val="24"/>
        </w:rPr>
        <w:t>年</w:t>
      </w:r>
      <w:r w:rsidRPr="00BC7BD4">
        <w:rPr>
          <w:rFonts w:ascii="Times New Roman" w:hAnsi="宋体" w:hint="eastAsia"/>
          <w:b w:val="0"/>
          <w:sz w:val="24"/>
          <w:szCs w:val="24"/>
        </w:rPr>
        <w:t>9</w:t>
      </w:r>
      <w:r w:rsidRPr="00BC7BD4">
        <w:rPr>
          <w:rFonts w:ascii="Times New Roman" w:hAnsi="宋体" w:hint="eastAsia"/>
          <w:b w:val="0"/>
          <w:sz w:val="24"/>
          <w:szCs w:val="24"/>
        </w:rPr>
        <w:t>月</w:t>
      </w:r>
      <w:r w:rsidRPr="00BC7BD4">
        <w:rPr>
          <w:rFonts w:ascii="Times New Roman" w:hAnsi="宋体" w:hint="eastAsia"/>
          <w:b w:val="0"/>
          <w:sz w:val="24"/>
          <w:szCs w:val="24"/>
        </w:rPr>
        <w:t>10</w:t>
      </w:r>
      <w:r w:rsidRPr="00BC7BD4">
        <w:rPr>
          <w:rFonts w:ascii="Times New Roman" w:hAnsi="宋体" w:hint="eastAsia"/>
          <w:b w:val="0"/>
          <w:sz w:val="24"/>
          <w:szCs w:val="24"/>
        </w:rPr>
        <w:t>日后支付。</w:t>
      </w:r>
    </w:p>
    <w:p w:rsidR="004D0FB5" w:rsidRPr="004D0FB5" w:rsidRDefault="004D0FB5" w:rsidP="00423FFC">
      <w:pPr>
        <w:pStyle w:val="a3"/>
        <w:numPr>
          <w:ilvl w:val="0"/>
          <w:numId w:val="14"/>
        </w:numPr>
        <w:spacing w:before="0" w:after="0" w:line="360" w:lineRule="auto"/>
        <w:jc w:val="both"/>
        <w:rPr>
          <w:rFonts w:ascii="Times New Roman" w:hAnsi="宋体"/>
          <w:b w:val="0"/>
          <w:sz w:val="24"/>
          <w:szCs w:val="24"/>
        </w:rPr>
      </w:pPr>
      <w:r w:rsidRPr="004D0FB5">
        <w:rPr>
          <w:rFonts w:ascii="Times New Roman" w:hAnsi="宋体" w:hint="eastAsia"/>
          <w:b w:val="0"/>
          <w:sz w:val="24"/>
          <w:szCs w:val="24"/>
        </w:rPr>
        <w:t>清算期间的清算损益情况</w:t>
      </w:r>
    </w:p>
    <w:p w:rsidR="004D0FB5" w:rsidRPr="00D829F9" w:rsidRDefault="00D829F9" w:rsidP="00D829F9">
      <w:pPr>
        <w:overflowPunct w:val="0"/>
        <w:autoSpaceDE w:val="0"/>
        <w:autoSpaceDN w:val="0"/>
        <w:snapToGrid w:val="0"/>
        <w:jc w:val="right"/>
        <w:rPr>
          <w:rFonts w:ascii="宋体" w:eastAsia="宋体" w:hAnsi="宋体" w:cs="Arial"/>
          <w:sz w:val="24"/>
          <w:szCs w:val="24"/>
        </w:rPr>
      </w:pPr>
      <w:r w:rsidRPr="00D829F9">
        <w:rPr>
          <w:rFonts w:ascii="宋体" w:eastAsia="宋体" w:hAnsi="宋体" w:cs="Arial" w:hint="eastAsia"/>
          <w:sz w:val="24"/>
          <w:szCs w:val="24"/>
        </w:rPr>
        <w:t>单位：人民币元</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3515"/>
      </w:tblGrid>
      <w:tr w:rsidR="004D0FB5" w:rsidRPr="00463501" w:rsidTr="00BC7BD4">
        <w:trPr>
          <w:trHeight w:val="80"/>
        </w:trPr>
        <w:tc>
          <w:tcPr>
            <w:tcW w:w="5103" w:type="dxa"/>
            <w:vAlign w:val="bottom"/>
          </w:tcPr>
          <w:p w:rsidR="004D0FB5" w:rsidRPr="00463501" w:rsidRDefault="004D0FB5" w:rsidP="0078342A">
            <w:pPr>
              <w:overflowPunct w:val="0"/>
              <w:autoSpaceDE w:val="0"/>
              <w:autoSpaceDN w:val="0"/>
              <w:snapToGrid w:val="0"/>
              <w:ind w:left="34"/>
              <w:jc w:val="left"/>
              <w:rPr>
                <w:rFonts w:ascii="Times New Roman" w:eastAsia="宋体" w:hAnsi="宋体" w:cs="Times New Roman"/>
                <w:bCs/>
                <w:sz w:val="24"/>
                <w:szCs w:val="24"/>
              </w:rPr>
            </w:pPr>
            <w:r w:rsidRPr="00463501">
              <w:rPr>
                <w:rFonts w:ascii="Times New Roman" w:eastAsia="宋体" w:hAnsi="宋体" w:cs="Times New Roman" w:hint="eastAsia"/>
                <w:bCs/>
                <w:sz w:val="24"/>
                <w:szCs w:val="24"/>
              </w:rPr>
              <w:t>项目</w:t>
            </w:r>
          </w:p>
        </w:tc>
        <w:tc>
          <w:tcPr>
            <w:tcW w:w="3515" w:type="dxa"/>
            <w:vAlign w:val="bottom"/>
          </w:tcPr>
          <w:p w:rsidR="004D0FB5" w:rsidRPr="00463501" w:rsidRDefault="004D0FB5" w:rsidP="0078342A">
            <w:pPr>
              <w:overflowPunct w:val="0"/>
              <w:autoSpaceDE w:val="0"/>
              <w:autoSpaceDN w:val="0"/>
              <w:snapToGrid w:val="0"/>
              <w:ind w:leftChars="-84" w:left="-176"/>
              <w:jc w:val="right"/>
              <w:rPr>
                <w:rFonts w:ascii="Times New Roman" w:eastAsia="宋体" w:hAnsi="宋体" w:cs="Times New Roman"/>
                <w:bCs/>
                <w:sz w:val="24"/>
                <w:szCs w:val="24"/>
              </w:rPr>
            </w:pPr>
            <w:r w:rsidRPr="00463501">
              <w:rPr>
                <w:rFonts w:ascii="Times New Roman" w:eastAsia="宋体" w:hAnsi="宋体" w:cs="Times New Roman" w:hint="eastAsia"/>
                <w:bCs/>
                <w:sz w:val="24"/>
                <w:szCs w:val="24"/>
              </w:rPr>
              <w:t>自</w:t>
            </w:r>
            <w:r w:rsidRPr="00463501">
              <w:rPr>
                <w:rFonts w:ascii="Times New Roman" w:eastAsia="宋体" w:hAnsi="宋体" w:cs="Times New Roman"/>
                <w:bCs/>
                <w:sz w:val="24"/>
                <w:szCs w:val="24"/>
              </w:rPr>
              <w:t>2018</w:t>
            </w:r>
            <w:r w:rsidRPr="00463501">
              <w:rPr>
                <w:rFonts w:ascii="Times New Roman" w:eastAsia="宋体" w:hAnsi="宋体" w:cs="Times New Roman"/>
                <w:bCs/>
                <w:sz w:val="24"/>
                <w:szCs w:val="24"/>
              </w:rPr>
              <w:t>年</w:t>
            </w:r>
            <w:r w:rsidR="00795CAB">
              <w:rPr>
                <w:rFonts w:ascii="Times New Roman" w:eastAsia="宋体" w:hAnsi="宋体" w:cs="Times New Roman" w:hint="eastAsia"/>
                <w:bCs/>
                <w:sz w:val="24"/>
                <w:szCs w:val="24"/>
              </w:rPr>
              <w:t>9</w:t>
            </w:r>
            <w:r w:rsidRPr="00463501">
              <w:rPr>
                <w:rFonts w:ascii="Times New Roman" w:eastAsia="宋体" w:hAnsi="宋体" w:cs="Times New Roman"/>
                <w:bCs/>
                <w:sz w:val="24"/>
                <w:szCs w:val="24"/>
              </w:rPr>
              <w:t>月</w:t>
            </w:r>
            <w:r w:rsidR="00795CAB">
              <w:rPr>
                <w:rFonts w:ascii="Times New Roman" w:eastAsia="宋体" w:hAnsi="宋体" w:cs="Times New Roman" w:hint="eastAsia"/>
                <w:bCs/>
                <w:sz w:val="24"/>
                <w:szCs w:val="24"/>
              </w:rPr>
              <w:t>4</w:t>
            </w:r>
            <w:r w:rsidRPr="00463501">
              <w:rPr>
                <w:rFonts w:ascii="Times New Roman" w:eastAsia="宋体" w:hAnsi="宋体" w:cs="Times New Roman"/>
                <w:bCs/>
                <w:sz w:val="24"/>
                <w:szCs w:val="24"/>
              </w:rPr>
              <w:t>日</w:t>
            </w:r>
          </w:p>
          <w:p w:rsidR="004D0FB5" w:rsidRPr="00463501" w:rsidRDefault="004D0FB5" w:rsidP="0078342A">
            <w:pPr>
              <w:tabs>
                <w:tab w:val="left" w:pos="2517"/>
              </w:tabs>
              <w:overflowPunct w:val="0"/>
              <w:autoSpaceDE w:val="0"/>
              <w:autoSpaceDN w:val="0"/>
              <w:snapToGrid w:val="0"/>
              <w:jc w:val="right"/>
              <w:rPr>
                <w:rFonts w:ascii="Times New Roman" w:eastAsia="宋体" w:hAnsi="宋体" w:cs="Times New Roman"/>
                <w:bCs/>
                <w:sz w:val="24"/>
                <w:szCs w:val="24"/>
              </w:rPr>
            </w:pPr>
            <w:r w:rsidRPr="00463501">
              <w:rPr>
                <w:rFonts w:ascii="Times New Roman" w:eastAsia="宋体" w:hAnsi="宋体" w:cs="Times New Roman" w:hint="eastAsia"/>
                <w:bCs/>
                <w:sz w:val="24"/>
                <w:szCs w:val="24"/>
              </w:rPr>
              <w:t>至</w:t>
            </w:r>
            <w:r w:rsidRPr="00463501">
              <w:rPr>
                <w:rFonts w:ascii="Times New Roman" w:eastAsia="宋体" w:hAnsi="宋体" w:cs="Times New Roman" w:hint="eastAsia"/>
                <w:bCs/>
                <w:sz w:val="24"/>
                <w:szCs w:val="24"/>
              </w:rPr>
              <w:t>2018</w:t>
            </w:r>
            <w:r w:rsidRPr="00463501">
              <w:rPr>
                <w:rFonts w:ascii="Times New Roman" w:eastAsia="宋体" w:hAnsi="宋体" w:cs="Times New Roman" w:hint="eastAsia"/>
                <w:bCs/>
                <w:sz w:val="24"/>
                <w:szCs w:val="24"/>
              </w:rPr>
              <w:t>年</w:t>
            </w:r>
            <w:r w:rsidR="00160047">
              <w:rPr>
                <w:rFonts w:ascii="Times New Roman" w:eastAsia="宋体" w:hAnsi="宋体" w:cs="Times New Roman" w:hint="eastAsia"/>
                <w:bCs/>
                <w:sz w:val="24"/>
                <w:szCs w:val="24"/>
              </w:rPr>
              <w:t>9</w:t>
            </w:r>
            <w:r w:rsidRPr="00463501">
              <w:rPr>
                <w:rFonts w:ascii="Times New Roman" w:eastAsia="宋体" w:hAnsi="宋体" w:cs="Times New Roman" w:hint="eastAsia"/>
                <w:bCs/>
                <w:sz w:val="24"/>
                <w:szCs w:val="24"/>
              </w:rPr>
              <w:t>月</w:t>
            </w:r>
            <w:r w:rsidR="007D4C38">
              <w:rPr>
                <w:rFonts w:ascii="Times New Roman" w:eastAsia="宋体" w:hAnsi="宋体" w:cs="Times New Roman" w:hint="eastAsia"/>
                <w:bCs/>
                <w:sz w:val="24"/>
                <w:szCs w:val="24"/>
              </w:rPr>
              <w:t>10</w:t>
            </w:r>
            <w:r w:rsidRPr="00463501">
              <w:rPr>
                <w:rFonts w:ascii="Times New Roman" w:eastAsia="宋体" w:hAnsi="宋体" w:cs="Times New Roman" w:hint="eastAsia"/>
                <w:bCs/>
                <w:sz w:val="24"/>
                <w:szCs w:val="24"/>
              </w:rPr>
              <w:t>日</w:t>
            </w:r>
          </w:p>
          <w:p w:rsidR="004D0FB5" w:rsidRPr="00463501" w:rsidRDefault="004D0FB5" w:rsidP="0078342A">
            <w:pPr>
              <w:overflowPunct w:val="0"/>
              <w:autoSpaceDE w:val="0"/>
              <w:autoSpaceDN w:val="0"/>
              <w:snapToGrid w:val="0"/>
              <w:jc w:val="right"/>
              <w:rPr>
                <w:rFonts w:ascii="Times New Roman" w:eastAsia="宋体" w:hAnsi="宋体" w:cs="Times New Roman"/>
                <w:bCs/>
                <w:sz w:val="24"/>
                <w:szCs w:val="24"/>
              </w:rPr>
            </w:pPr>
            <w:r w:rsidRPr="00463501">
              <w:rPr>
                <w:rFonts w:ascii="Times New Roman" w:eastAsia="宋体" w:hAnsi="宋体" w:cs="Times New Roman" w:hint="eastAsia"/>
                <w:bCs/>
                <w:sz w:val="24"/>
                <w:szCs w:val="24"/>
              </w:rPr>
              <w:t>止清算期间</w:t>
            </w:r>
          </w:p>
        </w:tc>
      </w:tr>
      <w:tr w:rsidR="004D0FB5" w:rsidRPr="00463501" w:rsidTr="00BC7BD4">
        <w:trPr>
          <w:trHeight w:val="271"/>
        </w:trPr>
        <w:tc>
          <w:tcPr>
            <w:tcW w:w="5103" w:type="dxa"/>
            <w:vAlign w:val="bottom"/>
          </w:tcPr>
          <w:p w:rsidR="004D0FB5" w:rsidRPr="00463501" w:rsidRDefault="004D0FB5" w:rsidP="004259B4">
            <w:pPr>
              <w:pStyle w:val="a4"/>
              <w:rPr>
                <w:rFonts w:ascii="Times New Roman" w:cs="Times New Roman"/>
                <w:bCs/>
                <w:kern w:val="2"/>
              </w:rPr>
            </w:pPr>
            <w:r w:rsidRPr="00463501">
              <w:rPr>
                <w:rFonts w:ascii="Times New Roman" w:cs="Times New Roman" w:hint="eastAsia"/>
                <w:bCs/>
                <w:kern w:val="2"/>
              </w:rPr>
              <w:t>一、清算收益</w:t>
            </w:r>
          </w:p>
        </w:tc>
        <w:tc>
          <w:tcPr>
            <w:tcW w:w="3515" w:type="dxa"/>
            <w:vAlign w:val="bottom"/>
          </w:tcPr>
          <w:p w:rsidR="004D0FB5" w:rsidRPr="00463501" w:rsidRDefault="004D0FB5" w:rsidP="004259B4">
            <w:pPr>
              <w:ind w:right="110"/>
              <w:jc w:val="right"/>
              <w:rPr>
                <w:rFonts w:ascii="Times New Roman" w:eastAsia="宋体" w:hAnsi="宋体" w:cs="Times New Roman"/>
                <w:bCs/>
                <w:sz w:val="24"/>
                <w:szCs w:val="24"/>
              </w:rPr>
            </w:pPr>
          </w:p>
        </w:tc>
      </w:tr>
      <w:tr w:rsidR="004D0FB5" w:rsidRPr="00463501" w:rsidTr="00BC7BD4">
        <w:trPr>
          <w:trHeight w:val="135"/>
        </w:trPr>
        <w:tc>
          <w:tcPr>
            <w:tcW w:w="5103" w:type="dxa"/>
            <w:vAlign w:val="bottom"/>
          </w:tcPr>
          <w:p w:rsidR="004D0FB5" w:rsidRPr="00463501" w:rsidRDefault="007C4859" w:rsidP="004259B4">
            <w:pPr>
              <w:pStyle w:val="a4"/>
              <w:rPr>
                <w:rFonts w:ascii="Times New Roman" w:cs="Times New Roman"/>
                <w:bCs/>
                <w:kern w:val="2"/>
              </w:rPr>
            </w:pPr>
            <w:r>
              <w:rPr>
                <w:rFonts w:ascii="Times New Roman" w:cs="Times New Roman" w:hint="eastAsia"/>
                <w:bCs/>
                <w:kern w:val="2"/>
              </w:rPr>
              <w:t>1</w:t>
            </w:r>
            <w:r>
              <w:rPr>
                <w:rFonts w:ascii="Times New Roman" w:cs="Times New Roman" w:hint="eastAsia"/>
                <w:bCs/>
                <w:kern w:val="2"/>
              </w:rPr>
              <w:t>、赎回费收入</w:t>
            </w:r>
          </w:p>
        </w:tc>
        <w:tc>
          <w:tcPr>
            <w:tcW w:w="3515" w:type="dxa"/>
            <w:vAlign w:val="bottom"/>
          </w:tcPr>
          <w:p w:rsidR="004D0FB5" w:rsidRPr="00463501" w:rsidRDefault="005449F9" w:rsidP="004259B4">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24.92</w:t>
            </w:r>
          </w:p>
        </w:tc>
      </w:tr>
      <w:tr w:rsidR="007C4859" w:rsidRPr="00463501" w:rsidTr="00BC7BD4">
        <w:trPr>
          <w:trHeight w:val="165"/>
        </w:trPr>
        <w:tc>
          <w:tcPr>
            <w:tcW w:w="5103" w:type="dxa"/>
            <w:vAlign w:val="bottom"/>
          </w:tcPr>
          <w:p w:rsidR="007C4859" w:rsidRPr="00463501" w:rsidRDefault="007C4859" w:rsidP="00245F0C">
            <w:pPr>
              <w:pStyle w:val="a4"/>
              <w:rPr>
                <w:rFonts w:ascii="Times New Roman" w:cs="Times New Roman"/>
                <w:bCs/>
                <w:kern w:val="2"/>
              </w:rPr>
            </w:pPr>
            <w:r>
              <w:rPr>
                <w:rFonts w:ascii="Times New Roman" w:cs="Times New Roman" w:hint="eastAsia"/>
                <w:bCs/>
                <w:kern w:val="2"/>
              </w:rPr>
              <w:t>2</w:t>
            </w:r>
            <w:r w:rsidRPr="00463501">
              <w:rPr>
                <w:rFonts w:ascii="Times New Roman" w:cs="Times New Roman" w:hint="eastAsia"/>
                <w:bCs/>
                <w:kern w:val="2"/>
              </w:rPr>
              <w:t>、利息收入</w:t>
            </w:r>
          </w:p>
        </w:tc>
        <w:tc>
          <w:tcPr>
            <w:tcW w:w="3515" w:type="dxa"/>
            <w:vAlign w:val="bottom"/>
          </w:tcPr>
          <w:p w:rsidR="007C4859" w:rsidRPr="00463501" w:rsidRDefault="00042FBE" w:rsidP="00DC7D7E">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10,411.76</w:t>
            </w:r>
          </w:p>
        </w:tc>
      </w:tr>
      <w:tr w:rsidR="007C4859" w:rsidRPr="00463501" w:rsidTr="00BC7BD4">
        <w:trPr>
          <w:trHeight w:val="137"/>
        </w:trPr>
        <w:tc>
          <w:tcPr>
            <w:tcW w:w="5103" w:type="dxa"/>
            <w:vAlign w:val="bottom"/>
          </w:tcPr>
          <w:p w:rsidR="007C4859" w:rsidRPr="00463501" w:rsidRDefault="007C4859" w:rsidP="004259B4">
            <w:pPr>
              <w:pStyle w:val="a4"/>
              <w:rPr>
                <w:rFonts w:ascii="Times New Roman" w:cs="Times New Roman"/>
                <w:bCs/>
                <w:kern w:val="2"/>
              </w:rPr>
            </w:pPr>
            <w:r w:rsidRPr="00463501">
              <w:rPr>
                <w:rFonts w:ascii="Times New Roman" w:cs="Times New Roman" w:hint="eastAsia"/>
                <w:bCs/>
                <w:kern w:val="2"/>
              </w:rPr>
              <w:t>其中：存款利息收入</w:t>
            </w:r>
          </w:p>
        </w:tc>
        <w:tc>
          <w:tcPr>
            <w:tcW w:w="3515" w:type="dxa"/>
            <w:vAlign w:val="bottom"/>
          </w:tcPr>
          <w:p w:rsidR="007C4859" w:rsidRPr="00463501" w:rsidRDefault="00042FBE" w:rsidP="005449F9">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10,315.86</w:t>
            </w:r>
          </w:p>
        </w:tc>
      </w:tr>
      <w:tr w:rsidR="007C4859" w:rsidRPr="00463501" w:rsidTr="00BC7BD4">
        <w:trPr>
          <w:trHeight w:val="135"/>
        </w:trPr>
        <w:tc>
          <w:tcPr>
            <w:tcW w:w="5103" w:type="dxa"/>
            <w:vAlign w:val="bottom"/>
          </w:tcPr>
          <w:p w:rsidR="007C4859" w:rsidRPr="00463501" w:rsidRDefault="007C4859" w:rsidP="007C4859">
            <w:pPr>
              <w:pStyle w:val="a4"/>
              <w:ind w:firstLineChars="300" w:firstLine="720"/>
              <w:rPr>
                <w:rFonts w:ascii="Times New Roman" w:cs="Times New Roman"/>
                <w:bCs/>
                <w:kern w:val="2"/>
              </w:rPr>
            </w:pPr>
            <w:r w:rsidRPr="00463501">
              <w:rPr>
                <w:rFonts w:ascii="Times New Roman" w:cs="Times New Roman" w:hint="eastAsia"/>
                <w:bCs/>
                <w:kern w:val="2"/>
              </w:rPr>
              <w:t>结算备付金利息收入</w:t>
            </w:r>
          </w:p>
        </w:tc>
        <w:tc>
          <w:tcPr>
            <w:tcW w:w="3515" w:type="dxa"/>
            <w:vAlign w:val="bottom"/>
          </w:tcPr>
          <w:p w:rsidR="007C4859" w:rsidRPr="00463501" w:rsidRDefault="00042FBE" w:rsidP="004259B4">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53.62</w:t>
            </w:r>
          </w:p>
        </w:tc>
      </w:tr>
      <w:tr w:rsidR="007C4859" w:rsidRPr="00463501" w:rsidTr="00BC7BD4">
        <w:trPr>
          <w:trHeight w:val="110"/>
        </w:trPr>
        <w:tc>
          <w:tcPr>
            <w:tcW w:w="5103" w:type="dxa"/>
            <w:vAlign w:val="bottom"/>
          </w:tcPr>
          <w:p w:rsidR="007C4859" w:rsidRPr="00463501" w:rsidRDefault="007C4859" w:rsidP="007C4859">
            <w:pPr>
              <w:pStyle w:val="a4"/>
              <w:ind w:firstLineChars="300" w:firstLine="720"/>
              <w:rPr>
                <w:rFonts w:ascii="Times New Roman" w:cs="Times New Roman"/>
                <w:bCs/>
                <w:kern w:val="2"/>
              </w:rPr>
            </w:pPr>
            <w:r w:rsidRPr="00463501">
              <w:rPr>
                <w:rFonts w:ascii="Times New Roman" w:cs="Times New Roman" w:hint="eastAsia"/>
                <w:bCs/>
                <w:kern w:val="2"/>
              </w:rPr>
              <w:t>结算保证金利息收入</w:t>
            </w:r>
          </w:p>
        </w:tc>
        <w:tc>
          <w:tcPr>
            <w:tcW w:w="3515" w:type="dxa"/>
            <w:vAlign w:val="bottom"/>
          </w:tcPr>
          <w:p w:rsidR="007C4859" w:rsidRPr="00463501" w:rsidRDefault="00042FBE" w:rsidP="004259B4">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42.28</w:t>
            </w:r>
          </w:p>
        </w:tc>
      </w:tr>
      <w:tr w:rsidR="007C4859" w:rsidRPr="00463501" w:rsidTr="00BC7BD4">
        <w:trPr>
          <w:trHeight w:val="80"/>
        </w:trPr>
        <w:tc>
          <w:tcPr>
            <w:tcW w:w="5103" w:type="dxa"/>
            <w:vAlign w:val="bottom"/>
          </w:tcPr>
          <w:p w:rsidR="007C4859" w:rsidRPr="00463501" w:rsidRDefault="007C4859" w:rsidP="004259B4">
            <w:pPr>
              <w:pStyle w:val="a4"/>
              <w:rPr>
                <w:rFonts w:ascii="Times New Roman" w:cs="Times New Roman"/>
                <w:bCs/>
                <w:kern w:val="2"/>
              </w:rPr>
            </w:pPr>
            <w:r w:rsidRPr="00463501">
              <w:rPr>
                <w:rFonts w:ascii="Times New Roman" w:cs="Times New Roman" w:hint="eastAsia"/>
                <w:bCs/>
                <w:kern w:val="2"/>
              </w:rPr>
              <w:t>清算收益小计（损失以“</w:t>
            </w:r>
            <w:r w:rsidRPr="00463501">
              <w:rPr>
                <w:rFonts w:ascii="Times New Roman" w:cs="Times New Roman" w:hint="eastAsia"/>
                <w:bCs/>
                <w:kern w:val="2"/>
              </w:rPr>
              <w:t>-</w:t>
            </w:r>
            <w:r w:rsidRPr="00463501">
              <w:rPr>
                <w:rFonts w:ascii="Times New Roman" w:cs="Times New Roman" w:hint="eastAsia"/>
                <w:bCs/>
                <w:kern w:val="2"/>
              </w:rPr>
              <w:t>”号填列）</w:t>
            </w:r>
          </w:p>
        </w:tc>
        <w:tc>
          <w:tcPr>
            <w:tcW w:w="3515" w:type="dxa"/>
            <w:vAlign w:val="bottom"/>
          </w:tcPr>
          <w:p w:rsidR="007C4859" w:rsidRPr="00463501" w:rsidRDefault="00042FBE" w:rsidP="008466F3">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10,436.68</w:t>
            </w:r>
          </w:p>
        </w:tc>
      </w:tr>
      <w:tr w:rsidR="007C4859" w:rsidRPr="00463501" w:rsidTr="00BC7BD4">
        <w:trPr>
          <w:trHeight w:val="82"/>
        </w:trPr>
        <w:tc>
          <w:tcPr>
            <w:tcW w:w="5103" w:type="dxa"/>
            <w:vAlign w:val="bottom"/>
          </w:tcPr>
          <w:p w:rsidR="007C4859" w:rsidRPr="00463501" w:rsidRDefault="007C4859" w:rsidP="004259B4">
            <w:pPr>
              <w:pStyle w:val="a4"/>
              <w:rPr>
                <w:rFonts w:ascii="Times New Roman" w:cs="Times New Roman"/>
                <w:bCs/>
                <w:kern w:val="2"/>
              </w:rPr>
            </w:pPr>
            <w:r w:rsidRPr="00463501">
              <w:rPr>
                <w:rFonts w:ascii="Times New Roman" w:cs="Times New Roman" w:hint="eastAsia"/>
                <w:bCs/>
                <w:kern w:val="2"/>
              </w:rPr>
              <w:t>二、清算费用</w:t>
            </w:r>
          </w:p>
        </w:tc>
        <w:tc>
          <w:tcPr>
            <w:tcW w:w="3515" w:type="dxa"/>
            <w:vAlign w:val="bottom"/>
          </w:tcPr>
          <w:p w:rsidR="007C4859" w:rsidRPr="00463501" w:rsidRDefault="007C4859" w:rsidP="004259B4">
            <w:pPr>
              <w:ind w:right="110"/>
              <w:jc w:val="right"/>
              <w:rPr>
                <w:rFonts w:ascii="Times New Roman" w:eastAsia="宋体" w:hAnsi="宋体" w:cs="Times New Roman"/>
                <w:bCs/>
                <w:sz w:val="24"/>
                <w:szCs w:val="24"/>
              </w:rPr>
            </w:pPr>
          </w:p>
        </w:tc>
      </w:tr>
      <w:tr w:rsidR="00A446B4" w:rsidRPr="00463501" w:rsidTr="00BC7BD4">
        <w:trPr>
          <w:trHeight w:val="82"/>
        </w:trPr>
        <w:tc>
          <w:tcPr>
            <w:tcW w:w="5103" w:type="dxa"/>
            <w:vAlign w:val="bottom"/>
          </w:tcPr>
          <w:p w:rsidR="00A446B4" w:rsidRPr="00463501" w:rsidRDefault="00A446B4" w:rsidP="004259B4">
            <w:pPr>
              <w:pStyle w:val="a4"/>
              <w:rPr>
                <w:rFonts w:ascii="Times New Roman" w:cs="Times New Roman"/>
                <w:bCs/>
                <w:kern w:val="2"/>
              </w:rPr>
            </w:pPr>
            <w:r>
              <w:rPr>
                <w:rFonts w:ascii="Times New Roman" w:cs="Times New Roman" w:hint="eastAsia"/>
                <w:bCs/>
                <w:kern w:val="2"/>
              </w:rPr>
              <w:t>1</w:t>
            </w:r>
            <w:r>
              <w:rPr>
                <w:rFonts w:ascii="Times New Roman" w:cs="Times New Roman" w:hint="eastAsia"/>
                <w:bCs/>
                <w:kern w:val="2"/>
              </w:rPr>
              <w:t>、其他费用</w:t>
            </w:r>
          </w:p>
        </w:tc>
        <w:tc>
          <w:tcPr>
            <w:tcW w:w="3515" w:type="dxa"/>
            <w:vAlign w:val="bottom"/>
          </w:tcPr>
          <w:p w:rsidR="00A446B4" w:rsidRPr="00402BC5" w:rsidRDefault="00402BC5" w:rsidP="004259B4">
            <w:pPr>
              <w:ind w:right="110"/>
              <w:jc w:val="right"/>
              <w:rPr>
                <w:rFonts w:ascii="Times New Roman" w:eastAsia="宋体" w:hAnsi="宋体" w:cs="Times New Roman"/>
                <w:bCs/>
                <w:sz w:val="24"/>
                <w:szCs w:val="24"/>
                <w:highlight w:val="yellow"/>
              </w:rPr>
            </w:pPr>
            <w:r w:rsidRPr="00402BC5">
              <w:rPr>
                <w:rFonts w:ascii="Times New Roman" w:eastAsia="宋体" w:hAnsi="宋体" w:cs="Times New Roman" w:hint="eastAsia"/>
                <w:bCs/>
                <w:sz w:val="24"/>
                <w:szCs w:val="24"/>
              </w:rPr>
              <w:t>25,000.00</w:t>
            </w:r>
          </w:p>
        </w:tc>
      </w:tr>
      <w:tr w:rsidR="007C4859" w:rsidRPr="00463501" w:rsidTr="00BC7BD4">
        <w:trPr>
          <w:trHeight w:val="376"/>
        </w:trPr>
        <w:tc>
          <w:tcPr>
            <w:tcW w:w="5103" w:type="dxa"/>
            <w:vAlign w:val="bottom"/>
          </w:tcPr>
          <w:p w:rsidR="007C4859" w:rsidRPr="00463501" w:rsidRDefault="007C4859" w:rsidP="00BB61A2">
            <w:pPr>
              <w:pStyle w:val="a4"/>
              <w:rPr>
                <w:rFonts w:ascii="Times New Roman" w:cs="Times New Roman"/>
                <w:bCs/>
                <w:kern w:val="2"/>
              </w:rPr>
            </w:pPr>
            <w:r w:rsidRPr="00463501">
              <w:rPr>
                <w:rFonts w:ascii="Times New Roman" w:cs="Times New Roman" w:hint="eastAsia"/>
                <w:bCs/>
                <w:kern w:val="2"/>
              </w:rPr>
              <w:t>清算费用小计</w:t>
            </w:r>
            <w:r w:rsidR="00BB61A2" w:rsidRPr="00463501">
              <w:rPr>
                <w:rFonts w:ascii="Times New Roman" w:cs="Times New Roman" w:hint="eastAsia"/>
                <w:bCs/>
                <w:kern w:val="2"/>
              </w:rPr>
              <w:t>（注</w:t>
            </w:r>
            <w:r w:rsidR="00BB61A2">
              <w:rPr>
                <w:rFonts w:ascii="Times New Roman" w:cs="Times New Roman" w:hint="eastAsia"/>
                <w:bCs/>
                <w:kern w:val="2"/>
              </w:rPr>
              <w:t>1</w:t>
            </w:r>
            <w:r w:rsidR="00BB61A2" w:rsidRPr="00463501">
              <w:rPr>
                <w:rFonts w:ascii="Times New Roman" w:cs="Times New Roman" w:hint="eastAsia"/>
                <w:bCs/>
                <w:kern w:val="2"/>
              </w:rPr>
              <w:t>）</w:t>
            </w:r>
          </w:p>
        </w:tc>
        <w:tc>
          <w:tcPr>
            <w:tcW w:w="3515" w:type="dxa"/>
            <w:vAlign w:val="bottom"/>
          </w:tcPr>
          <w:p w:rsidR="007C4859" w:rsidRPr="00402BC5" w:rsidRDefault="00402BC5" w:rsidP="008466F3">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25,000.00</w:t>
            </w:r>
          </w:p>
        </w:tc>
      </w:tr>
      <w:tr w:rsidR="007C4859" w:rsidRPr="00463501" w:rsidTr="00BC7BD4">
        <w:trPr>
          <w:trHeight w:val="107"/>
        </w:trPr>
        <w:tc>
          <w:tcPr>
            <w:tcW w:w="5103" w:type="dxa"/>
            <w:tcBorders>
              <w:bottom w:val="single" w:sz="4" w:space="0" w:color="auto"/>
            </w:tcBorders>
            <w:vAlign w:val="bottom"/>
          </w:tcPr>
          <w:p w:rsidR="007C4859" w:rsidRPr="00463501" w:rsidRDefault="007C4859" w:rsidP="004259B4">
            <w:pPr>
              <w:pStyle w:val="a4"/>
              <w:rPr>
                <w:rFonts w:ascii="Times New Roman" w:cs="Times New Roman"/>
                <w:bCs/>
                <w:kern w:val="2"/>
              </w:rPr>
            </w:pPr>
            <w:r w:rsidRPr="00463501">
              <w:rPr>
                <w:rFonts w:ascii="Times New Roman" w:cs="Times New Roman" w:hint="eastAsia"/>
                <w:bCs/>
                <w:kern w:val="2"/>
              </w:rPr>
              <w:t>三、清算净收益（亏损以“</w:t>
            </w:r>
            <w:r w:rsidRPr="00463501">
              <w:rPr>
                <w:rFonts w:ascii="Times New Roman" w:cs="Times New Roman" w:hint="eastAsia"/>
                <w:bCs/>
                <w:kern w:val="2"/>
              </w:rPr>
              <w:t>-</w:t>
            </w:r>
            <w:r w:rsidRPr="00463501">
              <w:rPr>
                <w:rFonts w:ascii="Times New Roman" w:cs="Times New Roman" w:hint="eastAsia"/>
                <w:bCs/>
                <w:kern w:val="2"/>
              </w:rPr>
              <w:t>”号填列）</w:t>
            </w:r>
          </w:p>
        </w:tc>
        <w:tc>
          <w:tcPr>
            <w:tcW w:w="3515" w:type="dxa"/>
            <w:vAlign w:val="bottom"/>
          </w:tcPr>
          <w:p w:rsidR="007C4859" w:rsidRPr="00463501" w:rsidRDefault="00402BC5" w:rsidP="00042FBE">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-1</w:t>
            </w:r>
            <w:r w:rsidR="00042FBE">
              <w:rPr>
                <w:rFonts w:ascii="Times New Roman" w:eastAsia="宋体" w:hAnsi="宋体" w:cs="Times New Roman" w:hint="eastAsia"/>
                <w:bCs/>
                <w:sz w:val="24"/>
                <w:szCs w:val="24"/>
              </w:rPr>
              <w:t>4</w:t>
            </w:r>
            <w:r>
              <w:rPr>
                <w:rFonts w:ascii="Times New Roman" w:eastAsia="宋体" w:hAnsi="宋体" w:cs="Times New Roman" w:hint="eastAsia"/>
                <w:bCs/>
                <w:sz w:val="24"/>
                <w:szCs w:val="24"/>
              </w:rPr>
              <w:t>,</w:t>
            </w:r>
            <w:r w:rsidR="00042FBE">
              <w:rPr>
                <w:rFonts w:ascii="Times New Roman" w:eastAsia="宋体" w:hAnsi="宋体" w:cs="Times New Roman" w:hint="eastAsia"/>
                <w:bCs/>
                <w:sz w:val="24"/>
                <w:szCs w:val="24"/>
              </w:rPr>
              <w:t>563.32</w:t>
            </w:r>
          </w:p>
        </w:tc>
      </w:tr>
    </w:tbl>
    <w:p w:rsidR="004D0FB5" w:rsidRPr="00463501" w:rsidRDefault="004D0FB5" w:rsidP="004D0FB5">
      <w:pPr>
        <w:tabs>
          <w:tab w:val="left" w:pos="709"/>
        </w:tabs>
        <w:overflowPunct w:val="0"/>
        <w:autoSpaceDE w:val="0"/>
        <w:autoSpaceDN w:val="0"/>
        <w:snapToGrid w:val="0"/>
        <w:jc w:val="left"/>
        <w:rPr>
          <w:rFonts w:ascii="Times New Roman" w:eastAsia="宋体" w:hAnsi="宋体" w:cs="Times New Roman"/>
          <w:bCs/>
          <w:sz w:val="24"/>
          <w:szCs w:val="24"/>
        </w:rPr>
      </w:pPr>
    </w:p>
    <w:p w:rsidR="00BB61A2" w:rsidRPr="00BB61A2" w:rsidRDefault="004D0FB5" w:rsidP="00E875BD">
      <w:pPr>
        <w:overflowPunct w:val="0"/>
        <w:autoSpaceDE w:val="0"/>
        <w:autoSpaceDN w:val="0"/>
        <w:snapToGrid w:val="0"/>
        <w:ind w:leftChars="212" w:left="1045" w:hangingChars="250" w:hanging="600"/>
        <w:rPr>
          <w:rFonts w:ascii="Times New Roman" w:eastAsia="宋体" w:hAnsi="宋体" w:cs="Times New Roman"/>
          <w:bCs/>
          <w:sz w:val="24"/>
          <w:szCs w:val="24"/>
        </w:rPr>
      </w:pPr>
      <w:r w:rsidRPr="00463501">
        <w:rPr>
          <w:rFonts w:ascii="Times New Roman" w:eastAsia="宋体" w:hAnsi="宋体" w:cs="Times New Roman" w:hint="eastAsia"/>
          <w:bCs/>
          <w:sz w:val="24"/>
          <w:szCs w:val="24"/>
        </w:rPr>
        <w:t>注</w:t>
      </w:r>
      <w:r w:rsidRPr="00463501">
        <w:rPr>
          <w:rFonts w:ascii="Times New Roman" w:eastAsia="宋体" w:hAnsi="宋体" w:cs="Times New Roman" w:hint="eastAsia"/>
          <w:bCs/>
          <w:sz w:val="24"/>
          <w:szCs w:val="24"/>
        </w:rPr>
        <w:t>1</w:t>
      </w:r>
      <w:r w:rsidRPr="00463501">
        <w:rPr>
          <w:rFonts w:ascii="Times New Roman" w:eastAsia="宋体" w:hAnsi="宋体" w:cs="Times New Roman" w:hint="eastAsia"/>
          <w:bCs/>
          <w:sz w:val="24"/>
          <w:szCs w:val="24"/>
        </w:rPr>
        <w:t>：</w:t>
      </w:r>
      <w:r w:rsidR="00BB61A2" w:rsidRPr="00BB61A2">
        <w:rPr>
          <w:rFonts w:ascii="Times New Roman" w:eastAsia="宋体" w:hAnsi="宋体" w:cs="Times New Roman" w:hint="eastAsia"/>
          <w:bCs/>
          <w:sz w:val="24"/>
          <w:szCs w:val="24"/>
        </w:rPr>
        <w:t>按照《永赢量化</w:t>
      </w:r>
      <w:r w:rsidR="00C77B97">
        <w:rPr>
          <w:rFonts w:ascii="Times New Roman" w:eastAsia="宋体" w:hAnsi="宋体" w:cs="Times New Roman" w:hint="eastAsia"/>
          <w:bCs/>
          <w:sz w:val="24"/>
          <w:szCs w:val="24"/>
        </w:rPr>
        <w:t>灵活配置</w:t>
      </w:r>
      <w:r w:rsidR="00BB61A2" w:rsidRPr="00BB61A2">
        <w:rPr>
          <w:rFonts w:ascii="Times New Roman" w:eastAsia="宋体" w:hAnsi="宋体" w:cs="Times New Roman" w:hint="eastAsia"/>
          <w:bCs/>
          <w:sz w:val="24"/>
          <w:szCs w:val="24"/>
        </w:rPr>
        <w:t>混合</w:t>
      </w:r>
      <w:r w:rsidR="00E22484">
        <w:rPr>
          <w:rFonts w:ascii="Times New Roman" w:eastAsia="宋体" w:hAnsi="宋体" w:cs="Times New Roman" w:hint="eastAsia"/>
          <w:bCs/>
          <w:sz w:val="24"/>
          <w:szCs w:val="24"/>
        </w:rPr>
        <w:t>型</w:t>
      </w:r>
      <w:r w:rsidR="00BB61A2" w:rsidRPr="00BB61A2">
        <w:rPr>
          <w:rFonts w:ascii="Times New Roman" w:eastAsia="宋体" w:hAnsi="宋体" w:cs="Times New Roman" w:hint="eastAsia"/>
          <w:bCs/>
          <w:sz w:val="24"/>
          <w:szCs w:val="24"/>
        </w:rPr>
        <w:t>发起式证券投资基金基金合同》第十九部分“基金合同的变更、终止与基金财产的清算”的约定，清算费用是指基金财产清算小组在进行基金清算过程中发生的所有合理费用，清算费用由基金财产清算小组优先从基金财产中支付。</w:t>
      </w:r>
    </w:p>
    <w:p w:rsidR="004D0FB5" w:rsidRPr="00463501" w:rsidRDefault="00BB61A2" w:rsidP="00E875BD">
      <w:pPr>
        <w:overflowPunct w:val="0"/>
        <w:autoSpaceDE w:val="0"/>
        <w:autoSpaceDN w:val="0"/>
        <w:snapToGrid w:val="0"/>
        <w:ind w:leftChars="212" w:left="1045" w:hangingChars="250" w:hanging="600"/>
        <w:rPr>
          <w:rFonts w:ascii="Times New Roman" w:eastAsia="宋体" w:hAnsi="宋体" w:cs="Times New Roman"/>
          <w:bCs/>
          <w:sz w:val="24"/>
          <w:szCs w:val="24"/>
        </w:rPr>
      </w:pPr>
      <w:r w:rsidRPr="00463501">
        <w:rPr>
          <w:rFonts w:ascii="Times New Roman" w:eastAsia="宋体" w:hAnsi="宋体" w:cs="Times New Roman" w:hint="eastAsia"/>
          <w:bCs/>
          <w:sz w:val="24"/>
          <w:szCs w:val="24"/>
        </w:rPr>
        <w:t>注</w:t>
      </w:r>
      <w:r>
        <w:rPr>
          <w:rFonts w:ascii="Times New Roman" w:eastAsia="宋体" w:hAnsi="宋体" w:cs="Times New Roman" w:hint="eastAsia"/>
          <w:bCs/>
          <w:sz w:val="24"/>
          <w:szCs w:val="24"/>
        </w:rPr>
        <w:t>2</w:t>
      </w:r>
      <w:r w:rsidRPr="00463501">
        <w:rPr>
          <w:rFonts w:ascii="Times New Roman" w:eastAsia="宋体" w:hAnsi="宋体" w:cs="Times New Roman" w:hint="eastAsia"/>
          <w:bCs/>
          <w:sz w:val="24"/>
          <w:szCs w:val="24"/>
        </w:rPr>
        <w:t>：</w:t>
      </w:r>
      <w:r w:rsidR="004D0FB5" w:rsidRPr="00463501">
        <w:rPr>
          <w:rFonts w:ascii="Times New Roman" w:eastAsia="宋体" w:hAnsi="宋体" w:cs="Times New Roman" w:hint="eastAsia"/>
          <w:bCs/>
          <w:sz w:val="24"/>
          <w:szCs w:val="24"/>
        </w:rPr>
        <w:t>截至</w:t>
      </w:r>
      <w:r w:rsidR="004D0FB5" w:rsidRPr="00463501">
        <w:rPr>
          <w:rFonts w:ascii="Times New Roman" w:eastAsia="宋体" w:hAnsi="宋体" w:cs="Times New Roman" w:hint="eastAsia"/>
          <w:bCs/>
          <w:sz w:val="24"/>
          <w:szCs w:val="24"/>
        </w:rPr>
        <w:t>2018</w:t>
      </w:r>
      <w:r w:rsidR="004D0FB5" w:rsidRPr="00463501">
        <w:rPr>
          <w:rFonts w:ascii="Times New Roman" w:eastAsia="宋体" w:hAnsi="宋体" w:cs="Times New Roman" w:hint="eastAsia"/>
          <w:bCs/>
          <w:sz w:val="24"/>
          <w:szCs w:val="24"/>
        </w:rPr>
        <w:t>年</w:t>
      </w:r>
      <w:r w:rsidR="00C77B97">
        <w:rPr>
          <w:rFonts w:ascii="Times New Roman" w:eastAsia="宋体" w:hAnsi="宋体" w:cs="Times New Roman" w:hint="eastAsia"/>
          <w:bCs/>
          <w:sz w:val="24"/>
          <w:szCs w:val="24"/>
        </w:rPr>
        <w:t>9</w:t>
      </w:r>
      <w:r w:rsidR="004D0FB5" w:rsidRPr="00463501">
        <w:rPr>
          <w:rFonts w:ascii="Times New Roman" w:eastAsia="宋体" w:hAnsi="宋体" w:cs="Times New Roman" w:hint="eastAsia"/>
          <w:bCs/>
          <w:sz w:val="24"/>
          <w:szCs w:val="24"/>
        </w:rPr>
        <w:t>月</w:t>
      </w:r>
      <w:r w:rsidR="00C77B97">
        <w:rPr>
          <w:rFonts w:ascii="Times New Roman" w:eastAsia="宋体" w:hAnsi="宋体" w:cs="Times New Roman" w:hint="eastAsia"/>
          <w:bCs/>
          <w:sz w:val="24"/>
          <w:szCs w:val="24"/>
        </w:rPr>
        <w:t>10</w:t>
      </w:r>
      <w:r w:rsidR="004D0FB5" w:rsidRPr="00463501">
        <w:rPr>
          <w:rFonts w:ascii="Times New Roman" w:eastAsia="宋体" w:hAnsi="宋体" w:cs="Times New Roman" w:hint="eastAsia"/>
          <w:bCs/>
          <w:sz w:val="24"/>
          <w:szCs w:val="24"/>
        </w:rPr>
        <w:t>日止</w:t>
      </w:r>
      <w:r w:rsidR="0048795A" w:rsidRPr="0048795A">
        <w:rPr>
          <w:rFonts w:ascii="Times New Roman" w:eastAsia="宋体" w:hAnsi="宋体" w:cs="Times New Roman" w:hint="eastAsia"/>
          <w:bCs/>
          <w:sz w:val="24"/>
          <w:szCs w:val="24"/>
        </w:rPr>
        <w:t>，其他费用包含尚未支付的清算审计费人民币</w:t>
      </w:r>
      <w:r w:rsidR="0048795A" w:rsidRPr="00A446B4">
        <w:rPr>
          <w:rFonts w:ascii="Times New Roman" w:eastAsia="宋体" w:hAnsi="宋体" w:cs="Times New Roman" w:hint="eastAsia"/>
          <w:bCs/>
          <w:sz w:val="24"/>
          <w:szCs w:val="24"/>
        </w:rPr>
        <w:t>15,000.00</w:t>
      </w:r>
      <w:r w:rsidR="0048795A" w:rsidRPr="0048795A">
        <w:rPr>
          <w:rFonts w:ascii="Times New Roman" w:eastAsia="宋体" w:hAnsi="宋体" w:cs="Times New Roman" w:hint="eastAsia"/>
          <w:bCs/>
          <w:sz w:val="24"/>
          <w:szCs w:val="24"/>
        </w:rPr>
        <w:t>元，以及清算律师费人民币</w:t>
      </w:r>
      <w:r w:rsidR="0048795A" w:rsidRPr="0048795A">
        <w:rPr>
          <w:rFonts w:ascii="Times New Roman" w:eastAsia="宋体" w:hAnsi="宋体" w:cs="Times New Roman" w:hint="eastAsia"/>
          <w:bCs/>
          <w:sz w:val="24"/>
          <w:szCs w:val="24"/>
        </w:rPr>
        <w:t>10,000.00</w:t>
      </w:r>
      <w:r w:rsidR="0048795A" w:rsidRPr="0048795A">
        <w:rPr>
          <w:rFonts w:ascii="Times New Roman" w:eastAsia="宋体" w:hAnsi="宋体" w:cs="Times New Roman" w:hint="eastAsia"/>
          <w:bCs/>
          <w:sz w:val="24"/>
          <w:szCs w:val="24"/>
        </w:rPr>
        <w:t>元</w:t>
      </w:r>
      <w:r w:rsidR="00E875BD">
        <w:rPr>
          <w:rFonts w:ascii="Times New Roman" w:eastAsia="宋体" w:hAnsi="宋体" w:cs="Times New Roman" w:hint="eastAsia"/>
          <w:bCs/>
          <w:sz w:val="24"/>
          <w:szCs w:val="24"/>
        </w:rPr>
        <w:t>，将于</w:t>
      </w:r>
      <w:r w:rsidR="00E875BD">
        <w:rPr>
          <w:rFonts w:ascii="Times New Roman" w:eastAsia="宋体" w:hAnsi="宋体" w:cs="Times New Roman" w:hint="eastAsia"/>
          <w:bCs/>
          <w:sz w:val="24"/>
          <w:szCs w:val="24"/>
        </w:rPr>
        <w:t>2018</w:t>
      </w:r>
      <w:r w:rsidR="00E875BD">
        <w:rPr>
          <w:rFonts w:ascii="Times New Roman" w:eastAsia="宋体" w:hAnsi="宋体" w:cs="Times New Roman" w:hint="eastAsia"/>
          <w:bCs/>
          <w:sz w:val="24"/>
          <w:szCs w:val="24"/>
        </w:rPr>
        <w:t>年</w:t>
      </w:r>
      <w:r w:rsidR="00E875BD">
        <w:rPr>
          <w:rFonts w:ascii="Times New Roman" w:eastAsia="宋体" w:hAnsi="宋体" w:cs="Times New Roman" w:hint="eastAsia"/>
          <w:bCs/>
          <w:sz w:val="24"/>
          <w:szCs w:val="24"/>
        </w:rPr>
        <w:t>9</w:t>
      </w:r>
      <w:r w:rsidR="00E875BD">
        <w:rPr>
          <w:rFonts w:ascii="Times New Roman" w:eastAsia="宋体" w:hAnsi="宋体" w:cs="Times New Roman" w:hint="eastAsia"/>
          <w:bCs/>
          <w:sz w:val="24"/>
          <w:szCs w:val="24"/>
        </w:rPr>
        <w:t>月</w:t>
      </w:r>
      <w:r w:rsidR="00E875BD">
        <w:rPr>
          <w:rFonts w:ascii="Times New Roman" w:eastAsia="宋体" w:hAnsi="宋体" w:cs="Times New Roman" w:hint="eastAsia"/>
          <w:bCs/>
          <w:sz w:val="24"/>
          <w:szCs w:val="24"/>
        </w:rPr>
        <w:t>10</w:t>
      </w:r>
      <w:r w:rsidR="00E875BD">
        <w:rPr>
          <w:rFonts w:ascii="Times New Roman" w:eastAsia="宋体" w:hAnsi="宋体" w:cs="Times New Roman" w:hint="eastAsia"/>
          <w:bCs/>
          <w:sz w:val="24"/>
          <w:szCs w:val="24"/>
        </w:rPr>
        <w:t>日后支付</w:t>
      </w:r>
      <w:r w:rsidR="004D0FB5" w:rsidRPr="00463501">
        <w:rPr>
          <w:rFonts w:ascii="Times New Roman" w:eastAsia="宋体" w:hAnsi="宋体" w:cs="Times New Roman" w:hint="eastAsia"/>
          <w:bCs/>
          <w:sz w:val="24"/>
          <w:szCs w:val="24"/>
        </w:rPr>
        <w:t>。</w:t>
      </w:r>
    </w:p>
    <w:p w:rsidR="004D0FB5" w:rsidRPr="00F2214A" w:rsidRDefault="004D0FB5" w:rsidP="004D0FB5">
      <w:pPr>
        <w:rPr>
          <w:rFonts w:ascii="Times New Roman" w:eastAsia="宋体" w:hAnsi="宋体" w:cs="Times New Roman"/>
          <w:bCs/>
          <w:sz w:val="24"/>
          <w:szCs w:val="24"/>
        </w:rPr>
        <w:sectPr w:rsidR="004D0FB5" w:rsidRPr="00F2214A">
          <w:headerReference w:type="default" r:id="rId8"/>
          <w:footerReference w:type="default" r:id="rId9"/>
          <w:pgSz w:w="11906" w:h="16838"/>
          <w:pgMar w:top="1247" w:right="1435" w:bottom="1247" w:left="1418" w:header="1134" w:footer="851" w:gutter="0"/>
          <w:cols w:space="720"/>
          <w:docGrid w:linePitch="360"/>
        </w:sectPr>
      </w:pPr>
    </w:p>
    <w:p w:rsidR="004259B4" w:rsidRPr="004259B4" w:rsidRDefault="004259B4" w:rsidP="00423FFC">
      <w:pPr>
        <w:pStyle w:val="a3"/>
        <w:numPr>
          <w:ilvl w:val="0"/>
          <w:numId w:val="14"/>
        </w:numPr>
        <w:spacing w:before="0" w:after="0" w:line="360" w:lineRule="auto"/>
        <w:jc w:val="both"/>
        <w:rPr>
          <w:rFonts w:ascii="Times New Roman" w:hAnsi="宋体"/>
          <w:b w:val="0"/>
          <w:sz w:val="24"/>
          <w:szCs w:val="24"/>
        </w:rPr>
      </w:pPr>
      <w:r w:rsidRPr="004259B4">
        <w:rPr>
          <w:rFonts w:ascii="Times New Roman" w:hAnsi="宋体" w:hint="eastAsia"/>
          <w:b w:val="0"/>
          <w:sz w:val="24"/>
          <w:szCs w:val="24"/>
        </w:rPr>
        <w:t>资产处置及负债清偿后的剩余资产分配情况</w:t>
      </w:r>
    </w:p>
    <w:p w:rsidR="004259B4" w:rsidRPr="00463501" w:rsidRDefault="004259B4" w:rsidP="00423FFC">
      <w:pPr>
        <w:overflowPunct w:val="0"/>
        <w:autoSpaceDE w:val="0"/>
        <w:autoSpaceDN w:val="0"/>
        <w:snapToGrid w:val="0"/>
        <w:spacing w:line="360" w:lineRule="auto"/>
        <w:rPr>
          <w:rFonts w:asciiTheme="minorEastAsia" w:hAnsiTheme="minorEastAsia" w:cs="Arial"/>
          <w:b/>
          <w:sz w:val="22"/>
        </w:rPr>
      </w:pPr>
    </w:p>
    <w:p w:rsidR="004259B4" w:rsidRPr="00463501" w:rsidRDefault="004259B4" w:rsidP="00D829F9">
      <w:pPr>
        <w:overflowPunct w:val="0"/>
        <w:autoSpaceDE w:val="0"/>
        <w:autoSpaceDN w:val="0"/>
        <w:snapToGrid w:val="0"/>
        <w:ind w:left="6480" w:rightChars="-9" w:right="-19"/>
        <w:jc w:val="right"/>
        <w:rPr>
          <w:rFonts w:asciiTheme="minorEastAsia" w:hAnsiTheme="minorEastAsia" w:cs="Arial"/>
          <w:b/>
          <w:sz w:val="22"/>
        </w:rPr>
      </w:pPr>
      <w:r w:rsidRPr="00463501">
        <w:rPr>
          <w:rFonts w:asciiTheme="minorEastAsia" w:hAnsiTheme="minorEastAsia" w:hint="eastAsia"/>
          <w:sz w:val="22"/>
        </w:rPr>
        <w:t>单位：人民币元</w:t>
      </w:r>
    </w:p>
    <w:tbl>
      <w:tblPr>
        <w:tblW w:w="8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3"/>
        <w:gridCol w:w="2410"/>
      </w:tblGrid>
      <w:tr w:rsidR="004259B4" w:rsidRPr="00463501" w:rsidTr="00D829F9">
        <w:tc>
          <w:tcPr>
            <w:tcW w:w="5783" w:type="dxa"/>
          </w:tcPr>
          <w:p w:rsidR="004259B4" w:rsidRPr="00463501" w:rsidRDefault="004259B4" w:rsidP="0078342A">
            <w:pPr>
              <w:rPr>
                <w:rFonts w:asciiTheme="minorEastAsia" w:hAnsiTheme="minorEastAsia" w:cs="Arial"/>
                <w:sz w:val="22"/>
              </w:rPr>
            </w:pPr>
            <w:r w:rsidRPr="00463501">
              <w:rPr>
                <w:rFonts w:asciiTheme="minorEastAsia" w:hAnsiTheme="minorEastAsia" w:cs="Arial" w:hint="eastAsia"/>
                <w:sz w:val="22"/>
              </w:rPr>
              <w:t>项目</w:t>
            </w:r>
          </w:p>
        </w:tc>
        <w:tc>
          <w:tcPr>
            <w:tcW w:w="2410" w:type="dxa"/>
          </w:tcPr>
          <w:p w:rsidR="004259B4" w:rsidRPr="00463501" w:rsidRDefault="004259B4" w:rsidP="0078342A">
            <w:pPr>
              <w:jc w:val="right"/>
              <w:rPr>
                <w:rFonts w:asciiTheme="minorEastAsia" w:hAnsiTheme="minorEastAsia" w:cs="Arial"/>
                <w:sz w:val="22"/>
              </w:rPr>
            </w:pPr>
            <w:r w:rsidRPr="00463501">
              <w:rPr>
                <w:rFonts w:asciiTheme="minorEastAsia" w:hAnsiTheme="minorEastAsia" w:cs="Arial" w:hint="eastAsia"/>
                <w:sz w:val="22"/>
              </w:rPr>
              <w:t>金额</w:t>
            </w:r>
          </w:p>
        </w:tc>
      </w:tr>
      <w:tr w:rsidR="004259B4" w:rsidRPr="00463501" w:rsidTr="00D829F9">
        <w:tc>
          <w:tcPr>
            <w:tcW w:w="5783" w:type="dxa"/>
          </w:tcPr>
          <w:p w:rsidR="004259B4" w:rsidRPr="00463501" w:rsidRDefault="004259B4" w:rsidP="00402BC5">
            <w:pPr>
              <w:overflowPunct w:val="0"/>
              <w:autoSpaceDE w:val="0"/>
              <w:autoSpaceDN w:val="0"/>
              <w:snapToGrid w:val="0"/>
              <w:rPr>
                <w:rFonts w:asciiTheme="minorEastAsia" w:hAnsiTheme="minorEastAsia" w:cs="Arial"/>
                <w:sz w:val="22"/>
              </w:rPr>
            </w:pPr>
            <w:r w:rsidRPr="00463501">
              <w:rPr>
                <w:rFonts w:asciiTheme="minorEastAsia" w:hAnsiTheme="minorEastAsia" w:cs="Arial" w:hint="eastAsia"/>
                <w:sz w:val="22"/>
              </w:rPr>
              <w:t>一、最后运作日2018年</w:t>
            </w:r>
            <w:r w:rsidR="00402BC5">
              <w:rPr>
                <w:rFonts w:asciiTheme="minorEastAsia" w:hAnsiTheme="minorEastAsia" w:cs="Arial" w:hint="eastAsia"/>
                <w:sz w:val="22"/>
              </w:rPr>
              <w:t>9</w:t>
            </w:r>
            <w:r w:rsidRPr="00463501">
              <w:rPr>
                <w:rFonts w:asciiTheme="minorEastAsia" w:hAnsiTheme="minorEastAsia" w:cs="Arial" w:hint="eastAsia"/>
                <w:sz w:val="22"/>
              </w:rPr>
              <w:t>月</w:t>
            </w:r>
            <w:r w:rsidR="00402BC5">
              <w:rPr>
                <w:rFonts w:asciiTheme="minorEastAsia" w:hAnsiTheme="minorEastAsia" w:cs="Arial" w:hint="eastAsia"/>
                <w:sz w:val="22"/>
              </w:rPr>
              <w:t>3</w:t>
            </w:r>
            <w:r w:rsidRPr="00463501">
              <w:rPr>
                <w:rFonts w:asciiTheme="minorEastAsia" w:hAnsiTheme="minorEastAsia" w:cs="Arial" w:hint="eastAsia"/>
                <w:sz w:val="22"/>
              </w:rPr>
              <w:t>日基金净资产</w:t>
            </w:r>
          </w:p>
        </w:tc>
        <w:tc>
          <w:tcPr>
            <w:tcW w:w="2410" w:type="dxa"/>
            <w:vAlign w:val="center"/>
          </w:tcPr>
          <w:p w:rsidR="004259B4" w:rsidRPr="00463501" w:rsidRDefault="00402BC5" w:rsidP="0078342A">
            <w:pPr>
              <w:overflowPunct w:val="0"/>
              <w:autoSpaceDE w:val="0"/>
              <w:autoSpaceDN w:val="0"/>
              <w:snapToGrid w:val="0"/>
              <w:jc w:val="right"/>
              <w:rPr>
                <w:rFonts w:asciiTheme="minorEastAsia" w:hAnsiTheme="minorEastAsia" w:cs="Arial"/>
                <w:sz w:val="22"/>
                <w:highlight w:val="yellow"/>
              </w:rPr>
            </w:pPr>
            <w:r>
              <w:rPr>
                <w:rFonts w:asciiTheme="minorEastAsia" w:hAnsiTheme="minorEastAsia" w:cs="Arial" w:hint="eastAsia"/>
                <w:sz w:val="22"/>
              </w:rPr>
              <w:t>33,065,571.38</w:t>
            </w:r>
          </w:p>
        </w:tc>
      </w:tr>
      <w:tr w:rsidR="004259B4" w:rsidRPr="00463501" w:rsidTr="00D829F9">
        <w:tc>
          <w:tcPr>
            <w:tcW w:w="5783" w:type="dxa"/>
          </w:tcPr>
          <w:p w:rsidR="004259B4" w:rsidRPr="00463501" w:rsidRDefault="004259B4" w:rsidP="0078342A">
            <w:pPr>
              <w:overflowPunct w:val="0"/>
              <w:autoSpaceDE w:val="0"/>
              <w:autoSpaceDN w:val="0"/>
              <w:snapToGrid w:val="0"/>
              <w:rPr>
                <w:rFonts w:asciiTheme="minorEastAsia" w:hAnsiTheme="minorEastAsia" w:cs="Arial"/>
                <w:sz w:val="22"/>
              </w:rPr>
            </w:pPr>
            <w:r w:rsidRPr="00463501">
              <w:rPr>
                <w:rFonts w:asciiTheme="minorEastAsia" w:hAnsiTheme="minorEastAsia" w:cs="Arial" w:hint="eastAsia"/>
                <w:sz w:val="22"/>
              </w:rPr>
              <w:t>加：清算期间净收益（亏损以“-”号填列）</w:t>
            </w:r>
          </w:p>
        </w:tc>
        <w:tc>
          <w:tcPr>
            <w:tcW w:w="2410" w:type="dxa"/>
            <w:vAlign w:val="bottom"/>
          </w:tcPr>
          <w:p w:rsidR="004259B4" w:rsidRPr="00896525" w:rsidRDefault="00402BC5" w:rsidP="00042FBE">
            <w:pPr>
              <w:wordWrap w:val="0"/>
              <w:overflowPunct w:val="0"/>
              <w:autoSpaceDE w:val="0"/>
              <w:autoSpaceDN w:val="0"/>
              <w:snapToGrid w:val="0"/>
              <w:jc w:val="right"/>
              <w:rPr>
                <w:rFonts w:asciiTheme="minorEastAsia" w:hAnsiTheme="minorEastAsia" w:cs="Arial"/>
                <w:sz w:val="22"/>
              </w:rPr>
            </w:pPr>
            <w:r>
              <w:rPr>
                <w:rFonts w:asciiTheme="minorEastAsia" w:hAnsiTheme="minorEastAsia" w:cs="Arial" w:hint="eastAsia"/>
                <w:sz w:val="22"/>
              </w:rPr>
              <w:t>-</w:t>
            </w:r>
            <w:r w:rsidR="00042FBE">
              <w:rPr>
                <w:rFonts w:asciiTheme="minorEastAsia" w:hAnsiTheme="minorEastAsia" w:cs="Arial" w:hint="eastAsia"/>
                <w:sz w:val="22"/>
              </w:rPr>
              <w:t>14</w:t>
            </w:r>
            <w:r>
              <w:rPr>
                <w:rFonts w:asciiTheme="minorEastAsia" w:hAnsiTheme="minorEastAsia" w:cs="Arial" w:hint="eastAsia"/>
                <w:sz w:val="22"/>
              </w:rPr>
              <w:t>,</w:t>
            </w:r>
            <w:r w:rsidR="00042FBE">
              <w:rPr>
                <w:rFonts w:asciiTheme="minorEastAsia" w:hAnsiTheme="minorEastAsia" w:cs="Arial" w:hint="eastAsia"/>
                <w:sz w:val="22"/>
              </w:rPr>
              <w:t>563.32</w:t>
            </w:r>
          </w:p>
        </w:tc>
      </w:tr>
      <w:tr w:rsidR="004259B4" w:rsidRPr="00463501" w:rsidTr="00D829F9">
        <w:tc>
          <w:tcPr>
            <w:tcW w:w="5783" w:type="dxa"/>
          </w:tcPr>
          <w:p w:rsidR="004259B4" w:rsidRPr="00463501" w:rsidRDefault="004259B4" w:rsidP="00B472E6">
            <w:pPr>
              <w:overflowPunct w:val="0"/>
              <w:autoSpaceDE w:val="0"/>
              <w:autoSpaceDN w:val="0"/>
              <w:snapToGrid w:val="0"/>
              <w:rPr>
                <w:rFonts w:asciiTheme="minorEastAsia" w:hAnsiTheme="minorEastAsia" w:cs="Arial"/>
                <w:sz w:val="22"/>
                <w:highlight w:val="cyan"/>
              </w:rPr>
            </w:pPr>
            <w:r w:rsidRPr="00463501">
              <w:rPr>
                <w:rFonts w:asciiTheme="minorEastAsia" w:hAnsiTheme="minorEastAsia" w:cs="Arial" w:hint="eastAsia"/>
                <w:sz w:val="22"/>
              </w:rPr>
              <w:t>减：基金净赎回转出金额（于2018年</w:t>
            </w:r>
            <w:r w:rsidR="00B472E6">
              <w:rPr>
                <w:rFonts w:asciiTheme="minorEastAsia" w:hAnsiTheme="minorEastAsia" w:cs="Arial" w:hint="eastAsia"/>
                <w:sz w:val="22"/>
              </w:rPr>
              <w:t>9</w:t>
            </w:r>
            <w:r w:rsidRPr="00463501">
              <w:rPr>
                <w:rFonts w:asciiTheme="minorEastAsia" w:hAnsiTheme="minorEastAsia" w:cs="Arial" w:hint="eastAsia"/>
                <w:sz w:val="22"/>
              </w:rPr>
              <w:t>月</w:t>
            </w:r>
            <w:r w:rsidR="00B472E6">
              <w:rPr>
                <w:rFonts w:asciiTheme="minorEastAsia" w:hAnsiTheme="minorEastAsia" w:cs="Arial" w:hint="eastAsia"/>
                <w:sz w:val="22"/>
              </w:rPr>
              <w:t>4</w:t>
            </w:r>
            <w:r w:rsidRPr="00463501">
              <w:rPr>
                <w:rFonts w:asciiTheme="minorEastAsia" w:hAnsiTheme="minorEastAsia" w:cs="Arial" w:hint="eastAsia"/>
                <w:sz w:val="22"/>
              </w:rPr>
              <w:t>日确认的投资者赎回转出申请）</w:t>
            </w:r>
          </w:p>
        </w:tc>
        <w:tc>
          <w:tcPr>
            <w:tcW w:w="2410" w:type="dxa"/>
            <w:vAlign w:val="center"/>
          </w:tcPr>
          <w:p w:rsidR="004259B4" w:rsidRPr="00896525" w:rsidRDefault="00B472E6" w:rsidP="00B472E6">
            <w:pPr>
              <w:overflowPunct w:val="0"/>
              <w:autoSpaceDE w:val="0"/>
              <w:autoSpaceDN w:val="0"/>
              <w:snapToGrid w:val="0"/>
              <w:jc w:val="right"/>
              <w:rPr>
                <w:rFonts w:asciiTheme="minorEastAsia" w:hAnsiTheme="minorEastAsia" w:cs="Arial"/>
                <w:sz w:val="22"/>
              </w:rPr>
            </w:pPr>
            <w:r>
              <w:rPr>
                <w:rFonts w:asciiTheme="minorEastAsia" w:hAnsiTheme="minorEastAsia" w:cs="Arial" w:hint="eastAsia"/>
                <w:sz w:val="22"/>
              </w:rPr>
              <w:t>805</w:t>
            </w:r>
            <w:r w:rsidR="004259B4" w:rsidRPr="00463501">
              <w:rPr>
                <w:rFonts w:asciiTheme="minorEastAsia" w:hAnsiTheme="minorEastAsia" w:cs="Arial"/>
                <w:sz w:val="22"/>
              </w:rPr>
              <w:t>,</w:t>
            </w:r>
            <w:r>
              <w:rPr>
                <w:rFonts w:asciiTheme="minorEastAsia" w:hAnsiTheme="minorEastAsia" w:cs="Arial" w:hint="eastAsia"/>
                <w:sz w:val="22"/>
              </w:rPr>
              <w:t>247.31</w:t>
            </w:r>
          </w:p>
        </w:tc>
      </w:tr>
      <w:tr w:rsidR="004259B4" w:rsidRPr="00463501" w:rsidTr="00D829F9">
        <w:trPr>
          <w:trHeight w:val="101"/>
        </w:trPr>
        <w:tc>
          <w:tcPr>
            <w:tcW w:w="5783" w:type="dxa"/>
          </w:tcPr>
          <w:p w:rsidR="004259B4" w:rsidRPr="00463501" w:rsidRDefault="004259B4" w:rsidP="00B472E6">
            <w:pPr>
              <w:overflowPunct w:val="0"/>
              <w:autoSpaceDE w:val="0"/>
              <w:autoSpaceDN w:val="0"/>
              <w:snapToGrid w:val="0"/>
              <w:rPr>
                <w:rFonts w:asciiTheme="minorEastAsia" w:hAnsiTheme="minorEastAsia" w:cs="Arial"/>
                <w:sz w:val="22"/>
              </w:rPr>
            </w:pPr>
            <w:r w:rsidRPr="00463501">
              <w:rPr>
                <w:rFonts w:asciiTheme="minorEastAsia" w:hAnsiTheme="minorEastAsia" w:cs="Arial" w:hint="eastAsia"/>
                <w:sz w:val="22"/>
              </w:rPr>
              <w:t>二、</w:t>
            </w:r>
            <w:r w:rsidRPr="008679EB">
              <w:rPr>
                <w:rFonts w:asciiTheme="minorEastAsia" w:hAnsiTheme="minorEastAsia" w:cs="Arial" w:hint="eastAsia"/>
                <w:sz w:val="22"/>
              </w:rPr>
              <w:t>2018年</w:t>
            </w:r>
            <w:r w:rsidR="00B472E6">
              <w:rPr>
                <w:rFonts w:asciiTheme="minorEastAsia" w:hAnsiTheme="minorEastAsia" w:cs="Arial" w:hint="eastAsia"/>
                <w:sz w:val="22"/>
              </w:rPr>
              <w:t>9</w:t>
            </w:r>
            <w:r w:rsidRPr="008679EB">
              <w:rPr>
                <w:rFonts w:asciiTheme="minorEastAsia" w:hAnsiTheme="minorEastAsia" w:cs="Arial" w:hint="eastAsia"/>
                <w:sz w:val="22"/>
              </w:rPr>
              <w:t>月1</w:t>
            </w:r>
            <w:r w:rsidR="00B472E6">
              <w:rPr>
                <w:rFonts w:asciiTheme="minorEastAsia" w:hAnsiTheme="minorEastAsia" w:cs="Arial" w:hint="eastAsia"/>
                <w:sz w:val="22"/>
              </w:rPr>
              <w:t>0</w:t>
            </w:r>
            <w:r w:rsidRPr="008679EB">
              <w:rPr>
                <w:rFonts w:asciiTheme="minorEastAsia" w:hAnsiTheme="minorEastAsia" w:cs="Arial" w:hint="eastAsia"/>
                <w:sz w:val="22"/>
              </w:rPr>
              <w:t>日基</w:t>
            </w:r>
            <w:r w:rsidRPr="00463501">
              <w:rPr>
                <w:rFonts w:asciiTheme="minorEastAsia" w:hAnsiTheme="minorEastAsia" w:cs="Arial" w:hint="eastAsia"/>
                <w:sz w:val="22"/>
              </w:rPr>
              <w:t>金净资产</w:t>
            </w:r>
          </w:p>
        </w:tc>
        <w:tc>
          <w:tcPr>
            <w:tcW w:w="2410" w:type="dxa"/>
            <w:vAlign w:val="center"/>
          </w:tcPr>
          <w:p w:rsidR="004259B4" w:rsidRPr="00896525" w:rsidRDefault="00B472E6" w:rsidP="00042FBE">
            <w:pPr>
              <w:overflowPunct w:val="0"/>
              <w:autoSpaceDE w:val="0"/>
              <w:autoSpaceDN w:val="0"/>
              <w:snapToGrid w:val="0"/>
              <w:jc w:val="right"/>
              <w:rPr>
                <w:rFonts w:asciiTheme="minorEastAsia" w:hAnsiTheme="minorEastAsia" w:cs="Arial"/>
                <w:sz w:val="22"/>
              </w:rPr>
            </w:pPr>
            <w:r>
              <w:rPr>
                <w:rFonts w:asciiTheme="minorEastAsia" w:hAnsiTheme="minorEastAsia" w:cs="Arial" w:hint="eastAsia"/>
                <w:sz w:val="22"/>
              </w:rPr>
              <w:t>32</w:t>
            </w:r>
            <w:r w:rsidR="00DF4C84">
              <w:rPr>
                <w:rFonts w:asciiTheme="minorEastAsia" w:hAnsiTheme="minorEastAsia" w:cs="Arial" w:hint="eastAsia"/>
                <w:sz w:val="22"/>
              </w:rPr>
              <w:t>,</w:t>
            </w:r>
            <w:r>
              <w:rPr>
                <w:rFonts w:asciiTheme="minorEastAsia" w:hAnsiTheme="minorEastAsia" w:cs="Arial" w:hint="eastAsia"/>
                <w:sz w:val="22"/>
              </w:rPr>
              <w:t>24</w:t>
            </w:r>
            <w:r w:rsidR="00042FBE">
              <w:rPr>
                <w:rFonts w:asciiTheme="minorEastAsia" w:hAnsiTheme="minorEastAsia" w:cs="Arial" w:hint="eastAsia"/>
                <w:sz w:val="22"/>
              </w:rPr>
              <w:t>5</w:t>
            </w:r>
            <w:r w:rsidR="00DF4C84">
              <w:rPr>
                <w:rFonts w:asciiTheme="minorEastAsia" w:hAnsiTheme="minorEastAsia" w:cs="Arial" w:hint="eastAsia"/>
                <w:sz w:val="22"/>
              </w:rPr>
              <w:t>,</w:t>
            </w:r>
            <w:r w:rsidR="00042FBE">
              <w:rPr>
                <w:rFonts w:asciiTheme="minorEastAsia" w:hAnsiTheme="minorEastAsia" w:cs="Arial" w:hint="eastAsia"/>
                <w:sz w:val="22"/>
              </w:rPr>
              <w:t>760.</w:t>
            </w:r>
            <w:r>
              <w:rPr>
                <w:rFonts w:asciiTheme="minorEastAsia" w:hAnsiTheme="minorEastAsia" w:cs="Arial" w:hint="eastAsia"/>
                <w:sz w:val="22"/>
              </w:rPr>
              <w:t>7</w:t>
            </w:r>
            <w:r w:rsidR="00042FBE">
              <w:rPr>
                <w:rFonts w:asciiTheme="minorEastAsia" w:hAnsiTheme="minorEastAsia" w:cs="Arial" w:hint="eastAsia"/>
                <w:sz w:val="22"/>
              </w:rPr>
              <w:t>5</w:t>
            </w:r>
          </w:p>
        </w:tc>
      </w:tr>
    </w:tbl>
    <w:p w:rsidR="004259B4" w:rsidRPr="00007AB5" w:rsidRDefault="004259B4" w:rsidP="004259B4">
      <w:pPr>
        <w:overflowPunct w:val="0"/>
        <w:autoSpaceDE w:val="0"/>
        <w:autoSpaceDN w:val="0"/>
        <w:snapToGrid w:val="0"/>
        <w:rPr>
          <w:rFonts w:ascii="黑体" w:eastAsia="黑体" w:hAnsi="黑体" w:cs="Arial"/>
          <w:b/>
          <w:sz w:val="22"/>
        </w:rPr>
      </w:pPr>
    </w:p>
    <w:p w:rsidR="004259B4" w:rsidRPr="004259B4" w:rsidRDefault="004259B4" w:rsidP="00423FFC">
      <w:pPr>
        <w:pStyle w:val="a3"/>
        <w:spacing w:before="0" w:after="0" w:line="360" w:lineRule="auto"/>
        <w:ind w:firstLineChars="200" w:firstLine="480"/>
        <w:jc w:val="both"/>
        <w:rPr>
          <w:rFonts w:ascii="Times New Roman" w:hAnsi="宋体"/>
          <w:b w:val="0"/>
          <w:sz w:val="24"/>
          <w:szCs w:val="24"/>
        </w:rPr>
      </w:pPr>
      <w:r w:rsidRPr="004259B4">
        <w:rPr>
          <w:rFonts w:ascii="Times New Roman" w:hAnsi="宋体" w:hint="eastAsia"/>
          <w:b w:val="0"/>
          <w:sz w:val="24"/>
          <w:szCs w:val="24"/>
        </w:rPr>
        <w:t>根据《永赢量化</w:t>
      </w:r>
      <w:r w:rsidR="00042FBE">
        <w:rPr>
          <w:rFonts w:ascii="Times New Roman" w:hAnsi="宋体" w:hint="eastAsia"/>
          <w:b w:val="0"/>
          <w:sz w:val="24"/>
          <w:szCs w:val="24"/>
        </w:rPr>
        <w:t>灵活配置</w:t>
      </w:r>
      <w:r w:rsidRPr="004259B4">
        <w:rPr>
          <w:rFonts w:ascii="Times New Roman" w:hAnsi="宋体" w:hint="eastAsia"/>
          <w:b w:val="0"/>
          <w:sz w:val="24"/>
          <w:szCs w:val="24"/>
        </w:rPr>
        <w:t>混合型发起式证券投资基金基金合同》，将基金财产清算后的全部剩余资产扣除基金财产清算费用、交纳所欠税款并清偿基金债务后，按基金份额持有人持有的基金份额比例进行分配。</w:t>
      </w:r>
    </w:p>
    <w:p w:rsidR="00A969BA" w:rsidRDefault="00D8231C" w:rsidP="00423FFC">
      <w:pPr>
        <w:pStyle w:val="a3"/>
        <w:spacing w:before="0" w:after="0" w:line="360" w:lineRule="auto"/>
        <w:ind w:firstLineChars="200" w:firstLine="480"/>
        <w:jc w:val="both"/>
        <w:rPr>
          <w:rFonts w:ascii="Times New Roman" w:hAnsi="宋体"/>
          <w:b w:val="0"/>
          <w:sz w:val="24"/>
          <w:szCs w:val="24"/>
        </w:rPr>
      </w:pPr>
      <w:r w:rsidRPr="00D8231C">
        <w:rPr>
          <w:rFonts w:ascii="Times New Roman" w:hAnsi="宋体" w:hint="eastAsia"/>
          <w:b w:val="0"/>
          <w:sz w:val="24"/>
          <w:szCs w:val="24"/>
        </w:rPr>
        <w:t>2018</w:t>
      </w:r>
      <w:r w:rsidRPr="00D8231C">
        <w:rPr>
          <w:rFonts w:ascii="Times New Roman" w:hAnsi="宋体" w:hint="eastAsia"/>
          <w:b w:val="0"/>
          <w:sz w:val="24"/>
          <w:szCs w:val="24"/>
        </w:rPr>
        <w:t>年</w:t>
      </w:r>
      <w:r w:rsidRPr="00D8231C">
        <w:rPr>
          <w:rFonts w:ascii="Times New Roman" w:hAnsi="宋体" w:hint="eastAsia"/>
          <w:b w:val="0"/>
          <w:sz w:val="24"/>
          <w:szCs w:val="24"/>
        </w:rPr>
        <w:t>9</w:t>
      </w:r>
      <w:r w:rsidRPr="00D8231C">
        <w:rPr>
          <w:rFonts w:ascii="Times New Roman" w:hAnsi="宋体" w:hint="eastAsia"/>
          <w:b w:val="0"/>
          <w:sz w:val="24"/>
          <w:szCs w:val="24"/>
        </w:rPr>
        <w:t>月</w:t>
      </w:r>
      <w:r w:rsidRPr="00D8231C">
        <w:rPr>
          <w:rFonts w:ascii="Times New Roman" w:hAnsi="宋体" w:hint="eastAsia"/>
          <w:b w:val="0"/>
          <w:sz w:val="24"/>
          <w:szCs w:val="24"/>
        </w:rPr>
        <w:t>10</w:t>
      </w:r>
      <w:r w:rsidRPr="00D8231C">
        <w:rPr>
          <w:rFonts w:ascii="Times New Roman" w:hAnsi="宋体" w:hint="eastAsia"/>
          <w:b w:val="0"/>
          <w:sz w:val="24"/>
          <w:szCs w:val="24"/>
        </w:rPr>
        <w:t>日本基金剩余财产为人民币</w:t>
      </w:r>
      <w:r w:rsidRPr="00D8231C">
        <w:rPr>
          <w:rFonts w:ascii="Times New Roman" w:hAnsi="宋体" w:hint="eastAsia"/>
          <w:b w:val="0"/>
          <w:sz w:val="24"/>
          <w:szCs w:val="24"/>
        </w:rPr>
        <w:t>32,245,760.75</w:t>
      </w:r>
      <w:r w:rsidRPr="00D8231C">
        <w:rPr>
          <w:rFonts w:ascii="Times New Roman" w:hAnsi="宋体" w:hint="eastAsia"/>
          <w:b w:val="0"/>
          <w:sz w:val="24"/>
          <w:szCs w:val="24"/>
        </w:rPr>
        <w:t>元，其中包括结算备付金及存出保证金人民币</w:t>
      </w:r>
      <w:r w:rsidRPr="00D8231C">
        <w:rPr>
          <w:rFonts w:ascii="Times New Roman" w:hAnsi="宋体" w:hint="eastAsia"/>
          <w:b w:val="0"/>
          <w:sz w:val="24"/>
          <w:szCs w:val="24"/>
        </w:rPr>
        <w:t>304,323.76</w:t>
      </w:r>
      <w:r w:rsidRPr="00D8231C">
        <w:rPr>
          <w:rFonts w:ascii="Times New Roman" w:hAnsi="宋体" w:hint="eastAsia"/>
          <w:b w:val="0"/>
          <w:sz w:val="24"/>
          <w:szCs w:val="24"/>
        </w:rPr>
        <w:t>元，应收银行存款、结算备付金及结算保证金产生的利息人民币</w:t>
      </w:r>
      <w:r w:rsidRPr="00D8231C">
        <w:rPr>
          <w:rFonts w:ascii="Times New Roman" w:hAnsi="宋体" w:hint="eastAsia"/>
          <w:b w:val="0"/>
          <w:sz w:val="24"/>
          <w:szCs w:val="24"/>
        </w:rPr>
        <w:t>31,465.87</w:t>
      </w:r>
      <w:r w:rsidRPr="00D8231C">
        <w:rPr>
          <w:rFonts w:ascii="Times New Roman" w:hAnsi="宋体" w:hint="eastAsia"/>
          <w:b w:val="0"/>
          <w:sz w:val="24"/>
          <w:szCs w:val="24"/>
        </w:rPr>
        <w:t>元。上述剩余未变现的资产截止划付清算款前一日仍未变现的，由基金管理人以自有资金先行垫付，垫付资金将于划付清算款前划入本基金托管账户。</w:t>
      </w:r>
      <w:r w:rsidRPr="00D8231C">
        <w:rPr>
          <w:rFonts w:ascii="Times New Roman" w:hAnsi="宋体" w:hint="eastAsia"/>
          <w:b w:val="0"/>
          <w:sz w:val="24"/>
          <w:szCs w:val="24"/>
        </w:rPr>
        <w:t>2018</w:t>
      </w:r>
      <w:r w:rsidRPr="00D8231C">
        <w:rPr>
          <w:rFonts w:ascii="Times New Roman" w:hAnsi="宋体" w:hint="eastAsia"/>
          <w:b w:val="0"/>
          <w:sz w:val="24"/>
          <w:szCs w:val="24"/>
        </w:rPr>
        <w:t>年</w:t>
      </w:r>
      <w:r w:rsidRPr="00D8231C">
        <w:rPr>
          <w:rFonts w:ascii="Times New Roman" w:hAnsi="宋体" w:hint="eastAsia"/>
          <w:b w:val="0"/>
          <w:sz w:val="24"/>
          <w:szCs w:val="24"/>
        </w:rPr>
        <w:t>9</w:t>
      </w:r>
      <w:r w:rsidRPr="00D8231C">
        <w:rPr>
          <w:rFonts w:ascii="Times New Roman" w:hAnsi="宋体" w:hint="eastAsia"/>
          <w:b w:val="0"/>
          <w:sz w:val="24"/>
          <w:szCs w:val="24"/>
        </w:rPr>
        <w:t>月</w:t>
      </w:r>
      <w:r w:rsidRPr="00D8231C">
        <w:rPr>
          <w:rFonts w:ascii="Times New Roman" w:hAnsi="宋体" w:hint="eastAsia"/>
          <w:b w:val="0"/>
          <w:sz w:val="24"/>
          <w:szCs w:val="24"/>
        </w:rPr>
        <w:t>11</w:t>
      </w:r>
      <w:r w:rsidRPr="00D8231C">
        <w:rPr>
          <w:rFonts w:ascii="Times New Roman" w:hAnsi="宋体" w:hint="eastAsia"/>
          <w:b w:val="0"/>
          <w:sz w:val="24"/>
          <w:szCs w:val="24"/>
        </w:rPr>
        <w:t>日至清算款划出日前一日的银行存款、结算备付金、结算保证金产生的利息属份额持有人所有。基金管理人垫付的资金将于清算期后的结息日或结算备付金与结算保证金调整日后退还给基金管理人，实际结息金额与垫付金额的尾差由基金管理人承担。</w:t>
      </w:r>
    </w:p>
    <w:p w:rsidR="00423FFC" w:rsidRPr="00423FFC" w:rsidRDefault="00423FFC" w:rsidP="00423FFC">
      <w:pPr>
        <w:spacing w:line="360" w:lineRule="auto"/>
      </w:pPr>
    </w:p>
    <w:p w:rsidR="004259B4" w:rsidRPr="00815EBC" w:rsidRDefault="004259B4" w:rsidP="00423FFC">
      <w:pPr>
        <w:pStyle w:val="a3"/>
        <w:numPr>
          <w:ilvl w:val="0"/>
          <w:numId w:val="14"/>
        </w:numPr>
        <w:spacing w:before="0" w:after="0" w:line="360" w:lineRule="auto"/>
        <w:jc w:val="both"/>
        <w:rPr>
          <w:rFonts w:ascii="Times New Roman" w:hAnsi="宋体"/>
          <w:b w:val="0"/>
          <w:sz w:val="24"/>
          <w:szCs w:val="24"/>
        </w:rPr>
      </w:pPr>
      <w:r w:rsidRPr="00815EBC">
        <w:rPr>
          <w:rFonts w:ascii="Times New Roman" w:hAnsi="宋体" w:hint="eastAsia"/>
          <w:b w:val="0"/>
          <w:sz w:val="24"/>
          <w:szCs w:val="24"/>
        </w:rPr>
        <w:t>基金财产清算报告的告知安排</w:t>
      </w:r>
    </w:p>
    <w:p w:rsidR="00BB7C53" w:rsidRPr="00423FFC" w:rsidRDefault="00BB7C53" w:rsidP="00423FFC">
      <w:pPr>
        <w:pStyle w:val="a3"/>
        <w:spacing w:before="0" w:after="0" w:line="360" w:lineRule="auto"/>
        <w:ind w:firstLineChars="200" w:firstLine="480"/>
        <w:jc w:val="both"/>
        <w:rPr>
          <w:rFonts w:ascii="Times New Roman" w:hAnsi="宋体"/>
          <w:b w:val="0"/>
          <w:sz w:val="24"/>
          <w:szCs w:val="24"/>
        </w:rPr>
      </w:pPr>
    </w:p>
    <w:p w:rsidR="004259B4" w:rsidRDefault="004259B4" w:rsidP="00423FFC">
      <w:pPr>
        <w:pStyle w:val="a3"/>
        <w:spacing w:before="0" w:after="0" w:line="360" w:lineRule="auto"/>
        <w:ind w:firstLineChars="200" w:firstLine="480"/>
        <w:jc w:val="both"/>
        <w:rPr>
          <w:rFonts w:ascii="Times New Roman" w:hAnsi="宋体"/>
          <w:b w:val="0"/>
          <w:sz w:val="24"/>
          <w:szCs w:val="24"/>
        </w:rPr>
      </w:pPr>
      <w:r w:rsidRPr="00BB7C53">
        <w:rPr>
          <w:rFonts w:ascii="Times New Roman" w:hAnsi="宋体" w:hint="eastAsia"/>
          <w:b w:val="0"/>
          <w:sz w:val="24"/>
          <w:szCs w:val="24"/>
        </w:rPr>
        <w:t>本清算报告已经基金托管人复核，在经会计师事务所审计、律师事务所出具法律意见</w:t>
      </w:r>
      <w:r w:rsidRPr="00BB7C53">
        <w:rPr>
          <w:rFonts w:ascii="Times New Roman" w:hAnsi="宋体"/>
          <w:b w:val="0"/>
          <w:sz w:val="24"/>
          <w:szCs w:val="24"/>
        </w:rPr>
        <w:t>书后，</w:t>
      </w:r>
      <w:r w:rsidRPr="00BB7C53">
        <w:rPr>
          <w:rFonts w:ascii="Times New Roman" w:hAnsi="宋体" w:hint="eastAsia"/>
          <w:b w:val="0"/>
          <w:sz w:val="24"/>
          <w:szCs w:val="24"/>
        </w:rPr>
        <w:t>报中国证监会备案并向基金份额持有人公告</w:t>
      </w:r>
      <w:r w:rsidR="00BB7C53">
        <w:rPr>
          <w:rFonts w:ascii="Times New Roman" w:hAnsi="宋体" w:hint="eastAsia"/>
          <w:b w:val="0"/>
          <w:sz w:val="24"/>
          <w:szCs w:val="24"/>
        </w:rPr>
        <w:t>。</w:t>
      </w:r>
    </w:p>
    <w:p w:rsidR="00BB7C53" w:rsidRDefault="00BB7C53" w:rsidP="00BB7C53"/>
    <w:p w:rsidR="00BB7C53" w:rsidRDefault="00BB7C53" w:rsidP="00BB7C53"/>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D47563" w:rsidRDefault="00D47563" w:rsidP="00BB7C53">
      <w:pPr>
        <w:widowControl/>
        <w:rPr>
          <w:rFonts w:ascii="Times New Roman" w:eastAsia="宋体" w:hAnsi="宋体" w:cs="Times New Roman"/>
          <w:bCs/>
          <w:sz w:val="24"/>
          <w:szCs w:val="24"/>
        </w:rPr>
      </w:pPr>
    </w:p>
    <w:p w:rsidR="00BB7C53" w:rsidRPr="00423FFC" w:rsidRDefault="00BB7C53" w:rsidP="00423FFC">
      <w:pPr>
        <w:pStyle w:val="a5"/>
        <w:widowControl/>
        <w:numPr>
          <w:ilvl w:val="0"/>
          <w:numId w:val="11"/>
        </w:numPr>
        <w:ind w:firstLineChars="0"/>
        <w:rPr>
          <w:rFonts w:ascii="Times New Roman" w:eastAsia="宋体" w:hAnsi="宋体" w:cs="Times New Roman"/>
          <w:b/>
          <w:bCs/>
          <w:sz w:val="28"/>
          <w:szCs w:val="28"/>
        </w:rPr>
      </w:pPr>
      <w:r w:rsidRPr="00423FFC">
        <w:rPr>
          <w:rFonts w:ascii="Times New Roman" w:eastAsia="宋体" w:hAnsi="宋体" w:cs="Times New Roman" w:hint="eastAsia"/>
          <w:b/>
          <w:bCs/>
          <w:sz w:val="28"/>
          <w:szCs w:val="28"/>
        </w:rPr>
        <w:t>备查文件目录</w:t>
      </w:r>
    </w:p>
    <w:p w:rsidR="00BB7C53" w:rsidRPr="00423FFC" w:rsidRDefault="00BB7C53" w:rsidP="00423FFC">
      <w:pPr>
        <w:autoSpaceDE w:val="0"/>
        <w:autoSpaceDN w:val="0"/>
        <w:adjustRightInd w:val="0"/>
        <w:spacing w:before="10" w:line="360" w:lineRule="auto"/>
        <w:jc w:val="left"/>
        <w:rPr>
          <w:rFonts w:asciiTheme="minorEastAsia" w:hAnsiTheme="minorEastAsia" w:cs="微软雅黑"/>
          <w:kern w:val="0"/>
          <w:sz w:val="18"/>
          <w:szCs w:val="18"/>
        </w:rPr>
      </w:pPr>
    </w:p>
    <w:p w:rsidR="00BB7C53" w:rsidRPr="00BB7C53" w:rsidRDefault="00BB7C53" w:rsidP="00423FFC">
      <w:pPr>
        <w:pStyle w:val="a3"/>
        <w:numPr>
          <w:ilvl w:val="0"/>
          <w:numId w:val="12"/>
        </w:numPr>
        <w:spacing w:before="0" w:after="0" w:line="360" w:lineRule="auto"/>
        <w:jc w:val="both"/>
        <w:rPr>
          <w:rFonts w:ascii="Times New Roman" w:hAnsi="宋体"/>
          <w:b w:val="0"/>
          <w:sz w:val="24"/>
          <w:szCs w:val="24"/>
        </w:rPr>
      </w:pPr>
      <w:r w:rsidRPr="00BB7C53">
        <w:rPr>
          <w:rFonts w:ascii="Times New Roman" w:hAnsi="宋体" w:hint="eastAsia"/>
          <w:b w:val="0"/>
          <w:sz w:val="24"/>
          <w:szCs w:val="24"/>
        </w:rPr>
        <w:t>备查文件目录</w:t>
      </w:r>
    </w:p>
    <w:p w:rsidR="00BB7C53" w:rsidRPr="00614678" w:rsidRDefault="00BB7C53" w:rsidP="00423FFC">
      <w:pPr>
        <w:pStyle w:val="a3"/>
        <w:spacing w:before="0" w:after="0" w:line="360" w:lineRule="auto"/>
        <w:ind w:firstLineChars="200" w:firstLine="480"/>
        <w:jc w:val="both"/>
        <w:rPr>
          <w:rFonts w:ascii="Times New Roman" w:hAnsi="宋体"/>
          <w:b w:val="0"/>
          <w:sz w:val="24"/>
          <w:szCs w:val="24"/>
        </w:rPr>
      </w:pPr>
      <w:r w:rsidRPr="00614678">
        <w:rPr>
          <w:rFonts w:ascii="Times New Roman" w:hAnsi="宋体" w:hint="eastAsia"/>
          <w:b w:val="0"/>
          <w:sz w:val="24"/>
          <w:szCs w:val="24"/>
        </w:rPr>
        <w:t>（</w:t>
      </w:r>
      <w:r w:rsidRPr="00614678">
        <w:rPr>
          <w:rFonts w:ascii="Times New Roman" w:hAnsi="宋体"/>
          <w:b w:val="0"/>
          <w:sz w:val="24"/>
          <w:szCs w:val="24"/>
        </w:rPr>
        <w:t>1</w:t>
      </w:r>
      <w:r w:rsidRPr="00614678">
        <w:rPr>
          <w:rFonts w:ascii="Times New Roman" w:hAnsi="宋体" w:hint="eastAsia"/>
          <w:b w:val="0"/>
          <w:sz w:val="24"/>
          <w:szCs w:val="24"/>
        </w:rPr>
        <w:t>）永赢量化</w:t>
      </w:r>
      <w:r w:rsidR="00614678" w:rsidRPr="00614678">
        <w:rPr>
          <w:rFonts w:ascii="Times New Roman" w:hAnsi="宋体" w:hint="eastAsia"/>
          <w:b w:val="0"/>
          <w:sz w:val="24"/>
          <w:szCs w:val="24"/>
        </w:rPr>
        <w:t>灵活配置</w:t>
      </w:r>
      <w:r w:rsidRPr="00614678">
        <w:rPr>
          <w:rFonts w:ascii="Times New Roman" w:hAnsi="宋体" w:hint="eastAsia"/>
          <w:b w:val="0"/>
          <w:sz w:val="24"/>
          <w:szCs w:val="24"/>
        </w:rPr>
        <w:t>混合型发起式证券投资基金资产负债表及审计报告；</w:t>
      </w:r>
    </w:p>
    <w:p w:rsidR="00BB7C53" w:rsidRPr="00BB7C53" w:rsidRDefault="00BB7C53" w:rsidP="00423FFC">
      <w:pPr>
        <w:pStyle w:val="a3"/>
        <w:spacing w:before="0" w:after="0" w:line="360" w:lineRule="auto"/>
        <w:ind w:firstLineChars="200" w:firstLine="480"/>
        <w:jc w:val="both"/>
        <w:rPr>
          <w:rFonts w:ascii="Times New Roman" w:hAnsi="宋体"/>
          <w:b w:val="0"/>
          <w:sz w:val="24"/>
          <w:szCs w:val="24"/>
        </w:rPr>
      </w:pPr>
      <w:r w:rsidRPr="00614678">
        <w:rPr>
          <w:rFonts w:ascii="Times New Roman" w:hAnsi="宋体" w:hint="eastAsia"/>
          <w:b w:val="0"/>
          <w:sz w:val="24"/>
          <w:szCs w:val="24"/>
        </w:rPr>
        <w:t>（</w:t>
      </w:r>
      <w:r w:rsidRPr="00614678">
        <w:rPr>
          <w:rFonts w:ascii="Times New Roman" w:hAnsi="宋体"/>
          <w:b w:val="0"/>
          <w:sz w:val="24"/>
          <w:szCs w:val="24"/>
        </w:rPr>
        <w:t>2</w:t>
      </w:r>
      <w:r w:rsidRPr="00614678">
        <w:rPr>
          <w:rFonts w:ascii="Times New Roman" w:hAnsi="宋体" w:hint="eastAsia"/>
          <w:b w:val="0"/>
          <w:sz w:val="24"/>
          <w:szCs w:val="24"/>
        </w:rPr>
        <w:t>）《永赢量化</w:t>
      </w:r>
      <w:r w:rsidR="00614678" w:rsidRPr="00614678">
        <w:rPr>
          <w:rFonts w:ascii="Times New Roman" w:hAnsi="宋体" w:hint="eastAsia"/>
          <w:b w:val="0"/>
          <w:sz w:val="24"/>
          <w:szCs w:val="24"/>
        </w:rPr>
        <w:t>灵活配置</w:t>
      </w:r>
      <w:r w:rsidRPr="00614678">
        <w:rPr>
          <w:rFonts w:ascii="Times New Roman" w:hAnsi="宋体" w:hint="eastAsia"/>
          <w:b w:val="0"/>
          <w:sz w:val="24"/>
          <w:szCs w:val="24"/>
        </w:rPr>
        <w:t>混合型发起式证券投资基金清算报告》的法律意见。</w:t>
      </w:r>
    </w:p>
    <w:p w:rsidR="00BB7C53" w:rsidRPr="00BB7C53" w:rsidRDefault="00BB7C53" w:rsidP="00423FFC">
      <w:pPr>
        <w:spacing w:line="360" w:lineRule="auto"/>
      </w:pPr>
    </w:p>
    <w:p w:rsidR="00BB7C53" w:rsidRDefault="00BB7C53" w:rsidP="00423FFC">
      <w:pPr>
        <w:pStyle w:val="a3"/>
        <w:numPr>
          <w:ilvl w:val="0"/>
          <w:numId w:val="12"/>
        </w:numPr>
        <w:spacing w:before="0" w:after="0" w:line="360" w:lineRule="auto"/>
        <w:jc w:val="both"/>
        <w:rPr>
          <w:rFonts w:ascii="Times New Roman" w:hAnsi="宋体"/>
          <w:b w:val="0"/>
          <w:sz w:val="24"/>
          <w:szCs w:val="24"/>
        </w:rPr>
      </w:pPr>
      <w:r w:rsidRPr="00BB7C53">
        <w:rPr>
          <w:rFonts w:ascii="Times New Roman" w:hAnsi="宋体" w:hint="eastAsia"/>
          <w:b w:val="0"/>
          <w:sz w:val="24"/>
          <w:szCs w:val="24"/>
        </w:rPr>
        <w:t>存放地点</w:t>
      </w:r>
    </w:p>
    <w:p w:rsidR="00BB7C53" w:rsidRPr="00BB7C53" w:rsidRDefault="00BB7C53" w:rsidP="00423FFC">
      <w:pPr>
        <w:pStyle w:val="a3"/>
        <w:spacing w:before="0" w:after="0" w:line="360" w:lineRule="auto"/>
        <w:ind w:firstLineChars="200" w:firstLine="480"/>
        <w:jc w:val="both"/>
        <w:rPr>
          <w:rFonts w:ascii="Times New Roman" w:hAnsi="宋体"/>
          <w:b w:val="0"/>
          <w:sz w:val="24"/>
          <w:szCs w:val="24"/>
        </w:rPr>
      </w:pPr>
      <w:r w:rsidRPr="00614678">
        <w:rPr>
          <w:rFonts w:ascii="Times New Roman" w:hAnsi="宋体" w:hint="eastAsia"/>
          <w:b w:val="0"/>
          <w:sz w:val="24"/>
          <w:szCs w:val="24"/>
        </w:rPr>
        <w:t>基金管理人的办公场所。</w:t>
      </w:r>
    </w:p>
    <w:p w:rsidR="00BB7C53" w:rsidRDefault="00BB7C53" w:rsidP="00423FFC">
      <w:pPr>
        <w:pStyle w:val="a3"/>
        <w:spacing w:before="0" w:after="0" w:line="360" w:lineRule="auto"/>
        <w:ind w:firstLineChars="200" w:firstLine="480"/>
        <w:jc w:val="both"/>
        <w:rPr>
          <w:rFonts w:ascii="Times New Roman" w:hAnsi="宋体"/>
          <w:b w:val="0"/>
          <w:sz w:val="24"/>
          <w:szCs w:val="24"/>
        </w:rPr>
      </w:pPr>
    </w:p>
    <w:p w:rsidR="00BB7C53" w:rsidRDefault="00BB7C53" w:rsidP="00423FFC">
      <w:pPr>
        <w:pStyle w:val="a3"/>
        <w:numPr>
          <w:ilvl w:val="0"/>
          <w:numId w:val="12"/>
        </w:numPr>
        <w:spacing w:before="0" w:after="0" w:line="360" w:lineRule="auto"/>
        <w:jc w:val="both"/>
        <w:rPr>
          <w:rFonts w:ascii="Times New Roman" w:hAnsi="宋体"/>
          <w:b w:val="0"/>
          <w:sz w:val="24"/>
          <w:szCs w:val="24"/>
        </w:rPr>
      </w:pPr>
      <w:r w:rsidRPr="00BB7C53">
        <w:rPr>
          <w:rFonts w:ascii="Times New Roman" w:hAnsi="宋体" w:hint="eastAsia"/>
          <w:b w:val="0"/>
          <w:sz w:val="24"/>
          <w:szCs w:val="24"/>
        </w:rPr>
        <w:t>查阅方式</w:t>
      </w:r>
    </w:p>
    <w:p w:rsidR="00BB7C53" w:rsidRPr="00BB7C53" w:rsidRDefault="00BB7C53" w:rsidP="00423FFC">
      <w:pPr>
        <w:pStyle w:val="a3"/>
        <w:spacing w:before="0" w:after="0" w:line="360" w:lineRule="auto"/>
        <w:ind w:firstLineChars="200" w:firstLine="480"/>
        <w:jc w:val="both"/>
        <w:rPr>
          <w:rFonts w:ascii="Times New Roman" w:hAnsi="宋体"/>
          <w:b w:val="0"/>
          <w:sz w:val="24"/>
          <w:szCs w:val="24"/>
        </w:rPr>
      </w:pPr>
      <w:r w:rsidRPr="00614678">
        <w:rPr>
          <w:rFonts w:ascii="Times New Roman" w:hAnsi="宋体" w:hint="eastAsia"/>
          <w:b w:val="0"/>
          <w:sz w:val="24"/>
          <w:szCs w:val="24"/>
        </w:rPr>
        <w:t>投资者可通过登录</w:t>
      </w:r>
      <w:r w:rsidR="00E9332D">
        <w:rPr>
          <w:rFonts w:ascii="Times New Roman" w:hAnsi="宋体" w:hint="eastAsia"/>
          <w:b w:val="0"/>
          <w:sz w:val="24"/>
          <w:szCs w:val="24"/>
        </w:rPr>
        <w:t>基金</w:t>
      </w:r>
      <w:r w:rsidRPr="00614678">
        <w:rPr>
          <w:rFonts w:ascii="Times New Roman" w:hAnsi="宋体" w:hint="eastAsia"/>
          <w:b w:val="0"/>
          <w:sz w:val="24"/>
          <w:szCs w:val="24"/>
        </w:rPr>
        <w:t>管理人网站查阅清算报告，</w:t>
      </w:r>
      <w:r w:rsidR="00E9332D">
        <w:rPr>
          <w:rFonts w:ascii="Times New Roman" w:hAnsi="宋体" w:hint="eastAsia"/>
          <w:b w:val="0"/>
          <w:sz w:val="24"/>
          <w:szCs w:val="24"/>
        </w:rPr>
        <w:t>基金</w:t>
      </w:r>
      <w:r w:rsidRPr="00614678">
        <w:rPr>
          <w:rFonts w:ascii="Times New Roman" w:hAnsi="宋体" w:hint="eastAsia"/>
          <w:b w:val="0"/>
          <w:sz w:val="24"/>
          <w:szCs w:val="24"/>
        </w:rPr>
        <w:t>管理人在网站登载清算报告视为履行了告知义务。</w:t>
      </w:r>
      <w:r w:rsidR="009D2725">
        <w:rPr>
          <w:rFonts w:ascii="Times New Roman" w:hAnsi="宋体" w:hint="eastAsia"/>
          <w:b w:val="0"/>
          <w:sz w:val="24"/>
          <w:szCs w:val="24"/>
        </w:rPr>
        <w:t>基金</w:t>
      </w:r>
      <w:r w:rsidRPr="00614678">
        <w:rPr>
          <w:rFonts w:ascii="Times New Roman" w:hAnsi="宋体" w:hint="eastAsia"/>
          <w:b w:val="0"/>
          <w:sz w:val="24"/>
          <w:szCs w:val="24"/>
        </w:rPr>
        <w:t>管理人网站：</w:t>
      </w:r>
      <w:r w:rsidRPr="00614678">
        <w:rPr>
          <w:rFonts w:ascii="Times New Roman" w:hAnsi="宋体" w:hint="eastAsia"/>
          <w:b w:val="0"/>
          <w:sz w:val="24"/>
          <w:szCs w:val="24"/>
        </w:rPr>
        <w:t>www.maxwealthfund.com</w:t>
      </w:r>
    </w:p>
    <w:p w:rsidR="00BB7C53" w:rsidRPr="00BB7C53" w:rsidRDefault="00BB7C53" w:rsidP="00BB7C53">
      <w:pPr>
        <w:pStyle w:val="a3"/>
        <w:spacing w:before="0" w:after="0" w:line="360" w:lineRule="auto"/>
        <w:ind w:firstLineChars="200" w:firstLine="480"/>
        <w:jc w:val="both"/>
        <w:rPr>
          <w:rFonts w:ascii="Times New Roman" w:hAnsi="宋体"/>
          <w:b w:val="0"/>
          <w:sz w:val="24"/>
          <w:szCs w:val="24"/>
        </w:rPr>
      </w:pPr>
    </w:p>
    <w:p w:rsidR="00BB7C53" w:rsidRDefault="00BB7C53" w:rsidP="00BB7C53">
      <w:pPr>
        <w:pStyle w:val="a3"/>
        <w:spacing w:before="0" w:after="0" w:line="360" w:lineRule="auto"/>
        <w:ind w:firstLineChars="200" w:firstLine="480"/>
        <w:jc w:val="both"/>
        <w:rPr>
          <w:rFonts w:ascii="Times New Roman" w:hAnsi="宋体"/>
          <w:b w:val="0"/>
          <w:sz w:val="24"/>
          <w:szCs w:val="24"/>
        </w:rPr>
      </w:pPr>
    </w:p>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BB7C53"/>
    <w:p w:rsidR="00BB7C53" w:rsidRDefault="00BB7C53" w:rsidP="00423FFC">
      <w:pPr>
        <w:pStyle w:val="a3"/>
        <w:spacing w:before="0" w:after="0" w:line="360" w:lineRule="auto"/>
        <w:ind w:left="360" w:firstLineChars="550" w:firstLine="1320"/>
        <w:jc w:val="right"/>
        <w:rPr>
          <w:rFonts w:ascii="Times New Roman" w:hAnsi="宋体"/>
          <w:b w:val="0"/>
          <w:sz w:val="24"/>
          <w:szCs w:val="24"/>
        </w:rPr>
      </w:pPr>
      <w:r w:rsidRPr="00BB7C53">
        <w:rPr>
          <w:rFonts w:ascii="Times New Roman" w:hAnsi="宋体" w:hint="eastAsia"/>
          <w:b w:val="0"/>
          <w:sz w:val="24"/>
          <w:szCs w:val="24"/>
        </w:rPr>
        <w:t>永赢量化</w:t>
      </w:r>
      <w:r w:rsidR="00614678">
        <w:rPr>
          <w:rFonts w:ascii="Times New Roman" w:hAnsi="宋体" w:hint="eastAsia"/>
          <w:b w:val="0"/>
          <w:sz w:val="24"/>
          <w:szCs w:val="24"/>
        </w:rPr>
        <w:t>灵活</w:t>
      </w:r>
      <w:r w:rsidR="00423FFC">
        <w:rPr>
          <w:rFonts w:ascii="Times New Roman" w:hAnsi="宋体" w:hint="eastAsia"/>
          <w:b w:val="0"/>
          <w:sz w:val="24"/>
          <w:szCs w:val="24"/>
        </w:rPr>
        <w:t>配置</w:t>
      </w:r>
      <w:r w:rsidRPr="00BB7C53">
        <w:rPr>
          <w:rFonts w:ascii="Times New Roman" w:hAnsi="宋体" w:hint="eastAsia"/>
          <w:b w:val="0"/>
          <w:sz w:val="24"/>
          <w:szCs w:val="24"/>
        </w:rPr>
        <w:t>混合型发起式证券投资基金</w:t>
      </w:r>
      <w:r>
        <w:rPr>
          <w:rFonts w:ascii="Times New Roman" w:hAnsi="宋体" w:hint="eastAsia"/>
          <w:b w:val="0"/>
          <w:sz w:val="24"/>
          <w:szCs w:val="24"/>
        </w:rPr>
        <w:t>财产</w:t>
      </w:r>
      <w:r>
        <w:rPr>
          <w:rFonts w:ascii="Times New Roman" w:hAnsi="宋体"/>
          <w:b w:val="0"/>
          <w:sz w:val="24"/>
          <w:szCs w:val="24"/>
        </w:rPr>
        <w:t>清算小组</w:t>
      </w:r>
    </w:p>
    <w:p w:rsidR="00E22484" w:rsidRDefault="00E22484" w:rsidP="00E22484">
      <w:pPr>
        <w:jc w:val="right"/>
      </w:pPr>
      <w:r>
        <w:rPr>
          <w:rFonts w:hint="eastAsia"/>
        </w:rPr>
        <w:t>2018</w:t>
      </w:r>
      <w:r>
        <w:rPr>
          <w:rFonts w:hint="eastAsia"/>
        </w:rPr>
        <w:t>年</w:t>
      </w:r>
      <w:r w:rsidR="00020EBB">
        <w:t>11</w:t>
      </w:r>
      <w:r>
        <w:rPr>
          <w:rFonts w:hint="eastAsia"/>
        </w:rPr>
        <w:t>月</w:t>
      </w:r>
      <w:r>
        <w:rPr>
          <w:rFonts w:hint="eastAsia"/>
        </w:rPr>
        <w:t>10</w:t>
      </w:r>
      <w:r>
        <w:rPr>
          <w:rFonts w:hint="eastAsia"/>
        </w:rPr>
        <w:t>日</w:t>
      </w:r>
    </w:p>
    <w:p w:rsidR="00B34E51" w:rsidRDefault="00B34E51">
      <w:pPr>
        <w:pStyle w:val="a3"/>
        <w:rPr>
          <w:rFonts w:ascii="Times New Roman" w:hAnsi="宋体"/>
          <w:sz w:val="24"/>
          <w:szCs w:val="24"/>
        </w:rPr>
      </w:pPr>
    </w:p>
    <w:p w:rsidR="00D0217A" w:rsidRDefault="00D0217A" w:rsidP="00D0217A"/>
    <w:p w:rsidR="00D0217A" w:rsidRDefault="00D0217A" w:rsidP="00D0217A"/>
    <w:p w:rsidR="00D0217A" w:rsidRDefault="00D0217A" w:rsidP="00D0217A"/>
    <w:p w:rsidR="00D0217A" w:rsidRDefault="00D0217A" w:rsidP="00D0217A"/>
    <w:p w:rsidR="00D0217A" w:rsidRDefault="00D0217A" w:rsidP="00D0217A"/>
    <w:p w:rsidR="00D0217A" w:rsidRDefault="00D0217A" w:rsidP="00D0217A"/>
    <w:p w:rsidR="00D0217A" w:rsidRPr="00D0217A" w:rsidRDefault="00D0217A" w:rsidP="00D0217A"/>
    <w:sectPr w:rsidR="00D0217A" w:rsidRPr="00D0217A" w:rsidSect="006B3C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C9F" w:rsidRDefault="00BC0C9F" w:rsidP="004259B4">
      <w:r>
        <w:separator/>
      </w:r>
    </w:p>
  </w:endnote>
  <w:endnote w:type="continuationSeparator" w:id="1">
    <w:p w:rsidR="00BC0C9F" w:rsidRDefault="00BC0C9F" w:rsidP="0042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2A" w:rsidRPr="00A0435B" w:rsidRDefault="0078342A" w:rsidP="00BB7C53">
    <w:pPr>
      <w:pStyle w:val="a8"/>
      <w:tabs>
        <w:tab w:val="left" w:pos="4395"/>
        <w:tab w:val="center" w:pos="4526"/>
      </w:tabs>
      <w:jc w:val="left"/>
      <w:rPr>
        <w:rFonts w:ascii="黑体" w:eastAsia="黑体" w:hAnsi="黑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C9F" w:rsidRDefault="00BC0C9F" w:rsidP="004259B4">
      <w:r>
        <w:separator/>
      </w:r>
    </w:p>
  </w:footnote>
  <w:footnote w:type="continuationSeparator" w:id="1">
    <w:p w:rsidR="00BC0C9F" w:rsidRDefault="00BC0C9F" w:rsidP="0042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2A" w:rsidRDefault="0078342A">
    <w:pPr>
      <w:pStyle w:val="a7"/>
      <w:rPr>
        <w:rFonts w:ascii="Arial" w:eastAsia="黑体"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F27"/>
    <w:multiLevelType w:val="hybridMultilevel"/>
    <w:tmpl w:val="06820FD4"/>
    <w:lvl w:ilvl="0" w:tplc="2C5E5B9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65C39"/>
    <w:multiLevelType w:val="hybridMultilevel"/>
    <w:tmpl w:val="358EE092"/>
    <w:lvl w:ilvl="0" w:tplc="160C3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844E74"/>
    <w:multiLevelType w:val="hybridMultilevel"/>
    <w:tmpl w:val="3812913C"/>
    <w:lvl w:ilvl="0" w:tplc="CBA2B222">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1E154F05"/>
    <w:multiLevelType w:val="hybridMultilevel"/>
    <w:tmpl w:val="C78A92A6"/>
    <w:lvl w:ilvl="0" w:tplc="6E6EE974">
      <w:start w:val="1"/>
      <w:numFmt w:val="japaneseCounting"/>
      <w:lvlText w:val="%1、"/>
      <w:lvlJc w:val="left"/>
      <w:pPr>
        <w:ind w:left="495" w:hanging="48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4">
    <w:nsid w:val="25D8054C"/>
    <w:multiLevelType w:val="hybridMultilevel"/>
    <w:tmpl w:val="8F785296"/>
    <w:lvl w:ilvl="0" w:tplc="2C5E5B9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8F615F"/>
    <w:multiLevelType w:val="hybridMultilevel"/>
    <w:tmpl w:val="37DECDBC"/>
    <w:lvl w:ilvl="0" w:tplc="A1D8748E">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AA46D17"/>
    <w:multiLevelType w:val="hybridMultilevel"/>
    <w:tmpl w:val="EB664214"/>
    <w:lvl w:ilvl="0" w:tplc="0F208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3D3ACB"/>
    <w:multiLevelType w:val="hybridMultilevel"/>
    <w:tmpl w:val="27F417BE"/>
    <w:lvl w:ilvl="0" w:tplc="3182D3B2">
      <w:start w:val="6"/>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564C0D"/>
    <w:multiLevelType w:val="hybridMultilevel"/>
    <w:tmpl w:val="3236A45C"/>
    <w:lvl w:ilvl="0" w:tplc="D8A866F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D7D67ED"/>
    <w:multiLevelType w:val="hybridMultilevel"/>
    <w:tmpl w:val="6B7CE320"/>
    <w:lvl w:ilvl="0" w:tplc="2C5E5B9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265B08"/>
    <w:multiLevelType w:val="hybridMultilevel"/>
    <w:tmpl w:val="35046166"/>
    <w:lvl w:ilvl="0" w:tplc="160C3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BD30A5"/>
    <w:multiLevelType w:val="multilevel"/>
    <w:tmpl w:val="66BD30A5"/>
    <w:lvl w:ilvl="0">
      <w:start w:val="1"/>
      <w:numFmt w:val="decimal"/>
      <w:lvlText w:val="(%1)"/>
      <w:lvlJc w:val="left"/>
      <w:pPr>
        <w:ind w:left="1068" w:hanging="360"/>
      </w:pPr>
      <w:rPr>
        <w:rFonts w:ascii="Aria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7A3D5702"/>
    <w:multiLevelType w:val="hybridMultilevel"/>
    <w:tmpl w:val="4950186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A4917CB"/>
    <w:multiLevelType w:val="hybridMultilevel"/>
    <w:tmpl w:val="EE04AB1E"/>
    <w:lvl w:ilvl="0" w:tplc="160C3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1"/>
  </w:num>
  <w:num w:numId="4">
    <w:abstractNumId w:val="2"/>
  </w:num>
  <w:num w:numId="5">
    <w:abstractNumId w:val="5"/>
  </w:num>
  <w:num w:numId="6">
    <w:abstractNumId w:val="8"/>
  </w:num>
  <w:num w:numId="7">
    <w:abstractNumId w:val="12"/>
  </w:num>
  <w:num w:numId="8">
    <w:abstractNumId w:val="4"/>
  </w:num>
  <w:num w:numId="9">
    <w:abstractNumId w:val="9"/>
  </w:num>
  <w:num w:numId="10">
    <w:abstractNumId w:val="0"/>
  </w:num>
  <w:num w:numId="11">
    <w:abstractNumId w:val="7"/>
  </w:num>
  <w:num w:numId="12">
    <w:abstractNumId w:val="1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DE2"/>
    <w:rsid w:val="00020EBB"/>
    <w:rsid w:val="0002371E"/>
    <w:rsid w:val="0002395C"/>
    <w:rsid w:val="00042FBE"/>
    <w:rsid w:val="0004550E"/>
    <w:rsid w:val="000574EE"/>
    <w:rsid w:val="000866EB"/>
    <w:rsid w:val="00096170"/>
    <w:rsid w:val="000D6BD0"/>
    <w:rsid w:val="00124411"/>
    <w:rsid w:val="001261B3"/>
    <w:rsid w:val="00130CFE"/>
    <w:rsid w:val="0013300D"/>
    <w:rsid w:val="0014461D"/>
    <w:rsid w:val="00156790"/>
    <w:rsid w:val="00160047"/>
    <w:rsid w:val="00194A76"/>
    <w:rsid w:val="001B0AF8"/>
    <w:rsid w:val="002106C0"/>
    <w:rsid w:val="00220355"/>
    <w:rsid w:val="00231929"/>
    <w:rsid w:val="00232566"/>
    <w:rsid w:val="00236DCA"/>
    <w:rsid w:val="00242E20"/>
    <w:rsid w:val="002460C2"/>
    <w:rsid w:val="00273006"/>
    <w:rsid w:val="00284F4C"/>
    <w:rsid w:val="00297AAB"/>
    <w:rsid w:val="002A5766"/>
    <w:rsid w:val="002A7350"/>
    <w:rsid w:val="002B3133"/>
    <w:rsid w:val="002C2AA7"/>
    <w:rsid w:val="002D39D4"/>
    <w:rsid w:val="003045EB"/>
    <w:rsid w:val="003418D3"/>
    <w:rsid w:val="0035302E"/>
    <w:rsid w:val="00371A72"/>
    <w:rsid w:val="003744FC"/>
    <w:rsid w:val="0038261B"/>
    <w:rsid w:val="00397845"/>
    <w:rsid w:val="003B4EEB"/>
    <w:rsid w:val="003C6CED"/>
    <w:rsid w:val="003D28E5"/>
    <w:rsid w:val="003E71EC"/>
    <w:rsid w:val="003F03E7"/>
    <w:rsid w:val="003F2D71"/>
    <w:rsid w:val="00402BC5"/>
    <w:rsid w:val="00423FFC"/>
    <w:rsid w:val="004259B4"/>
    <w:rsid w:val="00430C2A"/>
    <w:rsid w:val="00442614"/>
    <w:rsid w:val="004555F3"/>
    <w:rsid w:val="00460481"/>
    <w:rsid w:val="0046079A"/>
    <w:rsid w:val="00460B0B"/>
    <w:rsid w:val="00463501"/>
    <w:rsid w:val="00472101"/>
    <w:rsid w:val="00473B9D"/>
    <w:rsid w:val="0048795A"/>
    <w:rsid w:val="004B0CA9"/>
    <w:rsid w:val="004B73C2"/>
    <w:rsid w:val="004C1723"/>
    <w:rsid w:val="004D0FB5"/>
    <w:rsid w:val="004E40FA"/>
    <w:rsid w:val="004F74EE"/>
    <w:rsid w:val="00504F06"/>
    <w:rsid w:val="005264F3"/>
    <w:rsid w:val="005416F6"/>
    <w:rsid w:val="005449F9"/>
    <w:rsid w:val="00553DB5"/>
    <w:rsid w:val="00562B56"/>
    <w:rsid w:val="00570E2C"/>
    <w:rsid w:val="00572AB9"/>
    <w:rsid w:val="005B2DA3"/>
    <w:rsid w:val="005B6BFD"/>
    <w:rsid w:val="005E0D92"/>
    <w:rsid w:val="00600C28"/>
    <w:rsid w:val="0060416E"/>
    <w:rsid w:val="006135EE"/>
    <w:rsid w:val="00614678"/>
    <w:rsid w:val="0061517F"/>
    <w:rsid w:val="00624525"/>
    <w:rsid w:val="00625D94"/>
    <w:rsid w:val="00630C54"/>
    <w:rsid w:val="00643C6C"/>
    <w:rsid w:val="006545AC"/>
    <w:rsid w:val="00656369"/>
    <w:rsid w:val="006576C9"/>
    <w:rsid w:val="00676ABF"/>
    <w:rsid w:val="006B0BF8"/>
    <w:rsid w:val="006B3C02"/>
    <w:rsid w:val="006C4448"/>
    <w:rsid w:val="007117C4"/>
    <w:rsid w:val="007132AD"/>
    <w:rsid w:val="00722DE9"/>
    <w:rsid w:val="00723F27"/>
    <w:rsid w:val="007312DC"/>
    <w:rsid w:val="00737045"/>
    <w:rsid w:val="0074488E"/>
    <w:rsid w:val="007518A9"/>
    <w:rsid w:val="007619C7"/>
    <w:rsid w:val="00781792"/>
    <w:rsid w:val="0078342A"/>
    <w:rsid w:val="00787C60"/>
    <w:rsid w:val="00795CAB"/>
    <w:rsid w:val="007A5479"/>
    <w:rsid w:val="007B55E6"/>
    <w:rsid w:val="007C0264"/>
    <w:rsid w:val="007C4859"/>
    <w:rsid w:val="007C75BD"/>
    <w:rsid w:val="007C7D97"/>
    <w:rsid w:val="007D4C38"/>
    <w:rsid w:val="007E5892"/>
    <w:rsid w:val="007F337F"/>
    <w:rsid w:val="00814115"/>
    <w:rsid w:val="00815EBC"/>
    <w:rsid w:val="00827D25"/>
    <w:rsid w:val="008340FF"/>
    <w:rsid w:val="00835C25"/>
    <w:rsid w:val="008403D9"/>
    <w:rsid w:val="00842F88"/>
    <w:rsid w:val="00845CB0"/>
    <w:rsid w:val="008466F3"/>
    <w:rsid w:val="0085658D"/>
    <w:rsid w:val="008679EB"/>
    <w:rsid w:val="0087280C"/>
    <w:rsid w:val="0087595D"/>
    <w:rsid w:val="00895E62"/>
    <w:rsid w:val="00896525"/>
    <w:rsid w:val="008A312D"/>
    <w:rsid w:val="008A6FE3"/>
    <w:rsid w:val="008D1B14"/>
    <w:rsid w:val="009275A7"/>
    <w:rsid w:val="0093171E"/>
    <w:rsid w:val="00940056"/>
    <w:rsid w:val="00956508"/>
    <w:rsid w:val="00964FE5"/>
    <w:rsid w:val="00973914"/>
    <w:rsid w:val="00992144"/>
    <w:rsid w:val="00992AC3"/>
    <w:rsid w:val="00996919"/>
    <w:rsid w:val="009C60A5"/>
    <w:rsid w:val="009D2725"/>
    <w:rsid w:val="009D339B"/>
    <w:rsid w:val="009E660E"/>
    <w:rsid w:val="00A06B20"/>
    <w:rsid w:val="00A100A8"/>
    <w:rsid w:val="00A219BD"/>
    <w:rsid w:val="00A2347C"/>
    <w:rsid w:val="00A265E0"/>
    <w:rsid w:val="00A446B4"/>
    <w:rsid w:val="00A5037D"/>
    <w:rsid w:val="00A6751E"/>
    <w:rsid w:val="00A75BE7"/>
    <w:rsid w:val="00A77801"/>
    <w:rsid w:val="00A969BA"/>
    <w:rsid w:val="00AC4B68"/>
    <w:rsid w:val="00AE5258"/>
    <w:rsid w:val="00B050BF"/>
    <w:rsid w:val="00B13470"/>
    <w:rsid w:val="00B16CF9"/>
    <w:rsid w:val="00B34E51"/>
    <w:rsid w:val="00B44BE1"/>
    <w:rsid w:val="00B472E6"/>
    <w:rsid w:val="00B62C99"/>
    <w:rsid w:val="00B84229"/>
    <w:rsid w:val="00B84B5E"/>
    <w:rsid w:val="00BA4126"/>
    <w:rsid w:val="00BB61A2"/>
    <w:rsid w:val="00BB7C53"/>
    <w:rsid w:val="00BC0B72"/>
    <w:rsid w:val="00BC0C9F"/>
    <w:rsid w:val="00BC5BA0"/>
    <w:rsid w:val="00BC7BD4"/>
    <w:rsid w:val="00BD30F2"/>
    <w:rsid w:val="00BE4A5E"/>
    <w:rsid w:val="00C0247F"/>
    <w:rsid w:val="00C20FCE"/>
    <w:rsid w:val="00C253BC"/>
    <w:rsid w:val="00C324F9"/>
    <w:rsid w:val="00C36DE2"/>
    <w:rsid w:val="00C469D7"/>
    <w:rsid w:val="00C62CC5"/>
    <w:rsid w:val="00C7195F"/>
    <w:rsid w:val="00C77B97"/>
    <w:rsid w:val="00C83EFD"/>
    <w:rsid w:val="00C84DCE"/>
    <w:rsid w:val="00C920BC"/>
    <w:rsid w:val="00CA7BB7"/>
    <w:rsid w:val="00CB0E2D"/>
    <w:rsid w:val="00CB4035"/>
    <w:rsid w:val="00D0217A"/>
    <w:rsid w:val="00D07DEE"/>
    <w:rsid w:val="00D21179"/>
    <w:rsid w:val="00D21FD5"/>
    <w:rsid w:val="00D27823"/>
    <w:rsid w:val="00D30FD5"/>
    <w:rsid w:val="00D31DB8"/>
    <w:rsid w:val="00D44F6A"/>
    <w:rsid w:val="00D45DC8"/>
    <w:rsid w:val="00D47563"/>
    <w:rsid w:val="00D56BB1"/>
    <w:rsid w:val="00D64219"/>
    <w:rsid w:val="00D72DF6"/>
    <w:rsid w:val="00D8231C"/>
    <w:rsid w:val="00D829F9"/>
    <w:rsid w:val="00D958FE"/>
    <w:rsid w:val="00DA45EE"/>
    <w:rsid w:val="00DA594C"/>
    <w:rsid w:val="00DB0655"/>
    <w:rsid w:val="00DB7B44"/>
    <w:rsid w:val="00DC2900"/>
    <w:rsid w:val="00DC7D7E"/>
    <w:rsid w:val="00DF3052"/>
    <w:rsid w:val="00DF4C84"/>
    <w:rsid w:val="00E05A8E"/>
    <w:rsid w:val="00E22484"/>
    <w:rsid w:val="00E229F5"/>
    <w:rsid w:val="00E22FB8"/>
    <w:rsid w:val="00E33020"/>
    <w:rsid w:val="00E44900"/>
    <w:rsid w:val="00E52E09"/>
    <w:rsid w:val="00E57370"/>
    <w:rsid w:val="00E875BD"/>
    <w:rsid w:val="00E923CF"/>
    <w:rsid w:val="00E9332D"/>
    <w:rsid w:val="00EA2D4D"/>
    <w:rsid w:val="00EB420D"/>
    <w:rsid w:val="00EB462C"/>
    <w:rsid w:val="00ED77BA"/>
    <w:rsid w:val="00ED7C4A"/>
    <w:rsid w:val="00EE11F2"/>
    <w:rsid w:val="00F2208F"/>
    <w:rsid w:val="00F2214A"/>
    <w:rsid w:val="00F34B41"/>
    <w:rsid w:val="00F522C4"/>
    <w:rsid w:val="00F8261D"/>
    <w:rsid w:val="00FC6E25"/>
    <w:rsid w:val="00FD10F7"/>
    <w:rsid w:val="00FD7F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irong">
    <w:name w:val="neirong"/>
    <w:basedOn w:val="a"/>
    <w:link w:val="neirongChar"/>
    <w:rsid w:val="0013300D"/>
    <w:pPr>
      <w:widowControl/>
      <w:autoSpaceDE w:val="0"/>
      <w:autoSpaceDN w:val="0"/>
      <w:adjustRightInd w:val="0"/>
      <w:spacing w:before="29" w:line="288" w:lineRule="auto"/>
      <w:ind w:left="15"/>
      <w:jc w:val="left"/>
    </w:pPr>
    <w:rPr>
      <w:rFonts w:ascii="宋体" w:eastAsia="宋体" w:hAnsi="宋体" w:cs="Times New Roman"/>
      <w:kern w:val="0"/>
      <w:sz w:val="24"/>
      <w:szCs w:val="24"/>
    </w:rPr>
  </w:style>
  <w:style w:type="character" w:customStyle="1" w:styleId="neirongChar">
    <w:name w:val="neirong Char"/>
    <w:link w:val="neirong"/>
    <w:rsid w:val="0013300D"/>
    <w:rPr>
      <w:rFonts w:ascii="宋体" w:eastAsia="宋体" w:hAnsi="宋体" w:cs="Times New Roman"/>
      <w:kern w:val="0"/>
      <w:sz w:val="24"/>
      <w:szCs w:val="24"/>
    </w:rPr>
  </w:style>
  <w:style w:type="paragraph" w:styleId="a3">
    <w:name w:val="Title"/>
    <w:basedOn w:val="a"/>
    <w:next w:val="a"/>
    <w:link w:val="Char"/>
    <w:uiPriority w:val="10"/>
    <w:qFormat/>
    <w:rsid w:val="00D27823"/>
    <w:pPr>
      <w:spacing w:before="240" w:after="60"/>
      <w:jc w:val="center"/>
      <w:outlineLvl w:val="0"/>
    </w:pPr>
    <w:rPr>
      <w:rFonts w:ascii="Cambria" w:eastAsia="宋体" w:hAnsi="Cambria" w:cs="Times New Roman"/>
      <w:b/>
      <w:bCs/>
      <w:sz w:val="32"/>
      <w:szCs w:val="32"/>
    </w:rPr>
  </w:style>
  <w:style w:type="character" w:customStyle="1" w:styleId="Char">
    <w:name w:val="标题 Char"/>
    <w:basedOn w:val="a0"/>
    <w:link w:val="a3"/>
    <w:uiPriority w:val="10"/>
    <w:rsid w:val="00D27823"/>
    <w:rPr>
      <w:rFonts w:ascii="Cambria" w:eastAsia="宋体" w:hAnsi="Cambria" w:cs="Times New Roman"/>
      <w:b/>
      <w:bCs/>
      <w:sz w:val="32"/>
      <w:szCs w:val="32"/>
    </w:rPr>
  </w:style>
  <w:style w:type="paragraph" w:styleId="a4">
    <w:name w:val="Normal (Web)"/>
    <w:basedOn w:val="a"/>
    <w:rsid w:val="003C6CED"/>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969BA"/>
    <w:pPr>
      <w:ind w:firstLineChars="200" w:firstLine="420"/>
    </w:pPr>
  </w:style>
  <w:style w:type="character" w:styleId="a6">
    <w:name w:val="annotation reference"/>
    <w:uiPriority w:val="99"/>
    <w:rsid w:val="00A6751E"/>
    <w:rPr>
      <w:rFonts w:cs="Times New Roman"/>
      <w:sz w:val="21"/>
      <w:szCs w:val="21"/>
    </w:rPr>
  </w:style>
  <w:style w:type="character" w:customStyle="1" w:styleId="Char0">
    <w:name w:val="页眉 Char"/>
    <w:link w:val="a7"/>
    <w:uiPriority w:val="99"/>
    <w:locked/>
    <w:rsid w:val="00A6751E"/>
    <w:rPr>
      <w:rFonts w:eastAsia="宋体" w:cs="Times New Roman"/>
      <w:sz w:val="24"/>
      <w:szCs w:val="24"/>
    </w:rPr>
  </w:style>
  <w:style w:type="character" w:customStyle="1" w:styleId="Char1">
    <w:name w:val="页脚 Char"/>
    <w:link w:val="a8"/>
    <w:uiPriority w:val="99"/>
    <w:rsid w:val="00A6751E"/>
    <w:rPr>
      <w:rFonts w:eastAsia="宋体"/>
      <w:sz w:val="18"/>
      <w:szCs w:val="18"/>
    </w:rPr>
  </w:style>
  <w:style w:type="character" w:customStyle="1" w:styleId="Char2">
    <w:name w:val="批注文字 Char"/>
    <w:link w:val="a9"/>
    <w:uiPriority w:val="99"/>
    <w:locked/>
    <w:rsid w:val="00A6751E"/>
    <w:rPr>
      <w:rFonts w:eastAsia="宋体" w:cs="Times New Roman"/>
      <w:sz w:val="24"/>
      <w:szCs w:val="24"/>
    </w:rPr>
  </w:style>
  <w:style w:type="paragraph" w:styleId="a9">
    <w:name w:val="annotation text"/>
    <w:basedOn w:val="a"/>
    <w:link w:val="Char2"/>
    <w:uiPriority w:val="99"/>
    <w:rsid w:val="00A6751E"/>
    <w:pPr>
      <w:jc w:val="left"/>
    </w:pPr>
    <w:rPr>
      <w:rFonts w:eastAsia="宋体" w:cs="Times New Roman"/>
      <w:sz w:val="24"/>
      <w:szCs w:val="24"/>
    </w:rPr>
  </w:style>
  <w:style w:type="character" w:customStyle="1" w:styleId="Char10">
    <w:name w:val="批注文字 Char1"/>
    <w:basedOn w:val="a0"/>
    <w:uiPriority w:val="99"/>
    <w:semiHidden/>
    <w:rsid w:val="00A6751E"/>
  </w:style>
  <w:style w:type="paragraph" w:styleId="a7">
    <w:name w:val="header"/>
    <w:basedOn w:val="a"/>
    <w:link w:val="Char0"/>
    <w:uiPriority w:val="99"/>
    <w:rsid w:val="00A6751E"/>
    <w:pPr>
      <w:tabs>
        <w:tab w:val="center" w:pos="4320"/>
        <w:tab w:val="right" w:pos="8640"/>
      </w:tabs>
    </w:pPr>
    <w:rPr>
      <w:rFonts w:eastAsia="宋体" w:cs="Times New Roman"/>
      <w:sz w:val="24"/>
      <w:szCs w:val="24"/>
    </w:rPr>
  </w:style>
  <w:style w:type="character" w:customStyle="1" w:styleId="Char11">
    <w:name w:val="页眉 Char1"/>
    <w:basedOn w:val="a0"/>
    <w:uiPriority w:val="99"/>
    <w:semiHidden/>
    <w:rsid w:val="00A6751E"/>
    <w:rPr>
      <w:sz w:val="18"/>
      <w:szCs w:val="18"/>
    </w:rPr>
  </w:style>
  <w:style w:type="paragraph" w:styleId="a8">
    <w:name w:val="footer"/>
    <w:basedOn w:val="a"/>
    <w:link w:val="Char1"/>
    <w:uiPriority w:val="99"/>
    <w:rsid w:val="00A6751E"/>
    <w:pPr>
      <w:tabs>
        <w:tab w:val="center" w:pos="4320"/>
        <w:tab w:val="right" w:pos="8640"/>
      </w:tabs>
    </w:pPr>
    <w:rPr>
      <w:rFonts w:eastAsia="宋体"/>
      <w:sz w:val="18"/>
      <w:szCs w:val="18"/>
    </w:rPr>
  </w:style>
  <w:style w:type="character" w:customStyle="1" w:styleId="Char12">
    <w:name w:val="页脚 Char1"/>
    <w:basedOn w:val="a0"/>
    <w:uiPriority w:val="99"/>
    <w:semiHidden/>
    <w:rsid w:val="00A6751E"/>
    <w:rPr>
      <w:sz w:val="18"/>
      <w:szCs w:val="18"/>
    </w:rPr>
  </w:style>
  <w:style w:type="paragraph" w:styleId="aa">
    <w:name w:val="Balloon Text"/>
    <w:basedOn w:val="a"/>
    <w:link w:val="Char3"/>
    <w:uiPriority w:val="99"/>
    <w:semiHidden/>
    <w:unhideWhenUsed/>
    <w:rsid w:val="00A6751E"/>
    <w:rPr>
      <w:sz w:val="18"/>
      <w:szCs w:val="18"/>
    </w:rPr>
  </w:style>
  <w:style w:type="character" w:customStyle="1" w:styleId="Char3">
    <w:name w:val="批注框文本 Char"/>
    <w:basedOn w:val="a0"/>
    <w:link w:val="aa"/>
    <w:uiPriority w:val="99"/>
    <w:semiHidden/>
    <w:rsid w:val="00A6751E"/>
    <w:rPr>
      <w:sz w:val="18"/>
      <w:szCs w:val="18"/>
    </w:rPr>
  </w:style>
  <w:style w:type="paragraph" w:styleId="ab">
    <w:name w:val="annotation subject"/>
    <w:basedOn w:val="a9"/>
    <w:next w:val="a9"/>
    <w:link w:val="Char4"/>
    <w:uiPriority w:val="99"/>
    <w:semiHidden/>
    <w:unhideWhenUsed/>
    <w:rsid w:val="00DC2900"/>
    <w:rPr>
      <w:rFonts w:eastAsiaTheme="minorEastAsia" w:cstheme="minorBidi"/>
      <w:b/>
      <w:bCs/>
      <w:sz w:val="21"/>
      <w:szCs w:val="22"/>
    </w:rPr>
  </w:style>
  <w:style w:type="character" w:customStyle="1" w:styleId="Char4">
    <w:name w:val="批注主题 Char"/>
    <w:basedOn w:val="Char2"/>
    <w:link w:val="ab"/>
    <w:uiPriority w:val="99"/>
    <w:semiHidden/>
    <w:rsid w:val="00DC2900"/>
    <w:rPr>
      <w:rFonts w:eastAsia="宋体"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70855683">
      <w:bodyDiv w:val="1"/>
      <w:marLeft w:val="0"/>
      <w:marRight w:val="0"/>
      <w:marTop w:val="0"/>
      <w:marBottom w:val="0"/>
      <w:divBdr>
        <w:top w:val="none" w:sz="0" w:space="0" w:color="auto"/>
        <w:left w:val="none" w:sz="0" w:space="0" w:color="auto"/>
        <w:bottom w:val="none" w:sz="0" w:space="0" w:color="auto"/>
        <w:right w:val="none" w:sz="0" w:space="0" w:color="auto"/>
      </w:divBdr>
    </w:div>
    <w:div w:id="1029646768">
      <w:bodyDiv w:val="1"/>
      <w:marLeft w:val="0"/>
      <w:marRight w:val="0"/>
      <w:marTop w:val="0"/>
      <w:marBottom w:val="0"/>
      <w:divBdr>
        <w:top w:val="none" w:sz="0" w:space="0" w:color="auto"/>
        <w:left w:val="none" w:sz="0" w:space="0" w:color="auto"/>
        <w:bottom w:val="none" w:sz="0" w:space="0" w:color="auto"/>
        <w:right w:val="none" w:sz="0" w:space="0" w:color="auto"/>
      </w:divBdr>
    </w:div>
    <w:div w:id="14865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510C-43E4-4044-BBCF-A9B9605A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5098</Characters>
  <Application>Microsoft Office Word</Application>
  <DocSecurity>4</DocSecurity>
  <Lines>42</Lines>
  <Paragraphs>11</Paragraphs>
  <ScaleCrop>false</ScaleCrop>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SenLin (王森林)</dc:creator>
  <cp:lastModifiedBy>ZHONGM</cp:lastModifiedBy>
  <cp:revision>2</cp:revision>
  <cp:lastPrinted>2018-09-13T06:46:00Z</cp:lastPrinted>
  <dcterms:created xsi:type="dcterms:W3CDTF">2018-11-09T16:35:00Z</dcterms:created>
  <dcterms:modified xsi:type="dcterms:W3CDTF">2018-11-09T16:35:00Z</dcterms:modified>
</cp:coreProperties>
</file>