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8D7E1E" w:rsidRPr="00A46EDA" w:rsidRDefault="00E45AEB" w:rsidP="00E45AEB">
      <w:pPr>
        <w:jc w:val="center"/>
        <w:rPr>
          <w:rFonts w:ascii="宋体" w:hAnsi="宋体"/>
          <w:b/>
          <w:bCs/>
          <w:sz w:val="48"/>
          <w:szCs w:val="30"/>
        </w:rPr>
      </w:pPr>
      <w:bookmarkStart w:id="1" w:name="_GoBack"/>
      <w:r w:rsidRPr="00A46EDA">
        <w:rPr>
          <w:rFonts w:ascii="宋体" w:hAnsi="宋体" w:hint="eastAsia"/>
          <w:b/>
          <w:bCs/>
          <w:sz w:val="48"/>
          <w:szCs w:val="30"/>
        </w:rPr>
        <w:t>鹏华</w:t>
      </w:r>
      <w:r w:rsidR="008D7E1E" w:rsidRPr="00A46EDA">
        <w:rPr>
          <w:rFonts w:ascii="宋体" w:hAnsi="宋体" w:hint="eastAsia"/>
          <w:b/>
          <w:bCs/>
          <w:sz w:val="48"/>
          <w:szCs w:val="30"/>
        </w:rPr>
        <w:t>兴实定期开放灵活配置混合型</w:t>
      </w:r>
    </w:p>
    <w:p w:rsidR="00E45AEB" w:rsidRPr="00A46EDA" w:rsidRDefault="00E45AEB" w:rsidP="00E45AEB">
      <w:pPr>
        <w:jc w:val="center"/>
        <w:rPr>
          <w:rFonts w:ascii="宋体" w:hAnsi="宋体"/>
          <w:b/>
          <w:bCs/>
          <w:sz w:val="48"/>
          <w:szCs w:val="30"/>
        </w:rPr>
      </w:pPr>
      <w:r w:rsidRPr="00A46EDA">
        <w:rPr>
          <w:rFonts w:ascii="宋体" w:hAnsi="宋体" w:hint="eastAsia"/>
          <w:b/>
          <w:bCs/>
          <w:sz w:val="48"/>
          <w:szCs w:val="30"/>
        </w:rPr>
        <w:t>证券投资基金清算报告</w:t>
      </w:r>
      <w:bookmarkEnd w:id="1"/>
    </w:p>
    <w:p w:rsidR="00E45AEB" w:rsidRPr="00A46EDA" w:rsidRDefault="00E45AEB" w:rsidP="00E45AEB">
      <w:pPr>
        <w:jc w:val="center"/>
        <w:rPr>
          <w:rFonts w:ascii="宋体" w:hAnsi="宋体"/>
          <w:b/>
          <w:bCs/>
          <w:sz w:val="28"/>
          <w:szCs w:val="30"/>
        </w:rPr>
      </w:pPr>
    </w:p>
    <w:p w:rsidR="00E45AEB" w:rsidRPr="00A46EDA" w:rsidRDefault="00E45AEB" w:rsidP="00E45AEB">
      <w:pPr>
        <w:jc w:val="center"/>
        <w:rPr>
          <w:rFonts w:ascii="宋体" w:hAnsi="宋体"/>
          <w:sz w:val="28"/>
          <w:szCs w:val="30"/>
        </w:rPr>
      </w:pPr>
    </w:p>
    <w:p w:rsidR="00E45AEB" w:rsidRPr="00A46EDA" w:rsidRDefault="00E45AEB" w:rsidP="00E45AEB">
      <w:pPr>
        <w:jc w:val="center"/>
        <w:rPr>
          <w:rFonts w:ascii="宋体" w:hAnsi="宋体"/>
          <w:sz w:val="28"/>
          <w:szCs w:val="30"/>
        </w:rPr>
      </w:pPr>
    </w:p>
    <w:p w:rsidR="00E45AEB" w:rsidRPr="00A46EDA" w:rsidRDefault="00E45AEB" w:rsidP="00E45AEB">
      <w:pPr>
        <w:jc w:val="center"/>
        <w:rPr>
          <w:rFonts w:ascii="宋体" w:hAnsi="宋体"/>
          <w:sz w:val="28"/>
          <w:szCs w:val="30"/>
        </w:rPr>
      </w:pPr>
    </w:p>
    <w:p w:rsidR="00E45AEB" w:rsidRPr="00A46EDA" w:rsidRDefault="00E45AEB" w:rsidP="00E45AEB">
      <w:pPr>
        <w:ind w:rightChars="-230" w:right="-483"/>
        <w:jc w:val="center"/>
        <w:rPr>
          <w:rFonts w:ascii="宋体" w:hAnsi="宋体"/>
          <w:sz w:val="28"/>
          <w:szCs w:val="30"/>
        </w:rPr>
      </w:pPr>
    </w:p>
    <w:p w:rsidR="00E45AEB" w:rsidRPr="00A46EDA" w:rsidRDefault="00E45AEB" w:rsidP="00E45AEB">
      <w:pPr>
        <w:ind w:rightChars="-230" w:right="-483"/>
        <w:jc w:val="center"/>
        <w:rPr>
          <w:rFonts w:ascii="宋体" w:hAnsi="宋体"/>
          <w:sz w:val="28"/>
          <w:szCs w:val="30"/>
        </w:rPr>
      </w:pPr>
    </w:p>
    <w:p w:rsidR="00E45AEB" w:rsidRPr="00A46EDA" w:rsidRDefault="00E45AEB" w:rsidP="00E45AEB">
      <w:pPr>
        <w:ind w:rightChars="-230" w:right="-483"/>
        <w:jc w:val="center"/>
        <w:rPr>
          <w:rFonts w:ascii="宋体" w:hAnsi="宋体"/>
          <w:sz w:val="28"/>
          <w:szCs w:val="30"/>
        </w:rPr>
      </w:pPr>
    </w:p>
    <w:p w:rsidR="00E45AEB" w:rsidRPr="00A46EDA" w:rsidRDefault="00E45AEB" w:rsidP="00E45AEB">
      <w:pPr>
        <w:ind w:rightChars="-230" w:right="-483"/>
        <w:jc w:val="center"/>
        <w:rPr>
          <w:rFonts w:ascii="宋体" w:hAnsi="宋体"/>
          <w:sz w:val="28"/>
          <w:szCs w:val="30"/>
        </w:rPr>
      </w:pPr>
    </w:p>
    <w:p w:rsidR="00E45AEB" w:rsidRPr="00A46EDA" w:rsidRDefault="00E45AEB" w:rsidP="00E45AEB">
      <w:pPr>
        <w:ind w:rightChars="-230" w:right="-483"/>
        <w:jc w:val="center"/>
        <w:rPr>
          <w:rFonts w:ascii="宋体" w:hAnsi="宋体"/>
          <w:sz w:val="28"/>
          <w:szCs w:val="30"/>
        </w:rPr>
      </w:pPr>
    </w:p>
    <w:p w:rsidR="00E45AEB" w:rsidRPr="00A46EDA" w:rsidRDefault="00E45AEB" w:rsidP="00E45AEB">
      <w:pPr>
        <w:ind w:rightChars="-230" w:right="-483"/>
        <w:jc w:val="center"/>
        <w:rPr>
          <w:rFonts w:ascii="宋体" w:hAnsi="宋体"/>
          <w:sz w:val="28"/>
          <w:szCs w:val="30"/>
        </w:rPr>
      </w:pPr>
    </w:p>
    <w:p w:rsidR="00E45AEB" w:rsidRPr="00A46EDA" w:rsidRDefault="00E45AEB" w:rsidP="00E45AEB">
      <w:pPr>
        <w:jc w:val="left"/>
        <w:rPr>
          <w:rFonts w:ascii="宋体" w:hAnsi="宋体"/>
          <w:sz w:val="28"/>
          <w:szCs w:val="30"/>
        </w:rPr>
      </w:pPr>
    </w:p>
    <w:p w:rsidR="00E45AEB" w:rsidRPr="00A46EDA" w:rsidRDefault="00E45AEB" w:rsidP="00E45AEB">
      <w:pPr>
        <w:ind w:firstLineChars="600" w:firstLine="1687"/>
        <w:jc w:val="left"/>
        <w:rPr>
          <w:rFonts w:ascii="宋体" w:hAnsi="宋体"/>
          <w:b/>
          <w:bCs/>
          <w:sz w:val="28"/>
          <w:szCs w:val="30"/>
        </w:rPr>
      </w:pPr>
      <w:r w:rsidRPr="00A46EDA">
        <w:rPr>
          <w:rFonts w:ascii="宋体" w:hAnsi="宋体"/>
          <w:b/>
          <w:bCs/>
          <w:sz w:val="28"/>
          <w:szCs w:val="30"/>
        </w:rPr>
        <w:t>基金管理人：</w:t>
      </w:r>
      <w:r w:rsidRPr="00A46EDA">
        <w:rPr>
          <w:rFonts w:ascii="宋体" w:hAnsi="宋体" w:hint="eastAsia"/>
          <w:b/>
          <w:bCs/>
          <w:sz w:val="28"/>
          <w:szCs w:val="30"/>
        </w:rPr>
        <w:t>鹏华基金管理有限公司</w:t>
      </w:r>
    </w:p>
    <w:p w:rsidR="00E45AEB" w:rsidRPr="00A46EDA" w:rsidRDefault="00E45AEB" w:rsidP="00E45AEB">
      <w:pPr>
        <w:ind w:firstLineChars="600" w:firstLine="1687"/>
        <w:jc w:val="left"/>
        <w:rPr>
          <w:rFonts w:ascii="宋体" w:hAnsi="宋体"/>
          <w:b/>
          <w:bCs/>
          <w:sz w:val="28"/>
          <w:szCs w:val="30"/>
        </w:rPr>
      </w:pPr>
      <w:r w:rsidRPr="00A46EDA">
        <w:rPr>
          <w:rFonts w:ascii="宋体" w:hAnsi="宋体"/>
          <w:b/>
          <w:bCs/>
          <w:sz w:val="28"/>
          <w:szCs w:val="30"/>
        </w:rPr>
        <w:t>基金托管人：</w:t>
      </w:r>
      <w:r w:rsidR="008D7E1E" w:rsidRPr="00A46EDA">
        <w:rPr>
          <w:rFonts w:ascii="宋体" w:hAnsi="宋体" w:hint="eastAsia"/>
          <w:b/>
          <w:bCs/>
          <w:sz w:val="28"/>
          <w:szCs w:val="30"/>
        </w:rPr>
        <w:t>北京</w:t>
      </w:r>
      <w:r w:rsidR="00524887" w:rsidRPr="00A46EDA">
        <w:rPr>
          <w:rFonts w:ascii="宋体" w:hAnsi="宋体" w:hint="eastAsia"/>
          <w:b/>
          <w:bCs/>
          <w:sz w:val="28"/>
          <w:szCs w:val="30"/>
        </w:rPr>
        <w:t>银行股份有限公司</w:t>
      </w:r>
    </w:p>
    <w:p w:rsidR="00E45AEB" w:rsidRPr="00A46EDA" w:rsidRDefault="00E45AEB" w:rsidP="00E45AEB">
      <w:pPr>
        <w:ind w:firstLineChars="600" w:firstLine="1687"/>
        <w:jc w:val="left"/>
        <w:rPr>
          <w:rFonts w:ascii="宋体" w:hAnsi="宋体"/>
          <w:b/>
          <w:bCs/>
          <w:sz w:val="28"/>
          <w:szCs w:val="30"/>
        </w:rPr>
      </w:pPr>
      <w:r w:rsidRPr="00A46EDA">
        <w:rPr>
          <w:rFonts w:ascii="宋体" w:hAnsi="宋体" w:hint="eastAsia"/>
          <w:b/>
          <w:bCs/>
          <w:sz w:val="28"/>
          <w:szCs w:val="30"/>
        </w:rPr>
        <w:t>公告</w:t>
      </w:r>
      <w:r w:rsidRPr="00A46EDA">
        <w:rPr>
          <w:rFonts w:ascii="宋体" w:hAnsi="宋体"/>
          <w:b/>
          <w:bCs/>
          <w:sz w:val="28"/>
          <w:szCs w:val="30"/>
        </w:rPr>
        <w:t>日期：</w:t>
      </w:r>
      <w:r w:rsidR="00D93C18" w:rsidRPr="00A46EDA">
        <w:rPr>
          <w:rFonts w:ascii="宋体" w:hAnsi="宋体" w:hint="eastAsia"/>
          <w:b/>
          <w:bCs/>
          <w:sz w:val="28"/>
          <w:szCs w:val="30"/>
        </w:rPr>
        <w:t>20</w:t>
      </w:r>
      <w:r w:rsidR="00EF0F70">
        <w:rPr>
          <w:rFonts w:ascii="宋体" w:hAnsi="宋体"/>
          <w:b/>
          <w:bCs/>
          <w:sz w:val="28"/>
          <w:szCs w:val="30"/>
        </w:rPr>
        <w:t>18</w:t>
      </w:r>
      <w:r w:rsidRPr="00A46EDA">
        <w:rPr>
          <w:rFonts w:ascii="宋体" w:hAnsi="宋体" w:hint="eastAsia"/>
          <w:b/>
          <w:bCs/>
          <w:sz w:val="28"/>
          <w:szCs w:val="30"/>
        </w:rPr>
        <w:t>年</w:t>
      </w:r>
      <w:r w:rsidR="00EF0F70">
        <w:rPr>
          <w:rFonts w:ascii="宋体" w:hAnsi="宋体"/>
          <w:b/>
          <w:bCs/>
          <w:sz w:val="28"/>
          <w:szCs w:val="30"/>
        </w:rPr>
        <w:t>11</w:t>
      </w:r>
      <w:r w:rsidRPr="00A46EDA">
        <w:rPr>
          <w:rFonts w:ascii="宋体" w:hAnsi="宋体" w:hint="eastAsia"/>
          <w:b/>
          <w:bCs/>
          <w:sz w:val="28"/>
          <w:szCs w:val="30"/>
        </w:rPr>
        <w:t>月</w:t>
      </w:r>
      <w:r w:rsidR="00EF0F70">
        <w:rPr>
          <w:rFonts w:ascii="宋体" w:hAnsi="宋体"/>
          <w:b/>
          <w:bCs/>
          <w:sz w:val="28"/>
          <w:szCs w:val="30"/>
        </w:rPr>
        <w:t>9</w:t>
      </w:r>
      <w:r w:rsidRPr="00A46EDA">
        <w:rPr>
          <w:rFonts w:ascii="宋体" w:hAnsi="宋体" w:hint="eastAsia"/>
          <w:b/>
          <w:bCs/>
          <w:sz w:val="28"/>
          <w:szCs w:val="30"/>
        </w:rPr>
        <w:t>日</w:t>
      </w:r>
    </w:p>
    <w:p w:rsidR="00E45AEB" w:rsidRPr="00A46EDA" w:rsidRDefault="00E45AEB" w:rsidP="00E45AEB">
      <w:pPr>
        <w:ind w:firstLineChars="600" w:firstLine="1680"/>
        <w:jc w:val="left"/>
        <w:rPr>
          <w:rFonts w:ascii="宋体" w:hAnsi="宋体"/>
          <w:sz w:val="28"/>
          <w:szCs w:val="30"/>
        </w:rPr>
      </w:pPr>
    </w:p>
    <w:p w:rsidR="00E45AEB" w:rsidRPr="00A46EDA" w:rsidRDefault="00E45AEB" w:rsidP="00E45AEB">
      <w:pPr>
        <w:ind w:firstLineChars="600" w:firstLine="1680"/>
        <w:jc w:val="left"/>
        <w:rPr>
          <w:rFonts w:ascii="宋体" w:hAnsi="宋体"/>
          <w:sz w:val="28"/>
          <w:szCs w:val="30"/>
        </w:rPr>
      </w:pPr>
    </w:p>
    <w:p w:rsidR="00BB0571" w:rsidRDefault="00BB0571" w:rsidP="00E45AEB">
      <w:pPr>
        <w:ind w:firstLineChars="600" w:firstLine="1680"/>
        <w:jc w:val="left"/>
        <w:rPr>
          <w:rFonts w:ascii="宋体" w:hAnsi="宋体"/>
          <w:sz w:val="28"/>
          <w:szCs w:val="30"/>
        </w:rPr>
      </w:pPr>
    </w:p>
    <w:p w:rsidR="00E65BCD" w:rsidRPr="00A46EDA" w:rsidRDefault="00E65BCD" w:rsidP="00E45AEB">
      <w:pPr>
        <w:ind w:firstLineChars="600" w:firstLine="1680"/>
        <w:jc w:val="left"/>
        <w:rPr>
          <w:rFonts w:ascii="宋体" w:hAnsi="宋体"/>
          <w:sz w:val="28"/>
          <w:szCs w:val="30"/>
        </w:rPr>
      </w:pPr>
    </w:p>
    <w:p w:rsidR="00E45AEB" w:rsidRPr="00A46EDA" w:rsidRDefault="00E45AEB" w:rsidP="00E07C33">
      <w:pPr>
        <w:pStyle w:val="XBRLTitle6"/>
        <w:numPr>
          <w:ilvl w:val="0"/>
          <w:numId w:val="0"/>
        </w:numPr>
        <w:spacing w:before="156" w:after="156"/>
      </w:pPr>
      <w:bookmarkStart w:id="2" w:name="_Toc495929374"/>
      <w:r w:rsidRPr="00A46EDA">
        <w:rPr>
          <w:rFonts w:hint="eastAsia"/>
        </w:rPr>
        <w:lastRenderedPageBreak/>
        <w:t>一、重要提示</w:t>
      </w:r>
      <w:bookmarkEnd w:id="0"/>
      <w:bookmarkEnd w:id="2"/>
    </w:p>
    <w:p w:rsidR="004A7A21" w:rsidRPr="00A46EDA" w:rsidRDefault="00222078" w:rsidP="00E45AEB">
      <w:pPr>
        <w:spacing w:line="360" w:lineRule="auto"/>
        <w:ind w:firstLineChars="200" w:firstLine="480"/>
        <w:jc w:val="left"/>
        <w:rPr>
          <w:rFonts w:ascii="宋体" w:hAnsi="宋体"/>
          <w:color w:val="FF0000"/>
          <w:sz w:val="24"/>
          <w:szCs w:val="24"/>
        </w:rPr>
      </w:pPr>
      <w:bookmarkStart w:id="3" w:name="m01_01"/>
      <w:r w:rsidRPr="00A46EDA">
        <w:rPr>
          <w:rFonts w:ascii="宋体" w:hAnsi="宋体" w:hint="eastAsia"/>
          <w:color w:val="000000" w:themeColor="text1"/>
          <w:sz w:val="24"/>
          <w:szCs w:val="24"/>
        </w:rPr>
        <w:t>鹏华兴实定期开放灵活配置混合型证券投资基金</w:t>
      </w:r>
      <w:r w:rsidR="004A7A21" w:rsidRPr="00A46EDA">
        <w:rPr>
          <w:rFonts w:ascii="宋体" w:hAnsi="宋体" w:hint="eastAsia"/>
          <w:color w:val="000000" w:themeColor="text1"/>
          <w:sz w:val="24"/>
          <w:szCs w:val="24"/>
        </w:rPr>
        <w:t>(以下简称 “本基金”) 经中国证券监督管理委员会（以下简称“中国证监会”）</w:t>
      </w:r>
      <w:r w:rsidRPr="00A46EDA">
        <w:rPr>
          <w:rFonts w:ascii="宋体" w:hAnsi="宋体" w:hint="eastAsia"/>
          <w:color w:val="000000" w:themeColor="text1"/>
          <w:sz w:val="24"/>
          <w:szCs w:val="24"/>
        </w:rPr>
        <w:t xml:space="preserve"> 证监许可[2016]843号</w:t>
      </w:r>
      <w:r w:rsidR="004A7A21" w:rsidRPr="00A46EDA">
        <w:rPr>
          <w:rFonts w:ascii="宋体" w:hAnsi="宋体" w:hint="eastAsia"/>
          <w:color w:val="000000" w:themeColor="text1"/>
          <w:sz w:val="24"/>
          <w:szCs w:val="24"/>
        </w:rPr>
        <w:t>文准予核准注册，于</w:t>
      </w:r>
      <w:r w:rsidRPr="00A46EDA">
        <w:rPr>
          <w:rFonts w:ascii="宋体" w:hAnsi="宋体" w:hint="eastAsia"/>
          <w:color w:val="000000" w:themeColor="text1"/>
          <w:sz w:val="24"/>
          <w:szCs w:val="24"/>
        </w:rPr>
        <w:t>2016年9月27日</w:t>
      </w:r>
      <w:r w:rsidR="004A7A21" w:rsidRPr="00A46EDA">
        <w:rPr>
          <w:rFonts w:ascii="宋体" w:hAnsi="宋体" w:hint="eastAsia"/>
          <w:color w:val="000000" w:themeColor="text1"/>
          <w:sz w:val="24"/>
          <w:szCs w:val="24"/>
        </w:rPr>
        <w:t>成立并正式运作。本基金的基金管理人为鹏华基金管理有限公司，本基金托管人为</w:t>
      </w:r>
      <w:r w:rsidRPr="00A46EDA">
        <w:rPr>
          <w:rFonts w:ascii="宋体" w:hAnsi="宋体" w:hint="eastAsia"/>
          <w:color w:val="000000" w:themeColor="text1"/>
          <w:sz w:val="24"/>
          <w:szCs w:val="24"/>
        </w:rPr>
        <w:t>北京</w:t>
      </w:r>
      <w:r w:rsidR="004A7A21" w:rsidRPr="00A46EDA">
        <w:rPr>
          <w:rFonts w:ascii="宋体" w:hAnsi="宋体" w:hint="eastAsia"/>
          <w:color w:val="000000" w:themeColor="text1"/>
          <w:sz w:val="24"/>
          <w:szCs w:val="24"/>
        </w:rPr>
        <w:t>银行股份有限公司。</w:t>
      </w:r>
    </w:p>
    <w:p w:rsidR="00442562" w:rsidRPr="00A46EDA" w:rsidRDefault="004A7A21" w:rsidP="004E07DE">
      <w:pPr>
        <w:spacing w:line="360" w:lineRule="auto"/>
        <w:ind w:firstLineChars="200" w:firstLine="480"/>
        <w:jc w:val="left"/>
        <w:rPr>
          <w:rFonts w:ascii="宋体" w:hAnsi="宋体" w:cs="宋体"/>
          <w:kern w:val="0"/>
          <w:sz w:val="24"/>
          <w:szCs w:val="24"/>
        </w:rPr>
      </w:pPr>
      <w:r w:rsidRPr="00A46EDA">
        <w:rPr>
          <w:rFonts w:ascii="宋体" w:hAnsi="宋体" w:cs="宋体" w:hint="eastAsia"/>
          <w:kern w:val="0"/>
          <w:sz w:val="24"/>
          <w:szCs w:val="24"/>
        </w:rPr>
        <w:t>根据《</w:t>
      </w:r>
      <w:r w:rsidR="00903B72" w:rsidRPr="00A46EDA">
        <w:rPr>
          <w:rFonts w:ascii="宋体" w:hAnsi="宋体" w:cs="宋体" w:hint="eastAsia"/>
          <w:kern w:val="0"/>
          <w:sz w:val="24"/>
          <w:szCs w:val="24"/>
        </w:rPr>
        <w:t>鹏华兴实定期开放灵活配置混合型证券投资基金</w:t>
      </w:r>
      <w:r w:rsidRPr="00A46EDA">
        <w:rPr>
          <w:rFonts w:ascii="宋体" w:hAnsi="宋体" w:cs="宋体" w:hint="eastAsia"/>
          <w:kern w:val="0"/>
          <w:sz w:val="24"/>
          <w:szCs w:val="24"/>
        </w:rPr>
        <w:t>基金合同》</w:t>
      </w:r>
      <w:r w:rsidR="001271F0" w:rsidRPr="00A46EDA">
        <w:rPr>
          <w:rFonts w:ascii="宋体" w:hAnsi="宋体" w:cs="宋体" w:hint="eastAsia"/>
          <w:kern w:val="0"/>
          <w:sz w:val="24"/>
          <w:szCs w:val="24"/>
        </w:rPr>
        <w:t>(以</w:t>
      </w:r>
      <w:r w:rsidR="001271F0" w:rsidRPr="00A46EDA">
        <w:rPr>
          <w:rFonts w:ascii="宋体" w:hAnsi="宋体" w:cs="宋体"/>
          <w:kern w:val="0"/>
          <w:sz w:val="24"/>
          <w:szCs w:val="24"/>
        </w:rPr>
        <w:t>下简称</w:t>
      </w:r>
      <w:r w:rsidR="001271F0" w:rsidRPr="00A46EDA">
        <w:rPr>
          <w:rFonts w:ascii="宋体" w:hAnsi="宋体" w:cs="宋体" w:hint="eastAsia"/>
          <w:kern w:val="0"/>
          <w:sz w:val="24"/>
          <w:szCs w:val="24"/>
        </w:rPr>
        <w:t>“基金</w:t>
      </w:r>
      <w:r w:rsidR="001271F0" w:rsidRPr="00A46EDA">
        <w:rPr>
          <w:rFonts w:ascii="宋体" w:hAnsi="宋体" w:cs="宋体"/>
          <w:kern w:val="0"/>
          <w:sz w:val="24"/>
          <w:szCs w:val="24"/>
        </w:rPr>
        <w:t>合同</w:t>
      </w:r>
      <w:r w:rsidR="001271F0" w:rsidRPr="00A46EDA">
        <w:rPr>
          <w:rFonts w:ascii="宋体" w:hAnsi="宋体" w:cs="宋体" w:hint="eastAsia"/>
          <w:kern w:val="0"/>
          <w:sz w:val="24"/>
          <w:szCs w:val="24"/>
        </w:rPr>
        <w:t>”)有关</w:t>
      </w:r>
      <w:r w:rsidR="001271F0" w:rsidRPr="00A46EDA">
        <w:rPr>
          <w:rFonts w:ascii="宋体" w:hAnsi="宋体" w:cs="宋体"/>
          <w:kern w:val="0"/>
          <w:sz w:val="24"/>
          <w:szCs w:val="24"/>
        </w:rPr>
        <w:t>规定</w:t>
      </w:r>
      <w:r w:rsidR="001271F0" w:rsidRPr="00A46EDA">
        <w:rPr>
          <w:rFonts w:ascii="宋体" w:hAnsi="宋体" w:cs="宋体" w:hint="eastAsia"/>
          <w:kern w:val="0"/>
          <w:sz w:val="24"/>
          <w:szCs w:val="24"/>
        </w:rPr>
        <w:t>，</w:t>
      </w:r>
      <w:r w:rsidR="00903B72" w:rsidRPr="00A46EDA">
        <w:rPr>
          <w:rFonts w:ascii="宋体" w:hAnsi="宋体" w:cs="宋体" w:hint="eastAsia"/>
          <w:kern w:val="0"/>
          <w:sz w:val="24"/>
          <w:szCs w:val="24"/>
        </w:rPr>
        <w:t>基金合同生效后，在任一开放期最后一日日终（登记机构完成最后一日申购、赎回业务申请的确认以后），如发生基金份额持有人数量不满</w:t>
      </w:r>
      <w:r w:rsidR="00903B72" w:rsidRPr="00A46EDA">
        <w:rPr>
          <w:rFonts w:ascii="宋体" w:hAnsi="宋体" w:cs="宋体"/>
          <w:kern w:val="0"/>
          <w:sz w:val="24"/>
          <w:szCs w:val="24"/>
        </w:rPr>
        <w:t>200</w:t>
      </w:r>
      <w:r w:rsidR="00903B72" w:rsidRPr="00A46EDA">
        <w:rPr>
          <w:rFonts w:ascii="宋体" w:hAnsi="宋体" w:cs="宋体" w:hint="eastAsia"/>
          <w:kern w:val="0"/>
          <w:sz w:val="24"/>
          <w:szCs w:val="24"/>
        </w:rPr>
        <w:t>人或基金资产净值低于</w:t>
      </w:r>
      <w:r w:rsidR="00903B72" w:rsidRPr="00A46EDA">
        <w:rPr>
          <w:rFonts w:ascii="宋体" w:hAnsi="宋体" w:cs="宋体"/>
          <w:kern w:val="0"/>
          <w:sz w:val="24"/>
          <w:szCs w:val="24"/>
        </w:rPr>
        <w:t>5000</w:t>
      </w:r>
      <w:r w:rsidR="00903B72" w:rsidRPr="00A46EDA">
        <w:rPr>
          <w:rFonts w:ascii="宋体" w:hAnsi="宋体" w:cs="宋体" w:hint="eastAsia"/>
          <w:kern w:val="0"/>
          <w:sz w:val="24"/>
          <w:szCs w:val="24"/>
        </w:rPr>
        <w:t>万元的，则本基金根据基金合同的约定进入基金财产的清算程序并终止，无须召开基金份额持有人大会审议。本基金最近一个开放期自</w:t>
      </w:r>
      <w:r w:rsidR="00903B72" w:rsidRPr="00A46EDA">
        <w:rPr>
          <w:rFonts w:ascii="宋体" w:hAnsi="宋体" w:cs="宋体"/>
          <w:kern w:val="0"/>
          <w:sz w:val="24"/>
          <w:szCs w:val="24"/>
        </w:rPr>
        <w:t>2018</w:t>
      </w:r>
      <w:r w:rsidR="00903B72" w:rsidRPr="00A46EDA">
        <w:rPr>
          <w:rFonts w:ascii="宋体" w:hAnsi="宋体" w:cs="宋体" w:hint="eastAsia"/>
          <w:kern w:val="0"/>
          <w:sz w:val="24"/>
          <w:szCs w:val="24"/>
        </w:rPr>
        <w:t>年</w:t>
      </w:r>
      <w:r w:rsidR="00903B72" w:rsidRPr="00A46EDA">
        <w:rPr>
          <w:rFonts w:ascii="宋体" w:hAnsi="宋体" w:cs="宋体"/>
          <w:kern w:val="0"/>
          <w:sz w:val="24"/>
          <w:szCs w:val="24"/>
        </w:rPr>
        <w:t>5</w:t>
      </w:r>
      <w:r w:rsidR="00903B72" w:rsidRPr="00A46EDA">
        <w:rPr>
          <w:rFonts w:ascii="宋体" w:hAnsi="宋体" w:cs="宋体" w:hint="eastAsia"/>
          <w:kern w:val="0"/>
          <w:sz w:val="24"/>
          <w:szCs w:val="24"/>
        </w:rPr>
        <w:t>月</w:t>
      </w:r>
      <w:r w:rsidR="00903B72" w:rsidRPr="00A46EDA">
        <w:rPr>
          <w:rFonts w:ascii="宋体" w:hAnsi="宋体" w:cs="宋体"/>
          <w:kern w:val="0"/>
          <w:sz w:val="24"/>
          <w:szCs w:val="24"/>
        </w:rPr>
        <w:t>11</w:t>
      </w:r>
      <w:r w:rsidR="00903B72" w:rsidRPr="00A46EDA">
        <w:rPr>
          <w:rFonts w:ascii="宋体" w:hAnsi="宋体" w:cs="宋体" w:hint="eastAsia"/>
          <w:kern w:val="0"/>
          <w:sz w:val="24"/>
          <w:szCs w:val="24"/>
        </w:rPr>
        <w:t>日（含当日）至</w:t>
      </w:r>
      <w:r w:rsidR="00903B72" w:rsidRPr="00A46EDA">
        <w:rPr>
          <w:rFonts w:ascii="宋体" w:hAnsi="宋体" w:cs="宋体"/>
          <w:kern w:val="0"/>
          <w:sz w:val="24"/>
          <w:szCs w:val="24"/>
        </w:rPr>
        <w:t>2018</w:t>
      </w:r>
      <w:r w:rsidR="00903B72" w:rsidRPr="00A46EDA">
        <w:rPr>
          <w:rFonts w:ascii="宋体" w:hAnsi="宋体" w:cs="宋体" w:hint="eastAsia"/>
          <w:kern w:val="0"/>
          <w:sz w:val="24"/>
          <w:szCs w:val="24"/>
        </w:rPr>
        <w:t>年</w:t>
      </w:r>
      <w:r w:rsidR="00903B72" w:rsidRPr="00A46EDA">
        <w:rPr>
          <w:rFonts w:ascii="宋体" w:hAnsi="宋体" w:cs="宋体"/>
          <w:kern w:val="0"/>
          <w:sz w:val="24"/>
          <w:szCs w:val="24"/>
        </w:rPr>
        <w:t>6</w:t>
      </w:r>
      <w:r w:rsidR="00903B72" w:rsidRPr="00A46EDA">
        <w:rPr>
          <w:rFonts w:ascii="宋体" w:hAnsi="宋体" w:cs="宋体" w:hint="eastAsia"/>
          <w:kern w:val="0"/>
          <w:sz w:val="24"/>
          <w:szCs w:val="24"/>
        </w:rPr>
        <w:t>月</w:t>
      </w:r>
      <w:r w:rsidR="00903B72" w:rsidRPr="00A46EDA">
        <w:rPr>
          <w:rFonts w:ascii="宋体" w:hAnsi="宋体" w:cs="宋体"/>
          <w:kern w:val="0"/>
          <w:sz w:val="24"/>
          <w:szCs w:val="24"/>
        </w:rPr>
        <w:t>7</w:t>
      </w:r>
      <w:r w:rsidR="00903B72" w:rsidRPr="00A46EDA">
        <w:rPr>
          <w:rFonts w:ascii="宋体" w:hAnsi="宋体" w:cs="宋体" w:hint="eastAsia"/>
          <w:kern w:val="0"/>
          <w:sz w:val="24"/>
          <w:szCs w:val="24"/>
        </w:rPr>
        <w:t>日（含当日），</w:t>
      </w:r>
      <w:r w:rsidR="00140DC6" w:rsidRPr="00A46EDA">
        <w:rPr>
          <w:rFonts w:ascii="宋体" w:hAnsi="宋体" w:cs="宋体" w:hint="eastAsia"/>
          <w:kern w:val="0"/>
          <w:sz w:val="24"/>
          <w:szCs w:val="24"/>
        </w:rPr>
        <w:t>截至2018年6月</w:t>
      </w:r>
    </w:p>
    <w:p w:rsidR="004A7A21" w:rsidRPr="00A46EDA" w:rsidRDefault="00140DC6" w:rsidP="00442562">
      <w:pPr>
        <w:spacing w:line="360" w:lineRule="auto"/>
        <w:jc w:val="left"/>
        <w:rPr>
          <w:rFonts w:ascii="宋体" w:hAnsi="宋体" w:cs="宋体"/>
          <w:kern w:val="0"/>
          <w:sz w:val="24"/>
          <w:szCs w:val="24"/>
        </w:rPr>
      </w:pPr>
      <w:r w:rsidRPr="00A46EDA">
        <w:rPr>
          <w:rFonts w:ascii="宋体" w:hAnsi="宋体" w:cs="宋体" w:hint="eastAsia"/>
          <w:kern w:val="0"/>
          <w:sz w:val="24"/>
          <w:szCs w:val="24"/>
        </w:rPr>
        <w:t>7日日终(登记机构完成最后一日申购、赎回业务申请的确认以后)</w:t>
      </w:r>
      <w:r w:rsidR="00903B72" w:rsidRPr="00A46EDA">
        <w:rPr>
          <w:rFonts w:ascii="宋体" w:hAnsi="宋体" w:cs="宋体" w:hint="eastAsia"/>
          <w:kern w:val="0"/>
          <w:sz w:val="24"/>
          <w:szCs w:val="24"/>
        </w:rPr>
        <w:t>，本基金出现基金资产净值低于</w:t>
      </w:r>
      <w:r w:rsidR="00903B72" w:rsidRPr="00A46EDA">
        <w:rPr>
          <w:rFonts w:ascii="宋体" w:hAnsi="宋体" w:cs="宋体"/>
          <w:kern w:val="0"/>
          <w:sz w:val="24"/>
          <w:szCs w:val="24"/>
        </w:rPr>
        <w:t>5000</w:t>
      </w:r>
      <w:r w:rsidR="00903B72" w:rsidRPr="00A46EDA">
        <w:rPr>
          <w:rFonts w:ascii="宋体" w:hAnsi="宋体" w:cs="宋体" w:hint="eastAsia"/>
          <w:kern w:val="0"/>
          <w:sz w:val="24"/>
          <w:szCs w:val="24"/>
        </w:rPr>
        <w:t>万元的情形，已触发《基金合同》中约定的基金合同终止条款</w:t>
      </w:r>
      <w:r w:rsidR="001271F0" w:rsidRPr="00A46EDA">
        <w:rPr>
          <w:rFonts w:ascii="宋体" w:hAnsi="宋体" w:cs="宋体" w:hint="eastAsia"/>
          <w:kern w:val="0"/>
          <w:sz w:val="24"/>
          <w:szCs w:val="24"/>
        </w:rPr>
        <w:t>，基金合</w:t>
      </w:r>
      <w:r w:rsidR="001271F0" w:rsidRPr="00A46EDA">
        <w:rPr>
          <w:rFonts w:ascii="宋体" w:hAnsi="宋体" w:cs="宋体"/>
          <w:kern w:val="0"/>
          <w:sz w:val="24"/>
          <w:szCs w:val="24"/>
        </w:rPr>
        <w:t>同自动终止</w:t>
      </w:r>
      <w:r w:rsidR="001271F0" w:rsidRPr="00A46EDA">
        <w:rPr>
          <w:rFonts w:ascii="宋体" w:hAnsi="宋体" w:cs="宋体" w:hint="eastAsia"/>
          <w:kern w:val="0"/>
          <w:sz w:val="24"/>
          <w:szCs w:val="24"/>
        </w:rPr>
        <w:t>。</w:t>
      </w:r>
    </w:p>
    <w:p w:rsidR="004A7A21" w:rsidRPr="00921A3B" w:rsidRDefault="005A33F6" w:rsidP="005A33F6">
      <w:pPr>
        <w:widowControl/>
        <w:spacing w:line="360" w:lineRule="auto"/>
        <w:ind w:firstLineChars="200" w:firstLine="480"/>
        <w:jc w:val="left"/>
        <w:rPr>
          <w:sz w:val="24"/>
          <w:szCs w:val="24"/>
        </w:rPr>
      </w:pPr>
      <w:r w:rsidRPr="00A46EDA">
        <w:rPr>
          <w:rFonts w:ascii="宋体" w:hAnsi="宋体" w:cs="宋体" w:hint="eastAsia"/>
          <w:kern w:val="0"/>
          <w:sz w:val="24"/>
          <w:szCs w:val="24"/>
        </w:rPr>
        <w:t>本</w:t>
      </w:r>
      <w:r w:rsidRPr="00A46EDA">
        <w:rPr>
          <w:rFonts w:ascii="宋体" w:hAnsi="宋体" w:cs="宋体"/>
          <w:kern w:val="0"/>
          <w:sz w:val="24"/>
          <w:szCs w:val="24"/>
        </w:rPr>
        <w:t>基金从</w:t>
      </w:r>
      <w:r w:rsidRPr="00A46EDA">
        <w:rPr>
          <w:rFonts w:ascii="宋体" w:hAnsi="宋体" w:cs="宋体" w:hint="eastAsia"/>
          <w:kern w:val="0"/>
          <w:sz w:val="24"/>
          <w:szCs w:val="24"/>
        </w:rPr>
        <w:t>20</w:t>
      </w:r>
      <w:r w:rsidRPr="00A46EDA">
        <w:rPr>
          <w:rFonts w:ascii="宋体" w:hAnsi="宋体" w:cs="宋体"/>
          <w:kern w:val="0"/>
          <w:sz w:val="24"/>
          <w:szCs w:val="24"/>
        </w:rPr>
        <w:t>18</w:t>
      </w:r>
      <w:r w:rsidRPr="00A46EDA">
        <w:rPr>
          <w:rFonts w:ascii="宋体" w:hAnsi="宋体" w:cs="宋体" w:hint="eastAsia"/>
          <w:kern w:val="0"/>
          <w:sz w:val="24"/>
          <w:szCs w:val="24"/>
        </w:rPr>
        <w:t>年</w:t>
      </w:r>
      <w:r w:rsidRPr="00A46EDA">
        <w:rPr>
          <w:rFonts w:ascii="宋体" w:hAnsi="宋体" w:cs="宋体"/>
          <w:kern w:val="0"/>
          <w:sz w:val="24"/>
          <w:szCs w:val="24"/>
        </w:rPr>
        <w:t>6</w:t>
      </w:r>
      <w:r w:rsidRPr="00A46EDA">
        <w:rPr>
          <w:rFonts w:ascii="宋体" w:hAnsi="宋体" w:cs="宋体" w:hint="eastAsia"/>
          <w:kern w:val="0"/>
          <w:sz w:val="24"/>
          <w:szCs w:val="24"/>
        </w:rPr>
        <w:t>月</w:t>
      </w:r>
      <w:r w:rsidRPr="00A46EDA">
        <w:rPr>
          <w:rFonts w:ascii="宋体" w:hAnsi="宋体" w:cs="宋体"/>
          <w:kern w:val="0"/>
          <w:sz w:val="24"/>
          <w:szCs w:val="24"/>
        </w:rPr>
        <w:t>8</w:t>
      </w:r>
      <w:r w:rsidRPr="00A46EDA">
        <w:rPr>
          <w:rFonts w:ascii="宋体" w:hAnsi="宋体" w:cs="宋体" w:hint="eastAsia"/>
          <w:kern w:val="0"/>
          <w:sz w:val="24"/>
          <w:szCs w:val="24"/>
        </w:rPr>
        <w:t>日</w:t>
      </w:r>
      <w:r w:rsidRPr="00A46EDA">
        <w:rPr>
          <w:rFonts w:ascii="宋体" w:hAnsi="宋体" w:cs="宋体"/>
          <w:kern w:val="0"/>
          <w:sz w:val="24"/>
          <w:szCs w:val="24"/>
        </w:rPr>
        <w:t>起进入</w:t>
      </w:r>
      <w:r w:rsidRPr="00A46EDA">
        <w:rPr>
          <w:rFonts w:ascii="宋体" w:hAnsi="宋体" w:cs="宋体" w:hint="eastAsia"/>
          <w:kern w:val="0"/>
          <w:sz w:val="24"/>
          <w:szCs w:val="24"/>
        </w:rPr>
        <w:t>清</w:t>
      </w:r>
      <w:r w:rsidRPr="00A46EDA">
        <w:rPr>
          <w:rFonts w:ascii="宋体" w:hAnsi="宋体" w:cs="宋体"/>
          <w:kern w:val="0"/>
          <w:sz w:val="24"/>
          <w:szCs w:val="24"/>
        </w:rPr>
        <w:t>算期</w:t>
      </w:r>
      <w:r w:rsidRPr="00A46EDA">
        <w:rPr>
          <w:rFonts w:ascii="宋体" w:hAnsi="宋体" w:cs="宋体" w:hint="eastAsia"/>
          <w:kern w:val="0"/>
          <w:sz w:val="24"/>
          <w:szCs w:val="24"/>
        </w:rPr>
        <w:t>，</w:t>
      </w:r>
      <w:r>
        <w:rPr>
          <w:rFonts w:ascii="宋体" w:hAnsi="宋体" w:cs="宋体" w:hint="eastAsia"/>
          <w:kern w:val="0"/>
          <w:sz w:val="24"/>
          <w:szCs w:val="24"/>
        </w:rPr>
        <w:t>第一次</w:t>
      </w:r>
      <w:r w:rsidRPr="00A46EDA">
        <w:rPr>
          <w:rFonts w:ascii="宋体" w:hAnsi="宋体" w:cs="宋体" w:hint="eastAsia"/>
          <w:kern w:val="0"/>
          <w:sz w:val="24"/>
          <w:szCs w:val="24"/>
        </w:rPr>
        <w:t>清</w:t>
      </w:r>
      <w:r w:rsidRPr="00A46EDA">
        <w:rPr>
          <w:rFonts w:ascii="宋体" w:hAnsi="宋体" w:cs="宋体"/>
          <w:kern w:val="0"/>
          <w:sz w:val="24"/>
          <w:szCs w:val="24"/>
        </w:rPr>
        <w:t>算期</w:t>
      </w:r>
      <w:r w:rsidRPr="00A46EDA">
        <w:rPr>
          <w:rFonts w:ascii="宋体" w:hAnsi="宋体" w:cs="宋体" w:hint="eastAsia"/>
          <w:kern w:val="0"/>
          <w:sz w:val="24"/>
          <w:szCs w:val="24"/>
        </w:rPr>
        <w:t>间</w:t>
      </w:r>
      <w:r w:rsidRPr="00A46EDA">
        <w:rPr>
          <w:rFonts w:ascii="宋体" w:hAnsi="宋体" w:cs="宋体"/>
          <w:kern w:val="0"/>
          <w:sz w:val="24"/>
          <w:szCs w:val="24"/>
        </w:rPr>
        <w:t>为</w:t>
      </w:r>
      <w:r w:rsidRPr="00A46EDA">
        <w:rPr>
          <w:rFonts w:ascii="宋体" w:hAnsi="宋体" w:cs="宋体" w:hint="eastAsia"/>
          <w:kern w:val="0"/>
          <w:sz w:val="24"/>
          <w:szCs w:val="24"/>
        </w:rPr>
        <w:t>20</w:t>
      </w:r>
      <w:r w:rsidRPr="00A46EDA">
        <w:rPr>
          <w:rFonts w:ascii="宋体" w:hAnsi="宋体" w:cs="宋体"/>
          <w:kern w:val="0"/>
          <w:sz w:val="24"/>
          <w:szCs w:val="24"/>
        </w:rPr>
        <w:t>18</w:t>
      </w:r>
      <w:r w:rsidRPr="00A46EDA">
        <w:rPr>
          <w:rFonts w:ascii="宋体" w:hAnsi="宋体" w:cs="宋体" w:hint="eastAsia"/>
          <w:kern w:val="0"/>
          <w:sz w:val="24"/>
          <w:szCs w:val="24"/>
        </w:rPr>
        <w:t>年</w:t>
      </w:r>
      <w:r w:rsidRPr="00A46EDA">
        <w:rPr>
          <w:rFonts w:ascii="宋体" w:hAnsi="宋体" w:cs="宋体"/>
          <w:kern w:val="0"/>
          <w:sz w:val="24"/>
          <w:szCs w:val="24"/>
        </w:rPr>
        <w:t>6</w:t>
      </w:r>
      <w:r w:rsidRPr="00A46EDA">
        <w:rPr>
          <w:rFonts w:ascii="宋体" w:hAnsi="宋体" w:cs="宋体" w:hint="eastAsia"/>
          <w:kern w:val="0"/>
          <w:sz w:val="24"/>
          <w:szCs w:val="24"/>
        </w:rPr>
        <w:t>月</w:t>
      </w:r>
      <w:r w:rsidRPr="00A46EDA">
        <w:rPr>
          <w:rFonts w:ascii="宋体" w:hAnsi="宋体" w:cs="宋体"/>
          <w:kern w:val="0"/>
          <w:sz w:val="24"/>
          <w:szCs w:val="24"/>
        </w:rPr>
        <w:t>8</w:t>
      </w:r>
      <w:r w:rsidRPr="00A46EDA">
        <w:rPr>
          <w:rFonts w:ascii="宋体" w:hAnsi="宋体" w:cs="宋体" w:hint="eastAsia"/>
          <w:kern w:val="0"/>
          <w:sz w:val="24"/>
          <w:szCs w:val="24"/>
        </w:rPr>
        <w:t>日至20</w:t>
      </w:r>
      <w:r w:rsidRPr="00A46EDA">
        <w:rPr>
          <w:rFonts w:ascii="宋体" w:hAnsi="宋体" w:cs="宋体"/>
          <w:kern w:val="0"/>
          <w:sz w:val="24"/>
          <w:szCs w:val="24"/>
        </w:rPr>
        <w:t>18</w:t>
      </w:r>
      <w:r w:rsidRPr="00A46EDA">
        <w:rPr>
          <w:rFonts w:ascii="宋体" w:hAnsi="宋体" w:cs="宋体" w:hint="eastAsia"/>
          <w:kern w:val="0"/>
          <w:sz w:val="24"/>
          <w:szCs w:val="24"/>
        </w:rPr>
        <w:t>年</w:t>
      </w:r>
      <w:r w:rsidRPr="00A46EDA">
        <w:rPr>
          <w:rFonts w:ascii="宋体" w:hAnsi="宋体" w:cs="宋体"/>
          <w:kern w:val="0"/>
          <w:sz w:val="24"/>
          <w:szCs w:val="24"/>
        </w:rPr>
        <w:t>7</w:t>
      </w:r>
      <w:r w:rsidRPr="00A46EDA">
        <w:rPr>
          <w:rFonts w:ascii="宋体" w:hAnsi="宋体" w:cs="宋体" w:hint="eastAsia"/>
          <w:kern w:val="0"/>
          <w:sz w:val="24"/>
          <w:szCs w:val="24"/>
        </w:rPr>
        <w:t>月</w:t>
      </w:r>
      <w:r w:rsidRPr="00A46EDA">
        <w:rPr>
          <w:rFonts w:ascii="宋体" w:hAnsi="宋体" w:cs="宋体"/>
          <w:kern w:val="0"/>
          <w:sz w:val="24"/>
          <w:szCs w:val="24"/>
        </w:rPr>
        <w:t>11</w:t>
      </w:r>
      <w:r w:rsidRPr="00A46EDA">
        <w:rPr>
          <w:rFonts w:ascii="宋体" w:hAnsi="宋体" w:cs="宋体" w:hint="eastAsia"/>
          <w:kern w:val="0"/>
          <w:sz w:val="24"/>
          <w:szCs w:val="24"/>
        </w:rPr>
        <w:t>日</w:t>
      </w:r>
      <w:r>
        <w:rPr>
          <w:rFonts w:ascii="宋体" w:hAnsi="宋体" w:cs="宋体" w:hint="eastAsia"/>
          <w:kern w:val="0"/>
          <w:sz w:val="24"/>
          <w:szCs w:val="24"/>
        </w:rPr>
        <w:t>，</w:t>
      </w:r>
      <w:r w:rsidR="001271F0" w:rsidRPr="00A46EDA">
        <w:rPr>
          <w:rFonts w:ascii="宋体" w:hAnsi="宋体" w:cs="宋体" w:hint="eastAsia"/>
          <w:kern w:val="0"/>
          <w:sz w:val="24"/>
          <w:szCs w:val="24"/>
        </w:rPr>
        <w:t>本</w:t>
      </w:r>
      <w:r w:rsidR="001271F0" w:rsidRPr="00A46EDA">
        <w:rPr>
          <w:rFonts w:ascii="宋体" w:hAnsi="宋体" w:cs="宋体"/>
          <w:kern w:val="0"/>
          <w:sz w:val="24"/>
          <w:szCs w:val="24"/>
        </w:rPr>
        <w:t>基金从</w:t>
      </w:r>
      <w:r w:rsidR="001271F0" w:rsidRPr="00A46EDA">
        <w:rPr>
          <w:rFonts w:ascii="宋体" w:hAnsi="宋体" w:cs="宋体" w:hint="eastAsia"/>
          <w:kern w:val="0"/>
          <w:sz w:val="24"/>
          <w:szCs w:val="24"/>
        </w:rPr>
        <w:t>20</w:t>
      </w:r>
      <w:r w:rsidR="0007645B" w:rsidRPr="00A46EDA">
        <w:rPr>
          <w:rFonts w:ascii="宋体" w:hAnsi="宋体" w:cs="宋体"/>
          <w:kern w:val="0"/>
          <w:sz w:val="24"/>
          <w:szCs w:val="24"/>
        </w:rPr>
        <w:t>18</w:t>
      </w:r>
      <w:r w:rsidR="001271F0" w:rsidRPr="00A46EDA">
        <w:rPr>
          <w:rFonts w:ascii="宋体" w:hAnsi="宋体" w:cs="宋体" w:hint="eastAsia"/>
          <w:kern w:val="0"/>
          <w:sz w:val="24"/>
          <w:szCs w:val="24"/>
        </w:rPr>
        <w:t>年</w:t>
      </w:r>
      <w:r w:rsidR="00F914A5">
        <w:rPr>
          <w:rFonts w:ascii="宋体" w:hAnsi="宋体" w:cs="宋体"/>
          <w:kern w:val="0"/>
          <w:sz w:val="24"/>
          <w:szCs w:val="24"/>
        </w:rPr>
        <w:t>7</w:t>
      </w:r>
      <w:r w:rsidR="001271F0" w:rsidRPr="00A46EDA">
        <w:rPr>
          <w:rFonts w:ascii="宋体" w:hAnsi="宋体" w:cs="宋体" w:hint="eastAsia"/>
          <w:kern w:val="0"/>
          <w:sz w:val="24"/>
          <w:szCs w:val="24"/>
        </w:rPr>
        <w:t>月</w:t>
      </w:r>
      <w:r w:rsidR="00F914A5">
        <w:rPr>
          <w:rFonts w:ascii="宋体" w:hAnsi="宋体" w:cs="宋体"/>
          <w:kern w:val="0"/>
          <w:sz w:val="24"/>
          <w:szCs w:val="24"/>
        </w:rPr>
        <w:t>12</w:t>
      </w:r>
      <w:r w:rsidR="001271F0" w:rsidRPr="00A46EDA">
        <w:rPr>
          <w:rFonts w:ascii="宋体" w:hAnsi="宋体" w:cs="宋体" w:hint="eastAsia"/>
          <w:kern w:val="0"/>
          <w:sz w:val="24"/>
          <w:szCs w:val="24"/>
        </w:rPr>
        <w:t>日</w:t>
      </w:r>
      <w:r w:rsidR="001271F0" w:rsidRPr="00A46EDA">
        <w:rPr>
          <w:rFonts w:ascii="宋体" w:hAnsi="宋体" w:cs="宋体"/>
          <w:kern w:val="0"/>
          <w:sz w:val="24"/>
          <w:szCs w:val="24"/>
        </w:rPr>
        <w:t>起进入</w:t>
      </w:r>
      <w:r w:rsidR="00F914A5">
        <w:rPr>
          <w:rFonts w:ascii="宋体" w:hAnsi="宋体" w:cs="宋体" w:hint="eastAsia"/>
          <w:kern w:val="0"/>
          <w:sz w:val="24"/>
          <w:szCs w:val="24"/>
        </w:rPr>
        <w:t>二次</w:t>
      </w:r>
      <w:r w:rsidR="001271F0" w:rsidRPr="00A46EDA">
        <w:rPr>
          <w:rFonts w:ascii="宋体" w:hAnsi="宋体" w:cs="宋体" w:hint="eastAsia"/>
          <w:kern w:val="0"/>
          <w:sz w:val="24"/>
          <w:szCs w:val="24"/>
        </w:rPr>
        <w:t>清</w:t>
      </w:r>
      <w:r w:rsidR="001271F0" w:rsidRPr="00A46EDA">
        <w:rPr>
          <w:rFonts w:ascii="宋体" w:hAnsi="宋体" w:cs="宋体"/>
          <w:kern w:val="0"/>
          <w:sz w:val="24"/>
          <w:szCs w:val="24"/>
        </w:rPr>
        <w:t>算期</w:t>
      </w:r>
      <w:r w:rsidR="001271F0" w:rsidRPr="00A46EDA">
        <w:rPr>
          <w:rFonts w:ascii="宋体" w:hAnsi="宋体" w:cs="宋体" w:hint="eastAsia"/>
          <w:kern w:val="0"/>
          <w:sz w:val="24"/>
          <w:szCs w:val="24"/>
        </w:rPr>
        <w:t>，</w:t>
      </w:r>
      <w:r w:rsidR="00F81EF1">
        <w:rPr>
          <w:rFonts w:ascii="宋体" w:hAnsi="宋体" w:cs="宋体" w:hint="eastAsia"/>
          <w:kern w:val="0"/>
          <w:sz w:val="24"/>
          <w:szCs w:val="24"/>
        </w:rPr>
        <w:t>第二次</w:t>
      </w:r>
      <w:r w:rsidR="00F81EF1" w:rsidRPr="00A46EDA">
        <w:rPr>
          <w:rFonts w:ascii="宋体" w:hAnsi="宋体" w:cs="宋体" w:hint="eastAsia"/>
          <w:kern w:val="0"/>
          <w:sz w:val="24"/>
          <w:szCs w:val="24"/>
        </w:rPr>
        <w:t>清</w:t>
      </w:r>
      <w:r w:rsidR="00F81EF1" w:rsidRPr="00A46EDA">
        <w:rPr>
          <w:rFonts w:ascii="宋体" w:hAnsi="宋体" w:cs="宋体"/>
          <w:kern w:val="0"/>
          <w:sz w:val="24"/>
          <w:szCs w:val="24"/>
        </w:rPr>
        <w:t>算期</w:t>
      </w:r>
      <w:r w:rsidR="00F81EF1" w:rsidRPr="00A46EDA">
        <w:rPr>
          <w:rFonts w:ascii="宋体" w:hAnsi="宋体" w:cs="宋体" w:hint="eastAsia"/>
          <w:kern w:val="0"/>
          <w:sz w:val="24"/>
          <w:szCs w:val="24"/>
        </w:rPr>
        <w:t>间</w:t>
      </w:r>
      <w:r w:rsidR="00F81EF1" w:rsidRPr="00A46EDA">
        <w:rPr>
          <w:rFonts w:ascii="宋体" w:hAnsi="宋体" w:cs="宋体"/>
          <w:kern w:val="0"/>
          <w:sz w:val="24"/>
          <w:szCs w:val="24"/>
        </w:rPr>
        <w:t>为</w:t>
      </w:r>
      <w:r w:rsidR="00F81EF1" w:rsidRPr="00A46EDA">
        <w:rPr>
          <w:rFonts w:ascii="宋体" w:hAnsi="宋体" w:cs="宋体" w:hint="eastAsia"/>
          <w:kern w:val="0"/>
          <w:sz w:val="24"/>
          <w:szCs w:val="24"/>
        </w:rPr>
        <w:t>20</w:t>
      </w:r>
      <w:r w:rsidR="00F81EF1" w:rsidRPr="00A46EDA">
        <w:rPr>
          <w:rFonts w:ascii="宋体" w:hAnsi="宋体" w:cs="宋体"/>
          <w:kern w:val="0"/>
          <w:sz w:val="24"/>
          <w:szCs w:val="24"/>
        </w:rPr>
        <w:t>18</w:t>
      </w:r>
      <w:r w:rsidR="00F81EF1" w:rsidRPr="00A46EDA">
        <w:rPr>
          <w:rFonts w:ascii="宋体" w:hAnsi="宋体" w:cs="宋体" w:hint="eastAsia"/>
          <w:kern w:val="0"/>
          <w:sz w:val="24"/>
          <w:szCs w:val="24"/>
        </w:rPr>
        <w:t>年</w:t>
      </w:r>
      <w:r w:rsidR="00F81EF1">
        <w:rPr>
          <w:rFonts w:ascii="宋体" w:hAnsi="宋体" w:cs="宋体"/>
          <w:kern w:val="0"/>
          <w:sz w:val="24"/>
          <w:szCs w:val="24"/>
        </w:rPr>
        <w:t>7</w:t>
      </w:r>
      <w:r w:rsidR="00F81EF1" w:rsidRPr="00A46EDA">
        <w:rPr>
          <w:rFonts w:ascii="宋体" w:hAnsi="宋体" w:cs="宋体" w:hint="eastAsia"/>
          <w:kern w:val="0"/>
          <w:sz w:val="24"/>
          <w:szCs w:val="24"/>
        </w:rPr>
        <w:t>月</w:t>
      </w:r>
      <w:r w:rsidR="00F81EF1">
        <w:rPr>
          <w:rFonts w:ascii="宋体" w:hAnsi="宋体" w:cs="宋体" w:hint="eastAsia"/>
          <w:kern w:val="0"/>
          <w:sz w:val="24"/>
          <w:szCs w:val="24"/>
        </w:rPr>
        <w:t>12</w:t>
      </w:r>
      <w:r w:rsidR="00F81EF1" w:rsidRPr="00A46EDA">
        <w:rPr>
          <w:rFonts w:ascii="宋体" w:hAnsi="宋体" w:cs="宋体" w:hint="eastAsia"/>
          <w:kern w:val="0"/>
          <w:sz w:val="24"/>
          <w:szCs w:val="24"/>
        </w:rPr>
        <w:t>日至20</w:t>
      </w:r>
      <w:r w:rsidR="00F81EF1" w:rsidRPr="00A46EDA">
        <w:rPr>
          <w:rFonts w:ascii="宋体" w:hAnsi="宋体" w:cs="宋体"/>
          <w:kern w:val="0"/>
          <w:sz w:val="24"/>
          <w:szCs w:val="24"/>
        </w:rPr>
        <w:t>18</w:t>
      </w:r>
      <w:r w:rsidR="00F81EF1" w:rsidRPr="00A46EDA">
        <w:rPr>
          <w:rFonts w:ascii="宋体" w:hAnsi="宋体" w:cs="宋体" w:hint="eastAsia"/>
          <w:kern w:val="0"/>
          <w:sz w:val="24"/>
          <w:szCs w:val="24"/>
        </w:rPr>
        <w:t>年</w:t>
      </w:r>
      <w:r w:rsidR="00F81EF1">
        <w:rPr>
          <w:rFonts w:ascii="宋体" w:hAnsi="宋体" w:cs="宋体"/>
          <w:kern w:val="0"/>
          <w:sz w:val="24"/>
          <w:szCs w:val="24"/>
        </w:rPr>
        <w:t>11</w:t>
      </w:r>
      <w:r w:rsidR="00F81EF1" w:rsidRPr="00A46EDA">
        <w:rPr>
          <w:rFonts w:ascii="宋体" w:hAnsi="宋体" w:cs="宋体" w:hint="eastAsia"/>
          <w:kern w:val="0"/>
          <w:sz w:val="24"/>
          <w:szCs w:val="24"/>
        </w:rPr>
        <w:t>月</w:t>
      </w:r>
      <w:r w:rsidR="00F81EF1">
        <w:rPr>
          <w:rFonts w:ascii="宋体" w:hAnsi="宋体" w:cs="宋体"/>
          <w:kern w:val="0"/>
          <w:sz w:val="24"/>
          <w:szCs w:val="24"/>
        </w:rPr>
        <w:t>5</w:t>
      </w:r>
      <w:r w:rsidR="00F81EF1" w:rsidRPr="00A46EDA">
        <w:rPr>
          <w:rFonts w:ascii="宋体" w:hAnsi="宋体" w:cs="宋体" w:hint="eastAsia"/>
          <w:kern w:val="0"/>
          <w:sz w:val="24"/>
          <w:szCs w:val="24"/>
        </w:rPr>
        <w:t>日</w:t>
      </w:r>
      <w:r w:rsidR="00F81EF1">
        <w:rPr>
          <w:rFonts w:ascii="宋体" w:hAnsi="宋体" w:cs="宋体" w:hint="eastAsia"/>
          <w:kern w:val="0"/>
          <w:sz w:val="24"/>
          <w:szCs w:val="24"/>
        </w:rPr>
        <w:t>。</w:t>
      </w:r>
    </w:p>
    <w:p w:rsidR="004A7A21" w:rsidRPr="00A46EDA" w:rsidRDefault="004A7A21" w:rsidP="00E45AEB">
      <w:pPr>
        <w:widowControl/>
        <w:spacing w:line="360" w:lineRule="auto"/>
        <w:ind w:firstLineChars="200" w:firstLine="480"/>
        <w:jc w:val="left"/>
        <w:rPr>
          <w:rFonts w:ascii="宋体" w:hAnsi="宋体" w:cs="宋体"/>
          <w:kern w:val="0"/>
          <w:sz w:val="24"/>
          <w:szCs w:val="24"/>
        </w:rPr>
      </w:pPr>
    </w:p>
    <w:p w:rsidR="004A7A21" w:rsidRPr="00A46EDA" w:rsidRDefault="004A7A21" w:rsidP="00E45AEB">
      <w:pPr>
        <w:widowControl/>
        <w:spacing w:line="360" w:lineRule="auto"/>
        <w:ind w:firstLineChars="200" w:firstLine="480"/>
        <w:jc w:val="left"/>
        <w:rPr>
          <w:rFonts w:ascii="宋体" w:hAnsi="宋体" w:cs="宋体"/>
          <w:kern w:val="0"/>
          <w:sz w:val="24"/>
          <w:szCs w:val="24"/>
        </w:rPr>
      </w:pPr>
    </w:p>
    <w:bookmarkEnd w:id="3"/>
    <w:p w:rsidR="00BB0571" w:rsidRPr="00A46EDA" w:rsidRDefault="00BB0571" w:rsidP="00BB0571">
      <w:pPr>
        <w:pStyle w:val="XBRLTitle2"/>
        <w:numPr>
          <w:ilvl w:val="0"/>
          <w:numId w:val="0"/>
        </w:numPr>
        <w:spacing w:before="156" w:after="156"/>
        <w:rPr>
          <w:szCs w:val="24"/>
        </w:rPr>
      </w:pPr>
    </w:p>
    <w:p w:rsidR="00E45AEB" w:rsidRPr="00A46EDA" w:rsidRDefault="00E45AEB" w:rsidP="00E45AEB">
      <w:pPr>
        <w:rPr>
          <w:sz w:val="24"/>
          <w:szCs w:val="24"/>
        </w:rPr>
      </w:pPr>
    </w:p>
    <w:p w:rsidR="00E45AEB" w:rsidRPr="00A46EDA" w:rsidRDefault="00E45AEB" w:rsidP="00E45AEB">
      <w:pPr>
        <w:pStyle w:val="XBRLTitle1"/>
        <w:numPr>
          <w:ilvl w:val="0"/>
          <w:numId w:val="0"/>
        </w:numPr>
        <w:spacing w:before="156" w:after="156"/>
        <w:ind w:left="425"/>
        <w:jc w:val="left"/>
      </w:pPr>
      <w:bookmarkStart w:id="4" w:name="_Toc247416622"/>
      <w:r w:rsidRPr="00A46EDA">
        <w:rPr>
          <w:rFonts w:hint="eastAsia"/>
        </w:rPr>
        <w:br w:type="page"/>
      </w:r>
      <w:bookmarkStart w:id="5" w:name="_Toc495929377"/>
      <w:r w:rsidRPr="00A46EDA">
        <w:rPr>
          <w:rFonts w:hint="eastAsia"/>
        </w:rPr>
        <w:lastRenderedPageBreak/>
        <w:t>二、基金</w:t>
      </w:r>
      <w:bookmarkEnd w:id="4"/>
      <w:r w:rsidRPr="00A46EDA">
        <w:rPr>
          <w:rFonts w:hint="eastAsia"/>
        </w:rPr>
        <w:t>概况</w:t>
      </w:r>
      <w:bookmarkEnd w:id="5"/>
    </w:p>
    <w:p w:rsidR="00BB0571" w:rsidRPr="00A46EDA" w:rsidRDefault="00BB0571" w:rsidP="00E45AEB">
      <w:pPr>
        <w:widowControl/>
        <w:spacing w:line="360" w:lineRule="auto"/>
        <w:ind w:firstLineChars="250" w:firstLine="600"/>
        <w:jc w:val="left"/>
        <w:rPr>
          <w:sz w:val="24"/>
          <w:szCs w:val="24"/>
        </w:rPr>
      </w:pPr>
      <w:bookmarkStart w:id="6" w:name="m02_06"/>
      <w:bookmarkStart w:id="7" w:name="_Toc247416628"/>
      <w:r w:rsidRPr="00A46EDA">
        <w:rPr>
          <w:rFonts w:hint="eastAsia"/>
          <w:sz w:val="24"/>
          <w:szCs w:val="24"/>
        </w:rPr>
        <w:t>1</w:t>
      </w:r>
      <w:r w:rsidRPr="00A46EDA">
        <w:rPr>
          <w:rFonts w:hint="eastAsia"/>
          <w:sz w:val="24"/>
          <w:szCs w:val="24"/>
        </w:rPr>
        <w:t>、基金</w:t>
      </w:r>
      <w:r w:rsidRPr="00A46EDA">
        <w:rPr>
          <w:sz w:val="24"/>
          <w:szCs w:val="24"/>
        </w:rPr>
        <w:t>基本情况</w:t>
      </w:r>
    </w:p>
    <w:tbl>
      <w:tblPr>
        <w:tblStyle w:val="ad"/>
        <w:tblW w:w="0" w:type="auto"/>
        <w:tblLook w:val="04A0"/>
      </w:tblPr>
      <w:tblGrid>
        <w:gridCol w:w="4952"/>
        <w:gridCol w:w="3882"/>
      </w:tblGrid>
      <w:tr w:rsidR="001B11F4" w:rsidRPr="00A46EDA" w:rsidTr="001B11F4">
        <w:tc>
          <w:tcPr>
            <w:tcW w:w="4952" w:type="dxa"/>
          </w:tcPr>
          <w:p w:rsidR="001B11F4" w:rsidRPr="00A46EDA" w:rsidRDefault="001B11F4" w:rsidP="001B11F4">
            <w:pPr>
              <w:widowControl/>
              <w:spacing w:line="360" w:lineRule="auto"/>
              <w:jc w:val="left"/>
              <w:rPr>
                <w:sz w:val="24"/>
                <w:szCs w:val="24"/>
              </w:rPr>
            </w:pPr>
            <w:r w:rsidRPr="00A46EDA">
              <w:rPr>
                <w:rFonts w:ascii="宋体" w:hAnsi="宋体" w:hint="eastAsia"/>
                <w:sz w:val="24"/>
              </w:rPr>
              <w:t>基金名称</w:t>
            </w:r>
          </w:p>
        </w:tc>
        <w:tc>
          <w:tcPr>
            <w:tcW w:w="3882" w:type="dxa"/>
          </w:tcPr>
          <w:p w:rsidR="001B11F4" w:rsidRPr="00A46EDA" w:rsidRDefault="001B11F4" w:rsidP="001B11F4">
            <w:pPr>
              <w:widowControl/>
              <w:spacing w:line="360" w:lineRule="auto"/>
              <w:jc w:val="left"/>
              <w:rPr>
                <w:sz w:val="24"/>
                <w:szCs w:val="24"/>
              </w:rPr>
            </w:pPr>
            <w:r w:rsidRPr="00A46EDA">
              <w:rPr>
                <w:rFonts w:ascii="宋体" w:hAnsi="宋体" w:hint="eastAsia"/>
              </w:rPr>
              <w:t>鹏华兴实定期开放灵活配置混合型证券投资基金</w:t>
            </w:r>
          </w:p>
        </w:tc>
      </w:tr>
      <w:tr w:rsidR="001B11F4" w:rsidRPr="00A46EDA" w:rsidTr="001B11F4">
        <w:tc>
          <w:tcPr>
            <w:tcW w:w="4952" w:type="dxa"/>
          </w:tcPr>
          <w:p w:rsidR="001B11F4" w:rsidRPr="00A46EDA" w:rsidRDefault="001B11F4" w:rsidP="001B11F4">
            <w:pPr>
              <w:widowControl/>
              <w:spacing w:line="360" w:lineRule="auto"/>
              <w:jc w:val="left"/>
              <w:rPr>
                <w:sz w:val="24"/>
                <w:szCs w:val="24"/>
              </w:rPr>
            </w:pPr>
            <w:r w:rsidRPr="00A46EDA">
              <w:rPr>
                <w:rFonts w:ascii="宋体" w:hAnsi="宋体" w:hint="eastAsia"/>
                <w:sz w:val="24"/>
              </w:rPr>
              <w:t>基金简称</w:t>
            </w:r>
          </w:p>
        </w:tc>
        <w:tc>
          <w:tcPr>
            <w:tcW w:w="3882" w:type="dxa"/>
          </w:tcPr>
          <w:p w:rsidR="001B11F4" w:rsidRPr="00A46EDA" w:rsidRDefault="001B11F4" w:rsidP="001B11F4">
            <w:pPr>
              <w:widowControl/>
              <w:spacing w:line="360" w:lineRule="auto"/>
              <w:jc w:val="left"/>
              <w:rPr>
                <w:sz w:val="24"/>
                <w:szCs w:val="24"/>
              </w:rPr>
            </w:pPr>
            <w:r w:rsidRPr="00A46EDA">
              <w:rPr>
                <w:rFonts w:ascii="宋体" w:hAnsi="宋体" w:hint="eastAsia"/>
              </w:rPr>
              <w:t>鹏华兴实定期开放混合</w:t>
            </w:r>
          </w:p>
        </w:tc>
      </w:tr>
      <w:tr w:rsidR="001B11F4" w:rsidRPr="00A46EDA" w:rsidTr="001B11F4">
        <w:tc>
          <w:tcPr>
            <w:tcW w:w="4952" w:type="dxa"/>
          </w:tcPr>
          <w:p w:rsidR="001B11F4" w:rsidRPr="00A46EDA" w:rsidRDefault="001B11F4" w:rsidP="001B11F4">
            <w:pPr>
              <w:widowControl/>
              <w:spacing w:line="360" w:lineRule="auto"/>
              <w:jc w:val="left"/>
              <w:rPr>
                <w:sz w:val="24"/>
                <w:szCs w:val="24"/>
              </w:rPr>
            </w:pPr>
            <w:r w:rsidRPr="00A46EDA">
              <w:rPr>
                <w:rFonts w:ascii="宋体" w:hAnsi="宋体" w:hint="eastAsia"/>
                <w:sz w:val="24"/>
              </w:rPr>
              <w:t>基金主代码</w:t>
            </w:r>
          </w:p>
        </w:tc>
        <w:tc>
          <w:tcPr>
            <w:tcW w:w="3882" w:type="dxa"/>
          </w:tcPr>
          <w:p w:rsidR="001B11F4" w:rsidRPr="00A46EDA" w:rsidRDefault="001B11F4" w:rsidP="001B11F4">
            <w:pPr>
              <w:widowControl/>
              <w:spacing w:line="360" w:lineRule="auto"/>
              <w:jc w:val="left"/>
              <w:rPr>
                <w:sz w:val="24"/>
                <w:szCs w:val="24"/>
              </w:rPr>
            </w:pPr>
            <w:r w:rsidRPr="00A46EDA">
              <w:rPr>
                <w:rFonts w:ascii="宋体" w:hAnsi="宋体" w:hint="eastAsia"/>
              </w:rPr>
              <w:t>002911</w:t>
            </w:r>
          </w:p>
        </w:tc>
      </w:tr>
      <w:tr w:rsidR="001B11F4" w:rsidRPr="00A46EDA" w:rsidTr="001B11F4">
        <w:tc>
          <w:tcPr>
            <w:tcW w:w="4952" w:type="dxa"/>
          </w:tcPr>
          <w:p w:rsidR="001B11F4" w:rsidRPr="00A46EDA" w:rsidRDefault="001B11F4" w:rsidP="001B11F4">
            <w:pPr>
              <w:widowControl/>
              <w:spacing w:line="360" w:lineRule="auto"/>
              <w:jc w:val="left"/>
              <w:rPr>
                <w:sz w:val="24"/>
                <w:szCs w:val="24"/>
              </w:rPr>
            </w:pPr>
            <w:r w:rsidRPr="00A46EDA">
              <w:rPr>
                <w:rFonts w:ascii="宋体" w:hAnsi="宋体" w:hint="eastAsia"/>
                <w:sz w:val="24"/>
              </w:rPr>
              <w:t>基金运作方式</w:t>
            </w:r>
          </w:p>
        </w:tc>
        <w:tc>
          <w:tcPr>
            <w:tcW w:w="3882" w:type="dxa"/>
          </w:tcPr>
          <w:p w:rsidR="001B11F4" w:rsidRPr="00A46EDA" w:rsidRDefault="001B11F4" w:rsidP="001B11F4">
            <w:pPr>
              <w:widowControl/>
              <w:spacing w:line="360" w:lineRule="auto"/>
              <w:jc w:val="left"/>
              <w:rPr>
                <w:sz w:val="24"/>
                <w:szCs w:val="24"/>
              </w:rPr>
            </w:pPr>
            <w:r w:rsidRPr="00A46EDA">
              <w:rPr>
                <w:rFonts w:ascii="宋体" w:hAnsi="宋体" w:hint="eastAsia"/>
              </w:rPr>
              <w:t>契约型开放式</w:t>
            </w:r>
          </w:p>
        </w:tc>
      </w:tr>
      <w:tr w:rsidR="001B11F4" w:rsidRPr="00A46EDA" w:rsidTr="001B11F4">
        <w:tc>
          <w:tcPr>
            <w:tcW w:w="4952" w:type="dxa"/>
          </w:tcPr>
          <w:p w:rsidR="001B11F4" w:rsidRPr="00A46EDA" w:rsidRDefault="001B11F4" w:rsidP="001B11F4">
            <w:pPr>
              <w:rPr>
                <w:rFonts w:ascii="宋体" w:hAnsi="宋体"/>
                <w:sz w:val="24"/>
              </w:rPr>
            </w:pPr>
            <w:r w:rsidRPr="00A46EDA">
              <w:rPr>
                <w:rFonts w:ascii="宋体" w:hAnsi="宋体" w:hint="eastAsia"/>
                <w:sz w:val="24"/>
              </w:rPr>
              <w:t>基金合同生效日</w:t>
            </w:r>
          </w:p>
        </w:tc>
        <w:tc>
          <w:tcPr>
            <w:tcW w:w="3882" w:type="dxa"/>
          </w:tcPr>
          <w:p w:rsidR="001B11F4" w:rsidRPr="00A46EDA" w:rsidRDefault="001B11F4" w:rsidP="001B11F4">
            <w:pPr>
              <w:widowControl/>
              <w:spacing w:line="360" w:lineRule="auto"/>
              <w:jc w:val="left"/>
              <w:rPr>
                <w:sz w:val="24"/>
                <w:szCs w:val="24"/>
              </w:rPr>
            </w:pPr>
            <w:r w:rsidRPr="00A46EDA">
              <w:rPr>
                <w:rFonts w:ascii="宋体" w:hAnsi="宋体" w:hint="eastAsia"/>
              </w:rPr>
              <w:t>2016年9月27日</w:t>
            </w:r>
          </w:p>
        </w:tc>
      </w:tr>
      <w:tr w:rsidR="001B11F4" w:rsidRPr="00A46EDA" w:rsidTr="001B11F4">
        <w:tc>
          <w:tcPr>
            <w:tcW w:w="4952" w:type="dxa"/>
          </w:tcPr>
          <w:p w:rsidR="001B11F4" w:rsidRPr="00A46EDA" w:rsidRDefault="001B11F4" w:rsidP="001B11F4">
            <w:pPr>
              <w:rPr>
                <w:rFonts w:ascii="宋体" w:hAnsi="宋体"/>
                <w:sz w:val="24"/>
              </w:rPr>
            </w:pPr>
            <w:r w:rsidRPr="00A46EDA">
              <w:rPr>
                <w:rFonts w:ascii="宋体" w:hAnsi="宋体" w:hint="eastAsia"/>
                <w:sz w:val="24"/>
              </w:rPr>
              <w:t>基金管理人</w:t>
            </w:r>
          </w:p>
        </w:tc>
        <w:tc>
          <w:tcPr>
            <w:tcW w:w="3882" w:type="dxa"/>
          </w:tcPr>
          <w:p w:rsidR="001B11F4" w:rsidRPr="00A46EDA" w:rsidRDefault="001B11F4" w:rsidP="001B11F4">
            <w:pPr>
              <w:widowControl/>
              <w:spacing w:line="360" w:lineRule="auto"/>
              <w:jc w:val="left"/>
              <w:rPr>
                <w:sz w:val="24"/>
                <w:szCs w:val="24"/>
              </w:rPr>
            </w:pPr>
            <w:r w:rsidRPr="00A46EDA">
              <w:rPr>
                <w:rFonts w:ascii="宋体" w:hAnsi="宋体" w:hint="eastAsia"/>
              </w:rPr>
              <w:t>鹏华基金管理有限公司</w:t>
            </w:r>
          </w:p>
        </w:tc>
      </w:tr>
      <w:tr w:rsidR="001B11F4" w:rsidRPr="00A46EDA" w:rsidTr="001B11F4">
        <w:tc>
          <w:tcPr>
            <w:tcW w:w="4952" w:type="dxa"/>
          </w:tcPr>
          <w:p w:rsidR="001B11F4" w:rsidRPr="00A46EDA" w:rsidRDefault="001B11F4" w:rsidP="001B11F4">
            <w:pPr>
              <w:rPr>
                <w:rFonts w:ascii="宋体" w:hAnsi="宋体"/>
                <w:sz w:val="24"/>
              </w:rPr>
            </w:pPr>
            <w:r w:rsidRPr="00A46EDA">
              <w:rPr>
                <w:rFonts w:ascii="宋体" w:hAnsi="宋体" w:hint="eastAsia"/>
                <w:sz w:val="24"/>
              </w:rPr>
              <w:t>基金托管人</w:t>
            </w:r>
          </w:p>
        </w:tc>
        <w:tc>
          <w:tcPr>
            <w:tcW w:w="3882" w:type="dxa"/>
          </w:tcPr>
          <w:p w:rsidR="001B11F4" w:rsidRPr="00A46EDA" w:rsidRDefault="001B11F4" w:rsidP="001B11F4">
            <w:pPr>
              <w:widowControl/>
              <w:spacing w:line="360" w:lineRule="auto"/>
              <w:jc w:val="left"/>
              <w:rPr>
                <w:sz w:val="24"/>
                <w:szCs w:val="24"/>
              </w:rPr>
            </w:pPr>
            <w:r w:rsidRPr="00A46EDA">
              <w:rPr>
                <w:rFonts w:ascii="宋体" w:hAnsi="宋体" w:hint="eastAsia"/>
              </w:rPr>
              <w:t>北京银行股份有限公司</w:t>
            </w:r>
          </w:p>
        </w:tc>
      </w:tr>
      <w:tr w:rsidR="001B11F4" w:rsidRPr="00A46EDA" w:rsidTr="001B11F4">
        <w:tc>
          <w:tcPr>
            <w:tcW w:w="4952" w:type="dxa"/>
          </w:tcPr>
          <w:p w:rsidR="001B11F4" w:rsidRPr="00A46EDA" w:rsidRDefault="001B11F4" w:rsidP="001D44B7">
            <w:pPr>
              <w:rPr>
                <w:rFonts w:ascii="宋体" w:hAnsi="宋体"/>
                <w:sz w:val="24"/>
              </w:rPr>
            </w:pPr>
            <w:r w:rsidRPr="00A46EDA">
              <w:rPr>
                <w:rFonts w:ascii="宋体" w:hAnsi="宋体" w:hint="eastAsia"/>
                <w:sz w:val="24"/>
              </w:rPr>
              <w:t>最后</w:t>
            </w:r>
            <w:r w:rsidRPr="00A46EDA">
              <w:rPr>
                <w:rFonts w:ascii="宋体" w:hAnsi="宋体"/>
                <w:sz w:val="24"/>
              </w:rPr>
              <w:t>运作日</w:t>
            </w:r>
            <w:r w:rsidRPr="00A46EDA">
              <w:rPr>
                <w:rFonts w:ascii="宋体" w:hAnsi="宋体" w:hint="eastAsia"/>
                <w:sz w:val="24"/>
              </w:rPr>
              <w:t>（20</w:t>
            </w:r>
            <w:r w:rsidR="001D44B7" w:rsidRPr="00A46EDA">
              <w:rPr>
                <w:rFonts w:ascii="宋体" w:hAnsi="宋体"/>
                <w:sz w:val="24"/>
              </w:rPr>
              <w:t>18</w:t>
            </w:r>
            <w:r w:rsidRPr="00A46EDA">
              <w:rPr>
                <w:rFonts w:ascii="宋体" w:hAnsi="宋体" w:hint="eastAsia"/>
                <w:sz w:val="24"/>
              </w:rPr>
              <w:t>年</w:t>
            </w:r>
            <w:r w:rsidR="001D44B7" w:rsidRPr="00A46EDA">
              <w:rPr>
                <w:rFonts w:ascii="宋体" w:hAnsi="宋体"/>
                <w:sz w:val="24"/>
              </w:rPr>
              <w:t>6</w:t>
            </w:r>
            <w:r w:rsidRPr="00A46EDA">
              <w:rPr>
                <w:rFonts w:ascii="宋体" w:hAnsi="宋体" w:hint="eastAsia"/>
                <w:sz w:val="24"/>
              </w:rPr>
              <w:t>月</w:t>
            </w:r>
            <w:r w:rsidR="001D44B7" w:rsidRPr="00A46EDA">
              <w:rPr>
                <w:rFonts w:ascii="宋体" w:hAnsi="宋体"/>
                <w:sz w:val="24"/>
              </w:rPr>
              <w:t>7</w:t>
            </w:r>
            <w:r w:rsidRPr="00A46EDA">
              <w:rPr>
                <w:rFonts w:ascii="宋体" w:hAnsi="宋体" w:hint="eastAsia"/>
                <w:sz w:val="24"/>
              </w:rPr>
              <w:t>日）基金份额总额</w:t>
            </w:r>
          </w:p>
        </w:tc>
        <w:tc>
          <w:tcPr>
            <w:tcW w:w="3882" w:type="dxa"/>
          </w:tcPr>
          <w:p w:rsidR="001B11F4" w:rsidRPr="00A46EDA" w:rsidRDefault="001D44B7" w:rsidP="001D44B7">
            <w:pPr>
              <w:widowControl/>
              <w:jc w:val="left"/>
              <w:rPr>
                <w:rFonts w:ascii="宋体" w:hAnsi="宋体"/>
              </w:rPr>
            </w:pPr>
            <w:r w:rsidRPr="00A46EDA">
              <w:rPr>
                <w:rFonts w:ascii="宋体" w:hAnsi="宋体" w:hint="eastAsia"/>
              </w:rPr>
              <w:t>50,796,491.96份</w:t>
            </w:r>
          </w:p>
        </w:tc>
      </w:tr>
      <w:tr w:rsidR="001B11F4" w:rsidRPr="00A46EDA" w:rsidTr="001B11F4">
        <w:tc>
          <w:tcPr>
            <w:tcW w:w="4952" w:type="dxa"/>
          </w:tcPr>
          <w:p w:rsidR="001B11F4" w:rsidRPr="00A46EDA" w:rsidRDefault="001B11F4" w:rsidP="001D44B7">
            <w:pPr>
              <w:rPr>
                <w:rFonts w:ascii="宋体" w:hAnsi="宋体"/>
                <w:sz w:val="24"/>
              </w:rPr>
            </w:pPr>
            <w:r w:rsidRPr="00A46EDA">
              <w:rPr>
                <w:rFonts w:ascii="宋体" w:hAnsi="宋体" w:hint="eastAsia"/>
                <w:sz w:val="24"/>
              </w:rPr>
              <w:t>最后</w:t>
            </w:r>
            <w:r w:rsidRPr="00A46EDA">
              <w:rPr>
                <w:rFonts w:ascii="宋体" w:hAnsi="宋体"/>
                <w:sz w:val="24"/>
              </w:rPr>
              <w:t>运作日</w:t>
            </w:r>
            <w:r w:rsidRPr="00A46EDA">
              <w:rPr>
                <w:rFonts w:ascii="宋体" w:hAnsi="宋体" w:hint="eastAsia"/>
                <w:sz w:val="24"/>
              </w:rPr>
              <w:t>（20</w:t>
            </w:r>
            <w:r w:rsidR="001D44B7" w:rsidRPr="00A46EDA">
              <w:rPr>
                <w:rFonts w:ascii="宋体" w:hAnsi="宋体"/>
                <w:sz w:val="24"/>
              </w:rPr>
              <w:t>18</w:t>
            </w:r>
            <w:r w:rsidRPr="00A46EDA">
              <w:rPr>
                <w:rFonts w:ascii="宋体" w:hAnsi="宋体" w:hint="eastAsia"/>
                <w:sz w:val="24"/>
              </w:rPr>
              <w:t>年</w:t>
            </w:r>
            <w:r w:rsidR="001D44B7" w:rsidRPr="00A46EDA">
              <w:rPr>
                <w:rFonts w:ascii="宋体" w:hAnsi="宋体"/>
                <w:sz w:val="24"/>
              </w:rPr>
              <w:t>6</w:t>
            </w:r>
            <w:r w:rsidRPr="00A46EDA">
              <w:rPr>
                <w:rFonts w:ascii="宋体" w:hAnsi="宋体" w:hint="eastAsia"/>
                <w:sz w:val="24"/>
              </w:rPr>
              <w:t>月</w:t>
            </w:r>
            <w:r w:rsidR="001D44B7" w:rsidRPr="00A46EDA">
              <w:rPr>
                <w:rFonts w:ascii="宋体" w:hAnsi="宋体"/>
                <w:sz w:val="24"/>
              </w:rPr>
              <w:t>7</w:t>
            </w:r>
            <w:r w:rsidRPr="00A46EDA">
              <w:rPr>
                <w:rFonts w:ascii="宋体" w:hAnsi="宋体" w:hint="eastAsia"/>
                <w:sz w:val="24"/>
              </w:rPr>
              <w:t>日）基金份额净</w:t>
            </w:r>
            <w:r w:rsidRPr="00A46EDA">
              <w:rPr>
                <w:rFonts w:ascii="宋体" w:hAnsi="宋体"/>
                <w:sz w:val="24"/>
              </w:rPr>
              <w:t>值</w:t>
            </w:r>
          </w:p>
        </w:tc>
        <w:tc>
          <w:tcPr>
            <w:tcW w:w="3882" w:type="dxa"/>
          </w:tcPr>
          <w:p w:rsidR="001B11F4" w:rsidRPr="00A46EDA" w:rsidRDefault="00121444" w:rsidP="001D44B7">
            <w:pPr>
              <w:widowControl/>
              <w:jc w:val="left"/>
              <w:rPr>
                <w:rFonts w:ascii="宋体" w:hAnsi="宋体"/>
              </w:rPr>
            </w:pPr>
            <w:r w:rsidRPr="00A46EDA">
              <w:rPr>
                <w:rFonts w:ascii="宋体" w:hAnsi="宋体" w:hint="eastAsia"/>
              </w:rPr>
              <w:t>1</w:t>
            </w:r>
            <w:r w:rsidRPr="00A46EDA">
              <w:rPr>
                <w:rFonts w:ascii="宋体" w:hAnsi="宋体"/>
              </w:rPr>
              <w:t>.0669</w:t>
            </w:r>
            <w:r w:rsidR="001D44B7" w:rsidRPr="00A46EDA">
              <w:rPr>
                <w:rFonts w:ascii="宋体" w:hAnsi="宋体" w:hint="eastAsia"/>
              </w:rPr>
              <w:t>元</w:t>
            </w:r>
          </w:p>
        </w:tc>
      </w:tr>
    </w:tbl>
    <w:p w:rsidR="00BB0571" w:rsidRPr="00A46EDA" w:rsidRDefault="00BB0571" w:rsidP="00E45AEB">
      <w:pPr>
        <w:widowControl/>
        <w:spacing w:line="360" w:lineRule="auto"/>
        <w:ind w:firstLineChars="250" w:firstLine="600"/>
        <w:jc w:val="left"/>
        <w:rPr>
          <w:sz w:val="24"/>
          <w:szCs w:val="24"/>
        </w:rPr>
      </w:pPr>
    </w:p>
    <w:p w:rsidR="004C5AAA" w:rsidRPr="00A46EDA" w:rsidRDefault="004C5AAA" w:rsidP="00E45AEB">
      <w:pPr>
        <w:widowControl/>
        <w:spacing w:line="360" w:lineRule="auto"/>
        <w:ind w:firstLineChars="250" w:firstLine="600"/>
        <w:jc w:val="left"/>
        <w:rPr>
          <w:sz w:val="24"/>
          <w:szCs w:val="24"/>
        </w:rPr>
      </w:pPr>
      <w:r w:rsidRPr="00A46EDA">
        <w:rPr>
          <w:sz w:val="24"/>
          <w:szCs w:val="24"/>
        </w:rPr>
        <w:t>2</w:t>
      </w:r>
      <w:r w:rsidRPr="00A46EDA">
        <w:rPr>
          <w:sz w:val="24"/>
          <w:szCs w:val="24"/>
        </w:rPr>
        <w:t>、</w:t>
      </w:r>
      <w:r w:rsidRPr="00A46EDA">
        <w:rPr>
          <w:rFonts w:hint="eastAsia"/>
          <w:sz w:val="24"/>
          <w:szCs w:val="24"/>
        </w:rPr>
        <w:t>基金</w:t>
      </w:r>
      <w:r w:rsidRPr="00A46EDA">
        <w:rPr>
          <w:sz w:val="24"/>
          <w:szCs w:val="24"/>
        </w:rPr>
        <w:t>产品说明</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4C5AAA" w:rsidRPr="00A46EDA" w:rsidTr="004C5AAA">
        <w:tc>
          <w:tcPr>
            <w:tcW w:w="4261" w:type="dxa"/>
            <w:tcBorders>
              <w:top w:val="single" w:sz="4" w:space="0" w:color="auto"/>
              <w:left w:val="single" w:sz="4" w:space="0" w:color="auto"/>
              <w:bottom w:val="single" w:sz="4" w:space="0" w:color="auto"/>
              <w:right w:val="single" w:sz="4" w:space="0" w:color="auto"/>
            </w:tcBorders>
            <w:hideMark/>
          </w:tcPr>
          <w:p w:rsidR="004C5AAA" w:rsidRPr="00A46EDA" w:rsidRDefault="004C5AAA">
            <w:pPr>
              <w:rPr>
                <w:rFonts w:ascii="宋体" w:hAnsi="宋体"/>
                <w:sz w:val="24"/>
              </w:rPr>
            </w:pPr>
            <w:r w:rsidRPr="00A46EDA">
              <w:rPr>
                <w:rFonts w:ascii="宋体" w:hAnsi="宋体" w:hint="eastAsia"/>
                <w:sz w:val="24"/>
              </w:rPr>
              <w:t>投资目标</w:t>
            </w:r>
          </w:p>
        </w:tc>
        <w:tc>
          <w:tcPr>
            <w:tcW w:w="4261" w:type="dxa"/>
            <w:tcBorders>
              <w:top w:val="single" w:sz="4" w:space="0" w:color="auto"/>
              <w:left w:val="single" w:sz="4" w:space="0" w:color="auto"/>
              <w:bottom w:val="single" w:sz="4" w:space="0" w:color="auto"/>
              <w:right w:val="single" w:sz="4" w:space="0" w:color="auto"/>
            </w:tcBorders>
          </w:tcPr>
          <w:p w:rsidR="004C5AAA" w:rsidRPr="00A46EDA" w:rsidRDefault="001D44B7">
            <w:pPr>
              <w:rPr>
                <w:rFonts w:ascii="宋体" w:hAnsi="宋体"/>
                <w:sz w:val="24"/>
              </w:rPr>
            </w:pPr>
            <w:r w:rsidRPr="00A46EDA">
              <w:rPr>
                <w:rFonts w:ascii="宋体" w:hAnsi="宋体" w:hint="eastAsia"/>
              </w:rPr>
              <w:t>在严格控制风险的基础上，通过定期开放的形式保持适度流动性，力求取得超越基金业绩比较基准的收益。</w:t>
            </w:r>
          </w:p>
        </w:tc>
      </w:tr>
      <w:tr w:rsidR="004C5AAA" w:rsidRPr="00A46EDA" w:rsidTr="004C5AAA">
        <w:tc>
          <w:tcPr>
            <w:tcW w:w="4261" w:type="dxa"/>
            <w:tcBorders>
              <w:top w:val="single" w:sz="4" w:space="0" w:color="auto"/>
              <w:left w:val="single" w:sz="4" w:space="0" w:color="auto"/>
              <w:bottom w:val="single" w:sz="4" w:space="0" w:color="auto"/>
              <w:right w:val="single" w:sz="4" w:space="0" w:color="auto"/>
            </w:tcBorders>
            <w:hideMark/>
          </w:tcPr>
          <w:p w:rsidR="004C5AAA" w:rsidRPr="00A46EDA" w:rsidRDefault="004C5AAA" w:rsidP="004C5AAA">
            <w:pPr>
              <w:rPr>
                <w:rFonts w:ascii="宋体" w:hAnsi="宋体"/>
                <w:sz w:val="24"/>
              </w:rPr>
            </w:pPr>
            <w:r w:rsidRPr="00A46EDA">
              <w:rPr>
                <w:rFonts w:ascii="宋体" w:hAnsi="宋体" w:hint="eastAsia"/>
                <w:sz w:val="24"/>
              </w:rPr>
              <w:t>投资策略</w:t>
            </w:r>
          </w:p>
        </w:tc>
        <w:tc>
          <w:tcPr>
            <w:tcW w:w="4261" w:type="dxa"/>
            <w:tcBorders>
              <w:top w:val="single" w:sz="4" w:space="0" w:color="auto"/>
              <w:left w:val="single" w:sz="4" w:space="0" w:color="auto"/>
              <w:bottom w:val="single" w:sz="4" w:space="0" w:color="auto"/>
              <w:right w:val="single" w:sz="4" w:space="0" w:color="auto"/>
            </w:tcBorders>
          </w:tcPr>
          <w:p w:rsidR="004C5AAA" w:rsidRPr="00A46EDA" w:rsidRDefault="001D44B7">
            <w:pPr>
              <w:rPr>
                <w:rFonts w:ascii="宋体" w:hAnsi="宋体"/>
                <w:sz w:val="24"/>
              </w:rPr>
            </w:pPr>
            <w:r w:rsidRPr="00A46EDA">
              <w:rPr>
                <w:rFonts w:ascii="宋体" w:hAnsi="宋体" w:hint="eastAsia"/>
              </w:rPr>
              <w:t>1、资产配置策略 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在股票、债券和货币等资产间进行大类资产的灵活配置。 2、股票投资策略 本基金通过自上而下及自下而上相结合的方法挖掘优质的上市公司，严选其中安全边际较高的个股构建投资组合：自上而下地分析行业的增长前景、行业结构、商业模式、竞争要素等分析把握其投资机会；自下而上地评判企业的产品、核心竞争力、管理层、治理结构等；并结合企业基本面和估值水平进行综合的研判，严选安全边际较高的个股，力争实现组合的绝对收益。 （1）自上而下的行</w:t>
            </w:r>
            <w:r w:rsidRPr="00A46EDA">
              <w:rPr>
                <w:rFonts w:ascii="宋体" w:hAnsi="宋体" w:hint="eastAsia"/>
              </w:rPr>
              <w:lastRenderedPageBreak/>
              <w:t>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严选安全边际较高的个股，力争实现组合的绝对收益。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安全边际较高的个券，力争实现组合的绝对收益。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 （8）资产支持证券的投资策略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4C5AAA" w:rsidRPr="00A46EDA" w:rsidTr="004C5AAA">
        <w:tc>
          <w:tcPr>
            <w:tcW w:w="4261" w:type="dxa"/>
            <w:tcBorders>
              <w:top w:val="single" w:sz="4" w:space="0" w:color="auto"/>
              <w:left w:val="single" w:sz="4" w:space="0" w:color="auto"/>
              <w:bottom w:val="single" w:sz="4" w:space="0" w:color="auto"/>
              <w:right w:val="single" w:sz="4" w:space="0" w:color="auto"/>
            </w:tcBorders>
            <w:hideMark/>
          </w:tcPr>
          <w:p w:rsidR="004C5AAA" w:rsidRPr="00A46EDA" w:rsidRDefault="004C5AAA" w:rsidP="004C5AAA">
            <w:pPr>
              <w:rPr>
                <w:rFonts w:ascii="宋体" w:hAnsi="宋体"/>
                <w:sz w:val="24"/>
              </w:rPr>
            </w:pPr>
            <w:r w:rsidRPr="00A46EDA">
              <w:rPr>
                <w:rFonts w:ascii="宋体" w:hAnsi="宋体" w:hint="eastAsia"/>
                <w:sz w:val="24"/>
              </w:rPr>
              <w:lastRenderedPageBreak/>
              <w:t>业绩比较基准（若有）</w:t>
            </w:r>
          </w:p>
        </w:tc>
        <w:tc>
          <w:tcPr>
            <w:tcW w:w="4261" w:type="dxa"/>
            <w:tcBorders>
              <w:top w:val="single" w:sz="4" w:space="0" w:color="auto"/>
              <w:left w:val="single" w:sz="4" w:space="0" w:color="auto"/>
              <w:bottom w:val="single" w:sz="4" w:space="0" w:color="auto"/>
              <w:right w:val="single" w:sz="4" w:space="0" w:color="auto"/>
            </w:tcBorders>
          </w:tcPr>
          <w:p w:rsidR="004C5AAA" w:rsidRPr="00A46EDA" w:rsidRDefault="001D44B7">
            <w:pPr>
              <w:rPr>
                <w:rFonts w:ascii="宋体" w:hAnsi="宋体"/>
                <w:sz w:val="24"/>
              </w:rPr>
            </w:pPr>
            <w:r w:rsidRPr="00A46EDA">
              <w:rPr>
                <w:rFonts w:ascii="宋体" w:hAnsi="宋体" w:hint="eastAsia"/>
              </w:rPr>
              <w:t>沪深300指数收益率×50%+中证全债指数收益率×50%</w:t>
            </w:r>
          </w:p>
        </w:tc>
      </w:tr>
      <w:tr w:rsidR="004C5AAA" w:rsidRPr="00A46EDA" w:rsidTr="004C5AAA">
        <w:tc>
          <w:tcPr>
            <w:tcW w:w="4261" w:type="dxa"/>
            <w:tcBorders>
              <w:top w:val="single" w:sz="4" w:space="0" w:color="auto"/>
              <w:left w:val="single" w:sz="4" w:space="0" w:color="auto"/>
              <w:bottom w:val="single" w:sz="4" w:space="0" w:color="auto"/>
              <w:right w:val="single" w:sz="4" w:space="0" w:color="auto"/>
            </w:tcBorders>
            <w:hideMark/>
          </w:tcPr>
          <w:p w:rsidR="004C5AAA" w:rsidRPr="00A46EDA" w:rsidRDefault="004C5AAA">
            <w:pPr>
              <w:rPr>
                <w:rFonts w:ascii="宋体" w:hAnsi="宋体"/>
                <w:sz w:val="24"/>
              </w:rPr>
            </w:pPr>
            <w:r w:rsidRPr="00A46EDA">
              <w:rPr>
                <w:rFonts w:ascii="宋体" w:hAnsi="宋体" w:hint="eastAsia"/>
                <w:sz w:val="24"/>
              </w:rPr>
              <w:t>风险收益特征（若有）</w:t>
            </w:r>
          </w:p>
        </w:tc>
        <w:tc>
          <w:tcPr>
            <w:tcW w:w="4261" w:type="dxa"/>
            <w:tcBorders>
              <w:top w:val="single" w:sz="4" w:space="0" w:color="auto"/>
              <w:left w:val="single" w:sz="4" w:space="0" w:color="auto"/>
              <w:bottom w:val="single" w:sz="4" w:space="0" w:color="auto"/>
              <w:right w:val="single" w:sz="4" w:space="0" w:color="auto"/>
            </w:tcBorders>
          </w:tcPr>
          <w:p w:rsidR="004C5AAA" w:rsidRPr="00A46EDA" w:rsidRDefault="001D44B7">
            <w:pPr>
              <w:rPr>
                <w:rFonts w:ascii="宋体" w:hAnsi="宋体"/>
                <w:sz w:val="24"/>
              </w:rPr>
            </w:pPr>
            <w:r w:rsidRPr="00A46EDA">
              <w:rPr>
                <w:rFonts w:ascii="宋体" w:hAnsi="宋体" w:hint="eastAsia"/>
              </w:rPr>
              <w:t>本基金属于混合型基金，其预期的风险和收益高于货币市场基金、债券基金，低于股票型基金，属于证券投资基金中中高风险、中高预期收益的品种。</w:t>
            </w:r>
          </w:p>
        </w:tc>
      </w:tr>
    </w:tbl>
    <w:p w:rsidR="004C5AAA" w:rsidRPr="00A46EDA" w:rsidRDefault="004C5AAA" w:rsidP="00E45AEB">
      <w:pPr>
        <w:widowControl/>
        <w:spacing w:line="360" w:lineRule="auto"/>
        <w:ind w:firstLineChars="250" w:firstLine="600"/>
        <w:jc w:val="left"/>
        <w:rPr>
          <w:sz w:val="24"/>
          <w:szCs w:val="24"/>
        </w:rPr>
      </w:pPr>
    </w:p>
    <w:p w:rsidR="00BB0571" w:rsidRPr="00A46EDA" w:rsidRDefault="00BB0571" w:rsidP="00E45AEB">
      <w:pPr>
        <w:spacing w:line="360" w:lineRule="auto"/>
        <w:ind w:firstLineChars="200" w:firstLine="420"/>
        <w:rPr>
          <w:rFonts w:ascii="宋体" w:hAnsi="宋体"/>
          <w:szCs w:val="24"/>
        </w:rPr>
      </w:pPr>
      <w:bookmarkStart w:id="8" w:name="_Toc405886236"/>
      <w:bookmarkStart w:id="9" w:name="_Toc405886237"/>
      <w:bookmarkStart w:id="10" w:name="_Toc405886238"/>
      <w:bookmarkStart w:id="11" w:name="_Toc405886244"/>
      <w:bookmarkStart w:id="12" w:name="_Toc405886310"/>
      <w:bookmarkStart w:id="13" w:name="_Toc405886311"/>
      <w:bookmarkStart w:id="14" w:name="_Toc405886312"/>
      <w:bookmarkStart w:id="15" w:name="_Toc405886313"/>
      <w:bookmarkStart w:id="16" w:name="_Toc405886322"/>
      <w:bookmarkStart w:id="17" w:name="_Toc405886323"/>
      <w:bookmarkStart w:id="18" w:name="_Toc405886332"/>
      <w:bookmarkStart w:id="19" w:name="_Toc405886333"/>
      <w:bookmarkStart w:id="20" w:name="_Toc405886334"/>
      <w:bookmarkStart w:id="21" w:name="_Toc405886335"/>
      <w:bookmarkStart w:id="22" w:name="_Toc405886336"/>
      <w:bookmarkStart w:id="23" w:name="_Toc405886337"/>
      <w:bookmarkStart w:id="24" w:name="_Toc405886338"/>
      <w:bookmarkStart w:id="25" w:name="_Toc405886339"/>
      <w:bookmarkStart w:id="26" w:name="_Toc405886340"/>
      <w:bookmarkStart w:id="27" w:name="_Toc405886341"/>
      <w:bookmarkStart w:id="28" w:name="_Toc405886342"/>
      <w:bookmarkStart w:id="29" w:name="_Toc405886343"/>
      <w:bookmarkStart w:id="30" w:name="_Toc405886344"/>
      <w:bookmarkStart w:id="31" w:name="_Toc405886345"/>
      <w:bookmarkStart w:id="32" w:name="_Toc405886359"/>
      <w:bookmarkStart w:id="33" w:name="_Toc405886373"/>
      <w:bookmarkStart w:id="34" w:name="_Toc405886374"/>
      <w:bookmarkStart w:id="35" w:name="_Toc405886375"/>
      <w:bookmarkStart w:id="36" w:name="_Toc405886376"/>
      <w:bookmarkStart w:id="37" w:name="_Toc405886377"/>
      <w:bookmarkStart w:id="38" w:name="_Toc405886378"/>
      <w:bookmarkStart w:id="39" w:name="_Toc405886385"/>
      <w:bookmarkStart w:id="40" w:name="_Toc405886392"/>
      <w:bookmarkStart w:id="41" w:name="_Toc405886393"/>
      <w:bookmarkStart w:id="42" w:name="_Toc405886394"/>
      <w:bookmarkStart w:id="43" w:name="_Toc405886395"/>
      <w:bookmarkStart w:id="44" w:name="_Toc405886396"/>
      <w:bookmarkStart w:id="45" w:name="_Toc405886397"/>
      <w:bookmarkStart w:id="46" w:name="_Toc405886398"/>
      <w:bookmarkStart w:id="47" w:name="_Toc405886399"/>
      <w:bookmarkStart w:id="48" w:name="_Toc405886400"/>
      <w:bookmarkStart w:id="49" w:name="_Toc405886401"/>
      <w:bookmarkStart w:id="50" w:name="_Toc405886402"/>
      <w:bookmarkStart w:id="51" w:name="_Toc405886403"/>
      <w:bookmarkStart w:id="52" w:name="_Toc405886404"/>
      <w:bookmarkStart w:id="53" w:name="_Toc405886405"/>
      <w:bookmarkStart w:id="54" w:name="_Toc405886406"/>
      <w:bookmarkStart w:id="55" w:name="_Toc405886407"/>
      <w:bookmarkStart w:id="56" w:name="_Toc405886408"/>
      <w:bookmarkStart w:id="57" w:name="_Toc405886409"/>
      <w:bookmarkStart w:id="58" w:name="_Toc405886410"/>
      <w:bookmarkStart w:id="59" w:name="_Toc405886411"/>
      <w:bookmarkStart w:id="60" w:name="_Toc405886412"/>
      <w:bookmarkStart w:id="61" w:name="_Toc405886413"/>
      <w:bookmarkStart w:id="62" w:name="_Toc405886414"/>
      <w:bookmarkStart w:id="63" w:name="_Toc405886415"/>
      <w:bookmarkStart w:id="64" w:name="_Toc405886416"/>
      <w:bookmarkStart w:id="65" w:name="_Toc405886417"/>
      <w:bookmarkStart w:id="66" w:name="_Toc405886418"/>
      <w:bookmarkStart w:id="67" w:name="_Toc405886419"/>
      <w:bookmarkStart w:id="68" w:name="_Toc405886420"/>
      <w:bookmarkStart w:id="69" w:name="_Toc405886421"/>
      <w:bookmarkStart w:id="70" w:name="m06_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41AA1" w:rsidRPr="00A46EDA" w:rsidRDefault="00BB0571" w:rsidP="00E45AEB">
      <w:pPr>
        <w:pStyle w:val="XBRLTitle1"/>
        <w:numPr>
          <w:ilvl w:val="0"/>
          <w:numId w:val="0"/>
        </w:numPr>
        <w:spacing w:before="156" w:after="156"/>
        <w:ind w:left="425" w:hanging="425"/>
        <w:jc w:val="both"/>
      </w:pPr>
      <w:bookmarkStart w:id="71" w:name="_Toc495929378"/>
      <w:bookmarkEnd w:id="70"/>
      <w:r w:rsidRPr="00A46EDA">
        <w:rPr>
          <w:rFonts w:hint="eastAsia"/>
        </w:rPr>
        <w:t>三、</w:t>
      </w:r>
      <w:r w:rsidR="00A41AA1" w:rsidRPr="00A46EDA">
        <w:rPr>
          <w:rFonts w:hint="eastAsia"/>
        </w:rPr>
        <w:t>基金运作</w:t>
      </w:r>
      <w:r w:rsidR="00A41AA1" w:rsidRPr="00A46EDA">
        <w:t>情况</w:t>
      </w:r>
    </w:p>
    <w:p w:rsidR="00A41AA1" w:rsidRPr="00A46EDA" w:rsidRDefault="00A41AA1" w:rsidP="00A41AA1">
      <w:pPr>
        <w:widowControl/>
        <w:spacing w:line="360" w:lineRule="auto"/>
        <w:jc w:val="left"/>
        <w:rPr>
          <w:sz w:val="24"/>
          <w:szCs w:val="24"/>
        </w:rPr>
      </w:pPr>
      <w:r w:rsidRPr="00A46EDA">
        <w:rPr>
          <w:rFonts w:hint="eastAsia"/>
          <w:sz w:val="24"/>
          <w:szCs w:val="24"/>
        </w:rPr>
        <w:t>1</w:t>
      </w:r>
      <w:r w:rsidRPr="00A46EDA">
        <w:rPr>
          <w:rFonts w:hint="eastAsia"/>
          <w:sz w:val="24"/>
          <w:szCs w:val="24"/>
        </w:rPr>
        <w:t>、基金</w:t>
      </w:r>
      <w:r w:rsidRPr="00A46EDA">
        <w:rPr>
          <w:sz w:val="24"/>
          <w:szCs w:val="24"/>
        </w:rPr>
        <w:t>基本情况</w:t>
      </w:r>
    </w:p>
    <w:p w:rsidR="00122223" w:rsidRPr="00A46EDA" w:rsidRDefault="00122223" w:rsidP="00122223">
      <w:pPr>
        <w:widowControl/>
        <w:spacing w:line="360" w:lineRule="auto"/>
        <w:ind w:firstLineChars="200" w:firstLine="480"/>
        <w:jc w:val="left"/>
        <w:rPr>
          <w:rFonts w:ascii="宋体" w:hAnsi="宋体" w:cs="宋体"/>
          <w:kern w:val="0"/>
          <w:sz w:val="24"/>
          <w:szCs w:val="24"/>
        </w:rPr>
      </w:pPr>
      <w:r w:rsidRPr="00A46EDA">
        <w:rPr>
          <w:rFonts w:ascii="宋体" w:hAnsi="宋体" w:cs="宋体" w:hint="eastAsia"/>
          <w:kern w:val="0"/>
          <w:sz w:val="24"/>
          <w:szCs w:val="24"/>
        </w:rPr>
        <w:t>鹏华兴实定期开放灵活配置混合型证券投资基金(以下简称“本基金”)经中国证券监督管理委员会(以下简称“中国证监会”)证监许可[2016]843号《关于准予鹏华兴实定期开放灵活配置混合型证券投资基金注册的批复》核准，由鹏华基金管理有限公司依照《中华人民共和国证券投资基金法》和《鹏华兴实定期开放灵活配置混合型证券投资基金基金合同》负责公开募集。本基金为契约型，采取在封闭期内封闭运作、封闭期与封闭期之间定期开放的运作方式，存续期限不定。首次设立募集不包括认购资金利息共募集人民币1,314,225,647.01元，业经普华永道中天会计师事务所(特殊普通合伙)普华永道中天验字(2016)第1254号验资报告予以验证。经向中国证监会备案，《鹏华兴实定期开放灵活配置混合型证券投资基金基金合同》于2016年9月27日正式生效，基金合同生效日的基金份额总额1,314,401,404.32份基金份额，其中认购资金利息折合175,757.31份基金份额。本基金的基金管理人为鹏华基金管理有限公司，基金托管人为北京银行股份有限公司。</w:t>
      </w:r>
    </w:p>
    <w:p w:rsidR="00890559" w:rsidRPr="00A46EDA" w:rsidRDefault="00890559" w:rsidP="00BC7619">
      <w:pPr>
        <w:widowControl/>
        <w:spacing w:line="360" w:lineRule="auto"/>
        <w:ind w:firstLineChars="200" w:firstLine="480"/>
        <w:jc w:val="left"/>
        <w:rPr>
          <w:sz w:val="24"/>
          <w:szCs w:val="24"/>
        </w:rPr>
      </w:pPr>
      <w:r w:rsidRPr="00A46EDA">
        <w:rPr>
          <w:rFonts w:hint="eastAsia"/>
          <w:sz w:val="24"/>
          <w:szCs w:val="24"/>
        </w:rPr>
        <w:t>自</w:t>
      </w:r>
      <w:r w:rsidRPr="00A46EDA">
        <w:rPr>
          <w:rFonts w:ascii="宋体" w:hAnsi="宋体" w:cs="宋体" w:hint="eastAsia"/>
          <w:kern w:val="0"/>
          <w:sz w:val="24"/>
          <w:szCs w:val="24"/>
        </w:rPr>
        <w:t>20</w:t>
      </w:r>
      <w:r w:rsidR="00122223" w:rsidRPr="00A46EDA">
        <w:rPr>
          <w:rFonts w:ascii="宋体" w:hAnsi="宋体" w:cs="宋体"/>
          <w:kern w:val="0"/>
          <w:sz w:val="24"/>
          <w:szCs w:val="24"/>
        </w:rPr>
        <w:t>16</w:t>
      </w:r>
      <w:r w:rsidRPr="00A46EDA">
        <w:rPr>
          <w:rFonts w:ascii="宋体" w:hAnsi="宋体" w:cs="宋体" w:hint="eastAsia"/>
          <w:kern w:val="0"/>
          <w:sz w:val="24"/>
          <w:szCs w:val="24"/>
        </w:rPr>
        <w:t>年</w:t>
      </w:r>
      <w:r w:rsidR="00122223" w:rsidRPr="00A46EDA">
        <w:rPr>
          <w:rFonts w:ascii="宋体" w:hAnsi="宋体" w:cs="宋体"/>
          <w:kern w:val="0"/>
          <w:sz w:val="24"/>
          <w:szCs w:val="24"/>
        </w:rPr>
        <w:t>9</w:t>
      </w:r>
      <w:r w:rsidRPr="00A46EDA">
        <w:rPr>
          <w:rFonts w:ascii="宋体" w:hAnsi="宋体" w:cs="宋体" w:hint="eastAsia"/>
          <w:kern w:val="0"/>
          <w:sz w:val="24"/>
          <w:szCs w:val="24"/>
        </w:rPr>
        <w:t>月</w:t>
      </w:r>
      <w:r w:rsidR="00122223" w:rsidRPr="00A46EDA">
        <w:rPr>
          <w:rFonts w:ascii="宋体" w:hAnsi="宋体" w:cs="宋体"/>
          <w:kern w:val="0"/>
          <w:sz w:val="24"/>
          <w:szCs w:val="24"/>
        </w:rPr>
        <w:t>27</w:t>
      </w:r>
      <w:r w:rsidRPr="00A46EDA">
        <w:rPr>
          <w:rFonts w:ascii="宋体" w:hAnsi="宋体" w:cs="宋体" w:hint="eastAsia"/>
          <w:kern w:val="0"/>
          <w:sz w:val="24"/>
          <w:szCs w:val="24"/>
        </w:rPr>
        <w:t>日至20</w:t>
      </w:r>
      <w:r w:rsidR="00122223" w:rsidRPr="00A46EDA">
        <w:rPr>
          <w:rFonts w:ascii="宋体" w:hAnsi="宋体" w:cs="宋体"/>
          <w:kern w:val="0"/>
          <w:sz w:val="24"/>
          <w:szCs w:val="24"/>
        </w:rPr>
        <w:t>18</w:t>
      </w:r>
      <w:r w:rsidRPr="00A46EDA">
        <w:rPr>
          <w:rFonts w:ascii="宋体" w:hAnsi="宋体" w:cs="宋体" w:hint="eastAsia"/>
          <w:kern w:val="0"/>
          <w:sz w:val="24"/>
          <w:szCs w:val="24"/>
        </w:rPr>
        <w:t>年</w:t>
      </w:r>
      <w:r w:rsidR="00122223" w:rsidRPr="00A46EDA">
        <w:rPr>
          <w:rFonts w:ascii="宋体" w:hAnsi="宋体" w:cs="宋体"/>
          <w:kern w:val="0"/>
          <w:sz w:val="24"/>
          <w:szCs w:val="24"/>
        </w:rPr>
        <w:t>6</w:t>
      </w:r>
      <w:r w:rsidRPr="00A46EDA">
        <w:rPr>
          <w:rFonts w:ascii="宋体" w:hAnsi="宋体" w:cs="宋体" w:hint="eastAsia"/>
          <w:kern w:val="0"/>
          <w:sz w:val="24"/>
          <w:szCs w:val="24"/>
        </w:rPr>
        <w:t>月</w:t>
      </w:r>
      <w:r w:rsidR="00122223" w:rsidRPr="00A46EDA">
        <w:rPr>
          <w:rFonts w:ascii="宋体" w:hAnsi="宋体" w:cs="宋体"/>
          <w:kern w:val="0"/>
          <w:sz w:val="24"/>
          <w:szCs w:val="24"/>
        </w:rPr>
        <w:t>7</w:t>
      </w:r>
      <w:r w:rsidRPr="00A46EDA">
        <w:rPr>
          <w:rFonts w:ascii="宋体" w:hAnsi="宋体" w:cs="宋体" w:hint="eastAsia"/>
          <w:kern w:val="0"/>
          <w:sz w:val="24"/>
          <w:szCs w:val="24"/>
        </w:rPr>
        <w:t>日期</w:t>
      </w:r>
      <w:r w:rsidRPr="00A46EDA">
        <w:rPr>
          <w:rFonts w:ascii="宋体" w:hAnsi="宋体" w:cs="宋体"/>
          <w:kern w:val="0"/>
          <w:sz w:val="24"/>
          <w:szCs w:val="24"/>
        </w:rPr>
        <w:t>间</w:t>
      </w:r>
      <w:r w:rsidRPr="00A46EDA">
        <w:rPr>
          <w:rFonts w:ascii="宋体" w:hAnsi="宋体" w:cs="宋体" w:hint="eastAsia"/>
          <w:kern w:val="0"/>
          <w:sz w:val="24"/>
          <w:szCs w:val="24"/>
        </w:rPr>
        <w:t>，本基金</w:t>
      </w:r>
      <w:r w:rsidRPr="00A46EDA">
        <w:rPr>
          <w:rFonts w:ascii="宋体" w:hAnsi="宋体" w:cs="宋体"/>
          <w:kern w:val="0"/>
          <w:sz w:val="24"/>
          <w:szCs w:val="24"/>
        </w:rPr>
        <w:t>按基金</w:t>
      </w:r>
      <w:r w:rsidRPr="00A46EDA">
        <w:rPr>
          <w:rFonts w:ascii="宋体" w:hAnsi="宋体" w:cs="宋体" w:hint="eastAsia"/>
          <w:kern w:val="0"/>
          <w:sz w:val="24"/>
          <w:szCs w:val="24"/>
        </w:rPr>
        <w:t>合</w:t>
      </w:r>
      <w:r w:rsidRPr="00A46EDA">
        <w:rPr>
          <w:rFonts w:ascii="宋体" w:hAnsi="宋体" w:cs="宋体"/>
          <w:kern w:val="0"/>
          <w:sz w:val="24"/>
          <w:szCs w:val="24"/>
        </w:rPr>
        <w:t>同</w:t>
      </w:r>
      <w:r w:rsidRPr="00A46EDA">
        <w:rPr>
          <w:rFonts w:ascii="宋体" w:hAnsi="宋体" w:cs="宋体" w:hint="eastAsia"/>
          <w:kern w:val="0"/>
          <w:sz w:val="24"/>
          <w:szCs w:val="24"/>
        </w:rPr>
        <w:t>约</w:t>
      </w:r>
      <w:r w:rsidRPr="00A46EDA">
        <w:rPr>
          <w:rFonts w:ascii="宋体" w:hAnsi="宋体" w:cs="宋体"/>
          <w:kern w:val="0"/>
          <w:sz w:val="24"/>
          <w:szCs w:val="24"/>
        </w:rPr>
        <w:t>定正常运作</w:t>
      </w:r>
      <w:r w:rsidRPr="00A46EDA">
        <w:rPr>
          <w:rFonts w:ascii="宋体" w:hAnsi="宋体" w:cs="宋体" w:hint="eastAsia"/>
          <w:kern w:val="0"/>
          <w:sz w:val="24"/>
          <w:szCs w:val="24"/>
        </w:rPr>
        <w:t>。</w:t>
      </w:r>
    </w:p>
    <w:p w:rsidR="00A41AA1" w:rsidRPr="00A46EDA" w:rsidRDefault="00A41AA1" w:rsidP="00A41AA1">
      <w:pPr>
        <w:widowControl/>
        <w:spacing w:line="360" w:lineRule="auto"/>
        <w:jc w:val="left"/>
        <w:rPr>
          <w:sz w:val="24"/>
          <w:szCs w:val="24"/>
        </w:rPr>
      </w:pPr>
      <w:r w:rsidRPr="00A46EDA">
        <w:rPr>
          <w:sz w:val="24"/>
          <w:szCs w:val="24"/>
        </w:rPr>
        <w:t>2</w:t>
      </w:r>
      <w:r w:rsidRPr="00A46EDA">
        <w:rPr>
          <w:sz w:val="24"/>
          <w:szCs w:val="24"/>
        </w:rPr>
        <w:t>、</w:t>
      </w:r>
      <w:r w:rsidRPr="00A46EDA">
        <w:rPr>
          <w:rFonts w:hint="eastAsia"/>
          <w:sz w:val="24"/>
          <w:szCs w:val="24"/>
        </w:rPr>
        <w:t>清</w:t>
      </w:r>
      <w:r w:rsidRPr="00A46EDA">
        <w:rPr>
          <w:sz w:val="24"/>
          <w:szCs w:val="24"/>
        </w:rPr>
        <w:t>算原因</w:t>
      </w:r>
    </w:p>
    <w:p w:rsidR="00FB05B2" w:rsidRPr="00A46EDA" w:rsidRDefault="00FB05B2" w:rsidP="00FB05B2">
      <w:pPr>
        <w:spacing w:line="360" w:lineRule="auto"/>
        <w:ind w:firstLineChars="200" w:firstLine="480"/>
        <w:rPr>
          <w:rFonts w:ascii="宋体" w:hAnsi="宋体" w:cs="宋体"/>
          <w:kern w:val="0"/>
          <w:sz w:val="24"/>
          <w:szCs w:val="24"/>
        </w:rPr>
      </w:pPr>
      <w:r w:rsidRPr="00A46EDA">
        <w:rPr>
          <w:rFonts w:ascii="宋体" w:hAnsi="宋体" w:cs="宋体" w:hint="eastAsia"/>
          <w:kern w:val="0"/>
          <w:sz w:val="24"/>
          <w:szCs w:val="24"/>
        </w:rPr>
        <w:t>根据基金管理人鹏华基金公司于</w:t>
      </w:r>
      <w:r w:rsidRPr="00A46EDA">
        <w:rPr>
          <w:rFonts w:ascii="宋体" w:hAnsi="宋体" w:cs="宋体"/>
          <w:kern w:val="0"/>
          <w:sz w:val="24"/>
          <w:szCs w:val="24"/>
        </w:rPr>
        <w:t>2018</w:t>
      </w:r>
      <w:r w:rsidRPr="00A46EDA">
        <w:rPr>
          <w:rFonts w:ascii="宋体" w:hAnsi="宋体" w:cs="宋体" w:hint="eastAsia"/>
          <w:kern w:val="0"/>
          <w:sz w:val="24"/>
          <w:szCs w:val="24"/>
        </w:rPr>
        <w:t>年</w:t>
      </w:r>
      <w:r w:rsidRPr="00A46EDA">
        <w:rPr>
          <w:rFonts w:ascii="宋体" w:hAnsi="宋体" w:cs="宋体"/>
          <w:kern w:val="0"/>
          <w:sz w:val="24"/>
          <w:szCs w:val="24"/>
        </w:rPr>
        <w:t>6</w:t>
      </w:r>
      <w:r w:rsidRPr="00A46EDA">
        <w:rPr>
          <w:rFonts w:ascii="宋体" w:hAnsi="宋体" w:cs="宋体" w:hint="eastAsia"/>
          <w:kern w:val="0"/>
          <w:sz w:val="24"/>
          <w:szCs w:val="24"/>
        </w:rPr>
        <w:t>月</w:t>
      </w:r>
      <w:r w:rsidRPr="00A46EDA">
        <w:rPr>
          <w:rFonts w:ascii="宋体" w:hAnsi="宋体" w:cs="宋体"/>
          <w:kern w:val="0"/>
          <w:sz w:val="24"/>
          <w:szCs w:val="24"/>
        </w:rPr>
        <w:t>8</w:t>
      </w:r>
      <w:r w:rsidRPr="00A46EDA">
        <w:rPr>
          <w:rFonts w:ascii="宋体" w:hAnsi="宋体" w:cs="宋体" w:hint="eastAsia"/>
          <w:kern w:val="0"/>
          <w:sz w:val="24"/>
          <w:szCs w:val="24"/>
        </w:rPr>
        <w:t>日发布的《关于鹏华兴实定期开放灵活配置混合型证券投资基金基金合同终止及基金财产清算的公告》，截至2018年6月7日日终(登记机构完成最后一日申购、赎回业务申请的确认以后)，本基金已触发《鹏华兴实定期开放灵活配置混合型证券投资基金基金合同》约定的基金合同终止条款，本基金自2018年</w:t>
      </w:r>
      <w:r w:rsidRPr="00A46EDA">
        <w:rPr>
          <w:rFonts w:ascii="宋体" w:hAnsi="宋体" w:cs="宋体"/>
          <w:kern w:val="0"/>
          <w:sz w:val="24"/>
          <w:szCs w:val="24"/>
        </w:rPr>
        <w:t>6</w:t>
      </w:r>
      <w:r w:rsidRPr="00A46EDA">
        <w:rPr>
          <w:rFonts w:ascii="宋体" w:hAnsi="宋体" w:cs="宋体" w:hint="eastAsia"/>
          <w:kern w:val="0"/>
          <w:sz w:val="24"/>
          <w:szCs w:val="24"/>
        </w:rPr>
        <w:t>月</w:t>
      </w:r>
      <w:r w:rsidRPr="00A46EDA">
        <w:rPr>
          <w:rFonts w:ascii="宋体" w:hAnsi="宋体" w:cs="宋体"/>
          <w:kern w:val="0"/>
          <w:sz w:val="24"/>
          <w:szCs w:val="24"/>
        </w:rPr>
        <w:t>8</w:t>
      </w:r>
      <w:r w:rsidRPr="00A46EDA">
        <w:rPr>
          <w:rFonts w:ascii="宋体" w:hAnsi="宋体" w:cs="宋体" w:hint="eastAsia"/>
          <w:kern w:val="0"/>
          <w:sz w:val="24"/>
          <w:szCs w:val="24"/>
        </w:rPr>
        <w:t>日起进入基金财产清算程序。</w:t>
      </w:r>
    </w:p>
    <w:p w:rsidR="005F11B7" w:rsidRPr="00A46EDA" w:rsidRDefault="00A41AA1" w:rsidP="00A41AA1">
      <w:pPr>
        <w:widowControl/>
        <w:spacing w:line="360" w:lineRule="auto"/>
        <w:jc w:val="left"/>
        <w:rPr>
          <w:sz w:val="24"/>
          <w:szCs w:val="24"/>
        </w:rPr>
      </w:pPr>
      <w:r w:rsidRPr="00A46EDA">
        <w:rPr>
          <w:rFonts w:hint="eastAsia"/>
          <w:sz w:val="24"/>
          <w:szCs w:val="24"/>
        </w:rPr>
        <w:t>3</w:t>
      </w:r>
      <w:r w:rsidRPr="00A46EDA">
        <w:rPr>
          <w:rFonts w:hint="eastAsia"/>
          <w:sz w:val="24"/>
          <w:szCs w:val="24"/>
        </w:rPr>
        <w:t>、</w:t>
      </w:r>
      <w:r w:rsidR="005F11B7" w:rsidRPr="00A46EDA">
        <w:rPr>
          <w:rFonts w:hint="eastAsia"/>
          <w:sz w:val="24"/>
          <w:szCs w:val="24"/>
        </w:rPr>
        <w:t>清</w:t>
      </w:r>
      <w:r w:rsidR="005F11B7" w:rsidRPr="00A46EDA">
        <w:rPr>
          <w:sz w:val="24"/>
          <w:szCs w:val="24"/>
        </w:rPr>
        <w:t>算</w:t>
      </w:r>
      <w:r w:rsidR="005F11B7" w:rsidRPr="00A46EDA">
        <w:rPr>
          <w:rFonts w:hint="eastAsia"/>
          <w:sz w:val="24"/>
          <w:szCs w:val="24"/>
        </w:rPr>
        <w:t>起</w:t>
      </w:r>
      <w:r w:rsidR="005F11B7" w:rsidRPr="00A46EDA">
        <w:rPr>
          <w:sz w:val="24"/>
          <w:szCs w:val="24"/>
        </w:rPr>
        <w:t>始日</w:t>
      </w:r>
    </w:p>
    <w:p w:rsidR="00AB2642" w:rsidRDefault="005F11B7" w:rsidP="00AB2642">
      <w:pPr>
        <w:spacing w:line="360" w:lineRule="auto"/>
        <w:ind w:firstLineChars="200" w:firstLine="480"/>
        <w:rPr>
          <w:sz w:val="24"/>
          <w:szCs w:val="24"/>
        </w:rPr>
      </w:pPr>
      <w:r w:rsidRPr="00A46EDA">
        <w:rPr>
          <w:rFonts w:ascii="宋体" w:hAnsi="宋体" w:cs="宋体" w:hint="eastAsia"/>
          <w:kern w:val="0"/>
          <w:sz w:val="24"/>
          <w:szCs w:val="24"/>
        </w:rPr>
        <w:t>本</w:t>
      </w:r>
      <w:r w:rsidRPr="00A46EDA">
        <w:rPr>
          <w:rFonts w:ascii="宋体" w:hAnsi="宋体" w:cs="宋体"/>
          <w:kern w:val="0"/>
          <w:sz w:val="24"/>
          <w:szCs w:val="24"/>
        </w:rPr>
        <w:t>基金从</w:t>
      </w:r>
      <w:r w:rsidRPr="00A46EDA">
        <w:rPr>
          <w:rFonts w:ascii="宋体" w:hAnsi="宋体" w:cs="宋体" w:hint="eastAsia"/>
          <w:kern w:val="0"/>
          <w:sz w:val="24"/>
          <w:szCs w:val="24"/>
        </w:rPr>
        <w:t>20</w:t>
      </w:r>
      <w:r w:rsidR="00EC2A67" w:rsidRPr="00A46EDA">
        <w:rPr>
          <w:rFonts w:ascii="宋体" w:hAnsi="宋体" w:cs="宋体"/>
          <w:kern w:val="0"/>
          <w:sz w:val="24"/>
          <w:szCs w:val="24"/>
        </w:rPr>
        <w:t>18</w:t>
      </w:r>
      <w:r w:rsidRPr="00A46EDA">
        <w:rPr>
          <w:rFonts w:ascii="宋体" w:hAnsi="宋体" w:cs="宋体" w:hint="eastAsia"/>
          <w:kern w:val="0"/>
          <w:sz w:val="24"/>
          <w:szCs w:val="24"/>
        </w:rPr>
        <w:t>年</w:t>
      </w:r>
      <w:r w:rsidR="00EC2A67" w:rsidRPr="00A46EDA">
        <w:rPr>
          <w:rFonts w:ascii="宋体" w:hAnsi="宋体" w:cs="宋体"/>
          <w:kern w:val="0"/>
          <w:sz w:val="24"/>
          <w:szCs w:val="24"/>
        </w:rPr>
        <w:t>6</w:t>
      </w:r>
      <w:r w:rsidRPr="00A46EDA">
        <w:rPr>
          <w:rFonts w:ascii="宋体" w:hAnsi="宋体" w:cs="宋体" w:hint="eastAsia"/>
          <w:kern w:val="0"/>
          <w:sz w:val="24"/>
          <w:szCs w:val="24"/>
        </w:rPr>
        <w:t>月</w:t>
      </w:r>
      <w:r w:rsidR="00EC2A67" w:rsidRPr="00A46EDA">
        <w:rPr>
          <w:rFonts w:ascii="宋体" w:hAnsi="宋体" w:cs="宋体"/>
          <w:kern w:val="0"/>
          <w:sz w:val="24"/>
          <w:szCs w:val="24"/>
        </w:rPr>
        <w:t>8</w:t>
      </w:r>
      <w:r w:rsidRPr="00A46EDA">
        <w:rPr>
          <w:rFonts w:ascii="宋体" w:hAnsi="宋体" w:cs="宋体" w:hint="eastAsia"/>
          <w:kern w:val="0"/>
          <w:sz w:val="24"/>
          <w:szCs w:val="24"/>
        </w:rPr>
        <w:t>日</w:t>
      </w:r>
      <w:r w:rsidRPr="00A46EDA">
        <w:rPr>
          <w:rFonts w:ascii="宋体" w:hAnsi="宋体" w:cs="宋体"/>
          <w:kern w:val="0"/>
          <w:sz w:val="24"/>
          <w:szCs w:val="24"/>
        </w:rPr>
        <w:t>起进入</w:t>
      </w:r>
      <w:r w:rsidRPr="00A46EDA">
        <w:rPr>
          <w:rFonts w:ascii="宋体" w:hAnsi="宋体" w:cs="宋体" w:hint="eastAsia"/>
          <w:kern w:val="0"/>
          <w:sz w:val="24"/>
          <w:szCs w:val="24"/>
        </w:rPr>
        <w:t>清</w:t>
      </w:r>
      <w:r w:rsidRPr="00A46EDA">
        <w:rPr>
          <w:rFonts w:ascii="宋体" w:hAnsi="宋体" w:cs="宋体"/>
          <w:kern w:val="0"/>
          <w:sz w:val="24"/>
          <w:szCs w:val="24"/>
        </w:rPr>
        <w:t>算期</w:t>
      </w:r>
      <w:r w:rsidRPr="00A46EDA">
        <w:rPr>
          <w:rFonts w:ascii="宋体" w:hAnsi="宋体" w:cs="宋体" w:hint="eastAsia"/>
          <w:kern w:val="0"/>
          <w:sz w:val="24"/>
          <w:szCs w:val="24"/>
        </w:rPr>
        <w:t>，</w:t>
      </w:r>
      <w:r w:rsidR="00AB2642" w:rsidRPr="00475530">
        <w:rPr>
          <w:rFonts w:hint="eastAsia"/>
          <w:sz w:val="24"/>
          <w:szCs w:val="24"/>
        </w:rPr>
        <w:t>由于本基金持有限售及停牌股票导致部分资产未变现，因此</w:t>
      </w:r>
      <w:r w:rsidR="00AB2642">
        <w:rPr>
          <w:rFonts w:hint="eastAsia"/>
          <w:sz w:val="24"/>
          <w:szCs w:val="24"/>
        </w:rPr>
        <w:t>本基金需要进行多</w:t>
      </w:r>
      <w:r w:rsidR="00AB2642" w:rsidRPr="00475530">
        <w:rPr>
          <w:rFonts w:hint="eastAsia"/>
          <w:sz w:val="24"/>
          <w:szCs w:val="24"/>
        </w:rPr>
        <w:t>次清算。</w:t>
      </w:r>
    </w:p>
    <w:p w:rsidR="00AB2642" w:rsidRPr="00AB2642" w:rsidRDefault="00AB2642" w:rsidP="00AB2642">
      <w:pPr>
        <w:spacing w:line="360" w:lineRule="auto"/>
        <w:ind w:firstLineChars="200" w:firstLine="480"/>
        <w:rPr>
          <w:sz w:val="24"/>
          <w:szCs w:val="24"/>
        </w:rPr>
      </w:pPr>
      <w:r w:rsidRPr="005C2EA8">
        <w:rPr>
          <w:sz w:val="24"/>
          <w:szCs w:val="24"/>
        </w:rPr>
        <w:t>本基金于</w:t>
      </w:r>
      <w:r w:rsidRPr="005C2EA8">
        <w:rPr>
          <w:rFonts w:hint="eastAsia"/>
          <w:sz w:val="24"/>
          <w:szCs w:val="24"/>
        </w:rPr>
        <w:t>2018</w:t>
      </w:r>
      <w:r w:rsidRPr="005C2EA8">
        <w:rPr>
          <w:sz w:val="24"/>
          <w:szCs w:val="24"/>
        </w:rPr>
        <w:t>年</w:t>
      </w:r>
      <w:r>
        <w:rPr>
          <w:sz w:val="24"/>
          <w:szCs w:val="24"/>
        </w:rPr>
        <w:t>6</w:t>
      </w:r>
      <w:r w:rsidRPr="005C2EA8">
        <w:rPr>
          <w:sz w:val="24"/>
          <w:szCs w:val="24"/>
        </w:rPr>
        <w:t>月</w:t>
      </w:r>
      <w:r>
        <w:rPr>
          <w:sz w:val="24"/>
          <w:szCs w:val="24"/>
        </w:rPr>
        <w:t>8</w:t>
      </w:r>
      <w:r w:rsidRPr="005C2EA8">
        <w:rPr>
          <w:sz w:val="24"/>
          <w:szCs w:val="24"/>
        </w:rPr>
        <w:t>日起进入</w:t>
      </w:r>
      <w:r>
        <w:rPr>
          <w:rFonts w:hint="eastAsia"/>
          <w:sz w:val="24"/>
          <w:szCs w:val="24"/>
        </w:rPr>
        <w:t>第一次</w:t>
      </w:r>
      <w:r w:rsidRPr="005C2EA8">
        <w:rPr>
          <w:sz w:val="24"/>
          <w:szCs w:val="24"/>
        </w:rPr>
        <w:t>清算期</w:t>
      </w:r>
      <w:r w:rsidR="00963892">
        <w:rPr>
          <w:rFonts w:hint="eastAsia"/>
          <w:sz w:val="24"/>
          <w:szCs w:val="24"/>
        </w:rPr>
        <w:t>，</w:t>
      </w:r>
      <w:r w:rsidRPr="00A46EDA">
        <w:rPr>
          <w:rFonts w:ascii="宋体" w:hAnsi="宋体" w:cs="宋体" w:hint="eastAsia"/>
          <w:kern w:val="0"/>
          <w:sz w:val="24"/>
          <w:szCs w:val="24"/>
        </w:rPr>
        <w:t>清</w:t>
      </w:r>
      <w:r w:rsidRPr="00A46EDA">
        <w:rPr>
          <w:rFonts w:ascii="宋体" w:hAnsi="宋体" w:cs="宋体"/>
          <w:kern w:val="0"/>
          <w:sz w:val="24"/>
          <w:szCs w:val="24"/>
        </w:rPr>
        <w:t>算期</w:t>
      </w:r>
      <w:r w:rsidRPr="00A46EDA">
        <w:rPr>
          <w:rFonts w:ascii="宋体" w:hAnsi="宋体" w:cs="宋体" w:hint="eastAsia"/>
          <w:kern w:val="0"/>
          <w:sz w:val="24"/>
          <w:szCs w:val="24"/>
        </w:rPr>
        <w:t>间</w:t>
      </w:r>
      <w:r w:rsidRPr="00A46EDA">
        <w:rPr>
          <w:rFonts w:ascii="宋体" w:hAnsi="宋体" w:cs="宋体"/>
          <w:kern w:val="0"/>
          <w:sz w:val="24"/>
          <w:szCs w:val="24"/>
        </w:rPr>
        <w:t>为</w:t>
      </w:r>
      <w:r w:rsidRPr="00A46EDA">
        <w:rPr>
          <w:rFonts w:ascii="宋体" w:hAnsi="宋体" w:cs="宋体" w:hint="eastAsia"/>
          <w:kern w:val="0"/>
          <w:sz w:val="24"/>
          <w:szCs w:val="24"/>
        </w:rPr>
        <w:t>20</w:t>
      </w:r>
      <w:r w:rsidRPr="00A46EDA">
        <w:rPr>
          <w:rFonts w:ascii="宋体" w:hAnsi="宋体" w:cs="宋体"/>
          <w:kern w:val="0"/>
          <w:sz w:val="24"/>
          <w:szCs w:val="24"/>
        </w:rPr>
        <w:t>18</w:t>
      </w:r>
      <w:r w:rsidRPr="00A46EDA">
        <w:rPr>
          <w:rFonts w:ascii="宋体" w:hAnsi="宋体" w:cs="宋体" w:hint="eastAsia"/>
          <w:kern w:val="0"/>
          <w:sz w:val="24"/>
          <w:szCs w:val="24"/>
        </w:rPr>
        <w:t>年</w:t>
      </w:r>
      <w:r w:rsidRPr="00A46EDA">
        <w:rPr>
          <w:rFonts w:ascii="宋体" w:hAnsi="宋体" w:cs="宋体"/>
          <w:kern w:val="0"/>
          <w:sz w:val="24"/>
          <w:szCs w:val="24"/>
        </w:rPr>
        <w:t>6</w:t>
      </w:r>
      <w:r w:rsidRPr="00A46EDA">
        <w:rPr>
          <w:rFonts w:ascii="宋体" w:hAnsi="宋体" w:cs="宋体" w:hint="eastAsia"/>
          <w:kern w:val="0"/>
          <w:sz w:val="24"/>
          <w:szCs w:val="24"/>
        </w:rPr>
        <w:t>月</w:t>
      </w:r>
      <w:r w:rsidRPr="00A46EDA">
        <w:rPr>
          <w:rFonts w:ascii="宋体" w:hAnsi="宋体" w:cs="宋体"/>
          <w:kern w:val="0"/>
          <w:sz w:val="24"/>
          <w:szCs w:val="24"/>
        </w:rPr>
        <w:t>8</w:t>
      </w:r>
      <w:r w:rsidRPr="00A46EDA">
        <w:rPr>
          <w:rFonts w:ascii="宋体" w:hAnsi="宋体" w:cs="宋体" w:hint="eastAsia"/>
          <w:kern w:val="0"/>
          <w:sz w:val="24"/>
          <w:szCs w:val="24"/>
        </w:rPr>
        <w:t>日至20</w:t>
      </w:r>
      <w:r w:rsidRPr="00A46EDA">
        <w:rPr>
          <w:rFonts w:ascii="宋体" w:hAnsi="宋体" w:cs="宋体"/>
          <w:kern w:val="0"/>
          <w:sz w:val="24"/>
          <w:szCs w:val="24"/>
        </w:rPr>
        <w:t>18</w:t>
      </w:r>
      <w:r w:rsidRPr="00A46EDA">
        <w:rPr>
          <w:rFonts w:ascii="宋体" w:hAnsi="宋体" w:cs="宋体" w:hint="eastAsia"/>
          <w:kern w:val="0"/>
          <w:sz w:val="24"/>
          <w:szCs w:val="24"/>
        </w:rPr>
        <w:t>年</w:t>
      </w:r>
      <w:r w:rsidRPr="00A46EDA">
        <w:rPr>
          <w:rFonts w:ascii="宋体" w:hAnsi="宋体" w:cs="宋体"/>
          <w:kern w:val="0"/>
          <w:sz w:val="24"/>
          <w:szCs w:val="24"/>
        </w:rPr>
        <w:t>7</w:t>
      </w:r>
      <w:r w:rsidRPr="00A46EDA">
        <w:rPr>
          <w:rFonts w:ascii="宋体" w:hAnsi="宋体" w:cs="宋体" w:hint="eastAsia"/>
          <w:kern w:val="0"/>
          <w:sz w:val="24"/>
          <w:szCs w:val="24"/>
        </w:rPr>
        <w:t>月</w:t>
      </w:r>
      <w:r w:rsidRPr="00A46EDA">
        <w:rPr>
          <w:rFonts w:ascii="宋体" w:hAnsi="宋体" w:cs="宋体"/>
          <w:kern w:val="0"/>
          <w:sz w:val="24"/>
          <w:szCs w:val="24"/>
        </w:rPr>
        <w:t>11</w:t>
      </w:r>
      <w:r w:rsidRPr="00A46EDA">
        <w:rPr>
          <w:rFonts w:ascii="宋体" w:hAnsi="宋体" w:cs="宋体" w:hint="eastAsia"/>
          <w:kern w:val="0"/>
          <w:sz w:val="24"/>
          <w:szCs w:val="24"/>
        </w:rPr>
        <w:t>日。</w:t>
      </w:r>
    </w:p>
    <w:p w:rsidR="00AB2642" w:rsidRPr="005C2EA8" w:rsidRDefault="00AB2642" w:rsidP="00AB2642">
      <w:pPr>
        <w:overflowPunct w:val="0"/>
        <w:adjustRightInd w:val="0"/>
        <w:snapToGrid w:val="0"/>
        <w:spacing w:before="156" w:after="156" w:line="276" w:lineRule="auto"/>
        <w:ind w:right="-1" w:firstLineChars="200" w:firstLine="480"/>
        <w:rPr>
          <w:rFonts w:ascii="宋体" w:hAnsi="宋体"/>
          <w:sz w:val="24"/>
          <w:szCs w:val="24"/>
        </w:rPr>
      </w:pPr>
      <w:r>
        <w:rPr>
          <w:rFonts w:ascii="宋体" w:hAnsi="宋体" w:hint="eastAsia"/>
          <w:sz w:val="24"/>
          <w:szCs w:val="24"/>
        </w:rPr>
        <w:t>本次</w:t>
      </w:r>
      <w:r>
        <w:rPr>
          <w:rFonts w:ascii="宋体" w:hAnsi="宋体"/>
          <w:sz w:val="24"/>
          <w:szCs w:val="24"/>
        </w:rPr>
        <w:t>清算为</w:t>
      </w:r>
      <w:r>
        <w:rPr>
          <w:rFonts w:ascii="宋体" w:hAnsi="宋体" w:hint="eastAsia"/>
          <w:sz w:val="24"/>
          <w:szCs w:val="24"/>
        </w:rPr>
        <w:t>第</w:t>
      </w:r>
      <w:r>
        <w:rPr>
          <w:rFonts w:ascii="宋体" w:hAnsi="宋体"/>
          <w:sz w:val="24"/>
          <w:szCs w:val="24"/>
        </w:rPr>
        <w:t>二次清算</w:t>
      </w:r>
      <w:r>
        <w:rPr>
          <w:rFonts w:ascii="宋体" w:hAnsi="宋体" w:hint="eastAsia"/>
          <w:sz w:val="24"/>
          <w:szCs w:val="24"/>
        </w:rPr>
        <w:t>，</w:t>
      </w:r>
      <w:r>
        <w:rPr>
          <w:rFonts w:ascii="宋体" w:hAnsi="宋体"/>
          <w:sz w:val="24"/>
          <w:szCs w:val="24"/>
        </w:rPr>
        <w:t>清算期间为</w:t>
      </w:r>
      <w:r>
        <w:rPr>
          <w:rFonts w:ascii="宋体" w:hAnsi="宋体" w:hint="eastAsia"/>
          <w:sz w:val="24"/>
          <w:szCs w:val="24"/>
        </w:rPr>
        <w:t>2018年</w:t>
      </w:r>
      <w:r>
        <w:rPr>
          <w:rFonts w:ascii="宋体" w:hAnsi="宋体"/>
          <w:sz w:val="24"/>
          <w:szCs w:val="24"/>
        </w:rPr>
        <w:t>7</w:t>
      </w:r>
      <w:r>
        <w:rPr>
          <w:rFonts w:ascii="宋体" w:hAnsi="宋体" w:hint="eastAsia"/>
          <w:sz w:val="24"/>
          <w:szCs w:val="24"/>
        </w:rPr>
        <w:t>月</w:t>
      </w:r>
      <w:r>
        <w:rPr>
          <w:rFonts w:ascii="宋体" w:hAnsi="宋体"/>
          <w:sz w:val="24"/>
          <w:szCs w:val="24"/>
        </w:rPr>
        <w:t>12</w:t>
      </w:r>
      <w:r>
        <w:rPr>
          <w:rFonts w:ascii="宋体" w:hAnsi="宋体" w:hint="eastAsia"/>
          <w:sz w:val="24"/>
          <w:szCs w:val="24"/>
        </w:rPr>
        <w:t>日</w:t>
      </w:r>
      <w:r>
        <w:rPr>
          <w:rFonts w:ascii="宋体" w:hAnsi="宋体"/>
          <w:sz w:val="24"/>
          <w:szCs w:val="24"/>
        </w:rPr>
        <w:t>至</w:t>
      </w:r>
      <w:r>
        <w:rPr>
          <w:rFonts w:ascii="宋体" w:hAnsi="宋体" w:hint="eastAsia"/>
          <w:sz w:val="24"/>
          <w:szCs w:val="24"/>
        </w:rPr>
        <w:t>2018年</w:t>
      </w:r>
      <w:r>
        <w:rPr>
          <w:rFonts w:ascii="宋体" w:hAnsi="宋体"/>
          <w:sz w:val="24"/>
          <w:szCs w:val="24"/>
        </w:rPr>
        <w:t>11</w:t>
      </w:r>
      <w:r>
        <w:rPr>
          <w:rFonts w:ascii="宋体" w:hAnsi="宋体" w:hint="eastAsia"/>
          <w:sz w:val="24"/>
          <w:szCs w:val="24"/>
        </w:rPr>
        <w:t>月</w:t>
      </w:r>
      <w:r>
        <w:rPr>
          <w:rFonts w:ascii="宋体" w:hAnsi="宋体"/>
          <w:sz w:val="24"/>
          <w:szCs w:val="24"/>
        </w:rPr>
        <w:t>5</w:t>
      </w:r>
      <w:r>
        <w:rPr>
          <w:rFonts w:ascii="宋体" w:hAnsi="宋体" w:hint="eastAsia"/>
          <w:sz w:val="24"/>
          <w:szCs w:val="24"/>
        </w:rPr>
        <w:t>日</w:t>
      </w:r>
      <w:r>
        <w:rPr>
          <w:rFonts w:ascii="宋体" w:hAnsi="宋体"/>
          <w:sz w:val="24"/>
          <w:szCs w:val="24"/>
        </w:rPr>
        <w:t>。</w:t>
      </w:r>
    </w:p>
    <w:p w:rsidR="005F11B7" w:rsidRPr="00AB2642" w:rsidRDefault="005F11B7" w:rsidP="00287B65">
      <w:pPr>
        <w:widowControl/>
        <w:spacing w:line="360" w:lineRule="auto"/>
        <w:ind w:firstLineChars="200" w:firstLine="480"/>
        <w:jc w:val="left"/>
        <w:rPr>
          <w:sz w:val="24"/>
          <w:szCs w:val="24"/>
        </w:rPr>
      </w:pPr>
    </w:p>
    <w:p w:rsidR="00A41AA1" w:rsidRPr="00A46EDA" w:rsidRDefault="005F11B7" w:rsidP="00A41AA1">
      <w:pPr>
        <w:widowControl/>
        <w:spacing w:line="360" w:lineRule="auto"/>
        <w:jc w:val="left"/>
        <w:rPr>
          <w:sz w:val="24"/>
          <w:szCs w:val="24"/>
        </w:rPr>
      </w:pPr>
      <w:r w:rsidRPr="00A46EDA">
        <w:rPr>
          <w:rFonts w:hint="eastAsia"/>
          <w:sz w:val="24"/>
          <w:szCs w:val="24"/>
        </w:rPr>
        <w:t>4</w:t>
      </w:r>
      <w:r w:rsidRPr="00A46EDA">
        <w:rPr>
          <w:rFonts w:hint="eastAsia"/>
          <w:sz w:val="24"/>
          <w:szCs w:val="24"/>
        </w:rPr>
        <w:t>、</w:t>
      </w:r>
      <w:r w:rsidR="00A41AA1" w:rsidRPr="00A46EDA">
        <w:rPr>
          <w:rFonts w:hint="eastAsia"/>
          <w:sz w:val="24"/>
          <w:szCs w:val="24"/>
        </w:rPr>
        <w:t>清</w:t>
      </w:r>
      <w:r w:rsidR="00A41AA1" w:rsidRPr="00A46EDA">
        <w:rPr>
          <w:sz w:val="24"/>
          <w:szCs w:val="24"/>
        </w:rPr>
        <w:t>算报</w:t>
      </w:r>
      <w:r w:rsidR="00A41AA1" w:rsidRPr="00A46EDA">
        <w:rPr>
          <w:rFonts w:hint="eastAsia"/>
          <w:sz w:val="24"/>
          <w:szCs w:val="24"/>
        </w:rPr>
        <w:t>表</w:t>
      </w:r>
      <w:r w:rsidR="00A41AA1" w:rsidRPr="00A46EDA">
        <w:rPr>
          <w:sz w:val="24"/>
          <w:szCs w:val="24"/>
        </w:rPr>
        <w:t>编制基础</w:t>
      </w:r>
    </w:p>
    <w:p w:rsidR="00A41AA1" w:rsidRDefault="00777F02" w:rsidP="00561B61">
      <w:pPr>
        <w:widowControl/>
        <w:spacing w:line="360" w:lineRule="auto"/>
        <w:ind w:firstLineChars="200" w:firstLine="480"/>
        <w:jc w:val="left"/>
        <w:rPr>
          <w:sz w:val="24"/>
          <w:szCs w:val="24"/>
        </w:rPr>
      </w:pPr>
      <w:r w:rsidRPr="00A46EDA">
        <w:rPr>
          <w:rFonts w:hint="eastAsia"/>
          <w:sz w:val="24"/>
          <w:szCs w:val="24"/>
        </w:rPr>
        <w:t>本</w:t>
      </w:r>
      <w:r w:rsidRPr="00A46EDA">
        <w:rPr>
          <w:sz w:val="24"/>
          <w:szCs w:val="24"/>
        </w:rPr>
        <w:t>基金的清算报表是在非持续经营的前提下参考</w:t>
      </w:r>
      <w:r w:rsidRPr="00A46EDA">
        <w:rPr>
          <w:rFonts w:hint="eastAsia"/>
          <w:sz w:val="24"/>
          <w:szCs w:val="24"/>
        </w:rPr>
        <w:t>《企业</w:t>
      </w:r>
      <w:r w:rsidRPr="00A46EDA">
        <w:rPr>
          <w:sz w:val="24"/>
          <w:szCs w:val="24"/>
        </w:rPr>
        <w:t>会计准则</w:t>
      </w:r>
      <w:r w:rsidRPr="00A46EDA">
        <w:rPr>
          <w:rFonts w:hint="eastAsia"/>
          <w:sz w:val="24"/>
          <w:szCs w:val="24"/>
        </w:rPr>
        <w:t>》及</w:t>
      </w:r>
      <w:r w:rsidRPr="00A46EDA">
        <w:rPr>
          <w:sz w:val="24"/>
          <w:szCs w:val="24"/>
        </w:rPr>
        <w:t>证券投资基金会计核算业务指引</w:t>
      </w:r>
      <w:r w:rsidRPr="00A46EDA">
        <w:rPr>
          <w:rFonts w:hint="eastAsia"/>
          <w:sz w:val="24"/>
          <w:szCs w:val="24"/>
        </w:rPr>
        <w:t>》的</w:t>
      </w:r>
      <w:r w:rsidRPr="00A46EDA">
        <w:rPr>
          <w:sz w:val="24"/>
          <w:szCs w:val="24"/>
        </w:rPr>
        <w:t>有关规定编制的</w:t>
      </w:r>
      <w:r w:rsidRPr="00A46EDA">
        <w:rPr>
          <w:rFonts w:hint="eastAsia"/>
          <w:sz w:val="24"/>
          <w:szCs w:val="24"/>
        </w:rPr>
        <w:t>。自</w:t>
      </w:r>
      <w:r w:rsidRPr="00A46EDA">
        <w:rPr>
          <w:sz w:val="24"/>
          <w:szCs w:val="24"/>
        </w:rPr>
        <w:t>本基金最后</w:t>
      </w:r>
      <w:r w:rsidRPr="00A46EDA">
        <w:rPr>
          <w:rFonts w:hint="eastAsia"/>
          <w:sz w:val="24"/>
          <w:szCs w:val="24"/>
        </w:rPr>
        <w:t>运作</w:t>
      </w:r>
      <w:r w:rsidRPr="00A46EDA">
        <w:rPr>
          <w:sz w:val="24"/>
          <w:szCs w:val="24"/>
        </w:rPr>
        <w:t>日起</w:t>
      </w:r>
      <w:r w:rsidRPr="00A46EDA">
        <w:rPr>
          <w:rFonts w:hint="eastAsia"/>
          <w:sz w:val="24"/>
          <w:szCs w:val="24"/>
        </w:rPr>
        <w:t>，资产</w:t>
      </w:r>
      <w:r w:rsidRPr="00A46EDA">
        <w:rPr>
          <w:sz w:val="24"/>
          <w:szCs w:val="24"/>
        </w:rPr>
        <w:t>负债按清算价格计价</w:t>
      </w:r>
      <w:r w:rsidRPr="00A46EDA">
        <w:rPr>
          <w:rFonts w:hint="eastAsia"/>
          <w:sz w:val="24"/>
          <w:szCs w:val="24"/>
        </w:rPr>
        <w:t>，由于报告</w:t>
      </w:r>
      <w:r w:rsidRPr="00A46EDA">
        <w:rPr>
          <w:sz w:val="24"/>
          <w:szCs w:val="24"/>
        </w:rPr>
        <w:t>性质所</w:t>
      </w:r>
      <w:r w:rsidRPr="00A46EDA">
        <w:rPr>
          <w:rFonts w:hint="eastAsia"/>
          <w:sz w:val="24"/>
          <w:szCs w:val="24"/>
        </w:rPr>
        <w:t>致，本</w:t>
      </w:r>
      <w:r w:rsidRPr="00A46EDA">
        <w:rPr>
          <w:sz w:val="24"/>
          <w:szCs w:val="24"/>
        </w:rPr>
        <w:t>清算报</w:t>
      </w:r>
      <w:r w:rsidRPr="00A46EDA">
        <w:rPr>
          <w:rFonts w:hint="eastAsia"/>
          <w:sz w:val="24"/>
          <w:szCs w:val="24"/>
        </w:rPr>
        <w:t>表</w:t>
      </w:r>
      <w:r w:rsidRPr="00A46EDA">
        <w:rPr>
          <w:sz w:val="24"/>
          <w:szCs w:val="24"/>
        </w:rPr>
        <w:t>并无比较期间的相关数据列示</w:t>
      </w:r>
      <w:r w:rsidRPr="00A46EDA">
        <w:rPr>
          <w:rFonts w:hint="eastAsia"/>
          <w:sz w:val="24"/>
          <w:szCs w:val="24"/>
        </w:rPr>
        <w:t>。</w:t>
      </w:r>
    </w:p>
    <w:p w:rsidR="00561B61" w:rsidRPr="00561B61" w:rsidRDefault="00561B61" w:rsidP="00561B61">
      <w:pPr>
        <w:widowControl/>
        <w:spacing w:line="360" w:lineRule="auto"/>
        <w:ind w:firstLineChars="200" w:firstLine="480"/>
        <w:jc w:val="left"/>
        <w:rPr>
          <w:sz w:val="24"/>
          <w:szCs w:val="24"/>
        </w:rPr>
      </w:pPr>
    </w:p>
    <w:p w:rsidR="00E45AEB" w:rsidRPr="00A46EDA" w:rsidRDefault="00A41AA1" w:rsidP="00E45AEB">
      <w:pPr>
        <w:pStyle w:val="XBRLTitle1"/>
        <w:numPr>
          <w:ilvl w:val="0"/>
          <w:numId w:val="0"/>
        </w:numPr>
        <w:spacing w:before="156" w:after="156"/>
        <w:ind w:left="425" w:hanging="425"/>
        <w:jc w:val="both"/>
      </w:pPr>
      <w:r w:rsidRPr="00A46EDA">
        <w:rPr>
          <w:rFonts w:hint="eastAsia"/>
        </w:rPr>
        <w:t>四、</w:t>
      </w:r>
      <w:r w:rsidR="00BB0571" w:rsidRPr="00A46EDA">
        <w:rPr>
          <w:rFonts w:hint="eastAsia"/>
        </w:rPr>
        <w:t>财务会计报告</w:t>
      </w:r>
      <w:bookmarkEnd w:id="71"/>
    </w:p>
    <w:p w:rsidR="00E45AEB" w:rsidRPr="00A46EDA" w:rsidRDefault="00E45AEB" w:rsidP="00E45AEB">
      <w:pPr>
        <w:spacing w:line="360" w:lineRule="auto"/>
        <w:rPr>
          <w:rFonts w:ascii="宋体" w:hAnsi="宋体"/>
          <w:sz w:val="24"/>
          <w:szCs w:val="24"/>
        </w:rPr>
      </w:pPr>
      <w:bookmarkStart w:id="72" w:name="m07_01_tab"/>
      <w:bookmarkStart w:id="73" w:name="m07_01"/>
      <w:r w:rsidRPr="00A46EDA">
        <w:rPr>
          <w:rFonts w:ascii="宋体" w:hAnsi="宋体" w:hint="eastAsia"/>
          <w:sz w:val="24"/>
          <w:szCs w:val="24"/>
        </w:rPr>
        <w:t>资产负债表（</w:t>
      </w:r>
      <w:r w:rsidR="00561B61">
        <w:rPr>
          <w:rFonts w:ascii="宋体" w:hAnsi="宋体" w:hint="eastAsia"/>
          <w:sz w:val="24"/>
          <w:szCs w:val="24"/>
        </w:rPr>
        <w:t>未</w:t>
      </w:r>
      <w:r w:rsidRPr="00A46EDA">
        <w:rPr>
          <w:rFonts w:ascii="宋体" w:hAnsi="宋体" w:hint="eastAsia"/>
          <w:sz w:val="24"/>
          <w:szCs w:val="24"/>
        </w:rPr>
        <w:t>经审计）</w:t>
      </w:r>
    </w:p>
    <w:p w:rsidR="00E45AEB" w:rsidRPr="00A46EDA" w:rsidRDefault="00E45AEB" w:rsidP="00E45AEB">
      <w:pPr>
        <w:spacing w:line="360" w:lineRule="auto"/>
        <w:rPr>
          <w:rFonts w:ascii="宋体" w:hAnsi="宋体"/>
          <w:sz w:val="24"/>
          <w:szCs w:val="24"/>
        </w:rPr>
      </w:pPr>
      <w:r w:rsidRPr="00A46EDA">
        <w:rPr>
          <w:rFonts w:ascii="宋体" w:hAnsi="宋体" w:hint="eastAsia"/>
          <w:sz w:val="24"/>
          <w:szCs w:val="24"/>
        </w:rPr>
        <w:t>会计主体：</w:t>
      </w:r>
      <w:r w:rsidR="005E7505" w:rsidRPr="00A46EDA">
        <w:rPr>
          <w:rFonts w:ascii="宋体" w:hAnsi="宋体" w:hint="eastAsia"/>
          <w:sz w:val="24"/>
          <w:szCs w:val="24"/>
        </w:rPr>
        <w:t>鹏华兴实定期开放灵活配置混合型证券投资基金</w:t>
      </w:r>
    </w:p>
    <w:bookmarkEnd w:id="72"/>
    <w:p w:rsidR="00E45AEB" w:rsidRPr="00A46EDA" w:rsidRDefault="00E45AEB" w:rsidP="00E45AEB">
      <w:pPr>
        <w:spacing w:line="360" w:lineRule="auto"/>
        <w:ind w:rightChars="2" w:right="4"/>
        <w:jc w:val="right"/>
        <w:rPr>
          <w:rFonts w:ascii="宋体" w:hAnsi="宋体" w:cs="Arial"/>
          <w:sz w:val="24"/>
          <w:szCs w:val="24"/>
        </w:rPr>
      </w:pPr>
      <w:r w:rsidRPr="00A46EDA">
        <w:rPr>
          <w:rFonts w:ascii="宋体" w:hAnsi="宋体" w:cs="Arial"/>
          <w:sz w:val="24"/>
          <w:szCs w:val="24"/>
        </w:rPr>
        <w:t>单位：人民币元</w:t>
      </w:r>
    </w:p>
    <w:tbl>
      <w:tblPr>
        <w:tblW w:w="5000" w:type="pct"/>
        <w:tblLook w:val="04A0"/>
      </w:tblPr>
      <w:tblGrid>
        <w:gridCol w:w="3000"/>
        <w:gridCol w:w="3030"/>
        <w:gridCol w:w="3030"/>
      </w:tblGrid>
      <w:tr w:rsidR="00561B61" w:rsidRPr="00561B61" w:rsidTr="00561B61">
        <w:trPr>
          <w:trHeight w:val="285"/>
        </w:trPr>
        <w:tc>
          <w:tcPr>
            <w:tcW w:w="1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b/>
                <w:bCs/>
                <w:color w:val="000000"/>
                <w:kern w:val="0"/>
                <w:sz w:val="24"/>
                <w:szCs w:val="24"/>
              </w:rPr>
            </w:pPr>
            <w:bookmarkStart w:id="74" w:name="_Toc495929379"/>
            <w:bookmarkEnd w:id="73"/>
            <w:r w:rsidRPr="00561B61">
              <w:rPr>
                <w:rFonts w:ascii="宋体" w:hAnsi="宋体" w:cs="宋体" w:hint="eastAsia"/>
                <w:b/>
                <w:bCs/>
                <w:color w:val="000000"/>
                <w:kern w:val="0"/>
                <w:sz w:val="24"/>
                <w:szCs w:val="24"/>
              </w:rPr>
              <w:t xml:space="preserve">　</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b/>
                <w:bCs/>
                <w:color w:val="000000"/>
                <w:kern w:val="0"/>
                <w:sz w:val="24"/>
                <w:szCs w:val="24"/>
              </w:rPr>
            </w:pPr>
            <w:r w:rsidRPr="00561B61">
              <w:rPr>
                <w:rFonts w:ascii="宋体" w:hAnsi="宋体" w:cs="宋体" w:hint="eastAsia"/>
                <w:b/>
                <w:bCs/>
                <w:color w:val="000000"/>
                <w:kern w:val="0"/>
                <w:sz w:val="24"/>
                <w:szCs w:val="24"/>
              </w:rPr>
              <w:t>一次清算结束日</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b/>
                <w:bCs/>
                <w:color w:val="000000"/>
                <w:kern w:val="0"/>
                <w:sz w:val="24"/>
                <w:szCs w:val="24"/>
              </w:rPr>
            </w:pPr>
            <w:r w:rsidRPr="00561B61">
              <w:rPr>
                <w:rFonts w:ascii="宋体" w:hAnsi="宋体" w:cs="宋体" w:hint="eastAsia"/>
                <w:b/>
                <w:bCs/>
                <w:color w:val="000000"/>
                <w:kern w:val="0"/>
                <w:sz w:val="24"/>
                <w:szCs w:val="24"/>
              </w:rPr>
              <w:t>二次清算结束日</w:t>
            </w:r>
          </w:p>
        </w:tc>
      </w:tr>
      <w:tr w:rsidR="00561B61" w:rsidRPr="00561B61" w:rsidTr="00561B61">
        <w:trPr>
          <w:trHeight w:val="285"/>
        </w:trPr>
        <w:tc>
          <w:tcPr>
            <w:tcW w:w="1656" w:type="pct"/>
            <w:vMerge/>
            <w:tcBorders>
              <w:top w:val="single" w:sz="4" w:space="0" w:color="auto"/>
              <w:left w:val="single" w:sz="4" w:space="0" w:color="auto"/>
              <w:bottom w:val="single" w:sz="4" w:space="0" w:color="auto"/>
              <w:right w:val="single" w:sz="4" w:space="0" w:color="auto"/>
            </w:tcBorders>
            <w:vAlign w:val="center"/>
            <w:hideMark/>
          </w:tcPr>
          <w:p w:rsidR="00561B61" w:rsidRPr="00561B61" w:rsidRDefault="00561B61" w:rsidP="00561B61">
            <w:pPr>
              <w:widowControl/>
              <w:jc w:val="left"/>
              <w:rPr>
                <w:rFonts w:ascii="宋体" w:hAnsi="宋体" w:cs="宋体"/>
                <w:b/>
                <w:bCs/>
                <w:color w:val="000000"/>
                <w:kern w:val="0"/>
                <w:sz w:val="24"/>
                <w:szCs w:val="24"/>
              </w:rPr>
            </w:pP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b/>
                <w:bCs/>
                <w:color w:val="000000"/>
                <w:kern w:val="0"/>
                <w:sz w:val="24"/>
                <w:szCs w:val="24"/>
              </w:rPr>
            </w:pPr>
            <w:r w:rsidRPr="00561B61">
              <w:rPr>
                <w:rFonts w:ascii="宋体" w:hAnsi="宋体" w:cs="宋体" w:hint="eastAsia"/>
                <w:b/>
                <w:bCs/>
                <w:color w:val="000000"/>
                <w:kern w:val="0"/>
                <w:sz w:val="24"/>
                <w:szCs w:val="24"/>
              </w:rPr>
              <w:t>2018年7月11日</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b/>
                <w:bCs/>
                <w:color w:val="000000"/>
                <w:kern w:val="0"/>
                <w:sz w:val="24"/>
                <w:szCs w:val="24"/>
              </w:rPr>
            </w:pPr>
            <w:r w:rsidRPr="00561B61">
              <w:rPr>
                <w:rFonts w:ascii="宋体" w:hAnsi="宋体" w:cs="宋体" w:hint="eastAsia"/>
                <w:b/>
                <w:bCs/>
                <w:color w:val="000000"/>
                <w:kern w:val="0"/>
                <w:sz w:val="24"/>
                <w:szCs w:val="24"/>
              </w:rPr>
              <w:t>2018年11月5日</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b/>
                <w:bCs/>
                <w:color w:val="000000"/>
                <w:kern w:val="0"/>
                <w:sz w:val="24"/>
                <w:szCs w:val="24"/>
              </w:rPr>
            </w:pPr>
            <w:r w:rsidRPr="00561B61">
              <w:rPr>
                <w:rFonts w:ascii="宋体" w:hAnsi="宋体" w:cs="宋体" w:hint="eastAsia"/>
                <w:b/>
                <w:bCs/>
                <w:color w:val="000000"/>
                <w:kern w:val="0"/>
                <w:sz w:val="24"/>
                <w:szCs w:val="24"/>
              </w:rPr>
              <w:t>资 产：</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4"/>
                <w:szCs w:val="24"/>
              </w:rPr>
            </w:pPr>
            <w:r w:rsidRPr="00561B61">
              <w:rPr>
                <w:rFonts w:ascii="宋体" w:hAnsi="宋体" w:cs="宋体" w:hint="eastAsia"/>
                <w:color w:val="000000"/>
                <w:kern w:val="0"/>
                <w:sz w:val="24"/>
                <w:szCs w:val="24"/>
              </w:rPr>
              <w:t xml:space="preserve">　</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4"/>
                <w:szCs w:val="24"/>
              </w:rPr>
            </w:pPr>
            <w:r w:rsidRPr="00561B61">
              <w:rPr>
                <w:rFonts w:ascii="宋体" w:hAnsi="宋体" w:cs="宋体" w:hint="eastAsia"/>
                <w:color w:val="000000"/>
                <w:kern w:val="0"/>
                <w:sz w:val="24"/>
                <w:szCs w:val="24"/>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银行存款</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6,011,229.18</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1,924,281.47</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结算备付金</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200,000.00</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存出保证金</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342,902.34</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232,860.67</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交易性金融资产</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1,922,311.24</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其中：股票投资</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1,922,311.24</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应收证券清算款</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应收利息</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5,741.73</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2,013.57</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其他资产</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资产总计</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8,482,184.49</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2,159,155.71</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b/>
                <w:bCs/>
                <w:color w:val="000000"/>
                <w:kern w:val="0"/>
                <w:sz w:val="24"/>
                <w:szCs w:val="24"/>
              </w:rPr>
            </w:pPr>
            <w:r w:rsidRPr="00561B61">
              <w:rPr>
                <w:rFonts w:ascii="宋体" w:hAnsi="宋体" w:cs="宋体" w:hint="eastAsia"/>
                <w:b/>
                <w:bCs/>
                <w:color w:val="000000"/>
                <w:kern w:val="0"/>
                <w:sz w:val="24"/>
                <w:szCs w:val="24"/>
              </w:rPr>
              <w:t>负 债：</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应付赎回款</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应付管理人报酬</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应付托管费</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应付交易费用</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86.33</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其他负债</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30,000.00</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负债合计</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30,086.33</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0.00</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b/>
                <w:bCs/>
                <w:color w:val="000000"/>
                <w:kern w:val="0"/>
                <w:sz w:val="24"/>
                <w:szCs w:val="24"/>
              </w:rPr>
            </w:pPr>
            <w:r w:rsidRPr="00561B61">
              <w:rPr>
                <w:rFonts w:ascii="宋体" w:hAnsi="宋体" w:cs="宋体" w:hint="eastAsia"/>
                <w:b/>
                <w:bCs/>
                <w:color w:val="000000"/>
                <w:kern w:val="0"/>
                <w:sz w:val="24"/>
                <w:szCs w:val="24"/>
              </w:rPr>
              <w:t>所有者权益：</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 xml:space="preserve">　</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实收基金</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7,346,483.73</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2,147,751.59</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未分配利润</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1,105,614.43</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11,404.12</w:t>
            </w:r>
          </w:p>
        </w:tc>
      </w:tr>
      <w:tr w:rsidR="00561B61" w:rsidRPr="00561B61" w:rsidTr="00561B61">
        <w:trPr>
          <w:trHeight w:val="285"/>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所有者权益合计</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8,452,098.16</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2,159,155.71</w:t>
            </w:r>
          </w:p>
        </w:tc>
      </w:tr>
      <w:tr w:rsidR="00561B61" w:rsidRPr="00561B61" w:rsidTr="00561B61">
        <w:trPr>
          <w:trHeight w:val="570"/>
        </w:trPr>
        <w:tc>
          <w:tcPr>
            <w:tcW w:w="1656" w:type="pct"/>
            <w:tcBorders>
              <w:top w:val="nil"/>
              <w:left w:val="single" w:sz="4" w:space="0" w:color="auto"/>
              <w:bottom w:val="single" w:sz="4" w:space="0" w:color="auto"/>
              <w:right w:val="single" w:sz="4" w:space="0" w:color="auto"/>
            </w:tcBorders>
            <w:shd w:val="clear" w:color="auto" w:fill="auto"/>
            <w:vAlign w:val="center"/>
            <w:hideMark/>
          </w:tcPr>
          <w:p w:rsidR="00561B61" w:rsidRPr="00561B61" w:rsidRDefault="00561B61" w:rsidP="00561B61">
            <w:pPr>
              <w:widowControl/>
              <w:jc w:val="left"/>
              <w:rPr>
                <w:rFonts w:ascii="宋体" w:hAnsi="宋体" w:cs="宋体"/>
                <w:color w:val="000000"/>
                <w:kern w:val="0"/>
                <w:sz w:val="24"/>
                <w:szCs w:val="24"/>
              </w:rPr>
            </w:pPr>
            <w:r w:rsidRPr="00561B61">
              <w:rPr>
                <w:rFonts w:ascii="宋体" w:hAnsi="宋体" w:cs="宋体" w:hint="eastAsia"/>
                <w:color w:val="000000"/>
                <w:kern w:val="0"/>
                <w:sz w:val="24"/>
                <w:szCs w:val="24"/>
              </w:rPr>
              <w:t>负债和所有者权益总计</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8,482,184.49</w:t>
            </w:r>
          </w:p>
        </w:tc>
        <w:tc>
          <w:tcPr>
            <w:tcW w:w="1672" w:type="pct"/>
            <w:tcBorders>
              <w:top w:val="nil"/>
              <w:left w:val="nil"/>
              <w:bottom w:val="single" w:sz="4" w:space="0" w:color="auto"/>
              <w:right w:val="single" w:sz="4" w:space="0" w:color="auto"/>
            </w:tcBorders>
            <w:shd w:val="clear" w:color="auto" w:fill="auto"/>
            <w:vAlign w:val="center"/>
            <w:hideMark/>
          </w:tcPr>
          <w:p w:rsidR="00561B61" w:rsidRPr="00561B61" w:rsidRDefault="00561B61" w:rsidP="00561B61">
            <w:pPr>
              <w:widowControl/>
              <w:jc w:val="right"/>
              <w:rPr>
                <w:rFonts w:ascii="宋体" w:hAnsi="宋体" w:cs="宋体"/>
                <w:color w:val="000000"/>
                <w:kern w:val="0"/>
                <w:sz w:val="22"/>
                <w:szCs w:val="22"/>
              </w:rPr>
            </w:pPr>
            <w:r w:rsidRPr="00561B61">
              <w:rPr>
                <w:rFonts w:ascii="宋体" w:hAnsi="宋体" w:cs="宋体" w:hint="eastAsia"/>
                <w:color w:val="000000"/>
                <w:kern w:val="0"/>
                <w:sz w:val="22"/>
                <w:szCs w:val="22"/>
              </w:rPr>
              <w:t>2,159,155.71</w:t>
            </w:r>
          </w:p>
        </w:tc>
      </w:tr>
    </w:tbl>
    <w:p w:rsidR="00A41AA1" w:rsidRPr="00A46EDA" w:rsidRDefault="00A41AA1" w:rsidP="00A41AA1">
      <w:pPr>
        <w:spacing w:line="360" w:lineRule="auto"/>
        <w:rPr>
          <w:sz w:val="24"/>
          <w:szCs w:val="24"/>
        </w:rPr>
      </w:pPr>
    </w:p>
    <w:p w:rsidR="00E45AEB" w:rsidRPr="00A46EDA" w:rsidRDefault="00E45AEB" w:rsidP="00E45AEB">
      <w:pPr>
        <w:pStyle w:val="XBRLTitle1"/>
        <w:numPr>
          <w:ilvl w:val="0"/>
          <w:numId w:val="0"/>
        </w:numPr>
        <w:spacing w:before="156" w:after="156" w:line="360" w:lineRule="auto"/>
        <w:ind w:left="425" w:hanging="425"/>
        <w:jc w:val="both"/>
        <w:rPr>
          <w:rFonts w:ascii="宋体" w:hAnsi="宋体"/>
        </w:rPr>
      </w:pPr>
      <w:bookmarkStart w:id="75" w:name="_Toc405886432"/>
      <w:bookmarkStart w:id="76" w:name="_Toc405886433"/>
      <w:bookmarkStart w:id="77" w:name="_Toc405886434"/>
      <w:bookmarkStart w:id="78" w:name="_Toc405886435"/>
      <w:bookmarkStart w:id="79" w:name="_Toc405886436"/>
      <w:bookmarkStart w:id="80" w:name="_Toc405886437"/>
      <w:bookmarkStart w:id="81" w:name="_Toc405886438"/>
      <w:bookmarkStart w:id="82" w:name="_Toc405886439"/>
      <w:bookmarkStart w:id="83" w:name="_Toc405886440"/>
      <w:bookmarkStart w:id="84" w:name="_Toc405886441"/>
      <w:bookmarkStart w:id="85" w:name="_Toc405886442"/>
      <w:bookmarkStart w:id="86" w:name="_Toc405886443"/>
      <w:bookmarkStart w:id="87" w:name="_Toc405886444"/>
      <w:bookmarkStart w:id="88" w:name="_Toc405886445"/>
      <w:bookmarkStart w:id="89" w:name="_Toc405886446"/>
      <w:bookmarkStart w:id="90" w:name="_Toc405886447"/>
      <w:bookmarkStart w:id="91" w:name="_Toc405886448"/>
      <w:bookmarkStart w:id="92" w:name="_Toc405886449"/>
      <w:bookmarkStart w:id="93" w:name="_Toc405886450"/>
      <w:bookmarkStart w:id="94" w:name="_Toc405886451"/>
      <w:bookmarkStart w:id="95" w:name="_Toc405886452"/>
      <w:bookmarkStart w:id="96" w:name="_Toc405886453"/>
      <w:bookmarkStart w:id="97" w:name="_Toc405886454"/>
      <w:bookmarkStart w:id="98" w:name="_Toc405886455"/>
      <w:bookmarkStart w:id="99" w:name="_Toc405886456"/>
      <w:bookmarkStart w:id="100" w:name="_Toc405886457"/>
      <w:bookmarkStart w:id="101" w:name="_Toc405886458"/>
      <w:bookmarkStart w:id="102" w:name="_Toc405886459"/>
      <w:bookmarkStart w:id="103" w:name="_Toc405886460"/>
      <w:bookmarkStart w:id="104" w:name="_Toc405886461"/>
      <w:bookmarkStart w:id="105" w:name="_Toc405886462"/>
      <w:bookmarkStart w:id="106" w:name="_Toc405886463"/>
      <w:bookmarkStart w:id="107" w:name="_Toc405886464"/>
      <w:bookmarkStart w:id="108" w:name="_Toc405886465"/>
      <w:bookmarkStart w:id="109" w:name="_Toc405886466"/>
      <w:bookmarkStart w:id="110" w:name="_Toc405886467"/>
      <w:bookmarkStart w:id="111" w:name="_Toc405886468"/>
      <w:bookmarkStart w:id="112" w:name="_Toc405886469"/>
      <w:bookmarkStart w:id="113" w:name="_Toc405886470"/>
      <w:bookmarkStart w:id="114" w:name="_Toc405886471"/>
      <w:bookmarkStart w:id="115" w:name="_Toc405886472"/>
      <w:bookmarkStart w:id="116" w:name="_Toc405886473"/>
      <w:bookmarkStart w:id="117" w:name="_Toc405886474"/>
      <w:bookmarkStart w:id="118" w:name="_Toc405886475"/>
      <w:bookmarkStart w:id="119" w:name="_Toc405886476"/>
      <w:bookmarkStart w:id="120" w:name="_Toc405886477"/>
      <w:bookmarkStart w:id="121" w:name="_Toc405886478"/>
      <w:bookmarkStart w:id="122" w:name="_Toc405886479"/>
      <w:bookmarkStart w:id="123" w:name="_Toc405886480"/>
      <w:bookmarkStart w:id="124" w:name="_Toc405886481"/>
      <w:bookmarkStart w:id="125" w:name="_Toc405886482"/>
      <w:bookmarkStart w:id="126" w:name="_Toc405886483"/>
      <w:bookmarkStart w:id="127" w:name="_Toc405886484"/>
      <w:bookmarkStart w:id="128" w:name="_Toc405886485"/>
      <w:bookmarkStart w:id="129" w:name="_Toc405886486"/>
      <w:bookmarkStart w:id="130" w:name="_Toc405886487"/>
      <w:bookmarkStart w:id="131" w:name="_Toc405886488"/>
      <w:bookmarkStart w:id="132" w:name="_Toc405886489"/>
      <w:bookmarkStart w:id="133" w:name="_Toc405886490"/>
      <w:bookmarkStart w:id="134" w:name="_Toc405886491"/>
      <w:bookmarkStart w:id="135" w:name="_Toc405886492"/>
      <w:bookmarkStart w:id="136" w:name="_Toc405886493"/>
      <w:bookmarkStart w:id="137" w:name="_Toc405886494"/>
      <w:bookmarkStart w:id="138" w:name="_Toc405886495"/>
      <w:bookmarkStart w:id="139" w:name="_Toc405886496"/>
      <w:bookmarkStart w:id="140" w:name="_Toc405886497"/>
      <w:bookmarkStart w:id="141" w:name="_Toc405886498"/>
      <w:bookmarkStart w:id="142" w:name="_Toc405886499"/>
      <w:bookmarkStart w:id="143" w:name="_Toc405886500"/>
      <w:bookmarkStart w:id="144" w:name="_Toc405886501"/>
      <w:bookmarkStart w:id="145" w:name="_Toc405886502"/>
      <w:bookmarkStart w:id="146" w:name="_Toc405886503"/>
      <w:bookmarkStart w:id="147" w:name="_Toc405886504"/>
      <w:bookmarkStart w:id="148" w:name="_Toc405886505"/>
      <w:bookmarkStart w:id="149" w:name="_Toc405886506"/>
      <w:bookmarkStart w:id="150" w:name="_Toc405886507"/>
      <w:bookmarkStart w:id="151" w:name="_Toc405886508"/>
      <w:bookmarkStart w:id="152" w:name="_Toc405886509"/>
      <w:bookmarkStart w:id="153" w:name="_Toc405886510"/>
      <w:bookmarkStart w:id="154" w:name="_Toc405886511"/>
      <w:bookmarkStart w:id="155" w:name="_Toc405886512"/>
      <w:bookmarkStart w:id="156" w:name="_Toc405886513"/>
      <w:bookmarkStart w:id="157" w:name="_Toc405886514"/>
      <w:bookmarkStart w:id="158" w:name="_Toc405886515"/>
      <w:bookmarkStart w:id="159" w:name="_Toc405886516"/>
      <w:bookmarkStart w:id="160" w:name="_Toc405886517"/>
      <w:bookmarkStart w:id="161" w:name="_Toc405886518"/>
      <w:bookmarkStart w:id="162" w:name="_Toc405886519"/>
      <w:bookmarkStart w:id="163" w:name="_Toc405886520"/>
      <w:bookmarkStart w:id="164" w:name="_Toc405886521"/>
      <w:bookmarkStart w:id="165" w:name="_Toc405886522"/>
      <w:bookmarkStart w:id="166" w:name="_Toc405886523"/>
      <w:bookmarkStart w:id="167" w:name="_Toc405886524"/>
      <w:bookmarkStart w:id="168" w:name="_Toc405886525"/>
      <w:bookmarkStart w:id="169" w:name="_Toc405886526"/>
      <w:bookmarkStart w:id="170" w:name="_Toc405886527"/>
      <w:bookmarkStart w:id="171" w:name="_Toc405886528"/>
      <w:bookmarkStart w:id="172" w:name="_Toc405886529"/>
      <w:bookmarkStart w:id="173" w:name="_Toc405886530"/>
      <w:bookmarkStart w:id="174" w:name="_Toc405886531"/>
      <w:bookmarkStart w:id="175" w:name="_Toc4959293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A46EDA">
        <w:rPr>
          <w:rFonts w:ascii="宋体" w:hAnsi="宋体" w:hint="eastAsia"/>
        </w:rPr>
        <w:t>五、清算情况</w:t>
      </w:r>
      <w:bookmarkEnd w:id="175"/>
    </w:p>
    <w:p w:rsidR="00E45AEB" w:rsidRPr="00A46EDA" w:rsidRDefault="00E45AEB" w:rsidP="00E45AEB">
      <w:pPr>
        <w:spacing w:line="360" w:lineRule="auto"/>
        <w:ind w:firstLineChars="200" w:firstLine="480"/>
        <w:rPr>
          <w:sz w:val="24"/>
          <w:szCs w:val="24"/>
        </w:rPr>
      </w:pPr>
      <w:bookmarkStart w:id="176" w:name="m07_04_08_01"/>
      <w:r w:rsidRPr="00A46EDA">
        <w:rPr>
          <w:rFonts w:hint="eastAsia"/>
          <w:sz w:val="24"/>
          <w:szCs w:val="24"/>
        </w:rPr>
        <w:t>在清算</w:t>
      </w:r>
      <w:r w:rsidR="005F11B7" w:rsidRPr="00A46EDA">
        <w:rPr>
          <w:rFonts w:hint="eastAsia"/>
          <w:sz w:val="24"/>
          <w:szCs w:val="24"/>
        </w:rPr>
        <w:t>期间</w:t>
      </w:r>
      <w:r w:rsidRPr="00A46EDA">
        <w:rPr>
          <w:rFonts w:hint="eastAsia"/>
          <w:sz w:val="24"/>
          <w:szCs w:val="24"/>
        </w:rPr>
        <w:t>，基金财产清算小组对本基金的资产、负债进行清算，全部清算工作按清算原则和清算手续进行。具体清算情况如下：</w:t>
      </w:r>
    </w:p>
    <w:p w:rsidR="00E45AEB" w:rsidRPr="00A46EDA" w:rsidRDefault="00E45AEB" w:rsidP="00E45AEB">
      <w:pPr>
        <w:pStyle w:val="XBRLTitle2"/>
        <w:numPr>
          <w:ilvl w:val="0"/>
          <w:numId w:val="0"/>
        </w:numPr>
        <w:spacing w:before="156" w:after="156"/>
        <w:ind w:left="454" w:hanging="454"/>
      </w:pPr>
      <w:bookmarkStart w:id="177" w:name="_Toc495929384"/>
      <w:r w:rsidRPr="00A46EDA">
        <w:rPr>
          <w:rFonts w:hint="eastAsia"/>
        </w:rPr>
        <w:t>1</w:t>
      </w:r>
      <w:r w:rsidRPr="00A46EDA">
        <w:rPr>
          <w:rFonts w:hint="eastAsia"/>
        </w:rPr>
        <w:t>、</w:t>
      </w:r>
      <w:r w:rsidRPr="00A46EDA">
        <w:t>清算费用</w:t>
      </w:r>
      <w:bookmarkEnd w:id="177"/>
    </w:p>
    <w:p w:rsidR="00E45AEB" w:rsidRPr="00A46EDA" w:rsidRDefault="00E45AEB" w:rsidP="0003284F">
      <w:pPr>
        <w:spacing w:line="360" w:lineRule="auto"/>
        <w:ind w:firstLineChars="200" w:firstLine="480"/>
        <w:rPr>
          <w:sz w:val="24"/>
          <w:szCs w:val="24"/>
        </w:rPr>
      </w:pPr>
      <w:r w:rsidRPr="00A46EDA">
        <w:rPr>
          <w:sz w:val="24"/>
          <w:szCs w:val="24"/>
        </w:rPr>
        <w:t>按照</w:t>
      </w:r>
      <w:r w:rsidR="0081201C" w:rsidRPr="00A46EDA">
        <w:rPr>
          <w:sz w:val="24"/>
          <w:szCs w:val="24"/>
        </w:rPr>
        <w:t>《基金合同》</w:t>
      </w:r>
      <w:r w:rsidRPr="00A46EDA">
        <w:rPr>
          <w:sz w:val="24"/>
          <w:szCs w:val="24"/>
        </w:rPr>
        <w:t>第</w:t>
      </w:r>
      <w:r w:rsidR="00814FBD" w:rsidRPr="00A46EDA">
        <w:rPr>
          <w:rFonts w:hint="eastAsia"/>
          <w:sz w:val="24"/>
          <w:szCs w:val="24"/>
        </w:rPr>
        <w:t>二十</w:t>
      </w:r>
      <w:r w:rsidRPr="00A46EDA">
        <w:rPr>
          <w:sz w:val="24"/>
          <w:szCs w:val="24"/>
        </w:rPr>
        <w:t>部分</w:t>
      </w:r>
      <w:r w:rsidRPr="00A46EDA">
        <w:rPr>
          <w:sz w:val="24"/>
          <w:szCs w:val="24"/>
        </w:rPr>
        <w:t>“</w:t>
      </w:r>
      <w:r w:rsidRPr="00A46EDA">
        <w:rPr>
          <w:sz w:val="24"/>
          <w:szCs w:val="24"/>
        </w:rPr>
        <w:t>基金合同的变更、终止与基金财产的清算</w:t>
      </w:r>
      <w:r w:rsidRPr="00A46EDA">
        <w:rPr>
          <w:sz w:val="24"/>
          <w:szCs w:val="24"/>
        </w:rPr>
        <w:t>”</w:t>
      </w:r>
      <w:r w:rsidRPr="00A46EDA">
        <w:rPr>
          <w:sz w:val="24"/>
          <w:szCs w:val="24"/>
        </w:rPr>
        <w:t>的规定，清算费用是指基金财产清算小组在进行基金清算过程中发生的所有合理费用，清算费用由基金财产清算小组优先从基金财产中支付。</w:t>
      </w:r>
    </w:p>
    <w:p w:rsidR="00E45AEB" w:rsidRPr="00A46EDA" w:rsidRDefault="00302412" w:rsidP="00E45AEB">
      <w:pPr>
        <w:pStyle w:val="XBRLTitle2"/>
        <w:numPr>
          <w:ilvl w:val="0"/>
          <w:numId w:val="0"/>
        </w:numPr>
        <w:spacing w:before="156" w:after="156"/>
        <w:ind w:left="454" w:hanging="454"/>
        <w:rPr>
          <w:color w:val="000000" w:themeColor="text1"/>
        </w:rPr>
      </w:pPr>
      <w:bookmarkStart w:id="178" w:name="_Toc495929387"/>
      <w:r>
        <w:rPr>
          <w:rFonts w:hint="eastAsia"/>
          <w:color w:val="000000" w:themeColor="text1"/>
          <w:szCs w:val="24"/>
        </w:rPr>
        <w:t>2</w:t>
      </w:r>
      <w:r w:rsidR="00E45AEB" w:rsidRPr="00A46EDA">
        <w:rPr>
          <w:rFonts w:hint="eastAsia"/>
          <w:color w:val="000000" w:themeColor="text1"/>
          <w:szCs w:val="24"/>
        </w:rPr>
        <w:t>、</w:t>
      </w:r>
      <w:bookmarkEnd w:id="178"/>
      <w:r w:rsidR="00921A3B" w:rsidRPr="00A46EDA">
        <w:rPr>
          <w:rFonts w:hint="eastAsia"/>
          <w:color w:val="000000" w:themeColor="text1"/>
        </w:rPr>
        <w:t>清算</w:t>
      </w:r>
      <w:r w:rsidR="00921A3B">
        <w:rPr>
          <w:rFonts w:hint="eastAsia"/>
          <w:color w:val="000000" w:themeColor="text1"/>
        </w:rPr>
        <w:t>期间的</w:t>
      </w:r>
      <w:r w:rsidR="00921A3B" w:rsidRPr="00A46EDA">
        <w:rPr>
          <w:rFonts w:hint="eastAsia"/>
          <w:color w:val="000000" w:themeColor="text1"/>
        </w:rPr>
        <w:t>清算损益情况</w:t>
      </w:r>
    </w:p>
    <w:p w:rsidR="00EC7AE3" w:rsidRPr="00A46EDA" w:rsidRDefault="00EC7AE3" w:rsidP="008C5BB0">
      <w:pPr>
        <w:rPr>
          <w:color w:val="000000" w:themeColor="text1"/>
        </w:rPr>
      </w:pPr>
      <w:bookmarkStart w:id="179" w:name="_Toc495929388"/>
    </w:p>
    <w:tbl>
      <w:tblPr>
        <w:tblW w:w="5000" w:type="pct"/>
        <w:tblLook w:val="04A0"/>
      </w:tblPr>
      <w:tblGrid>
        <w:gridCol w:w="4664"/>
        <w:gridCol w:w="4396"/>
      </w:tblGrid>
      <w:tr w:rsidR="00302412" w:rsidRPr="00302412" w:rsidTr="00302412">
        <w:trPr>
          <w:trHeight w:val="312"/>
        </w:trPr>
        <w:tc>
          <w:tcPr>
            <w:tcW w:w="25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2412" w:rsidRPr="00302412" w:rsidRDefault="00302412" w:rsidP="00302412">
            <w:pPr>
              <w:widowControl/>
              <w:jc w:val="center"/>
              <w:rPr>
                <w:rFonts w:ascii="宋体" w:hAnsi="宋体" w:cs="宋体"/>
                <w:color w:val="000000"/>
                <w:kern w:val="0"/>
                <w:sz w:val="24"/>
                <w:szCs w:val="24"/>
              </w:rPr>
            </w:pPr>
            <w:r w:rsidRPr="00302412">
              <w:rPr>
                <w:rFonts w:ascii="宋体" w:hAnsi="宋体" w:cs="宋体" w:hint="eastAsia"/>
                <w:color w:val="000000"/>
                <w:kern w:val="0"/>
                <w:sz w:val="24"/>
                <w:szCs w:val="24"/>
              </w:rPr>
              <w:t>项目</w:t>
            </w:r>
          </w:p>
        </w:tc>
        <w:tc>
          <w:tcPr>
            <w:tcW w:w="242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2018年7月12日至2018年11月05日</w:t>
            </w:r>
          </w:p>
        </w:tc>
      </w:tr>
      <w:tr w:rsidR="00302412" w:rsidRPr="00302412" w:rsidTr="00302412">
        <w:trPr>
          <w:trHeight w:val="312"/>
        </w:trPr>
        <w:tc>
          <w:tcPr>
            <w:tcW w:w="2574" w:type="pct"/>
            <w:vMerge/>
            <w:tcBorders>
              <w:top w:val="single" w:sz="8" w:space="0" w:color="auto"/>
              <w:left w:val="single" w:sz="8" w:space="0" w:color="auto"/>
              <w:bottom w:val="single" w:sz="8" w:space="0" w:color="000000"/>
              <w:right w:val="single" w:sz="8" w:space="0" w:color="auto"/>
            </w:tcBorders>
            <w:vAlign w:val="center"/>
            <w:hideMark/>
          </w:tcPr>
          <w:p w:rsidR="00302412" w:rsidRPr="00302412" w:rsidRDefault="00302412" w:rsidP="00302412">
            <w:pPr>
              <w:widowControl/>
              <w:jc w:val="left"/>
              <w:rPr>
                <w:rFonts w:ascii="宋体" w:hAnsi="宋体" w:cs="宋体"/>
                <w:color w:val="000000"/>
                <w:kern w:val="0"/>
                <w:sz w:val="24"/>
                <w:szCs w:val="24"/>
              </w:rPr>
            </w:pPr>
          </w:p>
        </w:tc>
        <w:tc>
          <w:tcPr>
            <w:tcW w:w="2426" w:type="pct"/>
            <w:vMerge/>
            <w:tcBorders>
              <w:top w:val="single" w:sz="8" w:space="0" w:color="auto"/>
              <w:left w:val="single" w:sz="8" w:space="0" w:color="auto"/>
              <w:bottom w:val="single" w:sz="8" w:space="0" w:color="000000"/>
              <w:right w:val="single" w:sz="8" w:space="0" w:color="auto"/>
            </w:tcBorders>
            <w:vAlign w:val="center"/>
            <w:hideMark/>
          </w:tcPr>
          <w:p w:rsidR="00302412" w:rsidRPr="00302412" w:rsidRDefault="00302412" w:rsidP="00302412">
            <w:pPr>
              <w:widowControl/>
              <w:jc w:val="left"/>
              <w:rPr>
                <w:rFonts w:ascii="宋体" w:hAnsi="宋体" w:cs="宋体"/>
                <w:color w:val="000000"/>
                <w:kern w:val="0"/>
                <w:sz w:val="24"/>
                <w:szCs w:val="24"/>
              </w:rPr>
            </w:pP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一、收入</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-318,493.06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1.</w:t>
            </w:r>
            <w:r w:rsidRPr="00302412">
              <w:rPr>
                <w:rFonts w:ascii="宋体" w:hAnsi="宋体" w:cs="宋体" w:hint="eastAsia"/>
                <w:color w:val="000000"/>
                <w:kern w:val="0"/>
                <w:sz w:val="24"/>
                <w:szCs w:val="24"/>
              </w:rPr>
              <w:t>利息收入</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9,316.97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 w:val="24"/>
                <w:szCs w:val="24"/>
              </w:rPr>
            </w:pPr>
            <w:r w:rsidRPr="00302412">
              <w:rPr>
                <w:rFonts w:ascii="宋体" w:hAnsi="宋体" w:cs="宋体" w:hint="eastAsia"/>
                <w:color w:val="000000"/>
                <w:kern w:val="0"/>
                <w:sz w:val="24"/>
                <w:szCs w:val="24"/>
              </w:rPr>
              <w:t>其中：存款利息收入</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9,316.97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 w:val="24"/>
                <w:szCs w:val="24"/>
              </w:rPr>
            </w:pPr>
            <w:r w:rsidRPr="00302412">
              <w:rPr>
                <w:rFonts w:ascii="宋体" w:hAnsi="宋体" w:cs="宋体" w:hint="eastAsia"/>
                <w:color w:val="000000"/>
                <w:kern w:val="0"/>
                <w:sz w:val="24"/>
                <w:szCs w:val="24"/>
              </w:rPr>
              <w:t>债券利息收入</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资产支持证券利息收入</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买入返售金融资产收入</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其他利息收入</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2.</w:t>
            </w:r>
            <w:r w:rsidRPr="00302412">
              <w:rPr>
                <w:rFonts w:ascii="宋体" w:hAnsi="宋体" w:cs="宋体" w:hint="eastAsia"/>
                <w:color w:val="000000"/>
                <w:kern w:val="0"/>
                <w:sz w:val="24"/>
                <w:szCs w:val="24"/>
              </w:rPr>
              <w:t>投资收益（损失以“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”号填列）</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140,988.89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 w:val="24"/>
                <w:szCs w:val="24"/>
              </w:rPr>
            </w:pPr>
            <w:r w:rsidRPr="00302412">
              <w:rPr>
                <w:rFonts w:ascii="宋体" w:hAnsi="宋体" w:cs="宋体" w:hint="eastAsia"/>
                <w:color w:val="000000"/>
                <w:kern w:val="0"/>
                <w:sz w:val="24"/>
                <w:szCs w:val="24"/>
              </w:rPr>
              <w:t>其中：</w:t>
            </w:r>
            <w:r w:rsidRPr="00302412">
              <w:rPr>
                <w:rFonts w:ascii="宋体" w:hAnsi="宋体" w:cs="宋体" w:hint="eastAsia"/>
                <w:color w:val="000000"/>
                <w:kern w:val="0"/>
                <w:szCs w:val="21"/>
              </w:rPr>
              <w:t>股票投资收益</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145,848.89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基金投资收益</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 w:val="24"/>
                <w:szCs w:val="24"/>
              </w:rPr>
            </w:pPr>
            <w:r w:rsidRPr="00302412">
              <w:rPr>
                <w:rFonts w:ascii="宋体" w:hAnsi="宋体" w:cs="宋体" w:hint="eastAsia"/>
                <w:color w:val="000000"/>
                <w:kern w:val="0"/>
                <w:sz w:val="24"/>
                <w:szCs w:val="24"/>
              </w:rPr>
              <w:t>债券投资收益</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资产支持证券投资收益</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贵金属投资收益</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衍生工具收益</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股利收益</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-4,860.00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3.</w:t>
            </w:r>
            <w:r w:rsidRPr="00302412">
              <w:rPr>
                <w:rFonts w:ascii="宋体" w:hAnsi="宋体" w:cs="宋体" w:hint="eastAsia"/>
                <w:color w:val="000000"/>
                <w:kern w:val="0"/>
                <w:sz w:val="24"/>
                <w:szCs w:val="24"/>
              </w:rPr>
              <w:t>公允价值变动损益（损失以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填列）</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-468,798.92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4.</w:t>
            </w:r>
            <w:r w:rsidRPr="00302412">
              <w:rPr>
                <w:rFonts w:ascii="宋体" w:hAnsi="宋体" w:cs="宋体" w:hint="eastAsia"/>
                <w:color w:val="000000"/>
                <w:kern w:val="0"/>
                <w:sz w:val="24"/>
                <w:szCs w:val="24"/>
              </w:rPr>
              <w:t>汇兑收益（损失以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号填列）</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5.</w:t>
            </w:r>
            <w:r w:rsidRPr="00302412">
              <w:rPr>
                <w:rFonts w:ascii="宋体" w:hAnsi="宋体" w:cs="宋体" w:hint="eastAsia"/>
                <w:color w:val="000000"/>
                <w:kern w:val="0"/>
                <w:sz w:val="24"/>
                <w:szCs w:val="24"/>
              </w:rPr>
              <w:t>其他收入（损失以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填列）</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二、费用</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-6,693.46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1.</w:t>
            </w:r>
            <w:r w:rsidRPr="00302412">
              <w:rPr>
                <w:rFonts w:ascii="宋体" w:hAnsi="宋体" w:cs="宋体" w:hint="eastAsia"/>
                <w:color w:val="000000"/>
                <w:kern w:val="0"/>
                <w:sz w:val="24"/>
                <w:szCs w:val="24"/>
              </w:rPr>
              <w:t>管理人报酬</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2.</w:t>
            </w:r>
            <w:r w:rsidRPr="00302412">
              <w:rPr>
                <w:rFonts w:ascii="宋体" w:hAnsi="宋体" w:cs="宋体" w:hint="eastAsia"/>
                <w:color w:val="000000"/>
                <w:kern w:val="0"/>
                <w:sz w:val="24"/>
                <w:szCs w:val="24"/>
              </w:rPr>
              <w:t>托管费</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3.</w:t>
            </w:r>
            <w:r w:rsidRPr="00302412">
              <w:rPr>
                <w:rFonts w:ascii="宋体" w:hAnsi="宋体" w:cs="宋体" w:hint="eastAsia"/>
                <w:color w:val="000000"/>
                <w:kern w:val="0"/>
                <w:sz w:val="24"/>
                <w:szCs w:val="24"/>
              </w:rPr>
              <w:t>销售服务费</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4.</w:t>
            </w:r>
            <w:r w:rsidRPr="00302412">
              <w:rPr>
                <w:rFonts w:ascii="宋体" w:hAnsi="宋体" w:cs="宋体" w:hint="eastAsia"/>
                <w:color w:val="000000"/>
                <w:kern w:val="0"/>
                <w:sz w:val="24"/>
                <w:szCs w:val="24"/>
              </w:rPr>
              <w:t>交易费用</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3,198.84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5.</w:t>
            </w:r>
            <w:r w:rsidRPr="00302412">
              <w:rPr>
                <w:rFonts w:ascii="宋体" w:hAnsi="宋体" w:cs="宋体" w:hint="eastAsia"/>
                <w:color w:val="000000"/>
                <w:kern w:val="0"/>
                <w:sz w:val="24"/>
                <w:szCs w:val="24"/>
              </w:rPr>
              <w:t>利息支出</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Cs w:val="21"/>
              </w:rPr>
            </w:pPr>
            <w:r w:rsidRPr="00302412">
              <w:rPr>
                <w:rFonts w:ascii="宋体" w:hAnsi="宋体" w:cs="宋体" w:hint="eastAsia"/>
                <w:color w:val="000000"/>
                <w:kern w:val="0"/>
                <w:szCs w:val="21"/>
              </w:rPr>
              <w:t>其中：卖出回购金融资产支出</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33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6.</w:t>
            </w:r>
            <w:r w:rsidRPr="00302412">
              <w:rPr>
                <w:rFonts w:ascii="宋体" w:hAnsi="宋体" w:cs="宋体" w:hint="eastAsia"/>
                <w:color w:val="000000"/>
                <w:kern w:val="0"/>
                <w:sz w:val="24"/>
                <w:szCs w:val="24"/>
              </w:rPr>
              <w:t>其他费用</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-9,892.30 </w:t>
            </w:r>
          </w:p>
        </w:tc>
      </w:tr>
      <w:tr w:rsidR="00302412" w:rsidRPr="00302412" w:rsidTr="00302412">
        <w:trPr>
          <w:trHeight w:val="615"/>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三、利润总额（亏损总额以</w:t>
            </w:r>
            <w:r w:rsidRPr="00302412">
              <w:rPr>
                <w:b/>
                <w:bCs/>
                <w:color w:val="000000"/>
                <w:kern w:val="0"/>
                <w:sz w:val="24"/>
                <w:szCs w:val="24"/>
              </w:rPr>
              <w:t>"-"</w:t>
            </w:r>
            <w:r w:rsidRPr="00302412">
              <w:rPr>
                <w:rFonts w:ascii="宋体" w:hAnsi="宋体" w:cs="宋体" w:hint="eastAsia"/>
                <w:b/>
                <w:bCs/>
                <w:color w:val="000000"/>
                <w:kern w:val="0"/>
                <w:sz w:val="24"/>
                <w:szCs w:val="24"/>
              </w:rPr>
              <w:t>号填列）</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-311,799.60 </w:t>
            </w:r>
          </w:p>
        </w:tc>
      </w:tr>
      <w:tr w:rsidR="00302412" w:rsidRPr="00302412" w:rsidTr="00302412">
        <w:trPr>
          <w:trHeight w:val="300"/>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color w:val="000000"/>
                <w:kern w:val="0"/>
                <w:sz w:val="24"/>
                <w:szCs w:val="24"/>
              </w:rPr>
            </w:pPr>
            <w:r w:rsidRPr="00302412">
              <w:rPr>
                <w:rFonts w:ascii="宋体" w:hAnsi="宋体" w:cs="宋体" w:hint="eastAsia"/>
                <w:color w:val="000000"/>
                <w:kern w:val="0"/>
                <w:sz w:val="24"/>
                <w:szCs w:val="24"/>
              </w:rPr>
              <w:t>减：所得税费用</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　</w:t>
            </w:r>
          </w:p>
        </w:tc>
      </w:tr>
      <w:tr w:rsidR="00302412" w:rsidRPr="00302412" w:rsidTr="00302412">
        <w:trPr>
          <w:trHeight w:val="615"/>
        </w:trPr>
        <w:tc>
          <w:tcPr>
            <w:tcW w:w="2574" w:type="pct"/>
            <w:tcBorders>
              <w:top w:val="nil"/>
              <w:left w:val="single" w:sz="8" w:space="0" w:color="auto"/>
              <w:bottom w:val="single" w:sz="8" w:space="0" w:color="auto"/>
              <w:right w:val="single" w:sz="8" w:space="0" w:color="auto"/>
            </w:tcBorders>
            <w:shd w:val="clear" w:color="auto" w:fill="auto"/>
            <w:noWrap/>
            <w:vAlign w:val="center"/>
            <w:hideMark/>
          </w:tcPr>
          <w:p w:rsidR="00302412" w:rsidRPr="00302412" w:rsidRDefault="00302412" w:rsidP="00302412">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四、净利润总额（净亏损以</w:t>
            </w:r>
            <w:r w:rsidRPr="00302412">
              <w:rPr>
                <w:b/>
                <w:bCs/>
                <w:color w:val="000000"/>
                <w:kern w:val="0"/>
                <w:sz w:val="24"/>
                <w:szCs w:val="24"/>
              </w:rPr>
              <w:t>"-"</w:t>
            </w:r>
            <w:r w:rsidRPr="00302412">
              <w:rPr>
                <w:rFonts w:ascii="宋体" w:hAnsi="宋体" w:cs="宋体" w:hint="eastAsia"/>
                <w:b/>
                <w:bCs/>
                <w:color w:val="000000"/>
                <w:kern w:val="0"/>
                <w:sz w:val="24"/>
                <w:szCs w:val="24"/>
              </w:rPr>
              <w:t>号填列）</w:t>
            </w:r>
          </w:p>
        </w:tc>
        <w:tc>
          <w:tcPr>
            <w:tcW w:w="2426" w:type="pct"/>
            <w:tcBorders>
              <w:top w:val="nil"/>
              <w:left w:val="nil"/>
              <w:bottom w:val="single" w:sz="8" w:space="0" w:color="auto"/>
              <w:right w:val="single" w:sz="8" w:space="0" w:color="auto"/>
            </w:tcBorders>
            <w:shd w:val="clear" w:color="auto" w:fill="auto"/>
            <w:vAlign w:val="center"/>
            <w:hideMark/>
          </w:tcPr>
          <w:p w:rsidR="00302412" w:rsidRPr="00302412" w:rsidRDefault="00302412" w:rsidP="00302412">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 xml:space="preserve">-311,799.60 </w:t>
            </w:r>
          </w:p>
        </w:tc>
      </w:tr>
    </w:tbl>
    <w:p w:rsidR="00CE34B1" w:rsidRPr="00A46EDA" w:rsidRDefault="00CE34B1" w:rsidP="008C5BB0">
      <w:pPr>
        <w:rPr>
          <w:color w:val="000000" w:themeColor="text1"/>
        </w:rPr>
      </w:pPr>
    </w:p>
    <w:p w:rsidR="00306315" w:rsidRPr="00A46EDA" w:rsidRDefault="00796F2C" w:rsidP="00C00EFB">
      <w:pPr>
        <w:rPr>
          <w:color w:val="000000" w:themeColor="text1"/>
        </w:rPr>
      </w:pPr>
      <w:r w:rsidRPr="00A46EDA">
        <w:rPr>
          <w:rFonts w:hint="eastAsia"/>
          <w:color w:val="000000" w:themeColor="text1"/>
        </w:rPr>
        <w:t>注：</w:t>
      </w:r>
      <w:r w:rsidR="00E45923" w:rsidRPr="00A46EDA">
        <w:rPr>
          <w:rFonts w:hint="eastAsia"/>
          <w:bCs/>
          <w:color w:val="000000" w:themeColor="text1"/>
        </w:rPr>
        <w:t>其他</w:t>
      </w:r>
      <w:r w:rsidR="00E45923" w:rsidRPr="00A46EDA">
        <w:rPr>
          <w:bCs/>
          <w:color w:val="000000" w:themeColor="text1"/>
        </w:rPr>
        <w:t>费用包括汇划费</w:t>
      </w:r>
      <w:r w:rsidR="00302412">
        <w:rPr>
          <w:bCs/>
          <w:color w:val="000000" w:themeColor="text1"/>
        </w:rPr>
        <w:t>107.70</w:t>
      </w:r>
      <w:r w:rsidR="00E45923" w:rsidRPr="00A46EDA">
        <w:rPr>
          <w:rFonts w:hint="eastAsia"/>
          <w:bCs/>
          <w:color w:val="000000" w:themeColor="text1"/>
        </w:rPr>
        <w:t>元</w:t>
      </w:r>
      <w:r w:rsidR="00E45923" w:rsidRPr="00A46EDA">
        <w:rPr>
          <w:bCs/>
          <w:color w:val="000000" w:themeColor="text1"/>
        </w:rPr>
        <w:t>，冲减审计费</w:t>
      </w:r>
      <w:r w:rsidR="00302412">
        <w:rPr>
          <w:bCs/>
          <w:color w:val="000000" w:themeColor="text1"/>
        </w:rPr>
        <w:t>10</w:t>
      </w:r>
      <w:r w:rsidR="00302412">
        <w:rPr>
          <w:rFonts w:hint="eastAsia"/>
          <w:bCs/>
          <w:color w:val="000000" w:themeColor="text1"/>
        </w:rPr>
        <w:t>,</w:t>
      </w:r>
      <w:r w:rsidR="00302412">
        <w:rPr>
          <w:bCs/>
          <w:color w:val="000000" w:themeColor="text1"/>
        </w:rPr>
        <w:t>000.00</w:t>
      </w:r>
      <w:r w:rsidR="00E45923" w:rsidRPr="00A46EDA">
        <w:rPr>
          <w:rFonts w:hint="eastAsia"/>
          <w:bCs/>
          <w:color w:val="000000" w:themeColor="text1"/>
        </w:rPr>
        <w:t>元</w:t>
      </w:r>
      <w:r w:rsidR="00E45923" w:rsidRPr="00A46EDA">
        <w:rPr>
          <w:bCs/>
          <w:color w:val="000000" w:themeColor="text1"/>
        </w:rPr>
        <w:t>。</w:t>
      </w:r>
    </w:p>
    <w:p w:rsidR="00E45AEB" w:rsidRPr="00A46EDA" w:rsidRDefault="001920DC" w:rsidP="00E45AEB">
      <w:pPr>
        <w:pStyle w:val="XBRLTitle2"/>
        <w:numPr>
          <w:ilvl w:val="0"/>
          <w:numId w:val="0"/>
        </w:numPr>
        <w:spacing w:before="156" w:after="156"/>
        <w:ind w:left="454" w:hanging="454"/>
        <w:rPr>
          <w:color w:val="000000" w:themeColor="text1"/>
        </w:rPr>
      </w:pPr>
      <w:r>
        <w:rPr>
          <w:color w:val="000000" w:themeColor="text1"/>
        </w:rPr>
        <w:t>3</w:t>
      </w:r>
      <w:r w:rsidR="00BA6B2B" w:rsidRPr="00A46EDA">
        <w:rPr>
          <w:rFonts w:hint="eastAsia"/>
          <w:color w:val="000000" w:themeColor="text1"/>
        </w:rPr>
        <w:t>、</w:t>
      </w:r>
      <w:r w:rsidR="00E45AEB" w:rsidRPr="00A46EDA">
        <w:rPr>
          <w:rFonts w:hint="eastAsia"/>
          <w:color w:val="000000" w:themeColor="text1"/>
        </w:rPr>
        <w:t>资产处置及负债清偿后的剩余资产分配情况</w:t>
      </w:r>
      <w:bookmarkEnd w:id="179"/>
    </w:p>
    <w:p w:rsidR="00A67A2D" w:rsidRPr="00A46EDA" w:rsidRDefault="00E55675" w:rsidP="00E55675">
      <w:pPr>
        <w:overflowPunct w:val="0"/>
        <w:autoSpaceDE w:val="0"/>
        <w:autoSpaceDN w:val="0"/>
        <w:snapToGrid w:val="0"/>
        <w:ind w:left="6480"/>
        <w:jc w:val="right"/>
        <w:rPr>
          <w:rFonts w:ascii="宋体" w:hAnsi="宋体" w:cs="Arial"/>
          <w:b/>
          <w:color w:val="000000" w:themeColor="text1"/>
          <w:sz w:val="24"/>
          <w:szCs w:val="24"/>
        </w:rPr>
      </w:pPr>
      <w:r w:rsidRPr="00A46EDA">
        <w:rPr>
          <w:rFonts w:ascii="宋体" w:hAnsi="宋体" w:cs="Arial"/>
          <w:color w:val="000000" w:themeColor="text1"/>
          <w:sz w:val="24"/>
          <w:szCs w:val="24"/>
        </w:rPr>
        <w:t>单位：人民币元</w:t>
      </w:r>
    </w:p>
    <w:p w:rsidR="0086456E" w:rsidRDefault="0086456E" w:rsidP="00A67A2D">
      <w:pPr>
        <w:spacing w:line="360" w:lineRule="auto"/>
        <w:rPr>
          <w:color w:val="FF0000"/>
          <w:sz w:val="24"/>
          <w:szCs w:val="24"/>
        </w:rPr>
      </w:pPr>
    </w:p>
    <w:tbl>
      <w:tblPr>
        <w:tblW w:w="5000" w:type="pct"/>
        <w:tblLook w:val="04A0"/>
      </w:tblPr>
      <w:tblGrid>
        <w:gridCol w:w="4664"/>
        <w:gridCol w:w="4396"/>
      </w:tblGrid>
      <w:tr w:rsidR="00390721" w:rsidRPr="00390721" w:rsidTr="00390721">
        <w:trPr>
          <w:trHeight w:val="300"/>
        </w:trPr>
        <w:tc>
          <w:tcPr>
            <w:tcW w:w="25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90721" w:rsidRPr="00390721" w:rsidRDefault="00390721" w:rsidP="00390721">
            <w:pPr>
              <w:widowControl/>
              <w:jc w:val="left"/>
              <w:rPr>
                <w:rFonts w:ascii="宋体" w:hAnsi="宋体" w:cs="宋体"/>
                <w:color w:val="000000"/>
                <w:kern w:val="0"/>
                <w:sz w:val="24"/>
                <w:szCs w:val="24"/>
              </w:rPr>
            </w:pPr>
            <w:r w:rsidRPr="00390721">
              <w:rPr>
                <w:rFonts w:ascii="宋体" w:hAnsi="宋体" w:cs="宋体" w:hint="eastAsia"/>
                <w:color w:val="000000"/>
                <w:kern w:val="0"/>
                <w:sz w:val="24"/>
                <w:szCs w:val="24"/>
              </w:rPr>
              <w:t>项目</w:t>
            </w:r>
          </w:p>
        </w:tc>
        <w:tc>
          <w:tcPr>
            <w:tcW w:w="2426" w:type="pct"/>
            <w:tcBorders>
              <w:top w:val="single" w:sz="8" w:space="0" w:color="auto"/>
              <w:left w:val="nil"/>
              <w:bottom w:val="single" w:sz="8" w:space="0" w:color="auto"/>
              <w:right w:val="single" w:sz="8" w:space="0" w:color="auto"/>
            </w:tcBorders>
            <w:shd w:val="clear" w:color="auto" w:fill="auto"/>
            <w:vAlign w:val="center"/>
            <w:hideMark/>
          </w:tcPr>
          <w:p w:rsidR="00390721" w:rsidRPr="00390721" w:rsidRDefault="00390721" w:rsidP="00390721">
            <w:pPr>
              <w:widowControl/>
              <w:jc w:val="right"/>
              <w:rPr>
                <w:rFonts w:ascii="宋体" w:hAnsi="宋体" w:cs="宋体"/>
                <w:color w:val="000000"/>
                <w:kern w:val="0"/>
                <w:sz w:val="24"/>
                <w:szCs w:val="24"/>
              </w:rPr>
            </w:pPr>
            <w:r w:rsidRPr="00390721">
              <w:rPr>
                <w:rFonts w:ascii="宋体" w:hAnsi="宋体" w:cs="宋体" w:hint="eastAsia"/>
                <w:color w:val="000000"/>
                <w:kern w:val="0"/>
                <w:sz w:val="24"/>
                <w:szCs w:val="24"/>
              </w:rPr>
              <w:t>金额</w:t>
            </w:r>
          </w:p>
        </w:tc>
      </w:tr>
      <w:tr w:rsidR="00390721" w:rsidRPr="00390721" w:rsidTr="00390721">
        <w:trPr>
          <w:trHeight w:val="300"/>
        </w:trPr>
        <w:tc>
          <w:tcPr>
            <w:tcW w:w="2574" w:type="pct"/>
            <w:tcBorders>
              <w:top w:val="nil"/>
              <w:left w:val="single" w:sz="8" w:space="0" w:color="auto"/>
              <w:bottom w:val="single" w:sz="8" w:space="0" w:color="auto"/>
              <w:right w:val="single" w:sz="8" w:space="0" w:color="auto"/>
            </w:tcBorders>
            <w:shd w:val="clear" w:color="auto" w:fill="auto"/>
            <w:vAlign w:val="center"/>
            <w:hideMark/>
          </w:tcPr>
          <w:p w:rsidR="00390721" w:rsidRPr="00390721" w:rsidRDefault="00390721" w:rsidP="00390721">
            <w:pPr>
              <w:widowControl/>
              <w:rPr>
                <w:rFonts w:ascii="宋体" w:hAnsi="宋体" w:cs="宋体"/>
                <w:color w:val="000000"/>
                <w:kern w:val="0"/>
                <w:sz w:val="24"/>
                <w:szCs w:val="24"/>
              </w:rPr>
            </w:pPr>
            <w:r w:rsidRPr="00390721">
              <w:rPr>
                <w:rFonts w:ascii="宋体" w:hAnsi="宋体" w:cs="宋体" w:hint="eastAsia"/>
                <w:color w:val="000000"/>
                <w:kern w:val="0"/>
                <w:sz w:val="24"/>
                <w:szCs w:val="24"/>
              </w:rPr>
              <w:t>一、一次清算结束日基金净资产</w:t>
            </w:r>
          </w:p>
        </w:tc>
        <w:tc>
          <w:tcPr>
            <w:tcW w:w="2426" w:type="pct"/>
            <w:tcBorders>
              <w:top w:val="nil"/>
              <w:left w:val="nil"/>
              <w:bottom w:val="single" w:sz="8" w:space="0" w:color="auto"/>
              <w:right w:val="single" w:sz="8" w:space="0" w:color="auto"/>
            </w:tcBorders>
            <w:shd w:val="clear" w:color="auto" w:fill="auto"/>
            <w:vAlign w:val="center"/>
            <w:hideMark/>
          </w:tcPr>
          <w:p w:rsidR="00390721" w:rsidRPr="00390721" w:rsidRDefault="00390721" w:rsidP="00390721">
            <w:pPr>
              <w:widowControl/>
              <w:jc w:val="right"/>
              <w:rPr>
                <w:rFonts w:ascii="宋体" w:hAnsi="宋体" w:cs="宋体"/>
                <w:color w:val="000000"/>
                <w:kern w:val="0"/>
                <w:sz w:val="24"/>
                <w:szCs w:val="24"/>
              </w:rPr>
            </w:pPr>
            <w:r w:rsidRPr="00390721">
              <w:rPr>
                <w:rFonts w:ascii="宋体" w:hAnsi="宋体" w:cs="宋体" w:hint="eastAsia"/>
                <w:color w:val="000000"/>
                <w:kern w:val="0"/>
                <w:sz w:val="24"/>
                <w:szCs w:val="24"/>
              </w:rPr>
              <w:t>8,452,098.16</w:t>
            </w:r>
          </w:p>
        </w:tc>
      </w:tr>
      <w:tr w:rsidR="00390721" w:rsidRPr="00390721" w:rsidTr="00390721">
        <w:trPr>
          <w:trHeight w:val="300"/>
        </w:trPr>
        <w:tc>
          <w:tcPr>
            <w:tcW w:w="2574" w:type="pct"/>
            <w:tcBorders>
              <w:top w:val="nil"/>
              <w:left w:val="single" w:sz="8" w:space="0" w:color="auto"/>
              <w:bottom w:val="single" w:sz="8" w:space="0" w:color="auto"/>
              <w:right w:val="single" w:sz="8" w:space="0" w:color="auto"/>
            </w:tcBorders>
            <w:shd w:val="clear" w:color="auto" w:fill="auto"/>
            <w:vAlign w:val="center"/>
            <w:hideMark/>
          </w:tcPr>
          <w:p w:rsidR="00390721" w:rsidRPr="00390721" w:rsidRDefault="00390721" w:rsidP="00390721">
            <w:pPr>
              <w:widowControl/>
              <w:rPr>
                <w:rFonts w:ascii="宋体" w:hAnsi="宋体" w:cs="宋体"/>
                <w:color w:val="000000"/>
                <w:kern w:val="0"/>
                <w:sz w:val="24"/>
                <w:szCs w:val="24"/>
              </w:rPr>
            </w:pPr>
            <w:r w:rsidRPr="00390721">
              <w:rPr>
                <w:rFonts w:ascii="宋体" w:hAnsi="宋体" w:cs="宋体" w:hint="eastAsia"/>
                <w:color w:val="000000"/>
                <w:kern w:val="0"/>
                <w:sz w:val="24"/>
                <w:szCs w:val="24"/>
              </w:rPr>
              <w:t>加：</w:t>
            </w:r>
            <w:r w:rsidR="00AF2436">
              <w:rPr>
                <w:rFonts w:ascii="宋体" w:hAnsi="宋体" w:cs="宋体" w:hint="eastAsia"/>
                <w:color w:val="000000"/>
                <w:kern w:val="0"/>
                <w:sz w:val="24"/>
                <w:szCs w:val="24"/>
              </w:rPr>
              <w:t>二次</w:t>
            </w:r>
            <w:r w:rsidRPr="00390721">
              <w:rPr>
                <w:rFonts w:ascii="宋体" w:hAnsi="宋体" w:cs="宋体" w:hint="eastAsia"/>
                <w:color w:val="000000"/>
                <w:kern w:val="0"/>
                <w:sz w:val="24"/>
                <w:szCs w:val="24"/>
              </w:rPr>
              <w:t>清算期间净收益</w:t>
            </w:r>
          </w:p>
        </w:tc>
        <w:tc>
          <w:tcPr>
            <w:tcW w:w="2426" w:type="pct"/>
            <w:tcBorders>
              <w:top w:val="nil"/>
              <w:left w:val="nil"/>
              <w:bottom w:val="single" w:sz="8" w:space="0" w:color="auto"/>
              <w:right w:val="single" w:sz="8" w:space="0" w:color="auto"/>
            </w:tcBorders>
            <w:shd w:val="clear" w:color="auto" w:fill="auto"/>
            <w:vAlign w:val="center"/>
            <w:hideMark/>
          </w:tcPr>
          <w:p w:rsidR="00390721" w:rsidRPr="00390721" w:rsidRDefault="00390721" w:rsidP="00390721">
            <w:pPr>
              <w:widowControl/>
              <w:jc w:val="right"/>
              <w:rPr>
                <w:rFonts w:ascii="宋体" w:hAnsi="宋体" w:cs="宋体"/>
                <w:color w:val="000000"/>
                <w:kern w:val="0"/>
                <w:sz w:val="24"/>
                <w:szCs w:val="24"/>
              </w:rPr>
            </w:pPr>
            <w:r w:rsidRPr="00390721">
              <w:rPr>
                <w:rFonts w:ascii="宋体" w:hAnsi="宋体" w:cs="宋体" w:hint="eastAsia"/>
                <w:color w:val="000000"/>
                <w:kern w:val="0"/>
                <w:sz w:val="24"/>
                <w:szCs w:val="24"/>
              </w:rPr>
              <w:t>-311,799.60</w:t>
            </w:r>
          </w:p>
        </w:tc>
      </w:tr>
      <w:tr w:rsidR="00390721" w:rsidRPr="00390721" w:rsidTr="00390721">
        <w:trPr>
          <w:trHeight w:val="300"/>
        </w:trPr>
        <w:tc>
          <w:tcPr>
            <w:tcW w:w="2574" w:type="pct"/>
            <w:tcBorders>
              <w:top w:val="nil"/>
              <w:left w:val="single" w:sz="8" w:space="0" w:color="auto"/>
              <w:bottom w:val="single" w:sz="8" w:space="0" w:color="auto"/>
              <w:right w:val="single" w:sz="8" w:space="0" w:color="auto"/>
            </w:tcBorders>
            <w:shd w:val="clear" w:color="auto" w:fill="auto"/>
            <w:vAlign w:val="center"/>
            <w:hideMark/>
          </w:tcPr>
          <w:p w:rsidR="00390721" w:rsidRPr="00390721" w:rsidRDefault="00390721" w:rsidP="00390721">
            <w:pPr>
              <w:widowControl/>
              <w:rPr>
                <w:rFonts w:ascii="宋体" w:hAnsi="宋体" w:cs="宋体"/>
                <w:color w:val="000000"/>
                <w:kern w:val="0"/>
                <w:sz w:val="24"/>
                <w:szCs w:val="24"/>
              </w:rPr>
            </w:pPr>
            <w:r w:rsidRPr="00390721">
              <w:rPr>
                <w:rFonts w:ascii="宋体" w:hAnsi="宋体" w:cs="宋体" w:hint="eastAsia"/>
                <w:color w:val="000000"/>
                <w:kern w:val="0"/>
                <w:sz w:val="24"/>
                <w:szCs w:val="24"/>
              </w:rPr>
              <w:t>加：应付利润结转实收基金金额</w:t>
            </w:r>
          </w:p>
        </w:tc>
        <w:tc>
          <w:tcPr>
            <w:tcW w:w="2426" w:type="pct"/>
            <w:tcBorders>
              <w:top w:val="nil"/>
              <w:left w:val="nil"/>
              <w:bottom w:val="single" w:sz="8" w:space="0" w:color="auto"/>
              <w:right w:val="single" w:sz="8" w:space="0" w:color="auto"/>
            </w:tcBorders>
            <w:shd w:val="clear" w:color="auto" w:fill="auto"/>
            <w:vAlign w:val="center"/>
            <w:hideMark/>
          </w:tcPr>
          <w:p w:rsidR="00390721" w:rsidRPr="00390721" w:rsidRDefault="00921A3B" w:rsidP="00390721">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90721" w:rsidRPr="00390721">
              <w:rPr>
                <w:rFonts w:ascii="宋体" w:hAnsi="宋体" w:cs="宋体" w:hint="eastAsia"/>
                <w:color w:val="000000"/>
                <w:kern w:val="0"/>
                <w:sz w:val="24"/>
                <w:szCs w:val="24"/>
              </w:rPr>
              <w:t xml:space="preserve">　</w:t>
            </w:r>
          </w:p>
        </w:tc>
      </w:tr>
      <w:tr w:rsidR="00390721" w:rsidRPr="00390721" w:rsidTr="00390721">
        <w:trPr>
          <w:trHeight w:val="300"/>
        </w:trPr>
        <w:tc>
          <w:tcPr>
            <w:tcW w:w="2574" w:type="pct"/>
            <w:tcBorders>
              <w:top w:val="nil"/>
              <w:left w:val="single" w:sz="8" w:space="0" w:color="auto"/>
              <w:bottom w:val="single" w:sz="8" w:space="0" w:color="auto"/>
              <w:right w:val="single" w:sz="8" w:space="0" w:color="auto"/>
            </w:tcBorders>
            <w:shd w:val="clear" w:color="auto" w:fill="auto"/>
            <w:vAlign w:val="center"/>
            <w:hideMark/>
          </w:tcPr>
          <w:p w:rsidR="00390721" w:rsidRPr="00390721" w:rsidRDefault="00390721" w:rsidP="00390721">
            <w:pPr>
              <w:widowControl/>
              <w:rPr>
                <w:rFonts w:ascii="宋体" w:hAnsi="宋体" w:cs="宋体"/>
                <w:color w:val="000000"/>
                <w:kern w:val="0"/>
                <w:sz w:val="24"/>
                <w:szCs w:val="24"/>
              </w:rPr>
            </w:pPr>
            <w:r w:rsidRPr="00390721">
              <w:rPr>
                <w:rFonts w:ascii="宋体" w:hAnsi="宋体" w:cs="宋体" w:hint="eastAsia"/>
                <w:color w:val="000000"/>
                <w:kern w:val="0"/>
                <w:sz w:val="24"/>
                <w:szCs w:val="24"/>
              </w:rPr>
              <w:t>减：</w:t>
            </w:r>
            <w:r w:rsidR="00AF2436">
              <w:rPr>
                <w:rFonts w:ascii="宋体" w:hAnsi="宋体" w:cs="宋体" w:hint="eastAsia"/>
                <w:color w:val="000000"/>
                <w:kern w:val="0"/>
                <w:sz w:val="24"/>
                <w:szCs w:val="24"/>
              </w:rPr>
              <w:t>划付一次清算</w:t>
            </w:r>
            <w:r w:rsidR="00AF2436" w:rsidRPr="00F857D6">
              <w:rPr>
                <w:rFonts w:ascii="宋体" w:hAnsi="宋体" w:cs="宋体" w:hint="eastAsia"/>
                <w:color w:val="000000"/>
                <w:kern w:val="0"/>
                <w:sz w:val="24"/>
                <w:szCs w:val="24"/>
              </w:rPr>
              <w:t>金额（含费用）</w:t>
            </w:r>
          </w:p>
        </w:tc>
        <w:tc>
          <w:tcPr>
            <w:tcW w:w="2426" w:type="pct"/>
            <w:tcBorders>
              <w:top w:val="nil"/>
              <w:left w:val="nil"/>
              <w:bottom w:val="single" w:sz="8" w:space="0" w:color="auto"/>
              <w:right w:val="single" w:sz="8" w:space="0" w:color="auto"/>
            </w:tcBorders>
            <w:shd w:val="clear" w:color="auto" w:fill="auto"/>
            <w:vAlign w:val="center"/>
            <w:hideMark/>
          </w:tcPr>
          <w:p w:rsidR="00390721" w:rsidRPr="00390721" w:rsidRDefault="00390721" w:rsidP="00390721">
            <w:pPr>
              <w:widowControl/>
              <w:jc w:val="right"/>
              <w:rPr>
                <w:rFonts w:ascii="宋体" w:hAnsi="宋体" w:cs="宋体"/>
                <w:color w:val="000000"/>
                <w:kern w:val="0"/>
                <w:sz w:val="24"/>
                <w:szCs w:val="24"/>
              </w:rPr>
            </w:pPr>
            <w:r w:rsidRPr="00390721">
              <w:rPr>
                <w:rFonts w:ascii="宋体" w:hAnsi="宋体" w:cs="宋体" w:hint="eastAsia"/>
                <w:color w:val="000000"/>
                <w:kern w:val="0"/>
                <w:sz w:val="24"/>
                <w:szCs w:val="24"/>
              </w:rPr>
              <w:t>5,981,142.85</w:t>
            </w:r>
          </w:p>
        </w:tc>
      </w:tr>
      <w:tr w:rsidR="00390721" w:rsidRPr="00390721" w:rsidTr="00390721">
        <w:trPr>
          <w:trHeight w:val="300"/>
        </w:trPr>
        <w:tc>
          <w:tcPr>
            <w:tcW w:w="2574" w:type="pct"/>
            <w:tcBorders>
              <w:top w:val="nil"/>
              <w:left w:val="single" w:sz="8" w:space="0" w:color="auto"/>
              <w:bottom w:val="single" w:sz="8" w:space="0" w:color="auto"/>
              <w:right w:val="single" w:sz="8" w:space="0" w:color="auto"/>
            </w:tcBorders>
            <w:shd w:val="clear" w:color="auto" w:fill="auto"/>
            <w:vAlign w:val="center"/>
            <w:hideMark/>
          </w:tcPr>
          <w:p w:rsidR="00390721" w:rsidRPr="00390721" w:rsidRDefault="00390721" w:rsidP="00390721">
            <w:pPr>
              <w:widowControl/>
              <w:rPr>
                <w:rFonts w:ascii="宋体" w:hAnsi="宋体" w:cs="宋体"/>
                <w:color w:val="000000"/>
                <w:kern w:val="0"/>
                <w:sz w:val="24"/>
                <w:szCs w:val="24"/>
              </w:rPr>
            </w:pPr>
            <w:r w:rsidRPr="00390721">
              <w:rPr>
                <w:rFonts w:ascii="宋体" w:hAnsi="宋体" w:cs="宋体" w:hint="eastAsia"/>
                <w:color w:val="000000"/>
                <w:kern w:val="0"/>
                <w:sz w:val="24"/>
                <w:szCs w:val="24"/>
              </w:rPr>
              <w:t>二、2018年11月5日基金净资产</w:t>
            </w:r>
          </w:p>
        </w:tc>
        <w:tc>
          <w:tcPr>
            <w:tcW w:w="2426" w:type="pct"/>
            <w:tcBorders>
              <w:top w:val="nil"/>
              <w:left w:val="nil"/>
              <w:bottom w:val="single" w:sz="8" w:space="0" w:color="auto"/>
              <w:right w:val="single" w:sz="8" w:space="0" w:color="auto"/>
            </w:tcBorders>
            <w:shd w:val="clear" w:color="auto" w:fill="auto"/>
            <w:vAlign w:val="center"/>
            <w:hideMark/>
          </w:tcPr>
          <w:p w:rsidR="00390721" w:rsidRPr="00390721" w:rsidRDefault="00390721" w:rsidP="00390721">
            <w:pPr>
              <w:widowControl/>
              <w:jc w:val="right"/>
              <w:rPr>
                <w:rFonts w:ascii="宋体" w:hAnsi="宋体" w:cs="宋体"/>
                <w:color w:val="000000"/>
                <w:kern w:val="0"/>
                <w:sz w:val="24"/>
                <w:szCs w:val="24"/>
              </w:rPr>
            </w:pPr>
            <w:r w:rsidRPr="00390721">
              <w:rPr>
                <w:rFonts w:ascii="宋体" w:hAnsi="宋体" w:cs="宋体" w:hint="eastAsia"/>
                <w:color w:val="000000"/>
                <w:kern w:val="0"/>
                <w:sz w:val="24"/>
                <w:szCs w:val="24"/>
              </w:rPr>
              <w:t>2,159,155.71</w:t>
            </w:r>
          </w:p>
        </w:tc>
      </w:tr>
    </w:tbl>
    <w:p w:rsidR="00390721" w:rsidRPr="00A46EDA" w:rsidRDefault="00390721" w:rsidP="00A67A2D">
      <w:pPr>
        <w:spacing w:line="360" w:lineRule="auto"/>
        <w:rPr>
          <w:color w:val="FF0000"/>
          <w:sz w:val="24"/>
          <w:szCs w:val="24"/>
        </w:rPr>
      </w:pPr>
    </w:p>
    <w:p w:rsidR="00A67A2D" w:rsidRPr="00A46EDA" w:rsidRDefault="00A67A2D" w:rsidP="00A67A2D">
      <w:pPr>
        <w:spacing w:line="360" w:lineRule="auto"/>
        <w:ind w:firstLineChars="200" w:firstLine="480"/>
        <w:jc w:val="left"/>
        <w:rPr>
          <w:color w:val="000000" w:themeColor="text1"/>
          <w:sz w:val="24"/>
          <w:szCs w:val="24"/>
        </w:rPr>
      </w:pPr>
      <w:r w:rsidRPr="00A46EDA">
        <w:rPr>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A67A2D" w:rsidRPr="00A46EDA" w:rsidRDefault="004F6C60" w:rsidP="00A67A2D">
      <w:pPr>
        <w:spacing w:line="360" w:lineRule="auto"/>
        <w:ind w:firstLineChars="200" w:firstLine="480"/>
        <w:jc w:val="left"/>
        <w:rPr>
          <w:color w:val="000000" w:themeColor="text1"/>
        </w:rPr>
      </w:pPr>
      <w:r w:rsidRPr="00A46EDA">
        <w:rPr>
          <w:rFonts w:hint="eastAsia"/>
          <w:color w:val="000000" w:themeColor="text1"/>
          <w:sz w:val="24"/>
          <w:szCs w:val="24"/>
        </w:rPr>
        <w:t>清</w:t>
      </w:r>
      <w:r w:rsidRPr="00A46EDA">
        <w:rPr>
          <w:color w:val="000000" w:themeColor="text1"/>
          <w:sz w:val="24"/>
          <w:szCs w:val="24"/>
        </w:rPr>
        <w:t>算期结束日次日至清算款划出日前一日的银行存</w:t>
      </w:r>
      <w:r w:rsidRPr="00A46EDA">
        <w:rPr>
          <w:rFonts w:hint="eastAsia"/>
          <w:color w:val="000000" w:themeColor="text1"/>
          <w:sz w:val="24"/>
          <w:szCs w:val="24"/>
        </w:rPr>
        <w:t>款</w:t>
      </w:r>
      <w:r w:rsidRPr="00A46EDA">
        <w:rPr>
          <w:color w:val="000000" w:themeColor="text1"/>
          <w:sz w:val="24"/>
          <w:szCs w:val="24"/>
        </w:rPr>
        <w:t>产生的利息</w:t>
      </w:r>
      <w:r w:rsidRPr="00A46EDA">
        <w:rPr>
          <w:rFonts w:hint="eastAsia"/>
          <w:color w:val="000000" w:themeColor="text1"/>
          <w:sz w:val="24"/>
          <w:szCs w:val="24"/>
        </w:rPr>
        <w:t>归</w:t>
      </w:r>
      <w:r w:rsidRPr="00A46EDA">
        <w:rPr>
          <w:color w:val="000000" w:themeColor="text1"/>
          <w:sz w:val="24"/>
          <w:szCs w:val="24"/>
        </w:rPr>
        <w:t>份额持有人所有</w:t>
      </w:r>
      <w:r w:rsidRPr="00A46EDA">
        <w:rPr>
          <w:rFonts w:hint="eastAsia"/>
          <w:color w:val="000000" w:themeColor="text1"/>
          <w:sz w:val="24"/>
          <w:szCs w:val="24"/>
        </w:rPr>
        <w:t>。</w:t>
      </w:r>
      <w:r w:rsidR="002021FD" w:rsidRPr="00A46EDA">
        <w:rPr>
          <w:rFonts w:hint="eastAsia"/>
          <w:color w:val="000000" w:themeColor="text1"/>
          <w:sz w:val="24"/>
          <w:szCs w:val="24"/>
        </w:rPr>
        <w:t>如</w:t>
      </w:r>
      <w:r w:rsidR="00A67A2D" w:rsidRPr="00A46EDA">
        <w:rPr>
          <w:rFonts w:hint="eastAsia"/>
          <w:color w:val="000000" w:themeColor="text1"/>
          <w:sz w:val="24"/>
          <w:szCs w:val="24"/>
        </w:rPr>
        <w:t>于清算</w:t>
      </w:r>
      <w:r w:rsidR="00A67A2D" w:rsidRPr="00A46EDA">
        <w:rPr>
          <w:color w:val="000000" w:themeColor="text1"/>
          <w:sz w:val="24"/>
          <w:szCs w:val="24"/>
        </w:rPr>
        <w:t>划款日</w:t>
      </w:r>
      <w:r w:rsidR="00A67A2D" w:rsidRPr="00A46EDA">
        <w:rPr>
          <w:rFonts w:hint="eastAsia"/>
          <w:color w:val="000000" w:themeColor="text1"/>
          <w:sz w:val="24"/>
          <w:szCs w:val="24"/>
        </w:rPr>
        <w:t>的</w:t>
      </w:r>
      <w:r w:rsidR="00A67A2D" w:rsidRPr="00A46EDA">
        <w:rPr>
          <w:color w:val="000000" w:themeColor="text1"/>
          <w:sz w:val="24"/>
          <w:szCs w:val="24"/>
        </w:rPr>
        <w:t>应收利</w:t>
      </w:r>
      <w:r w:rsidR="00A67A2D" w:rsidRPr="00A46EDA">
        <w:rPr>
          <w:rFonts w:hint="eastAsia"/>
          <w:color w:val="000000" w:themeColor="text1"/>
          <w:sz w:val="24"/>
          <w:szCs w:val="24"/>
        </w:rPr>
        <w:t>息</w:t>
      </w:r>
      <w:r w:rsidR="00A67A2D" w:rsidRPr="00A46EDA">
        <w:rPr>
          <w:color w:val="000000" w:themeColor="text1"/>
          <w:sz w:val="24"/>
          <w:szCs w:val="24"/>
        </w:rPr>
        <w:t>余额由基金管理人以自有资金先行</w:t>
      </w:r>
      <w:r w:rsidR="00A67A2D" w:rsidRPr="00A46EDA">
        <w:rPr>
          <w:rFonts w:hint="eastAsia"/>
          <w:color w:val="000000" w:themeColor="text1"/>
          <w:sz w:val="24"/>
          <w:szCs w:val="24"/>
        </w:rPr>
        <w:t>垫</w:t>
      </w:r>
      <w:r w:rsidR="00A67A2D" w:rsidRPr="00A46EDA">
        <w:rPr>
          <w:color w:val="000000" w:themeColor="text1"/>
          <w:sz w:val="24"/>
          <w:szCs w:val="24"/>
        </w:rPr>
        <w:t>付</w:t>
      </w:r>
      <w:r w:rsidR="002021FD" w:rsidRPr="00A46EDA">
        <w:rPr>
          <w:rFonts w:hint="eastAsia"/>
          <w:color w:val="000000" w:themeColor="text1"/>
          <w:sz w:val="24"/>
          <w:szCs w:val="24"/>
        </w:rPr>
        <w:t>的</w:t>
      </w:r>
      <w:r w:rsidR="00A67A2D" w:rsidRPr="00A46EDA">
        <w:rPr>
          <w:rFonts w:hint="eastAsia"/>
          <w:color w:val="000000" w:themeColor="text1"/>
          <w:sz w:val="24"/>
          <w:szCs w:val="24"/>
        </w:rPr>
        <w:t>，基金</w:t>
      </w:r>
      <w:r w:rsidR="00A67A2D" w:rsidRPr="00A46EDA">
        <w:rPr>
          <w:color w:val="000000" w:themeColor="text1"/>
          <w:sz w:val="24"/>
          <w:szCs w:val="24"/>
        </w:rPr>
        <w:t>管理人垫付资金到账日起孳生的</w:t>
      </w:r>
      <w:r w:rsidR="00A67A2D" w:rsidRPr="00A46EDA">
        <w:rPr>
          <w:rFonts w:hint="eastAsia"/>
          <w:color w:val="000000" w:themeColor="text1"/>
          <w:sz w:val="24"/>
          <w:szCs w:val="24"/>
        </w:rPr>
        <w:t>利息</w:t>
      </w:r>
      <w:r w:rsidR="00A67A2D" w:rsidRPr="00A46EDA">
        <w:rPr>
          <w:color w:val="000000" w:themeColor="text1"/>
          <w:sz w:val="24"/>
          <w:szCs w:val="24"/>
        </w:rPr>
        <w:t>归基金管理人所有</w:t>
      </w:r>
      <w:r w:rsidR="00A67A2D" w:rsidRPr="00A46EDA">
        <w:rPr>
          <w:rFonts w:hint="eastAsia"/>
          <w:color w:val="000000" w:themeColor="text1"/>
          <w:sz w:val="24"/>
          <w:szCs w:val="24"/>
        </w:rPr>
        <w:t>。垫付资金</w:t>
      </w:r>
      <w:r w:rsidR="00A67A2D" w:rsidRPr="00A46EDA">
        <w:rPr>
          <w:color w:val="000000" w:themeColor="text1"/>
          <w:sz w:val="24"/>
          <w:szCs w:val="24"/>
        </w:rPr>
        <w:t>及其孳生的利息将于清算期后返还</w:t>
      </w:r>
      <w:r w:rsidR="00A67A2D" w:rsidRPr="00A46EDA">
        <w:rPr>
          <w:rFonts w:hint="eastAsia"/>
          <w:color w:val="000000" w:themeColor="text1"/>
          <w:sz w:val="24"/>
          <w:szCs w:val="24"/>
        </w:rPr>
        <w:t>给</w:t>
      </w:r>
      <w:r w:rsidR="00A67A2D" w:rsidRPr="00A46EDA">
        <w:rPr>
          <w:color w:val="000000" w:themeColor="text1"/>
          <w:sz w:val="24"/>
          <w:szCs w:val="24"/>
        </w:rPr>
        <w:t>基金</w:t>
      </w:r>
      <w:r w:rsidR="00A67A2D" w:rsidRPr="00A46EDA">
        <w:rPr>
          <w:rFonts w:hint="eastAsia"/>
          <w:color w:val="000000" w:themeColor="text1"/>
          <w:sz w:val="24"/>
          <w:szCs w:val="24"/>
        </w:rPr>
        <w:t>管理</w:t>
      </w:r>
      <w:r w:rsidR="00A67A2D" w:rsidRPr="00A46EDA">
        <w:rPr>
          <w:color w:val="000000" w:themeColor="text1"/>
          <w:sz w:val="24"/>
          <w:szCs w:val="24"/>
        </w:rPr>
        <w:t>人</w:t>
      </w:r>
      <w:r w:rsidR="00A67A2D" w:rsidRPr="00A46EDA">
        <w:rPr>
          <w:rFonts w:hint="eastAsia"/>
          <w:color w:val="000000" w:themeColor="text1"/>
          <w:sz w:val="24"/>
          <w:szCs w:val="24"/>
        </w:rPr>
        <w:t>。</w:t>
      </w:r>
    </w:p>
    <w:p w:rsidR="00E45AEB" w:rsidRPr="00A46EDA" w:rsidRDefault="00E45AEB" w:rsidP="00E45AEB">
      <w:pPr>
        <w:pStyle w:val="XBRLTitle1"/>
        <w:numPr>
          <w:ilvl w:val="0"/>
          <w:numId w:val="0"/>
        </w:numPr>
        <w:spacing w:before="156" w:after="156"/>
        <w:jc w:val="both"/>
      </w:pPr>
      <w:bookmarkStart w:id="180" w:name="_Toc405886539"/>
      <w:bookmarkStart w:id="181" w:name="_Toc405886540"/>
      <w:bookmarkStart w:id="182" w:name="_Toc405886541"/>
      <w:bookmarkStart w:id="183" w:name="_Toc405886542"/>
      <w:bookmarkStart w:id="184" w:name="_Toc405886543"/>
      <w:bookmarkStart w:id="185" w:name="_Toc405886544"/>
      <w:bookmarkStart w:id="186" w:name="_Toc405886545"/>
      <w:bookmarkStart w:id="187" w:name="_Toc405886546"/>
      <w:bookmarkStart w:id="188" w:name="_Toc405886547"/>
      <w:bookmarkStart w:id="189" w:name="_Toc405886548"/>
      <w:bookmarkStart w:id="190" w:name="_Toc405886549"/>
      <w:bookmarkStart w:id="191" w:name="_Toc405886550"/>
      <w:bookmarkStart w:id="192" w:name="_Toc405886551"/>
      <w:bookmarkStart w:id="193" w:name="_Toc405886552"/>
      <w:bookmarkStart w:id="194" w:name="_Toc405886553"/>
      <w:bookmarkStart w:id="195" w:name="_Toc405886554"/>
      <w:bookmarkStart w:id="196" w:name="_Toc405886555"/>
      <w:bookmarkStart w:id="197" w:name="_Toc405886556"/>
      <w:bookmarkStart w:id="198" w:name="_Toc405886557"/>
      <w:bookmarkStart w:id="199" w:name="_Toc405886558"/>
      <w:bookmarkStart w:id="200" w:name="_Toc405886559"/>
      <w:bookmarkStart w:id="201" w:name="_Toc405886560"/>
      <w:bookmarkStart w:id="202" w:name="_Toc405886561"/>
      <w:bookmarkStart w:id="203" w:name="_Toc405886562"/>
      <w:bookmarkStart w:id="204" w:name="_Toc405886563"/>
      <w:bookmarkStart w:id="205" w:name="_Toc405886564"/>
      <w:bookmarkStart w:id="206" w:name="_Toc405886565"/>
      <w:bookmarkStart w:id="207" w:name="_Toc405886566"/>
      <w:bookmarkStart w:id="208" w:name="_Toc405886567"/>
      <w:bookmarkStart w:id="209" w:name="_Toc405886568"/>
      <w:bookmarkStart w:id="210" w:name="_Toc405886569"/>
      <w:bookmarkStart w:id="211" w:name="_Toc405886570"/>
      <w:bookmarkStart w:id="212" w:name="_Toc405886571"/>
      <w:bookmarkStart w:id="213" w:name="_Toc405886572"/>
      <w:bookmarkStart w:id="214" w:name="_Toc405886573"/>
      <w:bookmarkStart w:id="215" w:name="_Toc405886574"/>
      <w:bookmarkStart w:id="216" w:name="_Toc405886575"/>
      <w:bookmarkStart w:id="217" w:name="_Toc405886576"/>
      <w:bookmarkStart w:id="218" w:name="_Toc405886577"/>
      <w:bookmarkStart w:id="219" w:name="_Toc405886578"/>
      <w:bookmarkStart w:id="220" w:name="_Toc405886579"/>
      <w:bookmarkStart w:id="221" w:name="_Toc405886580"/>
      <w:bookmarkStart w:id="222" w:name="_Toc405886581"/>
      <w:bookmarkStart w:id="223" w:name="_Toc405886582"/>
      <w:bookmarkStart w:id="224" w:name="_Toc405886583"/>
      <w:bookmarkStart w:id="225" w:name="_Toc405886584"/>
      <w:bookmarkStart w:id="226" w:name="_Toc405886585"/>
      <w:bookmarkStart w:id="227" w:name="_Toc405886586"/>
      <w:bookmarkStart w:id="228" w:name="_Toc405886587"/>
      <w:bookmarkStart w:id="229" w:name="_Toc405886588"/>
      <w:bookmarkStart w:id="230" w:name="_Toc405886589"/>
      <w:bookmarkStart w:id="231" w:name="_Toc405886590"/>
      <w:bookmarkStart w:id="232" w:name="_Toc405886591"/>
      <w:bookmarkStart w:id="233" w:name="_Toc405886592"/>
      <w:bookmarkStart w:id="234" w:name="_Toc405886593"/>
      <w:bookmarkStart w:id="235" w:name="_Toc405886594"/>
      <w:bookmarkStart w:id="236" w:name="_Toc405886595"/>
      <w:bookmarkStart w:id="237" w:name="_Toc405886596"/>
      <w:bookmarkStart w:id="238" w:name="_Toc405886597"/>
      <w:bookmarkStart w:id="239" w:name="_Toc405886598"/>
      <w:bookmarkStart w:id="240" w:name="_Toc405886599"/>
      <w:bookmarkStart w:id="241" w:name="_Toc405886600"/>
      <w:bookmarkStart w:id="242" w:name="_Toc405886601"/>
      <w:bookmarkStart w:id="243" w:name="_Toc405886602"/>
      <w:bookmarkStart w:id="244" w:name="_Toc405886603"/>
      <w:bookmarkStart w:id="245" w:name="_Toc405886604"/>
      <w:bookmarkStart w:id="246" w:name="_Toc405886605"/>
      <w:bookmarkStart w:id="247" w:name="_Toc405886606"/>
      <w:bookmarkStart w:id="248" w:name="_Toc405886607"/>
      <w:bookmarkStart w:id="249" w:name="_Toc405886608"/>
      <w:bookmarkStart w:id="250" w:name="_Toc405886609"/>
      <w:bookmarkStart w:id="251" w:name="_Toc405886610"/>
      <w:bookmarkStart w:id="252" w:name="_Toc405886611"/>
      <w:bookmarkStart w:id="253" w:name="_Toc405886612"/>
      <w:bookmarkStart w:id="254" w:name="_Toc405886613"/>
      <w:bookmarkStart w:id="255" w:name="_Toc405886614"/>
      <w:bookmarkStart w:id="256" w:name="_Toc405886615"/>
      <w:bookmarkStart w:id="257" w:name="_Toc405886616"/>
      <w:bookmarkStart w:id="258" w:name="_Toc405886617"/>
      <w:bookmarkStart w:id="259" w:name="_Toc405886618"/>
      <w:bookmarkStart w:id="260" w:name="_Toc405886619"/>
      <w:bookmarkStart w:id="261" w:name="_Toc405886620"/>
      <w:bookmarkStart w:id="262" w:name="_Toc405886621"/>
      <w:bookmarkStart w:id="263" w:name="_Toc405886622"/>
      <w:bookmarkStart w:id="264" w:name="_Toc405886623"/>
      <w:bookmarkStart w:id="265" w:name="_Toc405886624"/>
      <w:bookmarkStart w:id="266" w:name="_Toc405886625"/>
      <w:bookmarkStart w:id="267" w:name="_Toc405886626"/>
      <w:bookmarkStart w:id="268" w:name="_Toc405886627"/>
      <w:bookmarkStart w:id="269" w:name="_Toc405886628"/>
      <w:bookmarkStart w:id="270" w:name="_Toc405886639"/>
      <w:bookmarkStart w:id="271" w:name="_Toc405886644"/>
      <w:bookmarkStart w:id="272" w:name="_Toc405886654"/>
      <w:bookmarkStart w:id="273" w:name="_Toc405886674"/>
      <w:bookmarkStart w:id="274" w:name="_Toc405886675"/>
      <w:bookmarkStart w:id="275" w:name="_Toc405886676"/>
      <w:bookmarkStart w:id="276" w:name="_Toc405886685"/>
      <w:bookmarkStart w:id="277" w:name="_Toc405886699"/>
      <w:bookmarkStart w:id="278" w:name="_Toc405886704"/>
      <w:bookmarkStart w:id="279" w:name="_Toc405886705"/>
      <w:bookmarkStart w:id="280" w:name="_Toc405886712"/>
      <w:bookmarkStart w:id="281" w:name="_Toc405886713"/>
      <w:bookmarkStart w:id="282" w:name="_Toc405886714"/>
      <w:bookmarkStart w:id="283" w:name="_Toc405886727"/>
      <w:bookmarkStart w:id="284" w:name="_Toc405886728"/>
      <w:bookmarkStart w:id="285" w:name="_Toc405886735"/>
      <w:bookmarkStart w:id="286" w:name="_Toc405886736"/>
      <w:bookmarkStart w:id="287" w:name="_Toc405886747"/>
      <w:bookmarkStart w:id="288" w:name="_Toc405886757"/>
      <w:bookmarkStart w:id="289" w:name="_Toc405886767"/>
      <w:bookmarkStart w:id="290" w:name="_Toc405886777"/>
      <w:bookmarkStart w:id="291" w:name="_Toc405886787"/>
      <w:bookmarkStart w:id="292" w:name="_Toc405886796"/>
      <w:bookmarkStart w:id="293" w:name="_Toc405886797"/>
      <w:bookmarkStart w:id="294" w:name="_Toc405886798"/>
      <w:bookmarkStart w:id="295" w:name="_Toc405886819"/>
      <w:bookmarkStart w:id="296" w:name="_Toc405886854"/>
      <w:bookmarkStart w:id="297" w:name="_Toc405886855"/>
      <w:bookmarkStart w:id="298" w:name="_Toc405886856"/>
      <w:bookmarkStart w:id="299" w:name="_Toc405886864"/>
      <w:bookmarkStart w:id="300" w:name="_Toc405886865"/>
      <w:bookmarkStart w:id="301" w:name="_Toc405886882"/>
      <w:bookmarkStart w:id="302" w:name="_Toc405886883"/>
      <w:bookmarkStart w:id="303" w:name="_Toc405886892"/>
      <w:bookmarkStart w:id="304" w:name="_Toc405886893"/>
      <w:bookmarkStart w:id="305" w:name="_Toc405886894"/>
      <w:bookmarkStart w:id="306" w:name="_Toc405886896"/>
      <w:bookmarkStart w:id="307" w:name="_Toc405886903"/>
      <w:bookmarkStart w:id="308" w:name="_Toc405886905"/>
      <w:bookmarkStart w:id="309" w:name="_Toc405886942"/>
      <w:bookmarkStart w:id="310" w:name="_Toc405886943"/>
      <w:bookmarkStart w:id="311" w:name="_Toc405886944"/>
      <w:bookmarkStart w:id="312" w:name="_Toc405886945"/>
      <w:bookmarkStart w:id="313" w:name="_Toc405886946"/>
      <w:bookmarkStart w:id="314" w:name="_Toc405886947"/>
      <w:bookmarkStart w:id="315" w:name="_Toc405886953"/>
      <w:bookmarkStart w:id="316" w:name="_Toc405886959"/>
      <w:bookmarkStart w:id="317" w:name="_Toc405886991"/>
      <w:bookmarkStart w:id="318" w:name="_Toc405886992"/>
      <w:bookmarkStart w:id="319" w:name="_Toc405887007"/>
      <w:bookmarkStart w:id="320" w:name="_Toc405887008"/>
      <w:bookmarkStart w:id="321" w:name="_Toc405887019"/>
      <w:bookmarkStart w:id="322" w:name="_Toc405887024"/>
      <w:bookmarkStart w:id="323" w:name="_Toc405887029"/>
      <w:bookmarkStart w:id="324" w:name="_Toc405887030"/>
      <w:bookmarkStart w:id="325" w:name="_Toc405887039"/>
      <w:bookmarkStart w:id="326" w:name="_Toc405887043"/>
      <w:bookmarkStart w:id="327" w:name="_Toc405887051"/>
      <w:bookmarkStart w:id="328" w:name="_Toc405887055"/>
      <w:bookmarkStart w:id="329" w:name="_Toc405887059"/>
      <w:bookmarkStart w:id="330" w:name="_Toc405887060"/>
      <w:bookmarkStart w:id="331" w:name="_Toc405887061"/>
      <w:bookmarkStart w:id="332" w:name="_Toc405887062"/>
      <w:bookmarkStart w:id="333" w:name="_Toc405887063"/>
      <w:bookmarkStart w:id="334" w:name="_Toc405887091"/>
      <w:bookmarkStart w:id="335" w:name="_Toc405887092"/>
      <w:bookmarkStart w:id="336" w:name="_Toc405887093"/>
      <w:bookmarkStart w:id="337" w:name="_Toc405887096"/>
      <w:bookmarkStart w:id="338" w:name="_Toc405887099"/>
      <w:bookmarkStart w:id="339" w:name="_Toc405887102"/>
      <w:bookmarkStart w:id="340" w:name="_Toc405887105"/>
      <w:bookmarkStart w:id="341" w:name="_Toc405887108"/>
      <w:bookmarkStart w:id="342" w:name="_Toc405887112"/>
      <w:bookmarkStart w:id="343" w:name="_Toc405887113"/>
      <w:bookmarkStart w:id="344" w:name="_Toc405887120"/>
      <w:bookmarkStart w:id="345" w:name="_Toc405887130"/>
      <w:bookmarkStart w:id="346" w:name="_Toc405887131"/>
      <w:bookmarkStart w:id="347" w:name="_Toc405887132"/>
      <w:bookmarkStart w:id="348" w:name="_Toc405887138"/>
      <w:bookmarkStart w:id="349" w:name="_Toc405887149"/>
      <w:bookmarkStart w:id="350" w:name="_Toc405887150"/>
      <w:bookmarkStart w:id="351" w:name="_Toc405887157"/>
      <w:bookmarkStart w:id="352" w:name="_Toc405887158"/>
      <w:bookmarkStart w:id="353" w:name="_Toc405887164"/>
      <w:bookmarkStart w:id="354" w:name="_Toc247416688"/>
      <w:bookmarkStart w:id="355" w:name="_Toc495929390"/>
      <w:bookmarkStart w:id="356" w:name="m13_01"/>
      <w:bookmarkEnd w:id="17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A46EDA">
        <w:rPr>
          <w:rFonts w:hint="eastAsia"/>
        </w:rPr>
        <w:t>六、备查文件目录</w:t>
      </w:r>
      <w:bookmarkEnd w:id="354"/>
      <w:bookmarkEnd w:id="355"/>
    </w:p>
    <w:p w:rsidR="00E45AEB" w:rsidRPr="00A46EDA" w:rsidRDefault="00E45AEB" w:rsidP="00E45AEB">
      <w:pPr>
        <w:pStyle w:val="XBRLTitle2"/>
        <w:numPr>
          <w:ilvl w:val="0"/>
          <w:numId w:val="0"/>
        </w:numPr>
        <w:spacing w:before="156" w:after="156"/>
        <w:ind w:left="454" w:hanging="454"/>
      </w:pPr>
      <w:bookmarkStart w:id="357" w:name="_Toc495929391"/>
      <w:bookmarkStart w:id="358" w:name="m13_01_01_1733"/>
      <w:r w:rsidRPr="00A46EDA">
        <w:rPr>
          <w:rFonts w:hint="eastAsia"/>
        </w:rPr>
        <w:t>1</w:t>
      </w:r>
      <w:r w:rsidRPr="00A46EDA">
        <w:rPr>
          <w:rFonts w:hint="eastAsia"/>
        </w:rPr>
        <w:t>、备查文件目录</w:t>
      </w:r>
      <w:bookmarkEnd w:id="357"/>
    </w:p>
    <w:p w:rsidR="00E45AEB" w:rsidRPr="00A46EDA" w:rsidRDefault="00E45AEB" w:rsidP="00E45AEB">
      <w:pPr>
        <w:spacing w:line="360" w:lineRule="auto"/>
        <w:ind w:firstLineChars="200" w:firstLine="480"/>
        <w:rPr>
          <w:rFonts w:ascii="宋体" w:hAnsi="宋体"/>
          <w:sz w:val="24"/>
          <w:szCs w:val="24"/>
        </w:rPr>
      </w:pPr>
      <w:r w:rsidRPr="00A46EDA">
        <w:rPr>
          <w:kern w:val="0"/>
          <w:sz w:val="24"/>
          <w:szCs w:val="24"/>
        </w:rPr>
        <w:t>（</w:t>
      </w:r>
      <w:r w:rsidRPr="00A46EDA">
        <w:rPr>
          <w:kern w:val="0"/>
          <w:sz w:val="24"/>
          <w:szCs w:val="24"/>
        </w:rPr>
        <w:t>1</w:t>
      </w:r>
      <w:r w:rsidRPr="00A46EDA">
        <w:rPr>
          <w:kern w:val="0"/>
          <w:sz w:val="24"/>
          <w:szCs w:val="24"/>
        </w:rPr>
        <w:t>）</w:t>
      </w:r>
      <w:r w:rsidR="00933BBE" w:rsidRPr="00A46EDA">
        <w:rPr>
          <w:rFonts w:hint="eastAsia"/>
          <w:bCs/>
          <w:kern w:val="0"/>
          <w:sz w:val="24"/>
          <w:szCs w:val="24"/>
        </w:rPr>
        <w:t>鹏华兴实定期开放灵活配置混合型证券投资基金</w:t>
      </w:r>
      <w:r w:rsidRPr="00A46EDA">
        <w:rPr>
          <w:kern w:val="0"/>
          <w:sz w:val="24"/>
          <w:szCs w:val="24"/>
        </w:rPr>
        <w:t>资产负债表及审计报告</w:t>
      </w:r>
      <w:r w:rsidRPr="00A46EDA">
        <w:rPr>
          <w:rFonts w:ascii="宋体" w:hAnsi="宋体" w:hint="eastAsia"/>
          <w:sz w:val="24"/>
          <w:szCs w:val="24"/>
        </w:rPr>
        <w:t>；</w:t>
      </w:r>
    </w:p>
    <w:p w:rsidR="00E45AEB" w:rsidRPr="00A46EDA" w:rsidRDefault="00E45AEB" w:rsidP="00E45AEB">
      <w:pPr>
        <w:spacing w:line="360" w:lineRule="auto"/>
        <w:ind w:firstLineChars="200" w:firstLine="480"/>
        <w:rPr>
          <w:kern w:val="0"/>
          <w:sz w:val="24"/>
          <w:szCs w:val="24"/>
        </w:rPr>
      </w:pPr>
      <w:r w:rsidRPr="00A46EDA">
        <w:rPr>
          <w:kern w:val="0"/>
          <w:sz w:val="24"/>
          <w:szCs w:val="24"/>
        </w:rPr>
        <w:t>（</w:t>
      </w:r>
      <w:r w:rsidRPr="00A46EDA">
        <w:rPr>
          <w:kern w:val="0"/>
          <w:sz w:val="24"/>
          <w:szCs w:val="24"/>
        </w:rPr>
        <w:t>2</w:t>
      </w:r>
      <w:r w:rsidRPr="00A46EDA">
        <w:rPr>
          <w:kern w:val="0"/>
          <w:sz w:val="24"/>
          <w:szCs w:val="24"/>
        </w:rPr>
        <w:t>）</w:t>
      </w:r>
      <w:r w:rsidR="005B2782" w:rsidRPr="00A46EDA">
        <w:rPr>
          <w:kern w:val="0"/>
          <w:sz w:val="24"/>
          <w:szCs w:val="24"/>
        </w:rPr>
        <w:t>《</w:t>
      </w:r>
      <w:r w:rsidR="00933BBE" w:rsidRPr="00A46EDA">
        <w:rPr>
          <w:rFonts w:hint="eastAsia"/>
          <w:bCs/>
          <w:kern w:val="0"/>
          <w:sz w:val="24"/>
          <w:szCs w:val="24"/>
        </w:rPr>
        <w:t>鹏华兴实定期开放灵活配置混合型证券投资基金</w:t>
      </w:r>
      <w:r w:rsidR="005B2782" w:rsidRPr="00A46EDA">
        <w:rPr>
          <w:kern w:val="0"/>
          <w:sz w:val="24"/>
          <w:szCs w:val="24"/>
        </w:rPr>
        <w:t>清算报告》</w:t>
      </w:r>
      <w:r w:rsidRPr="00A46EDA">
        <w:rPr>
          <w:kern w:val="0"/>
          <w:sz w:val="24"/>
          <w:szCs w:val="24"/>
        </w:rPr>
        <w:t>的法律意见</w:t>
      </w:r>
      <w:r w:rsidRPr="00A46EDA">
        <w:rPr>
          <w:rFonts w:hint="eastAsia"/>
          <w:kern w:val="0"/>
          <w:sz w:val="24"/>
          <w:szCs w:val="24"/>
        </w:rPr>
        <w:t>。</w:t>
      </w:r>
    </w:p>
    <w:p w:rsidR="00E45AEB" w:rsidRPr="00A46EDA" w:rsidRDefault="00E45AEB" w:rsidP="00E45AEB">
      <w:pPr>
        <w:pStyle w:val="XBRLTitle2"/>
        <w:numPr>
          <w:ilvl w:val="0"/>
          <w:numId w:val="0"/>
        </w:numPr>
        <w:spacing w:before="156" w:after="156"/>
        <w:ind w:left="454" w:hanging="454"/>
      </w:pPr>
      <w:bookmarkStart w:id="359" w:name="_Toc495929392"/>
      <w:r w:rsidRPr="00A46EDA">
        <w:rPr>
          <w:rFonts w:hint="eastAsia"/>
        </w:rPr>
        <w:t>2</w:t>
      </w:r>
      <w:r w:rsidRPr="00A46EDA">
        <w:rPr>
          <w:rFonts w:hint="eastAsia"/>
        </w:rPr>
        <w:t>、存放地点</w:t>
      </w:r>
      <w:bookmarkEnd w:id="359"/>
    </w:p>
    <w:p w:rsidR="00E45AEB" w:rsidRPr="00A46EDA" w:rsidRDefault="00E45AEB" w:rsidP="00E45AEB">
      <w:pPr>
        <w:spacing w:line="360" w:lineRule="auto"/>
        <w:ind w:firstLineChars="200" w:firstLine="480"/>
        <w:rPr>
          <w:rFonts w:ascii="宋体" w:hAnsi="宋体"/>
          <w:sz w:val="24"/>
          <w:szCs w:val="24"/>
        </w:rPr>
      </w:pPr>
      <w:r w:rsidRPr="00A46EDA">
        <w:rPr>
          <w:rFonts w:ascii="宋体" w:hAnsi="宋体" w:hint="eastAsia"/>
          <w:sz w:val="24"/>
          <w:szCs w:val="24"/>
        </w:rPr>
        <w:t>基金管理人的办公场所。</w:t>
      </w:r>
    </w:p>
    <w:p w:rsidR="00E45AEB" w:rsidRPr="00A46EDA" w:rsidRDefault="00E45AEB" w:rsidP="00E45AEB">
      <w:pPr>
        <w:pStyle w:val="XBRLTitle2"/>
        <w:numPr>
          <w:ilvl w:val="0"/>
          <w:numId w:val="0"/>
        </w:numPr>
        <w:spacing w:before="156" w:after="156"/>
      </w:pPr>
      <w:bookmarkStart w:id="360" w:name="_Toc495929393"/>
      <w:bookmarkStart w:id="361" w:name="m13_01_03_1735"/>
      <w:bookmarkEnd w:id="358"/>
      <w:r w:rsidRPr="00A46EDA">
        <w:rPr>
          <w:rFonts w:hint="eastAsia"/>
        </w:rPr>
        <w:t>3</w:t>
      </w:r>
      <w:r w:rsidRPr="00A46EDA">
        <w:rPr>
          <w:rFonts w:hint="eastAsia"/>
        </w:rPr>
        <w:t>、查阅方式</w:t>
      </w:r>
      <w:bookmarkEnd w:id="360"/>
    </w:p>
    <w:p w:rsidR="00E45AEB" w:rsidRPr="00A46EDA" w:rsidRDefault="00E45AEB" w:rsidP="00E45AEB">
      <w:pPr>
        <w:spacing w:line="360" w:lineRule="auto"/>
        <w:ind w:firstLineChars="200" w:firstLine="480"/>
        <w:rPr>
          <w:rFonts w:ascii="宋体" w:hAnsi="宋体"/>
          <w:sz w:val="24"/>
          <w:szCs w:val="24"/>
        </w:rPr>
      </w:pPr>
      <w:r w:rsidRPr="00A46EDA">
        <w:rPr>
          <w:rFonts w:ascii="宋体" w:hAnsi="宋体"/>
          <w:sz w:val="24"/>
          <w:szCs w:val="24"/>
        </w:rPr>
        <w:t>投资者可在营业时间内至基金管理人的办公场所免费查阅。</w:t>
      </w:r>
    </w:p>
    <w:bookmarkEnd w:id="356"/>
    <w:bookmarkEnd w:id="361"/>
    <w:p w:rsidR="00E45AEB" w:rsidRPr="00A46EDA" w:rsidRDefault="00E45AEB" w:rsidP="00E45AEB">
      <w:pPr>
        <w:spacing w:line="360" w:lineRule="auto"/>
        <w:ind w:firstLine="480"/>
        <w:rPr>
          <w:rFonts w:ascii="宋体" w:hAnsi="宋体"/>
          <w:kern w:val="0"/>
          <w:sz w:val="24"/>
          <w:szCs w:val="24"/>
        </w:rPr>
      </w:pPr>
    </w:p>
    <w:p w:rsidR="00E45AEB" w:rsidRPr="00A46EDA" w:rsidRDefault="00E45AEB" w:rsidP="00E45AEB">
      <w:pPr>
        <w:spacing w:line="360" w:lineRule="auto"/>
        <w:ind w:firstLine="480"/>
        <w:rPr>
          <w:rFonts w:ascii="宋体" w:hAnsi="宋体"/>
          <w:kern w:val="0"/>
          <w:sz w:val="24"/>
          <w:szCs w:val="24"/>
        </w:rPr>
      </w:pPr>
    </w:p>
    <w:p w:rsidR="00E45AEB" w:rsidRPr="00A46EDA" w:rsidRDefault="00E45AEB" w:rsidP="00E45AEB">
      <w:pPr>
        <w:spacing w:line="360" w:lineRule="auto"/>
        <w:ind w:firstLine="480"/>
        <w:rPr>
          <w:rFonts w:ascii="宋体" w:hAnsi="宋体"/>
          <w:kern w:val="0"/>
          <w:sz w:val="24"/>
          <w:szCs w:val="24"/>
        </w:rPr>
      </w:pPr>
    </w:p>
    <w:p w:rsidR="00E45AEB" w:rsidRPr="00A46EDA" w:rsidRDefault="00E45AEB" w:rsidP="00E45AEB">
      <w:pPr>
        <w:spacing w:line="360" w:lineRule="auto"/>
        <w:ind w:firstLine="480"/>
        <w:rPr>
          <w:rFonts w:ascii="宋体" w:hAnsi="宋体"/>
          <w:kern w:val="0"/>
          <w:sz w:val="24"/>
          <w:szCs w:val="24"/>
        </w:rPr>
      </w:pPr>
    </w:p>
    <w:p w:rsidR="00E45AEB" w:rsidRPr="00A46EDA" w:rsidRDefault="00933BBE" w:rsidP="00E45AEB">
      <w:pPr>
        <w:spacing w:line="360" w:lineRule="auto"/>
        <w:ind w:firstLine="480"/>
        <w:jc w:val="right"/>
        <w:rPr>
          <w:rFonts w:ascii="宋体" w:hAnsi="宋体"/>
          <w:sz w:val="24"/>
          <w:szCs w:val="24"/>
        </w:rPr>
      </w:pPr>
      <w:r w:rsidRPr="00A46EDA">
        <w:rPr>
          <w:rFonts w:hint="eastAsia"/>
          <w:bCs/>
          <w:kern w:val="0"/>
          <w:sz w:val="24"/>
          <w:szCs w:val="24"/>
        </w:rPr>
        <w:t>鹏华兴实定期开放灵活配置混合型证券投资基金</w:t>
      </w:r>
      <w:r w:rsidR="00E45AEB" w:rsidRPr="00A46EDA">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sidRPr="00A46EDA">
        <w:rPr>
          <w:rFonts w:ascii="宋体" w:hAnsi="宋体" w:hint="eastAsia"/>
          <w:sz w:val="24"/>
          <w:szCs w:val="24"/>
        </w:rPr>
        <w:t>20</w:t>
      </w:r>
      <w:r w:rsidR="00EF0F70">
        <w:rPr>
          <w:rFonts w:ascii="宋体" w:hAnsi="宋体"/>
          <w:sz w:val="24"/>
          <w:szCs w:val="24"/>
        </w:rPr>
        <w:t>18</w:t>
      </w:r>
      <w:r w:rsidR="00E45AEB" w:rsidRPr="00A46EDA">
        <w:rPr>
          <w:rFonts w:ascii="宋体" w:hAnsi="宋体" w:hint="eastAsia"/>
          <w:sz w:val="24"/>
          <w:szCs w:val="24"/>
        </w:rPr>
        <w:t>年</w:t>
      </w:r>
      <w:r w:rsidR="00EF0F70">
        <w:rPr>
          <w:rFonts w:ascii="宋体" w:hAnsi="宋体"/>
          <w:sz w:val="24"/>
          <w:szCs w:val="24"/>
        </w:rPr>
        <w:t>11</w:t>
      </w:r>
      <w:r w:rsidR="00E45AEB" w:rsidRPr="00A46EDA">
        <w:rPr>
          <w:rFonts w:ascii="宋体" w:hAnsi="宋体" w:hint="eastAsia"/>
          <w:sz w:val="24"/>
          <w:szCs w:val="24"/>
        </w:rPr>
        <w:t>月</w:t>
      </w:r>
      <w:r w:rsidR="00EF0F70">
        <w:rPr>
          <w:rFonts w:ascii="宋体" w:hAnsi="宋体"/>
          <w:sz w:val="24"/>
          <w:szCs w:val="24"/>
        </w:rPr>
        <w:t>9</w:t>
      </w:r>
      <w:r w:rsidR="00E45AEB" w:rsidRPr="00A46EDA">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99" w:rsidRDefault="00F37999">
      <w:r>
        <w:separator/>
      </w:r>
    </w:p>
  </w:endnote>
  <w:endnote w:type="continuationSeparator" w:id="1">
    <w:p w:rsidR="00F37999" w:rsidRDefault="00F3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75" w:rsidRDefault="004D5899" w:rsidP="009B4BEF">
    <w:pPr>
      <w:pStyle w:val="a4"/>
      <w:framePr w:wrap="around" w:vAnchor="text" w:hAnchor="margin" w:xAlign="right" w:y="1"/>
      <w:rPr>
        <w:rStyle w:val="a7"/>
      </w:rPr>
    </w:pPr>
    <w:r>
      <w:rPr>
        <w:rStyle w:val="a7"/>
      </w:rPr>
      <w:fldChar w:fldCharType="begin"/>
    </w:r>
    <w:r w:rsidR="00E55675">
      <w:rPr>
        <w:rStyle w:val="a7"/>
      </w:rPr>
      <w:instrText xml:space="preserve">PAGE  </w:instrText>
    </w:r>
    <w:r>
      <w:rPr>
        <w:rStyle w:val="a7"/>
      </w:rPr>
      <w:fldChar w:fldCharType="end"/>
    </w:r>
  </w:p>
  <w:p w:rsidR="00E55675" w:rsidRDefault="00E55675"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75" w:rsidRDefault="00E55675" w:rsidP="009B4BEF">
    <w:pPr>
      <w:pStyle w:val="a4"/>
      <w:framePr w:wrap="around" w:vAnchor="text" w:hAnchor="margin" w:xAlign="right" w:y="1"/>
      <w:rPr>
        <w:rStyle w:val="a7"/>
      </w:rPr>
    </w:pPr>
  </w:p>
  <w:p w:rsidR="00E55675" w:rsidRDefault="00E55675" w:rsidP="009B4BEF">
    <w:pPr>
      <w:pStyle w:val="a4"/>
      <w:ind w:right="360"/>
      <w:jc w:val="center"/>
    </w:pPr>
    <w:r>
      <w:rPr>
        <w:rFonts w:hint="eastAsia"/>
      </w:rPr>
      <w:t>第</w:t>
    </w:r>
    <w:r w:rsidR="004D5899">
      <w:fldChar w:fldCharType="begin"/>
    </w:r>
    <w:r>
      <w:rPr>
        <w:rFonts w:hint="eastAsia"/>
      </w:rPr>
      <w:instrText>PAGE   \* MERGEFORMAT</w:instrText>
    </w:r>
    <w:r w:rsidR="004D5899">
      <w:fldChar w:fldCharType="separate"/>
    </w:r>
    <w:r w:rsidR="00D54DA9">
      <w:rPr>
        <w:noProof/>
      </w:rPr>
      <w:t>2</w:t>
    </w:r>
    <w:r w:rsidR="004D5899">
      <w:fldChar w:fldCharType="end"/>
    </w:r>
    <w:r>
      <w:rPr>
        <w:rFonts w:hint="eastAsia"/>
      </w:rPr>
      <w:t>页共</w:t>
    </w:r>
    <w:fldSimple w:instr=" NUMPAGES   \* MERGEFORMAT ">
      <w:r w:rsidR="00D54DA9">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99" w:rsidRDefault="00F37999">
      <w:r>
        <w:separator/>
      </w:r>
    </w:p>
  </w:footnote>
  <w:footnote w:type="continuationSeparator" w:id="1">
    <w:p w:rsidR="00F37999" w:rsidRDefault="00F37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75" w:rsidRDefault="00E55675" w:rsidP="009B4BEF">
    <w:pPr>
      <w:pStyle w:val="a3"/>
      <w:jc w:val="right"/>
    </w:pPr>
    <w:r>
      <w:rPr>
        <w:rStyle w:val="spelle"/>
      </w:rPr>
      <w:t>鹏华兴实定期开放混合</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5C17"/>
    <w:rsid w:val="0002798D"/>
    <w:rsid w:val="0003284F"/>
    <w:rsid w:val="00040003"/>
    <w:rsid w:val="0004427F"/>
    <w:rsid w:val="00054628"/>
    <w:rsid w:val="000628A4"/>
    <w:rsid w:val="00071CF4"/>
    <w:rsid w:val="0007645B"/>
    <w:rsid w:val="00080257"/>
    <w:rsid w:val="00093211"/>
    <w:rsid w:val="000B0BD6"/>
    <w:rsid w:val="000D1E09"/>
    <w:rsid w:val="000E46F6"/>
    <w:rsid w:val="000E732B"/>
    <w:rsid w:val="000F645F"/>
    <w:rsid w:val="00103465"/>
    <w:rsid w:val="00121444"/>
    <w:rsid w:val="00122223"/>
    <w:rsid w:val="001271F0"/>
    <w:rsid w:val="00140DC6"/>
    <w:rsid w:val="00144B84"/>
    <w:rsid w:val="00146348"/>
    <w:rsid w:val="00157423"/>
    <w:rsid w:val="00163916"/>
    <w:rsid w:val="001920DC"/>
    <w:rsid w:val="001928AF"/>
    <w:rsid w:val="001A19BF"/>
    <w:rsid w:val="001A2620"/>
    <w:rsid w:val="001A4480"/>
    <w:rsid w:val="001B11F4"/>
    <w:rsid w:val="001B129C"/>
    <w:rsid w:val="001D44B7"/>
    <w:rsid w:val="001E7B02"/>
    <w:rsid w:val="002021FD"/>
    <w:rsid w:val="00211C86"/>
    <w:rsid w:val="00222078"/>
    <w:rsid w:val="00244C05"/>
    <w:rsid w:val="002616BF"/>
    <w:rsid w:val="00267E8A"/>
    <w:rsid w:val="002846BA"/>
    <w:rsid w:val="00287B65"/>
    <w:rsid w:val="00292293"/>
    <w:rsid w:val="002A3F04"/>
    <w:rsid w:val="002C097E"/>
    <w:rsid w:val="00302412"/>
    <w:rsid w:val="00306315"/>
    <w:rsid w:val="003072A3"/>
    <w:rsid w:val="0033728E"/>
    <w:rsid w:val="003427AF"/>
    <w:rsid w:val="0037297E"/>
    <w:rsid w:val="00390721"/>
    <w:rsid w:val="00397457"/>
    <w:rsid w:val="003B018C"/>
    <w:rsid w:val="003D4E2B"/>
    <w:rsid w:val="003F725C"/>
    <w:rsid w:val="00401C39"/>
    <w:rsid w:val="0040614D"/>
    <w:rsid w:val="004123E1"/>
    <w:rsid w:val="00414B2A"/>
    <w:rsid w:val="00416970"/>
    <w:rsid w:val="00437609"/>
    <w:rsid w:val="00442562"/>
    <w:rsid w:val="0044770D"/>
    <w:rsid w:val="004553D0"/>
    <w:rsid w:val="00463BAB"/>
    <w:rsid w:val="00467FE5"/>
    <w:rsid w:val="00470C24"/>
    <w:rsid w:val="00477CFF"/>
    <w:rsid w:val="0049312D"/>
    <w:rsid w:val="004A7A21"/>
    <w:rsid w:val="004C5AAA"/>
    <w:rsid w:val="004D2D1B"/>
    <w:rsid w:val="004D5899"/>
    <w:rsid w:val="004E07DE"/>
    <w:rsid w:val="004F6C60"/>
    <w:rsid w:val="00512021"/>
    <w:rsid w:val="00524887"/>
    <w:rsid w:val="00546883"/>
    <w:rsid w:val="00547D0F"/>
    <w:rsid w:val="00561B61"/>
    <w:rsid w:val="005640B2"/>
    <w:rsid w:val="00566E91"/>
    <w:rsid w:val="005A33F6"/>
    <w:rsid w:val="005A4D1D"/>
    <w:rsid w:val="005B0BFE"/>
    <w:rsid w:val="005B2782"/>
    <w:rsid w:val="005C544D"/>
    <w:rsid w:val="005C5BFE"/>
    <w:rsid w:val="005D00B6"/>
    <w:rsid w:val="005E7505"/>
    <w:rsid w:val="005F11B7"/>
    <w:rsid w:val="00603C5D"/>
    <w:rsid w:val="006075AD"/>
    <w:rsid w:val="00624539"/>
    <w:rsid w:val="00626C3A"/>
    <w:rsid w:val="006339AA"/>
    <w:rsid w:val="006430AC"/>
    <w:rsid w:val="00645245"/>
    <w:rsid w:val="00646D97"/>
    <w:rsid w:val="00647AC2"/>
    <w:rsid w:val="006502D4"/>
    <w:rsid w:val="00671978"/>
    <w:rsid w:val="006A0B1B"/>
    <w:rsid w:val="006B7150"/>
    <w:rsid w:val="006C36D9"/>
    <w:rsid w:val="006D63F1"/>
    <w:rsid w:val="006E5D6D"/>
    <w:rsid w:val="006F21C7"/>
    <w:rsid w:val="00701528"/>
    <w:rsid w:val="0074135D"/>
    <w:rsid w:val="007469C0"/>
    <w:rsid w:val="00751579"/>
    <w:rsid w:val="00762063"/>
    <w:rsid w:val="00777F02"/>
    <w:rsid w:val="00796F2C"/>
    <w:rsid w:val="007B035D"/>
    <w:rsid w:val="007B175E"/>
    <w:rsid w:val="007B2F6B"/>
    <w:rsid w:val="007D5026"/>
    <w:rsid w:val="007D557F"/>
    <w:rsid w:val="007D5FD8"/>
    <w:rsid w:val="007E439D"/>
    <w:rsid w:val="007F6EEC"/>
    <w:rsid w:val="0081201C"/>
    <w:rsid w:val="00814FBD"/>
    <w:rsid w:val="00825204"/>
    <w:rsid w:val="008334AA"/>
    <w:rsid w:val="0084424B"/>
    <w:rsid w:val="00845607"/>
    <w:rsid w:val="00852362"/>
    <w:rsid w:val="00855E78"/>
    <w:rsid w:val="0086456E"/>
    <w:rsid w:val="00883FE9"/>
    <w:rsid w:val="00890559"/>
    <w:rsid w:val="008905E6"/>
    <w:rsid w:val="008A2788"/>
    <w:rsid w:val="008C5BB0"/>
    <w:rsid w:val="008D20C2"/>
    <w:rsid w:val="008D7BD2"/>
    <w:rsid w:val="008D7E1E"/>
    <w:rsid w:val="009024EA"/>
    <w:rsid w:val="00903B72"/>
    <w:rsid w:val="00913A11"/>
    <w:rsid w:val="00921A3B"/>
    <w:rsid w:val="00930784"/>
    <w:rsid w:val="00933BBE"/>
    <w:rsid w:val="00935A34"/>
    <w:rsid w:val="009378E6"/>
    <w:rsid w:val="00943873"/>
    <w:rsid w:val="00963892"/>
    <w:rsid w:val="009A610B"/>
    <w:rsid w:val="009B3A49"/>
    <w:rsid w:val="009B4BEF"/>
    <w:rsid w:val="009B4DC2"/>
    <w:rsid w:val="009B5EE6"/>
    <w:rsid w:val="009B5F6F"/>
    <w:rsid w:val="009E0D8F"/>
    <w:rsid w:val="00A01005"/>
    <w:rsid w:val="00A0564E"/>
    <w:rsid w:val="00A12C1D"/>
    <w:rsid w:val="00A14711"/>
    <w:rsid w:val="00A24A97"/>
    <w:rsid w:val="00A415C0"/>
    <w:rsid w:val="00A41AA1"/>
    <w:rsid w:val="00A46EDA"/>
    <w:rsid w:val="00A67A2D"/>
    <w:rsid w:val="00A87048"/>
    <w:rsid w:val="00AA0522"/>
    <w:rsid w:val="00AA4954"/>
    <w:rsid w:val="00AB2642"/>
    <w:rsid w:val="00AC5F3D"/>
    <w:rsid w:val="00AD26C4"/>
    <w:rsid w:val="00AD6DD8"/>
    <w:rsid w:val="00AF2436"/>
    <w:rsid w:val="00B02136"/>
    <w:rsid w:val="00B64F13"/>
    <w:rsid w:val="00B7261E"/>
    <w:rsid w:val="00B74443"/>
    <w:rsid w:val="00B83122"/>
    <w:rsid w:val="00B90650"/>
    <w:rsid w:val="00BA091F"/>
    <w:rsid w:val="00BA6B2B"/>
    <w:rsid w:val="00BB0571"/>
    <w:rsid w:val="00BC7619"/>
    <w:rsid w:val="00BE2B06"/>
    <w:rsid w:val="00C00EFB"/>
    <w:rsid w:val="00C026D1"/>
    <w:rsid w:val="00C07E4E"/>
    <w:rsid w:val="00C254A8"/>
    <w:rsid w:val="00C328FA"/>
    <w:rsid w:val="00C420CC"/>
    <w:rsid w:val="00C51AEF"/>
    <w:rsid w:val="00C93CE6"/>
    <w:rsid w:val="00C947C1"/>
    <w:rsid w:val="00CA0C48"/>
    <w:rsid w:val="00CA79DA"/>
    <w:rsid w:val="00CB13AB"/>
    <w:rsid w:val="00CC0F0A"/>
    <w:rsid w:val="00CD005B"/>
    <w:rsid w:val="00CD44F8"/>
    <w:rsid w:val="00CE34B1"/>
    <w:rsid w:val="00D0708E"/>
    <w:rsid w:val="00D367FA"/>
    <w:rsid w:val="00D54DA9"/>
    <w:rsid w:val="00D56786"/>
    <w:rsid w:val="00D66AD9"/>
    <w:rsid w:val="00D93C18"/>
    <w:rsid w:val="00DB06D8"/>
    <w:rsid w:val="00DB2D95"/>
    <w:rsid w:val="00DB6A7C"/>
    <w:rsid w:val="00DB767F"/>
    <w:rsid w:val="00DD767B"/>
    <w:rsid w:val="00DE3296"/>
    <w:rsid w:val="00DF34A4"/>
    <w:rsid w:val="00E07C33"/>
    <w:rsid w:val="00E21FF3"/>
    <w:rsid w:val="00E45923"/>
    <w:rsid w:val="00E45AEB"/>
    <w:rsid w:val="00E550F9"/>
    <w:rsid w:val="00E55675"/>
    <w:rsid w:val="00E65BCD"/>
    <w:rsid w:val="00EA2668"/>
    <w:rsid w:val="00EA7331"/>
    <w:rsid w:val="00EB3AC5"/>
    <w:rsid w:val="00EC2A67"/>
    <w:rsid w:val="00EC7AE3"/>
    <w:rsid w:val="00ED3B51"/>
    <w:rsid w:val="00EE5157"/>
    <w:rsid w:val="00EF0F70"/>
    <w:rsid w:val="00EF25D1"/>
    <w:rsid w:val="00F00D60"/>
    <w:rsid w:val="00F209CB"/>
    <w:rsid w:val="00F30ED7"/>
    <w:rsid w:val="00F37999"/>
    <w:rsid w:val="00F46A44"/>
    <w:rsid w:val="00F81EF1"/>
    <w:rsid w:val="00F84C6F"/>
    <w:rsid w:val="00F852E4"/>
    <w:rsid w:val="00F914A5"/>
    <w:rsid w:val="00FA2527"/>
    <w:rsid w:val="00FA5304"/>
    <w:rsid w:val="00FB05B2"/>
    <w:rsid w:val="00FC1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 w:type="character" w:customStyle="1" w:styleId="spelle">
    <w:name w:val="spelle"/>
    <w:basedOn w:val="a0"/>
    <w:rsid w:val="0007645B"/>
  </w:style>
</w:styles>
</file>

<file path=word/webSettings.xml><?xml version="1.0" encoding="utf-8"?>
<w:webSettings xmlns:r="http://schemas.openxmlformats.org/officeDocument/2006/relationships" xmlns:w="http://schemas.openxmlformats.org/wordprocessingml/2006/main">
  <w:divs>
    <w:div w:id="70278293">
      <w:bodyDiv w:val="1"/>
      <w:marLeft w:val="0"/>
      <w:marRight w:val="0"/>
      <w:marTop w:val="0"/>
      <w:marBottom w:val="0"/>
      <w:divBdr>
        <w:top w:val="none" w:sz="0" w:space="0" w:color="auto"/>
        <w:left w:val="none" w:sz="0" w:space="0" w:color="auto"/>
        <w:bottom w:val="none" w:sz="0" w:space="0" w:color="auto"/>
        <w:right w:val="none" w:sz="0" w:space="0" w:color="auto"/>
      </w:divBdr>
    </w:div>
    <w:div w:id="80879932">
      <w:bodyDiv w:val="1"/>
      <w:marLeft w:val="0"/>
      <w:marRight w:val="0"/>
      <w:marTop w:val="0"/>
      <w:marBottom w:val="0"/>
      <w:divBdr>
        <w:top w:val="none" w:sz="0" w:space="0" w:color="auto"/>
        <w:left w:val="none" w:sz="0" w:space="0" w:color="auto"/>
        <w:bottom w:val="none" w:sz="0" w:space="0" w:color="auto"/>
        <w:right w:val="none" w:sz="0" w:space="0" w:color="auto"/>
      </w:divBdr>
    </w:div>
    <w:div w:id="92823090">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47479755">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374548391">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438304883">
      <w:bodyDiv w:val="1"/>
      <w:marLeft w:val="0"/>
      <w:marRight w:val="0"/>
      <w:marTop w:val="0"/>
      <w:marBottom w:val="0"/>
      <w:divBdr>
        <w:top w:val="none" w:sz="0" w:space="0" w:color="auto"/>
        <w:left w:val="none" w:sz="0" w:space="0" w:color="auto"/>
        <w:bottom w:val="none" w:sz="0" w:space="0" w:color="auto"/>
        <w:right w:val="none" w:sz="0" w:space="0" w:color="auto"/>
      </w:divBdr>
    </w:div>
    <w:div w:id="467164918">
      <w:bodyDiv w:val="1"/>
      <w:marLeft w:val="0"/>
      <w:marRight w:val="0"/>
      <w:marTop w:val="0"/>
      <w:marBottom w:val="0"/>
      <w:divBdr>
        <w:top w:val="none" w:sz="0" w:space="0" w:color="auto"/>
        <w:left w:val="none" w:sz="0" w:space="0" w:color="auto"/>
        <w:bottom w:val="none" w:sz="0" w:space="0" w:color="auto"/>
        <w:right w:val="none" w:sz="0" w:space="0" w:color="auto"/>
      </w:divBdr>
    </w:div>
    <w:div w:id="557136068">
      <w:bodyDiv w:val="1"/>
      <w:marLeft w:val="0"/>
      <w:marRight w:val="0"/>
      <w:marTop w:val="0"/>
      <w:marBottom w:val="0"/>
      <w:divBdr>
        <w:top w:val="none" w:sz="0" w:space="0" w:color="auto"/>
        <w:left w:val="none" w:sz="0" w:space="0" w:color="auto"/>
        <w:bottom w:val="none" w:sz="0" w:space="0" w:color="auto"/>
        <w:right w:val="none" w:sz="0" w:space="0" w:color="auto"/>
      </w:divBdr>
    </w:div>
    <w:div w:id="574050586">
      <w:bodyDiv w:val="1"/>
      <w:marLeft w:val="0"/>
      <w:marRight w:val="0"/>
      <w:marTop w:val="0"/>
      <w:marBottom w:val="0"/>
      <w:divBdr>
        <w:top w:val="none" w:sz="0" w:space="0" w:color="auto"/>
        <w:left w:val="none" w:sz="0" w:space="0" w:color="auto"/>
        <w:bottom w:val="none" w:sz="0" w:space="0" w:color="auto"/>
        <w:right w:val="none" w:sz="0" w:space="0" w:color="auto"/>
      </w:divBdr>
    </w:div>
    <w:div w:id="657148495">
      <w:bodyDiv w:val="1"/>
      <w:marLeft w:val="0"/>
      <w:marRight w:val="0"/>
      <w:marTop w:val="0"/>
      <w:marBottom w:val="0"/>
      <w:divBdr>
        <w:top w:val="none" w:sz="0" w:space="0" w:color="auto"/>
        <w:left w:val="none" w:sz="0" w:space="0" w:color="auto"/>
        <w:bottom w:val="none" w:sz="0" w:space="0" w:color="auto"/>
        <w:right w:val="none" w:sz="0" w:space="0" w:color="auto"/>
      </w:divBdr>
    </w:div>
    <w:div w:id="658578237">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807741426">
      <w:bodyDiv w:val="1"/>
      <w:marLeft w:val="0"/>
      <w:marRight w:val="0"/>
      <w:marTop w:val="0"/>
      <w:marBottom w:val="0"/>
      <w:divBdr>
        <w:top w:val="none" w:sz="0" w:space="0" w:color="auto"/>
        <w:left w:val="none" w:sz="0" w:space="0" w:color="auto"/>
        <w:bottom w:val="none" w:sz="0" w:space="0" w:color="auto"/>
        <w:right w:val="none" w:sz="0" w:space="0" w:color="auto"/>
      </w:divBdr>
    </w:div>
    <w:div w:id="852761740">
      <w:bodyDiv w:val="1"/>
      <w:marLeft w:val="0"/>
      <w:marRight w:val="0"/>
      <w:marTop w:val="0"/>
      <w:marBottom w:val="0"/>
      <w:divBdr>
        <w:top w:val="none" w:sz="0" w:space="0" w:color="auto"/>
        <w:left w:val="none" w:sz="0" w:space="0" w:color="auto"/>
        <w:bottom w:val="none" w:sz="0" w:space="0" w:color="auto"/>
        <w:right w:val="none" w:sz="0" w:space="0" w:color="auto"/>
      </w:divBdr>
    </w:div>
    <w:div w:id="1010570128">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129006240">
      <w:bodyDiv w:val="1"/>
      <w:marLeft w:val="0"/>
      <w:marRight w:val="0"/>
      <w:marTop w:val="0"/>
      <w:marBottom w:val="0"/>
      <w:divBdr>
        <w:top w:val="none" w:sz="0" w:space="0" w:color="auto"/>
        <w:left w:val="none" w:sz="0" w:space="0" w:color="auto"/>
        <w:bottom w:val="none" w:sz="0" w:space="0" w:color="auto"/>
        <w:right w:val="none" w:sz="0" w:space="0" w:color="auto"/>
      </w:divBdr>
    </w:div>
    <w:div w:id="1184590043">
      <w:bodyDiv w:val="1"/>
      <w:marLeft w:val="0"/>
      <w:marRight w:val="0"/>
      <w:marTop w:val="0"/>
      <w:marBottom w:val="0"/>
      <w:divBdr>
        <w:top w:val="none" w:sz="0" w:space="0" w:color="auto"/>
        <w:left w:val="none" w:sz="0" w:space="0" w:color="auto"/>
        <w:bottom w:val="none" w:sz="0" w:space="0" w:color="auto"/>
        <w:right w:val="none" w:sz="0" w:space="0" w:color="auto"/>
      </w:divBdr>
    </w:div>
    <w:div w:id="1234971548">
      <w:bodyDiv w:val="1"/>
      <w:marLeft w:val="0"/>
      <w:marRight w:val="0"/>
      <w:marTop w:val="0"/>
      <w:marBottom w:val="0"/>
      <w:divBdr>
        <w:top w:val="none" w:sz="0" w:space="0" w:color="auto"/>
        <w:left w:val="none" w:sz="0" w:space="0" w:color="auto"/>
        <w:bottom w:val="none" w:sz="0" w:space="0" w:color="auto"/>
        <w:right w:val="none" w:sz="0" w:space="0" w:color="auto"/>
      </w:divBdr>
    </w:div>
    <w:div w:id="1251232818">
      <w:bodyDiv w:val="1"/>
      <w:marLeft w:val="0"/>
      <w:marRight w:val="0"/>
      <w:marTop w:val="0"/>
      <w:marBottom w:val="0"/>
      <w:divBdr>
        <w:top w:val="none" w:sz="0" w:space="0" w:color="auto"/>
        <w:left w:val="none" w:sz="0" w:space="0" w:color="auto"/>
        <w:bottom w:val="none" w:sz="0" w:space="0" w:color="auto"/>
        <w:right w:val="none" w:sz="0" w:space="0" w:color="auto"/>
      </w:divBdr>
    </w:div>
    <w:div w:id="1549996106">
      <w:bodyDiv w:val="1"/>
      <w:marLeft w:val="0"/>
      <w:marRight w:val="0"/>
      <w:marTop w:val="0"/>
      <w:marBottom w:val="0"/>
      <w:divBdr>
        <w:top w:val="none" w:sz="0" w:space="0" w:color="auto"/>
        <w:left w:val="none" w:sz="0" w:space="0" w:color="auto"/>
        <w:bottom w:val="none" w:sz="0" w:space="0" w:color="auto"/>
        <w:right w:val="none" w:sz="0" w:space="0" w:color="auto"/>
      </w:divBdr>
    </w:div>
    <w:div w:id="1608655544">
      <w:bodyDiv w:val="1"/>
      <w:marLeft w:val="0"/>
      <w:marRight w:val="0"/>
      <w:marTop w:val="0"/>
      <w:marBottom w:val="0"/>
      <w:divBdr>
        <w:top w:val="none" w:sz="0" w:space="0" w:color="auto"/>
        <w:left w:val="none" w:sz="0" w:space="0" w:color="auto"/>
        <w:bottom w:val="none" w:sz="0" w:space="0" w:color="auto"/>
        <w:right w:val="none" w:sz="0" w:space="0" w:color="auto"/>
      </w:divBdr>
    </w:div>
    <w:div w:id="1636522375">
      <w:bodyDiv w:val="1"/>
      <w:marLeft w:val="0"/>
      <w:marRight w:val="0"/>
      <w:marTop w:val="0"/>
      <w:marBottom w:val="0"/>
      <w:divBdr>
        <w:top w:val="none" w:sz="0" w:space="0" w:color="auto"/>
        <w:left w:val="none" w:sz="0" w:space="0" w:color="auto"/>
        <w:bottom w:val="none" w:sz="0" w:space="0" w:color="auto"/>
        <w:right w:val="none" w:sz="0" w:space="0" w:color="auto"/>
      </w:divBdr>
    </w:div>
    <w:div w:id="1645311326">
      <w:bodyDiv w:val="1"/>
      <w:marLeft w:val="0"/>
      <w:marRight w:val="0"/>
      <w:marTop w:val="0"/>
      <w:marBottom w:val="0"/>
      <w:divBdr>
        <w:top w:val="none" w:sz="0" w:space="0" w:color="auto"/>
        <w:left w:val="none" w:sz="0" w:space="0" w:color="auto"/>
        <w:bottom w:val="none" w:sz="0" w:space="0" w:color="auto"/>
        <w:right w:val="none" w:sz="0" w:space="0" w:color="auto"/>
      </w:divBdr>
    </w:div>
    <w:div w:id="1826045691">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 w:id="1909343766">
      <w:bodyDiv w:val="1"/>
      <w:marLeft w:val="0"/>
      <w:marRight w:val="0"/>
      <w:marTop w:val="0"/>
      <w:marBottom w:val="0"/>
      <w:divBdr>
        <w:top w:val="none" w:sz="0" w:space="0" w:color="auto"/>
        <w:left w:val="none" w:sz="0" w:space="0" w:color="auto"/>
        <w:bottom w:val="none" w:sz="0" w:space="0" w:color="auto"/>
        <w:right w:val="none" w:sz="0" w:space="0" w:color="auto"/>
      </w:divBdr>
    </w:div>
    <w:div w:id="1925726392">
      <w:bodyDiv w:val="1"/>
      <w:marLeft w:val="0"/>
      <w:marRight w:val="0"/>
      <w:marTop w:val="0"/>
      <w:marBottom w:val="0"/>
      <w:divBdr>
        <w:top w:val="none" w:sz="0" w:space="0" w:color="auto"/>
        <w:left w:val="none" w:sz="0" w:space="0" w:color="auto"/>
        <w:bottom w:val="none" w:sz="0" w:space="0" w:color="auto"/>
        <w:right w:val="none" w:sz="0" w:space="0" w:color="auto"/>
      </w:divBdr>
    </w:div>
    <w:div w:id="1948191385">
      <w:bodyDiv w:val="1"/>
      <w:marLeft w:val="0"/>
      <w:marRight w:val="0"/>
      <w:marTop w:val="0"/>
      <w:marBottom w:val="0"/>
      <w:divBdr>
        <w:top w:val="none" w:sz="0" w:space="0" w:color="auto"/>
        <w:left w:val="none" w:sz="0" w:space="0" w:color="auto"/>
        <w:bottom w:val="none" w:sz="0" w:space="0" w:color="auto"/>
        <w:right w:val="none" w:sz="0" w:space="0" w:color="auto"/>
      </w:divBdr>
    </w:div>
    <w:div w:id="19891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D464-668C-4C69-B63E-857A25A4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4871</Characters>
  <Application>Microsoft Office Word</Application>
  <DocSecurity>4</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卢超铭</dc:creator>
  <cp:lastModifiedBy>ZHONGM</cp:lastModifiedBy>
  <cp:revision>2</cp:revision>
  <dcterms:created xsi:type="dcterms:W3CDTF">2018-11-08T16:33:00Z</dcterms:created>
  <dcterms:modified xsi:type="dcterms:W3CDTF">2018-11-08T16:33:00Z</dcterms:modified>
</cp:coreProperties>
</file>