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D0" w:rsidRDefault="00BE4CD0" w:rsidP="00BE4CD0">
      <w:pPr>
        <w:autoSpaceDE w:val="0"/>
        <w:autoSpaceDN w:val="0"/>
        <w:adjustRightInd w:val="0"/>
        <w:spacing w:before="30" w:line="360" w:lineRule="auto"/>
        <w:ind w:left="15"/>
        <w:jc w:val="center"/>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关于</w:t>
      </w:r>
      <w:r w:rsidR="00700815">
        <w:rPr>
          <w:rFonts w:ascii="宋体" w:eastAsia="宋体" w:hAnsi="Arial" w:cs="宋体" w:hint="eastAsia"/>
          <w:b/>
          <w:bCs/>
          <w:color w:val="000000"/>
          <w:kern w:val="0"/>
          <w:sz w:val="24"/>
          <w:szCs w:val="24"/>
        </w:rPr>
        <w:t>国寿安保</w:t>
      </w:r>
      <w:r w:rsidR="004520E3">
        <w:rPr>
          <w:rFonts w:ascii="宋体" w:eastAsia="宋体" w:hAnsi="Arial" w:cs="宋体" w:hint="eastAsia"/>
          <w:b/>
          <w:bCs/>
          <w:color w:val="000000"/>
          <w:kern w:val="0"/>
          <w:sz w:val="24"/>
          <w:szCs w:val="24"/>
        </w:rPr>
        <w:t>尊盈</w:t>
      </w:r>
      <w:r>
        <w:rPr>
          <w:rFonts w:ascii="宋体" w:eastAsia="宋体" w:hAnsi="Arial" w:cs="宋体" w:hint="eastAsia"/>
          <w:b/>
          <w:bCs/>
          <w:color w:val="000000"/>
          <w:kern w:val="0"/>
          <w:sz w:val="24"/>
          <w:szCs w:val="24"/>
        </w:rPr>
        <w:t>一年定期开放债券型证券投资</w:t>
      </w:r>
      <w:r w:rsidR="00700815">
        <w:rPr>
          <w:rFonts w:ascii="宋体" w:eastAsia="宋体" w:hAnsi="Arial" w:cs="宋体" w:hint="eastAsia"/>
          <w:b/>
          <w:bCs/>
          <w:color w:val="000000"/>
          <w:kern w:val="0"/>
          <w:sz w:val="24"/>
          <w:szCs w:val="24"/>
        </w:rPr>
        <w:t>基金</w:t>
      </w:r>
      <w:r>
        <w:rPr>
          <w:rFonts w:ascii="宋体" w:eastAsia="宋体" w:hAnsi="Arial" w:cs="宋体" w:hint="eastAsia"/>
          <w:b/>
          <w:bCs/>
          <w:color w:val="000000"/>
          <w:kern w:val="0"/>
          <w:sz w:val="24"/>
          <w:szCs w:val="24"/>
        </w:rPr>
        <w:t>第</w:t>
      </w:r>
      <w:r w:rsidR="007D4FF0">
        <w:rPr>
          <w:rFonts w:ascii="宋体" w:eastAsia="宋体" w:hAnsi="Arial" w:cs="宋体" w:hint="eastAsia"/>
          <w:b/>
          <w:bCs/>
          <w:color w:val="000000"/>
          <w:kern w:val="0"/>
          <w:sz w:val="24"/>
          <w:szCs w:val="24"/>
        </w:rPr>
        <w:t>三</w:t>
      </w:r>
      <w:r>
        <w:rPr>
          <w:rFonts w:ascii="宋体" w:eastAsia="宋体" w:hAnsi="Arial" w:cs="宋体" w:hint="eastAsia"/>
          <w:b/>
          <w:bCs/>
          <w:color w:val="000000"/>
          <w:kern w:val="0"/>
          <w:sz w:val="24"/>
          <w:szCs w:val="24"/>
        </w:rPr>
        <w:t>个开放期</w:t>
      </w:r>
    </w:p>
    <w:p w:rsidR="00700815" w:rsidRDefault="00700815" w:rsidP="00BE4CD0">
      <w:pPr>
        <w:autoSpaceDE w:val="0"/>
        <w:autoSpaceDN w:val="0"/>
        <w:adjustRightInd w:val="0"/>
        <w:spacing w:before="30" w:line="360" w:lineRule="auto"/>
        <w:ind w:left="15"/>
        <w:jc w:val="center"/>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开放申购、赎回</w:t>
      </w:r>
      <w:r w:rsidR="00BE4CD0">
        <w:rPr>
          <w:rFonts w:ascii="宋体" w:eastAsia="宋体" w:hAnsi="Arial" w:cs="宋体" w:hint="eastAsia"/>
          <w:b/>
          <w:bCs/>
          <w:color w:val="000000"/>
          <w:kern w:val="0"/>
          <w:sz w:val="24"/>
          <w:szCs w:val="24"/>
        </w:rPr>
        <w:t>及转换</w:t>
      </w:r>
      <w:r>
        <w:rPr>
          <w:rFonts w:ascii="宋体" w:eastAsia="宋体" w:hAnsi="Arial" w:cs="宋体" w:hint="eastAsia"/>
          <w:b/>
          <w:bCs/>
          <w:color w:val="000000"/>
          <w:kern w:val="0"/>
          <w:sz w:val="24"/>
          <w:szCs w:val="24"/>
        </w:rPr>
        <w:t>业务的公告</w:t>
      </w:r>
    </w:p>
    <w:p w:rsidR="00700815" w:rsidRPr="00BE4CD0" w:rsidRDefault="00700815" w:rsidP="00700815">
      <w:pPr>
        <w:autoSpaceDE w:val="0"/>
        <w:autoSpaceDN w:val="0"/>
        <w:adjustRightInd w:val="0"/>
        <w:spacing w:line="360" w:lineRule="auto"/>
        <w:jc w:val="center"/>
        <w:rPr>
          <w:rFonts w:ascii="MS Sans Serif" w:hAnsi="MS Sans Serif" w:cs="MS Sans Serif"/>
          <w:color w:val="000000"/>
          <w:kern w:val="0"/>
          <w:sz w:val="8"/>
          <w:szCs w:val="8"/>
        </w:rPr>
      </w:pPr>
    </w:p>
    <w:p w:rsidR="00700815" w:rsidRDefault="00700815" w:rsidP="009454BD">
      <w:pPr>
        <w:autoSpaceDE w:val="0"/>
        <w:autoSpaceDN w:val="0"/>
        <w:adjustRightInd w:val="0"/>
        <w:spacing w:before="30" w:line="360" w:lineRule="auto"/>
        <w:ind w:left="15"/>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公告送出日期：</w:t>
      </w:r>
      <w:r w:rsidR="00AB22DC">
        <w:rPr>
          <w:rFonts w:ascii="宋体" w:eastAsia="宋体" w:hAnsi="Arial" w:cs="宋体"/>
          <w:color w:val="000000"/>
          <w:kern w:val="0"/>
          <w:sz w:val="24"/>
          <w:szCs w:val="24"/>
        </w:rPr>
        <w:t>2018</w:t>
      </w:r>
      <w:r>
        <w:rPr>
          <w:rFonts w:ascii="宋体" w:eastAsia="宋体" w:hAnsi="Arial" w:cs="宋体" w:hint="eastAsia"/>
          <w:color w:val="000000"/>
          <w:kern w:val="0"/>
          <w:sz w:val="24"/>
          <w:szCs w:val="24"/>
        </w:rPr>
        <w:t>年</w:t>
      </w:r>
      <w:r w:rsidR="007D4FF0">
        <w:rPr>
          <w:rFonts w:ascii="宋体" w:eastAsia="宋体" w:hAnsi="Arial" w:cs="宋体" w:hint="eastAsia"/>
          <w:color w:val="000000"/>
          <w:kern w:val="0"/>
          <w:sz w:val="24"/>
          <w:szCs w:val="24"/>
        </w:rPr>
        <w:t>1</w:t>
      </w:r>
      <w:r w:rsidR="007D4FF0">
        <w:rPr>
          <w:rFonts w:ascii="宋体" w:eastAsia="宋体" w:hAnsi="Arial" w:cs="宋体"/>
          <w:color w:val="000000"/>
          <w:kern w:val="0"/>
          <w:sz w:val="24"/>
          <w:szCs w:val="24"/>
        </w:rPr>
        <w:t>1</w:t>
      </w:r>
      <w:r w:rsidR="00275843">
        <w:rPr>
          <w:rFonts w:ascii="宋体" w:eastAsia="宋体" w:hAnsi="Arial" w:cs="宋体" w:hint="eastAsia"/>
          <w:color w:val="000000"/>
          <w:kern w:val="0"/>
          <w:sz w:val="24"/>
          <w:szCs w:val="24"/>
        </w:rPr>
        <w:t>月</w:t>
      </w:r>
      <w:r w:rsidR="00F263E7">
        <w:rPr>
          <w:rFonts w:ascii="宋体" w:eastAsia="宋体" w:hAnsi="Arial" w:cs="宋体" w:hint="eastAsia"/>
          <w:color w:val="000000"/>
          <w:kern w:val="0"/>
          <w:sz w:val="24"/>
          <w:szCs w:val="24"/>
        </w:rPr>
        <w:t>3</w:t>
      </w:r>
      <w:r>
        <w:rPr>
          <w:rFonts w:ascii="宋体" w:eastAsia="宋体" w:hAnsi="Arial" w:cs="宋体" w:hint="eastAsia"/>
          <w:color w:val="000000"/>
          <w:kern w:val="0"/>
          <w:sz w:val="24"/>
          <w:szCs w:val="24"/>
        </w:rPr>
        <w:t>日</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1 </w:t>
      </w:r>
      <w:r>
        <w:rPr>
          <w:rFonts w:ascii="宋体" w:eastAsia="宋体" w:hAnsi="Arial" w:cs="宋体" w:hint="eastAsia"/>
          <w:b/>
          <w:bCs/>
          <w:color w:val="000000"/>
          <w:kern w:val="0"/>
          <w:sz w:val="24"/>
          <w:szCs w:val="24"/>
        </w:rPr>
        <w:t>公告基本信息</w:t>
      </w:r>
    </w:p>
    <w:tbl>
      <w:tblPr>
        <w:tblW w:w="0" w:type="auto"/>
        <w:tblInd w:w="108" w:type="dxa"/>
        <w:tblLayout w:type="fixed"/>
        <w:tblLook w:val="0000"/>
      </w:tblPr>
      <w:tblGrid>
        <w:gridCol w:w="3612"/>
        <w:gridCol w:w="2622"/>
        <w:gridCol w:w="2796"/>
      </w:tblGrid>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4520E3">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w:t>
            </w:r>
            <w:r w:rsidR="004520E3">
              <w:rPr>
                <w:rFonts w:ascii="宋体" w:eastAsia="宋体" w:hAnsi="Arial" w:cs="宋体" w:hint="eastAsia"/>
                <w:color w:val="000000"/>
                <w:kern w:val="0"/>
                <w:sz w:val="24"/>
                <w:szCs w:val="24"/>
              </w:rPr>
              <w:t>尊盈</w:t>
            </w:r>
            <w:r w:rsidR="00BE4CD0">
              <w:rPr>
                <w:rFonts w:ascii="宋体" w:eastAsia="宋体" w:hAnsi="Arial" w:cs="宋体" w:hint="eastAsia"/>
                <w:color w:val="000000"/>
                <w:kern w:val="0"/>
                <w:sz w:val="24"/>
                <w:szCs w:val="24"/>
              </w:rPr>
              <w:t>一年定期开放债券型证券投资</w:t>
            </w:r>
            <w:r>
              <w:rPr>
                <w:rFonts w:ascii="宋体" w:eastAsia="宋体" w:hAnsi="Arial" w:cs="宋体" w:hint="eastAsia"/>
                <w:color w:val="000000"/>
                <w:kern w:val="0"/>
                <w:sz w:val="24"/>
                <w:szCs w:val="24"/>
              </w:rPr>
              <w:t>基金</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基金简称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BE4CD0" w:rsidP="004520E3">
            <w:pPr>
              <w:autoSpaceDE w:val="0"/>
              <w:autoSpaceDN w:val="0"/>
              <w:adjustRightInd w:val="0"/>
              <w:spacing w:before="30" w:line="360" w:lineRule="auto"/>
              <w:ind w:left="15"/>
              <w:rPr>
                <w:rFonts w:ascii="宋体" w:eastAsia="宋体" w:hAnsi="Arial" w:cs="宋体"/>
                <w:color w:val="000000"/>
                <w:kern w:val="0"/>
                <w:sz w:val="24"/>
                <w:szCs w:val="24"/>
              </w:rPr>
            </w:pPr>
            <w:r w:rsidRPr="00A245E6">
              <w:rPr>
                <w:rFonts w:hint="eastAsia"/>
                <w:bCs/>
                <w:sz w:val="24"/>
                <w:szCs w:val="20"/>
              </w:rPr>
              <w:t>国寿安保</w:t>
            </w:r>
            <w:r w:rsidR="004520E3">
              <w:rPr>
                <w:rFonts w:hint="eastAsia"/>
                <w:bCs/>
                <w:sz w:val="24"/>
                <w:szCs w:val="20"/>
              </w:rPr>
              <w:t>尊盈</w:t>
            </w:r>
            <w:r>
              <w:rPr>
                <w:rFonts w:hint="eastAsia"/>
                <w:bCs/>
                <w:sz w:val="24"/>
                <w:szCs w:val="20"/>
              </w:rPr>
              <w:t>一年</w:t>
            </w:r>
            <w:r w:rsidR="004520E3">
              <w:rPr>
                <w:rFonts w:hint="eastAsia"/>
                <w:bCs/>
                <w:sz w:val="24"/>
                <w:szCs w:val="20"/>
              </w:rPr>
              <w:t>定期开放债券</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基金主代码</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BE4CD0" w:rsidP="006D6415">
            <w:pPr>
              <w:autoSpaceDE w:val="0"/>
              <w:autoSpaceDN w:val="0"/>
              <w:adjustRightInd w:val="0"/>
              <w:spacing w:before="30" w:line="360" w:lineRule="auto"/>
              <w:ind w:left="15"/>
              <w:rPr>
                <w:rFonts w:ascii="宋体" w:eastAsia="宋体" w:hAnsi="Arial" w:cs="宋体"/>
                <w:color w:val="000000"/>
                <w:kern w:val="0"/>
                <w:sz w:val="24"/>
                <w:szCs w:val="24"/>
              </w:rPr>
            </w:pPr>
            <w:r w:rsidRPr="00412398">
              <w:rPr>
                <w:rFonts w:ascii="宋体" w:eastAsia="宋体" w:hAnsi="Arial" w:cs="宋体"/>
                <w:color w:val="000000"/>
                <w:kern w:val="0"/>
                <w:sz w:val="24"/>
                <w:szCs w:val="24"/>
              </w:rPr>
              <w:t>00</w:t>
            </w:r>
            <w:r w:rsidR="004520E3">
              <w:rPr>
                <w:rFonts w:ascii="宋体" w:eastAsia="宋体" w:hAnsi="Arial" w:cs="宋体" w:hint="eastAsia"/>
                <w:color w:val="000000"/>
                <w:kern w:val="0"/>
                <w:sz w:val="24"/>
                <w:szCs w:val="24"/>
              </w:rPr>
              <w:t>1847</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基金运作方式</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契约型</w:t>
            </w:r>
            <w:r w:rsidR="00BE4CD0">
              <w:rPr>
                <w:rFonts w:ascii="宋体" w:eastAsia="宋体" w:hAnsi="Arial" w:cs="宋体" w:hint="eastAsia"/>
                <w:color w:val="000000"/>
                <w:kern w:val="0"/>
                <w:sz w:val="24"/>
                <w:szCs w:val="24"/>
              </w:rPr>
              <w:t>、定期</w:t>
            </w:r>
            <w:r>
              <w:rPr>
                <w:rFonts w:ascii="宋体" w:eastAsia="宋体" w:hAnsi="Arial" w:cs="宋体" w:hint="eastAsia"/>
                <w:color w:val="000000"/>
                <w:kern w:val="0"/>
                <w:sz w:val="24"/>
                <w:szCs w:val="24"/>
              </w:rPr>
              <w:t>开放式</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基金合同生效日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4520E3">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201</w:t>
            </w:r>
            <w:r w:rsidR="00C95755">
              <w:rPr>
                <w:rFonts w:ascii="宋体" w:eastAsia="宋体" w:hAnsi="Arial" w:cs="宋体" w:hint="eastAsia"/>
                <w:color w:val="000000"/>
                <w:kern w:val="0"/>
                <w:sz w:val="24"/>
                <w:szCs w:val="24"/>
              </w:rPr>
              <w:t>5</w:t>
            </w:r>
            <w:r w:rsidR="004520E3">
              <w:rPr>
                <w:rFonts w:ascii="宋体" w:eastAsia="宋体" w:hAnsi="Arial" w:cs="宋体" w:hint="eastAsia"/>
                <w:color w:val="000000"/>
                <w:kern w:val="0"/>
                <w:sz w:val="24"/>
                <w:szCs w:val="24"/>
              </w:rPr>
              <w:t>年11月3日</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基金管理人名称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基金托管人名称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4520E3"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中国工</w:t>
            </w:r>
            <w:r w:rsidR="007F3080">
              <w:rPr>
                <w:rFonts w:ascii="宋体" w:eastAsia="宋体" w:hAnsi="Arial" w:cs="宋体" w:hint="eastAsia"/>
                <w:color w:val="000000"/>
                <w:kern w:val="0"/>
                <w:sz w:val="24"/>
                <w:szCs w:val="24"/>
              </w:rPr>
              <w:t>商</w:t>
            </w:r>
            <w:r w:rsidRPr="00412398">
              <w:rPr>
                <w:rFonts w:ascii="宋体" w:eastAsia="宋体" w:hAnsi="Arial" w:cs="宋体" w:hint="eastAsia"/>
                <w:color w:val="000000"/>
                <w:kern w:val="0"/>
                <w:sz w:val="24"/>
                <w:szCs w:val="24"/>
              </w:rPr>
              <w:t>银行股份有限公司</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基金注册登记机构名称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公告依据</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700815" w:rsidP="004520E3">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《中华人民共和国证券投资基金法》、《证券投资基金信息披露管理办法》、《</w:t>
            </w:r>
            <w:r w:rsidR="00E438B5">
              <w:rPr>
                <w:rFonts w:ascii="宋体" w:eastAsia="宋体" w:hAnsi="Arial" w:cs="宋体" w:hint="eastAsia"/>
                <w:color w:val="000000"/>
                <w:kern w:val="0"/>
                <w:sz w:val="24"/>
                <w:szCs w:val="24"/>
              </w:rPr>
              <w:t>公开募集</w:t>
            </w:r>
            <w:r>
              <w:rPr>
                <w:rFonts w:ascii="宋体" w:eastAsia="宋体" w:hAnsi="Arial" w:cs="宋体" w:hint="eastAsia"/>
                <w:color w:val="000000"/>
                <w:kern w:val="0"/>
                <w:sz w:val="24"/>
                <w:szCs w:val="24"/>
              </w:rPr>
              <w:t>证券投资基金运作管理办法》等法律法规以及</w:t>
            </w:r>
            <w:r w:rsidR="004520E3">
              <w:rPr>
                <w:rFonts w:ascii="宋体" w:eastAsia="宋体" w:hAnsi="Arial" w:cs="宋体" w:hint="eastAsia"/>
                <w:color w:val="000000"/>
                <w:kern w:val="0"/>
                <w:sz w:val="24"/>
                <w:szCs w:val="24"/>
              </w:rPr>
              <w:t>《</w:t>
            </w:r>
            <w:r w:rsidR="004520E3" w:rsidRPr="00A245E6">
              <w:rPr>
                <w:rFonts w:hint="eastAsia"/>
                <w:bCs/>
                <w:sz w:val="24"/>
                <w:szCs w:val="20"/>
              </w:rPr>
              <w:t>国寿安保</w:t>
            </w:r>
            <w:r w:rsidR="004520E3">
              <w:rPr>
                <w:rFonts w:hint="eastAsia"/>
                <w:bCs/>
                <w:sz w:val="24"/>
                <w:szCs w:val="20"/>
              </w:rPr>
              <w:t>尊盈一年定期开放债券型证券投资</w:t>
            </w:r>
            <w:r w:rsidR="004520E3" w:rsidRPr="00A245E6">
              <w:rPr>
                <w:rFonts w:hint="eastAsia"/>
                <w:bCs/>
                <w:sz w:val="24"/>
                <w:szCs w:val="20"/>
              </w:rPr>
              <w:t>基金</w:t>
            </w:r>
            <w:r w:rsidR="004520E3">
              <w:rPr>
                <w:rFonts w:ascii="宋体" w:eastAsia="宋体" w:hAnsi="Arial" w:cs="宋体" w:hint="eastAsia"/>
                <w:color w:val="000000"/>
                <w:kern w:val="0"/>
                <w:sz w:val="24"/>
                <w:szCs w:val="24"/>
              </w:rPr>
              <w:t>基金合同》</w:t>
            </w:r>
            <w:r>
              <w:rPr>
                <w:rFonts w:ascii="宋体" w:eastAsia="宋体" w:hAnsi="Arial" w:cs="宋体" w:hint="eastAsia"/>
                <w:color w:val="000000"/>
                <w:kern w:val="0"/>
                <w:sz w:val="24"/>
                <w:szCs w:val="24"/>
              </w:rPr>
              <w:t>、《</w:t>
            </w:r>
            <w:r w:rsidR="00C95755" w:rsidRPr="00A245E6">
              <w:rPr>
                <w:rFonts w:hint="eastAsia"/>
                <w:bCs/>
                <w:sz w:val="24"/>
                <w:szCs w:val="20"/>
              </w:rPr>
              <w:t>国寿安保</w:t>
            </w:r>
            <w:r w:rsidR="004520E3">
              <w:rPr>
                <w:rFonts w:hint="eastAsia"/>
                <w:bCs/>
                <w:sz w:val="24"/>
                <w:szCs w:val="20"/>
              </w:rPr>
              <w:t>尊盈</w:t>
            </w:r>
            <w:r w:rsidR="00C95755">
              <w:rPr>
                <w:rFonts w:hint="eastAsia"/>
                <w:bCs/>
                <w:sz w:val="24"/>
                <w:szCs w:val="20"/>
              </w:rPr>
              <w:t>一年定期开放债券型证券投资</w:t>
            </w:r>
            <w:r w:rsidR="00C95755" w:rsidRPr="00A245E6">
              <w:rPr>
                <w:rFonts w:hint="eastAsia"/>
                <w:bCs/>
                <w:sz w:val="24"/>
                <w:szCs w:val="20"/>
              </w:rPr>
              <w:t>基金</w:t>
            </w:r>
            <w:r>
              <w:rPr>
                <w:rFonts w:ascii="宋体" w:eastAsia="宋体" w:hAnsi="Arial" w:cs="宋体" w:hint="eastAsia"/>
                <w:color w:val="000000"/>
                <w:kern w:val="0"/>
                <w:sz w:val="24"/>
                <w:szCs w:val="24"/>
              </w:rPr>
              <w:t>招募说明书》</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申购起始日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AB22DC" w:rsidP="005E2158">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2018</w:t>
            </w:r>
            <w:r w:rsidR="00700815">
              <w:rPr>
                <w:rFonts w:ascii="宋体" w:eastAsia="宋体" w:hAnsi="Arial" w:cs="宋体"/>
                <w:color w:val="000000"/>
                <w:kern w:val="0"/>
                <w:sz w:val="24"/>
                <w:szCs w:val="24"/>
              </w:rPr>
              <w:t>-</w:t>
            </w:r>
            <w:r w:rsidR="00563CC9">
              <w:rPr>
                <w:rFonts w:ascii="宋体" w:eastAsia="宋体" w:hAnsi="Arial" w:cs="宋体"/>
                <w:color w:val="000000"/>
                <w:kern w:val="0"/>
                <w:sz w:val="24"/>
                <w:szCs w:val="24"/>
              </w:rPr>
              <w:t>11</w:t>
            </w:r>
            <w:r w:rsidR="00700815">
              <w:rPr>
                <w:rFonts w:ascii="宋体" w:eastAsia="宋体" w:hAnsi="Arial" w:cs="宋体"/>
                <w:color w:val="000000"/>
                <w:kern w:val="0"/>
                <w:sz w:val="24"/>
                <w:szCs w:val="24"/>
              </w:rPr>
              <w:t>-</w:t>
            </w:r>
            <w:r w:rsidR="005E2158">
              <w:rPr>
                <w:rFonts w:ascii="宋体" w:eastAsia="宋体" w:hAnsi="Arial" w:cs="宋体"/>
                <w:color w:val="000000"/>
                <w:kern w:val="0"/>
                <w:sz w:val="24"/>
                <w:szCs w:val="24"/>
              </w:rPr>
              <w:t>9</w:t>
            </w:r>
          </w:p>
        </w:tc>
      </w:tr>
      <w:tr w:rsidR="00700815" w:rsidTr="006D6415">
        <w:tc>
          <w:tcPr>
            <w:tcW w:w="3612" w:type="dxa"/>
            <w:tcBorders>
              <w:top w:val="single" w:sz="8" w:space="0" w:color="000000"/>
              <w:left w:val="single" w:sz="8" w:space="0" w:color="000000"/>
              <w:bottom w:val="single" w:sz="8" w:space="0" w:color="000000"/>
              <w:right w:val="single" w:sz="8" w:space="0" w:color="000000"/>
            </w:tcBorders>
            <w:vAlign w:val="center"/>
          </w:tcPr>
          <w:p w:rsidR="00700815" w:rsidRDefault="0070081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赎回起始日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700815" w:rsidRDefault="00AB22DC" w:rsidP="00AB22DC">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2018</w:t>
            </w:r>
            <w:r w:rsidR="00563CC9">
              <w:rPr>
                <w:rFonts w:ascii="宋体" w:eastAsia="宋体" w:hAnsi="Arial" w:cs="宋体"/>
                <w:color w:val="000000"/>
                <w:kern w:val="0"/>
                <w:sz w:val="24"/>
                <w:szCs w:val="24"/>
              </w:rPr>
              <w:t>-11-</w:t>
            </w:r>
            <w:r w:rsidR="007D4FF0">
              <w:rPr>
                <w:rFonts w:ascii="宋体" w:eastAsia="宋体" w:hAnsi="Arial" w:cs="宋体"/>
                <w:color w:val="000000"/>
                <w:kern w:val="0"/>
                <w:sz w:val="24"/>
                <w:szCs w:val="24"/>
              </w:rPr>
              <w:t>5</w:t>
            </w:r>
          </w:p>
        </w:tc>
      </w:tr>
      <w:tr w:rsidR="00C95755" w:rsidTr="00412398">
        <w:tc>
          <w:tcPr>
            <w:tcW w:w="3612" w:type="dxa"/>
            <w:tcBorders>
              <w:top w:val="single" w:sz="8" w:space="0" w:color="000000"/>
              <w:left w:val="single" w:sz="8" w:space="0" w:color="000000"/>
              <w:bottom w:val="single" w:sz="8" w:space="0" w:color="000000"/>
              <w:right w:val="single" w:sz="8" w:space="0" w:color="000000"/>
            </w:tcBorders>
            <w:vAlign w:val="center"/>
          </w:tcPr>
          <w:p w:rsidR="00C95755" w:rsidRDefault="00C9575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转换转入起始日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95755" w:rsidRDefault="00AB22DC" w:rsidP="005E2158">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2018</w:t>
            </w:r>
            <w:r w:rsidR="00563CC9">
              <w:rPr>
                <w:rFonts w:ascii="宋体" w:eastAsia="宋体" w:hAnsi="Arial" w:cs="宋体"/>
                <w:color w:val="000000"/>
                <w:kern w:val="0"/>
                <w:sz w:val="24"/>
                <w:szCs w:val="24"/>
              </w:rPr>
              <w:t>-11-</w:t>
            </w:r>
            <w:r w:rsidR="005E2158">
              <w:rPr>
                <w:rFonts w:ascii="宋体" w:eastAsia="宋体" w:hAnsi="Arial" w:cs="宋体"/>
                <w:color w:val="000000"/>
                <w:kern w:val="0"/>
                <w:sz w:val="24"/>
                <w:szCs w:val="24"/>
              </w:rPr>
              <w:t>9</w:t>
            </w:r>
          </w:p>
        </w:tc>
      </w:tr>
      <w:tr w:rsidR="00C95755" w:rsidTr="00700F2F">
        <w:tc>
          <w:tcPr>
            <w:tcW w:w="3612" w:type="dxa"/>
            <w:tcBorders>
              <w:top w:val="single" w:sz="8" w:space="0" w:color="000000"/>
              <w:left w:val="single" w:sz="8" w:space="0" w:color="000000"/>
              <w:bottom w:val="single" w:sz="8" w:space="0" w:color="000000"/>
              <w:right w:val="single" w:sz="8" w:space="0" w:color="000000"/>
            </w:tcBorders>
            <w:vAlign w:val="center"/>
          </w:tcPr>
          <w:p w:rsidR="00C95755" w:rsidRDefault="00C95755"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转换转出起始日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95755" w:rsidRDefault="00AB22DC" w:rsidP="00AB22DC">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2018</w:t>
            </w:r>
            <w:r w:rsidR="00563CC9">
              <w:rPr>
                <w:rFonts w:ascii="宋体" w:eastAsia="宋体" w:hAnsi="Arial" w:cs="宋体"/>
                <w:color w:val="000000"/>
                <w:kern w:val="0"/>
                <w:sz w:val="24"/>
                <w:szCs w:val="24"/>
              </w:rPr>
              <w:t>-11-</w:t>
            </w:r>
            <w:r w:rsidR="007D4FF0">
              <w:rPr>
                <w:rFonts w:ascii="宋体" w:eastAsia="宋体" w:hAnsi="Arial" w:cs="宋体"/>
                <w:color w:val="000000"/>
                <w:kern w:val="0"/>
                <w:sz w:val="24"/>
                <w:szCs w:val="24"/>
              </w:rPr>
              <w:t>5</w:t>
            </w:r>
          </w:p>
        </w:tc>
      </w:tr>
      <w:tr w:rsidR="00700F2F" w:rsidTr="00700F2F">
        <w:tc>
          <w:tcPr>
            <w:tcW w:w="3612" w:type="dxa"/>
            <w:tcBorders>
              <w:top w:val="single" w:sz="8" w:space="0" w:color="000000"/>
              <w:left w:val="single" w:sz="8" w:space="0" w:color="000000"/>
              <w:bottom w:val="single" w:sz="8" w:space="0" w:color="000000"/>
              <w:right w:val="single" w:sz="8" w:space="0" w:color="000000"/>
            </w:tcBorders>
            <w:vAlign w:val="center"/>
          </w:tcPr>
          <w:p w:rsidR="00700F2F" w:rsidRDefault="00700F2F"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下属分级基金的基金简称</w:t>
            </w:r>
          </w:p>
        </w:tc>
        <w:tc>
          <w:tcPr>
            <w:tcW w:w="2622" w:type="dxa"/>
            <w:tcBorders>
              <w:top w:val="single" w:sz="8" w:space="0" w:color="000000"/>
              <w:left w:val="single" w:sz="8" w:space="0" w:color="000000"/>
              <w:bottom w:val="single" w:sz="8" w:space="0" w:color="000000"/>
              <w:right w:val="single" w:sz="4" w:space="0" w:color="auto"/>
            </w:tcBorders>
            <w:vAlign w:val="center"/>
          </w:tcPr>
          <w:p w:rsidR="00700F2F" w:rsidRDefault="00700F2F" w:rsidP="006D6415">
            <w:pPr>
              <w:autoSpaceDE w:val="0"/>
              <w:autoSpaceDN w:val="0"/>
              <w:adjustRightInd w:val="0"/>
              <w:spacing w:before="30" w:line="360" w:lineRule="auto"/>
              <w:ind w:left="15"/>
              <w:rPr>
                <w:rFonts w:ascii="宋体" w:eastAsia="宋体" w:hAnsi="Arial" w:cs="宋体"/>
                <w:color w:val="000000"/>
                <w:kern w:val="0"/>
                <w:sz w:val="24"/>
                <w:szCs w:val="24"/>
              </w:rPr>
            </w:pPr>
            <w:r w:rsidRPr="00700F2F">
              <w:rPr>
                <w:rFonts w:ascii="宋体" w:eastAsia="宋体" w:hAnsi="Arial" w:cs="宋体" w:hint="eastAsia"/>
                <w:color w:val="000000"/>
                <w:kern w:val="0"/>
                <w:sz w:val="24"/>
                <w:szCs w:val="24"/>
              </w:rPr>
              <w:t>国寿安保尊盈一年定期开放债券A</w:t>
            </w:r>
          </w:p>
        </w:tc>
        <w:tc>
          <w:tcPr>
            <w:tcW w:w="2796" w:type="dxa"/>
            <w:tcBorders>
              <w:top w:val="single" w:sz="8" w:space="0" w:color="000000"/>
              <w:left w:val="single" w:sz="4" w:space="0" w:color="auto"/>
              <w:bottom w:val="single" w:sz="8" w:space="0" w:color="000000"/>
              <w:right w:val="single" w:sz="8" w:space="0" w:color="000000"/>
            </w:tcBorders>
            <w:vAlign w:val="center"/>
          </w:tcPr>
          <w:p w:rsidR="00700F2F" w:rsidRPr="00700F2F" w:rsidRDefault="00700F2F" w:rsidP="002066C6">
            <w:pPr>
              <w:autoSpaceDE w:val="0"/>
              <w:autoSpaceDN w:val="0"/>
              <w:adjustRightInd w:val="0"/>
              <w:spacing w:before="30" w:line="360" w:lineRule="auto"/>
              <w:ind w:left="15"/>
              <w:rPr>
                <w:rFonts w:ascii="宋体" w:eastAsia="宋体" w:hAnsi="Arial" w:cs="宋体"/>
                <w:color w:val="000000"/>
                <w:kern w:val="0"/>
                <w:sz w:val="24"/>
                <w:szCs w:val="24"/>
              </w:rPr>
            </w:pPr>
            <w:r w:rsidRPr="00700F2F">
              <w:rPr>
                <w:rFonts w:ascii="宋体" w:eastAsia="宋体" w:hAnsi="Arial" w:cs="宋体" w:hint="eastAsia"/>
                <w:color w:val="000000"/>
                <w:kern w:val="0"/>
                <w:sz w:val="24"/>
                <w:szCs w:val="24"/>
              </w:rPr>
              <w:t>国寿安保尊盈一年定期开放债券</w:t>
            </w:r>
            <w:r w:rsidR="002066C6">
              <w:rPr>
                <w:rFonts w:ascii="宋体" w:eastAsia="宋体" w:hAnsi="Arial" w:cs="宋体" w:hint="eastAsia"/>
                <w:color w:val="000000"/>
                <w:kern w:val="0"/>
                <w:sz w:val="24"/>
                <w:szCs w:val="24"/>
              </w:rPr>
              <w:t>C</w:t>
            </w:r>
          </w:p>
        </w:tc>
      </w:tr>
      <w:tr w:rsidR="00700F2F" w:rsidTr="00700F2F">
        <w:tc>
          <w:tcPr>
            <w:tcW w:w="3612" w:type="dxa"/>
            <w:tcBorders>
              <w:top w:val="single" w:sz="8" w:space="0" w:color="000000"/>
              <w:left w:val="single" w:sz="8" w:space="0" w:color="000000"/>
              <w:bottom w:val="single" w:sz="8" w:space="0" w:color="000000"/>
              <w:right w:val="single" w:sz="8" w:space="0" w:color="000000"/>
            </w:tcBorders>
            <w:vAlign w:val="center"/>
          </w:tcPr>
          <w:p w:rsidR="00700F2F" w:rsidRDefault="00700F2F"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下属分级基金的交易代码</w:t>
            </w:r>
          </w:p>
        </w:tc>
        <w:tc>
          <w:tcPr>
            <w:tcW w:w="2622" w:type="dxa"/>
            <w:tcBorders>
              <w:top w:val="single" w:sz="8" w:space="0" w:color="000000"/>
              <w:left w:val="single" w:sz="8" w:space="0" w:color="000000"/>
              <w:bottom w:val="single" w:sz="8" w:space="0" w:color="000000"/>
              <w:right w:val="single" w:sz="4" w:space="0" w:color="auto"/>
            </w:tcBorders>
            <w:vAlign w:val="center"/>
          </w:tcPr>
          <w:p w:rsidR="00700F2F" w:rsidRDefault="004A6FC0"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001847</w:t>
            </w:r>
          </w:p>
        </w:tc>
        <w:tc>
          <w:tcPr>
            <w:tcW w:w="2796" w:type="dxa"/>
            <w:tcBorders>
              <w:top w:val="single" w:sz="8" w:space="0" w:color="000000"/>
              <w:left w:val="single" w:sz="4" w:space="0" w:color="auto"/>
              <w:bottom w:val="single" w:sz="8" w:space="0" w:color="000000"/>
              <w:right w:val="single" w:sz="8" w:space="0" w:color="000000"/>
            </w:tcBorders>
            <w:vAlign w:val="center"/>
          </w:tcPr>
          <w:p w:rsidR="00700F2F" w:rsidRDefault="004A6FC0"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001848</w:t>
            </w:r>
          </w:p>
        </w:tc>
      </w:tr>
      <w:tr w:rsidR="00700F2F" w:rsidTr="00700F2F">
        <w:tc>
          <w:tcPr>
            <w:tcW w:w="3612" w:type="dxa"/>
            <w:tcBorders>
              <w:top w:val="single" w:sz="8" w:space="0" w:color="000000"/>
              <w:left w:val="single" w:sz="8" w:space="0" w:color="000000"/>
              <w:bottom w:val="single" w:sz="4" w:space="0" w:color="auto"/>
              <w:right w:val="single" w:sz="8" w:space="0" w:color="000000"/>
            </w:tcBorders>
            <w:vAlign w:val="center"/>
          </w:tcPr>
          <w:p w:rsidR="00700F2F" w:rsidRDefault="00700F2F" w:rsidP="003B3DB6">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该分级基金是否开放申购、赎回、转换</w:t>
            </w:r>
          </w:p>
        </w:tc>
        <w:tc>
          <w:tcPr>
            <w:tcW w:w="2622" w:type="dxa"/>
            <w:tcBorders>
              <w:top w:val="single" w:sz="8" w:space="0" w:color="000000"/>
              <w:left w:val="single" w:sz="8" w:space="0" w:color="000000"/>
              <w:bottom w:val="single" w:sz="4" w:space="0" w:color="auto"/>
              <w:right w:val="single" w:sz="4" w:space="0" w:color="auto"/>
            </w:tcBorders>
            <w:vAlign w:val="center"/>
          </w:tcPr>
          <w:p w:rsidR="00700F2F" w:rsidRDefault="00700F2F" w:rsidP="00700F2F">
            <w:pPr>
              <w:autoSpaceDE w:val="0"/>
              <w:autoSpaceDN w:val="0"/>
              <w:adjustRightInd w:val="0"/>
              <w:spacing w:before="30" w:line="360" w:lineRule="auto"/>
              <w:ind w:left="15"/>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是</w:t>
            </w:r>
          </w:p>
        </w:tc>
        <w:tc>
          <w:tcPr>
            <w:tcW w:w="2796" w:type="dxa"/>
            <w:tcBorders>
              <w:top w:val="single" w:sz="8" w:space="0" w:color="000000"/>
              <w:left w:val="single" w:sz="4" w:space="0" w:color="auto"/>
              <w:bottom w:val="single" w:sz="4" w:space="0" w:color="auto"/>
              <w:right w:val="single" w:sz="8" w:space="0" w:color="000000"/>
            </w:tcBorders>
            <w:vAlign w:val="center"/>
          </w:tcPr>
          <w:p w:rsidR="00700F2F" w:rsidRDefault="00700F2F" w:rsidP="006D6415">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是</w:t>
            </w:r>
          </w:p>
        </w:tc>
      </w:tr>
    </w:tbl>
    <w:p w:rsidR="00700815" w:rsidRDefault="00C95755" w:rsidP="003329F8">
      <w:pPr>
        <w:autoSpaceDE w:val="0"/>
        <w:autoSpaceDN w:val="0"/>
        <w:adjustRightInd w:val="0"/>
        <w:spacing w:line="360" w:lineRule="auto"/>
        <w:ind w:firstLineChars="200" w:firstLine="480"/>
        <w:rPr>
          <w:rFonts w:ascii="宋体" w:eastAsia="宋体" w:hAnsi="宋体" w:cs="楷体_GB2312"/>
          <w:kern w:val="0"/>
          <w:sz w:val="24"/>
          <w:szCs w:val="24"/>
        </w:rPr>
      </w:pPr>
      <w:r w:rsidRPr="00412398">
        <w:rPr>
          <w:rFonts w:ascii="宋体" w:eastAsia="宋体" w:hAnsi="宋体" w:cs="楷体_GB2312" w:hint="eastAsia"/>
          <w:kern w:val="0"/>
          <w:sz w:val="24"/>
          <w:szCs w:val="24"/>
        </w:rPr>
        <w:t>注：投资者范围：符合法律法规规定的可投资于证券投资基金的个人投资者、机构</w:t>
      </w:r>
      <w:r w:rsidRPr="00412398">
        <w:rPr>
          <w:rFonts w:ascii="宋体" w:eastAsia="宋体" w:hAnsi="宋体" w:cs="楷体_GB2312" w:hint="eastAsia"/>
          <w:kern w:val="0"/>
          <w:sz w:val="24"/>
          <w:szCs w:val="24"/>
        </w:rPr>
        <w:lastRenderedPageBreak/>
        <w:t>投资者和合格境外机构投资者以及法律法规或中国证监会允许购买证券投资基金的其他投资人。</w:t>
      </w:r>
    </w:p>
    <w:p w:rsidR="003329F8" w:rsidRPr="00412398" w:rsidRDefault="003329F8" w:rsidP="003329F8">
      <w:pPr>
        <w:autoSpaceDE w:val="0"/>
        <w:autoSpaceDN w:val="0"/>
        <w:adjustRightInd w:val="0"/>
        <w:spacing w:line="360" w:lineRule="auto"/>
        <w:ind w:firstLineChars="200" w:firstLine="480"/>
        <w:rPr>
          <w:rFonts w:ascii="宋体" w:eastAsia="宋体" w:hAnsi="宋体" w:cs="楷体_GB2312"/>
          <w:kern w:val="0"/>
          <w:sz w:val="24"/>
          <w:szCs w:val="24"/>
        </w:rPr>
      </w:pP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2 </w:t>
      </w:r>
      <w:r>
        <w:rPr>
          <w:rFonts w:ascii="宋体" w:eastAsia="宋体" w:hAnsi="Arial" w:cs="宋体" w:hint="eastAsia"/>
          <w:b/>
          <w:bCs/>
          <w:color w:val="000000"/>
          <w:kern w:val="0"/>
          <w:sz w:val="24"/>
          <w:szCs w:val="24"/>
        </w:rPr>
        <w:t>申购、赎回</w:t>
      </w:r>
      <w:r w:rsidR="00C95755">
        <w:rPr>
          <w:rFonts w:ascii="宋体" w:eastAsia="宋体" w:hAnsi="Arial" w:cs="宋体" w:hint="eastAsia"/>
          <w:b/>
          <w:bCs/>
          <w:color w:val="000000"/>
          <w:kern w:val="0"/>
          <w:sz w:val="24"/>
          <w:szCs w:val="24"/>
        </w:rPr>
        <w:t>、转换</w:t>
      </w:r>
      <w:r>
        <w:rPr>
          <w:rFonts w:ascii="宋体" w:eastAsia="宋体" w:hAnsi="Arial" w:cs="宋体" w:hint="eastAsia"/>
          <w:b/>
          <w:bCs/>
          <w:color w:val="000000"/>
          <w:kern w:val="0"/>
          <w:sz w:val="24"/>
          <w:szCs w:val="24"/>
        </w:rPr>
        <w:t>业务的办理时间</w:t>
      </w:r>
    </w:p>
    <w:p w:rsidR="00B83B72" w:rsidRPr="00412398" w:rsidRDefault="00B83B72" w:rsidP="00412398">
      <w:pPr>
        <w:spacing w:line="360" w:lineRule="auto"/>
        <w:ind w:firstLine="482"/>
        <w:rPr>
          <w:rFonts w:ascii="宋体" w:eastAsia="宋体" w:hAnsi="Arial" w:cs="宋体"/>
          <w:b/>
          <w:bCs/>
          <w:color w:val="000000"/>
          <w:kern w:val="0"/>
          <w:sz w:val="24"/>
          <w:szCs w:val="24"/>
        </w:rPr>
      </w:pPr>
      <w:r w:rsidRPr="00412398">
        <w:rPr>
          <w:rFonts w:ascii="宋体" w:eastAsia="宋体" w:hAnsi="Arial" w:cs="宋体" w:hint="eastAsia"/>
          <w:b/>
          <w:bCs/>
          <w:color w:val="000000"/>
          <w:kern w:val="0"/>
          <w:sz w:val="24"/>
          <w:szCs w:val="24"/>
        </w:rPr>
        <w:t xml:space="preserve">2.1 </w:t>
      </w:r>
      <w:r w:rsidRPr="00412398">
        <w:rPr>
          <w:rFonts w:ascii="宋体" w:eastAsia="宋体" w:hAnsi="Arial" w:cs="宋体"/>
          <w:b/>
          <w:bCs/>
          <w:color w:val="000000"/>
          <w:kern w:val="0"/>
          <w:sz w:val="24"/>
          <w:szCs w:val="24"/>
        </w:rPr>
        <w:t>开放日及开放时间</w:t>
      </w:r>
    </w:p>
    <w:p w:rsidR="00867A6B" w:rsidRPr="00B7313B" w:rsidRDefault="00B83B72" w:rsidP="00867A6B">
      <w:pPr>
        <w:spacing w:line="360" w:lineRule="auto"/>
        <w:ind w:firstLineChars="200" w:firstLine="480"/>
        <w:rPr>
          <w:rFonts w:ascii="宋体" w:hAnsi="宋体"/>
          <w:sz w:val="24"/>
        </w:rPr>
      </w:pPr>
      <w:r w:rsidRPr="00B7313B">
        <w:rPr>
          <w:rFonts w:hint="eastAsia"/>
          <w:bCs/>
          <w:sz w:val="24"/>
        </w:rPr>
        <w:t>本基金每个开放期为不少于</w:t>
      </w:r>
      <w:r w:rsidRPr="00B7313B">
        <w:rPr>
          <w:rFonts w:hint="eastAsia"/>
          <w:bCs/>
          <w:sz w:val="24"/>
        </w:rPr>
        <w:t>5</w:t>
      </w:r>
      <w:r w:rsidRPr="00B7313B">
        <w:rPr>
          <w:rFonts w:hint="eastAsia"/>
          <w:bCs/>
          <w:sz w:val="24"/>
        </w:rPr>
        <w:t>个工作日，不超过</w:t>
      </w:r>
      <w:r w:rsidRPr="00B7313B">
        <w:rPr>
          <w:rFonts w:hint="eastAsia"/>
          <w:bCs/>
          <w:sz w:val="24"/>
        </w:rPr>
        <w:t>20</w:t>
      </w:r>
      <w:r>
        <w:rPr>
          <w:rFonts w:hint="eastAsia"/>
          <w:bCs/>
          <w:sz w:val="24"/>
        </w:rPr>
        <w:t>个工作日的期间。</w:t>
      </w:r>
      <w:r w:rsidRPr="00B7313B">
        <w:rPr>
          <w:rFonts w:ascii="宋体" w:hAnsi="宋体" w:hint="eastAsia"/>
          <w:sz w:val="24"/>
        </w:rPr>
        <w:t>本基金在开放期内接受投资者的申购和赎回申请。本基金在开放期办理本基金份额申购、赎回等业务的开放日为开放期内的每个工作日。</w:t>
      </w:r>
    </w:p>
    <w:p w:rsidR="00B83B72" w:rsidRPr="00B7313B" w:rsidRDefault="00B83B72" w:rsidP="00B83B72">
      <w:pPr>
        <w:pStyle w:val="a6"/>
        <w:rPr>
          <w:bCs/>
        </w:rPr>
      </w:pPr>
      <w:r w:rsidRPr="00B7313B">
        <w:rPr>
          <w:bCs/>
        </w:rPr>
        <w:t>投资人在</w:t>
      </w:r>
      <w:r w:rsidRPr="00B7313B">
        <w:rPr>
          <w:rFonts w:hint="eastAsia"/>
          <w:bCs/>
        </w:rPr>
        <w:t>开放期内的</w:t>
      </w:r>
      <w:r w:rsidRPr="00B7313B">
        <w:rPr>
          <w:bCs/>
        </w:rPr>
        <w:t>开放日办理基金份额的申购和赎回，具体办理时间为上海证券交易所、深圳证券交易所的正常交易日的交易时间，但基金管理人根据法律法规、中国证监会的要求或基金合同的规定公告暂停申购、赎回时除外。</w:t>
      </w:r>
      <w:r w:rsidRPr="00B7313B">
        <w:rPr>
          <w:rFonts w:hint="eastAsia"/>
          <w:bCs/>
        </w:rPr>
        <w:t>在本基金的封闭期内，本基金不办理申购、赎回业务，也不上市交易。</w:t>
      </w:r>
    </w:p>
    <w:p w:rsidR="00B83B72" w:rsidRPr="00B7313B" w:rsidRDefault="00B83B72" w:rsidP="00B83B72">
      <w:pPr>
        <w:pStyle w:val="a6"/>
        <w:rPr>
          <w:bCs/>
        </w:rPr>
      </w:pPr>
      <w:r w:rsidRPr="00B7313B">
        <w:rPr>
          <w:bCs/>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B7313B">
        <w:rPr>
          <w:rFonts w:hint="eastAsia"/>
          <w:bCs/>
        </w:rPr>
        <w:t>媒介</w:t>
      </w:r>
      <w:r w:rsidRPr="00B7313B">
        <w:rPr>
          <w:bCs/>
        </w:rPr>
        <w:t>上公告。</w:t>
      </w:r>
    </w:p>
    <w:p w:rsidR="00B07577" w:rsidRDefault="00B07577" w:rsidP="00412398">
      <w:pPr>
        <w:spacing w:line="360" w:lineRule="auto"/>
        <w:rPr>
          <w:rFonts w:ascii="宋体" w:eastAsia="宋体" w:hAnsi="Arial" w:cs="宋体"/>
          <w:b/>
          <w:bCs/>
          <w:color w:val="000000"/>
          <w:kern w:val="0"/>
          <w:sz w:val="24"/>
          <w:szCs w:val="24"/>
        </w:rPr>
      </w:pPr>
    </w:p>
    <w:p w:rsidR="00B83B72" w:rsidRPr="00B07577" w:rsidRDefault="00B83B72" w:rsidP="00412398">
      <w:pPr>
        <w:spacing w:line="360" w:lineRule="auto"/>
        <w:rPr>
          <w:rFonts w:ascii="宋体" w:eastAsia="宋体" w:hAnsi="Arial" w:cs="宋体"/>
          <w:b/>
          <w:bCs/>
          <w:color w:val="000000"/>
          <w:kern w:val="0"/>
          <w:sz w:val="24"/>
          <w:szCs w:val="24"/>
        </w:rPr>
      </w:pPr>
      <w:r w:rsidRPr="00412398">
        <w:rPr>
          <w:rFonts w:ascii="宋体" w:eastAsia="宋体" w:hAnsi="Arial" w:cs="宋体" w:hint="eastAsia"/>
          <w:b/>
          <w:bCs/>
          <w:color w:val="000000"/>
          <w:kern w:val="0"/>
          <w:sz w:val="24"/>
          <w:szCs w:val="24"/>
        </w:rPr>
        <w:t xml:space="preserve">2.2 </w:t>
      </w:r>
      <w:r w:rsidRPr="00412398">
        <w:rPr>
          <w:rFonts w:ascii="宋体" w:eastAsia="宋体" w:hAnsi="Arial" w:cs="宋体"/>
          <w:b/>
          <w:bCs/>
          <w:color w:val="000000"/>
          <w:kern w:val="0"/>
          <w:sz w:val="24"/>
          <w:szCs w:val="24"/>
        </w:rPr>
        <w:t>申购、赎回开始日及业务办理时间</w:t>
      </w:r>
    </w:p>
    <w:p w:rsidR="00B83B72" w:rsidRDefault="002C03DB" w:rsidP="003329F8">
      <w:pPr>
        <w:autoSpaceDE w:val="0"/>
        <w:autoSpaceDN w:val="0"/>
        <w:spacing w:line="360" w:lineRule="auto"/>
        <w:ind w:firstLineChars="200" w:firstLine="480"/>
        <w:rPr>
          <w:rFonts w:ascii="宋体" w:eastAsia="宋体" w:hAnsi="Arial" w:cs="宋体"/>
          <w:color w:val="000000"/>
          <w:kern w:val="0"/>
          <w:sz w:val="24"/>
          <w:szCs w:val="24"/>
        </w:rPr>
      </w:pPr>
      <w:r w:rsidRPr="00412398">
        <w:rPr>
          <w:rFonts w:ascii="宋体" w:eastAsia="宋体" w:hAnsi="Arial" w:cs="宋体" w:hint="eastAsia"/>
          <w:color w:val="000000"/>
          <w:kern w:val="0"/>
          <w:sz w:val="24"/>
          <w:szCs w:val="24"/>
        </w:rPr>
        <w:t>本基金自《基金合同》生效后，每年开放一次。</w:t>
      </w:r>
      <w:r w:rsidR="007D4FF0" w:rsidRPr="00AA6D8A">
        <w:rPr>
          <w:rFonts w:ascii="宋体" w:eastAsia="宋体" w:hAnsi="Arial" w:cs="宋体" w:hint="eastAsia"/>
          <w:color w:val="000000"/>
          <w:kern w:val="0"/>
          <w:sz w:val="24"/>
          <w:szCs w:val="24"/>
        </w:rPr>
        <w:t>基金第一个开放期为《基金合同》生效之日后一年对日起（包括该日，如该对日不存在或为非工作日，则顺延至下一个工作日。如该对日因不可抗力或其他情形致使基金无法按时开放申购与赎回业务的，开放期自不可抗力或其他情形的影响因素消除之日起的下一个工作日开始）不少于</w:t>
      </w:r>
      <w:r w:rsidR="007D4FF0" w:rsidRPr="00AA6D8A">
        <w:rPr>
          <w:rFonts w:ascii="宋体" w:eastAsia="宋体" w:hAnsi="Arial" w:cs="宋体"/>
          <w:color w:val="000000"/>
          <w:kern w:val="0"/>
          <w:sz w:val="24"/>
          <w:szCs w:val="24"/>
        </w:rPr>
        <w:t>5</w:t>
      </w:r>
      <w:r w:rsidR="007D4FF0" w:rsidRPr="00AA6D8A">
        <w:rPr>
          <w:rFonts w:ascii="宋体" w:eastAsia="宋体" w:hAnsi="Arial" w:cs="宋体" w:hint="eastAsia"/>
          <w:color w:val="000000"/>
          <w:kern w:val="0"/>
          <w:sz w:val="24"/>
          <w:szCs w:val="24"/>
        </w:rPr>
        <w:t>个工作日，不超过</w:t>
      </w:r>
      <w:r w:rsidR="007D4FF0" w:rsidRPr="00AA6D8A">
        <w:rPr>
          <w:rFonts w:ascii="宋体" w:eastAsia="宋体" w:hAnsi="Arial" w:cs="宋体"/>
          <w:color w:val="000000"/>
          <w:kern w:val="0"/>
          <w:sz w:val="24"/>
          <w:szCs w:val="24"/>
        </w:rPr>
        <w:t>20</w:t>
      </w:r>
      <w:r w:rsidR="007D4FF0" w:rsidRPr="00AA6D8A">
        <w:rPr>
          <w:rFonts w:ascii="宋体" w:eastAsia="宋体" w:hAnsi="Arial" w:cs="宋体" w:hint="eastAsia"/>
          <w:color w:val="000000"/>
          <w:kern w:val="0"/>
          <w:sz w:val="24"/>
          <w:szCs w:val="24"/>
        </w:rPr>
        <w:t>个工作日的期间；第二个开放期为《基金合同》生效之日后两年的对日起（包括该日，如该对日不存在或为非工作日，则顺延至下一个工作日。如该对日因不可抗力或其他情形致使基金无法按时开放申购与赎回业务的，开放期自不可抗力或其他情形的影响因素消除之日起的下一个工作日开始）不少于</w:t>
      </w:r>
      <w:r w:rsidR="007D4FF0" w:rsidRPr="00AA6D8A">
        <w:rPr>
          <w:rFonts w:ascii="宋体" w:eastAsia="宋体" w:hAnsi="Arial" w:cs="宋体"/>
          <w:color w:val="000000"/>
          <w:kern w:val="0"/>
          <w:sz w:val="24"/>
          <w:szCs w:val="24"/>
        </w:rPr>
        <w:t>5</w:t>
      </w:r>
      <w:r w:rsidR="007D4FF0" w:rsidRPr="00AA6D8A">
        <w:rPr>
          <w:rFonts w:ascii="宋体" w:eastAsia="宋体" w:hAnsi="Arial" w:cs="宋体" w:hint="eastAsia"/>
          <w:color w:val="000000"/>
          <w:kern w:val="0"/>
          <w:sz w:val="24"/>
          <w:szCs w:val="24"/>
        </w:rPr>
        <w:t>个工作日，不超过</w:t>
      </w:r>
      <w:r w:rsidR="007D4FF0" w:rsidRPr="00AA6D8A">
        <w:rPr>
          <w:rFonts w:ascii="宋体" w:eastAsia="宋体" w:hAnsi="Arial" w:cs="宋体"/>
          <w:color w:val="000000"/>
          <w:kern w:val="0"/>
          <w:sz w:val="24"/>
          <w:szCs w:val="24"/>
        </w:rPr>
        <w:t>20</w:t>
      </w:r>
      <w:r w:rsidR="007D4FF0" w:rsidRPr="00AA6D8A">
        <w:rPr>
          <w:rFonts w:ascii="宋体" w:eastAsia="宋体" w:hAnsi="Arial" w:cs="宋体" w:hint="eastAsia"/>
          <w:color w:val="000000"/>
          <w:kern w:val="0"/>
          <w:sz w:val="24"/>
          <w:szCs w:val="24"/>
        </w:rPr>
        <w:t>个工作日的期间。以此类推。</w:t>
      </w:r>
    </w:p>
    <w:p w:rsidR="00C81F20" w:rsidRPr="00412398" w:rsidRDefault="000B09AD" w:rsidP="003329F8">
      <w:pPr>
        <w:autoSpaceDE w:val="0"/>
        <w:autoSpaceDN w:val="0"/>
        <w:spacing w:line="360" w:lineRule="auto"/>
        <w:ind w:firstLineChars="200" w:firstLine="480"/>
        <w:rPr>
          <w:rFonts w:ascii="宋体" w:eastAsia="宋体" w:hAnsi="Arial" w:cs="宋体"/>
          <w:color w:val="000000"/>
          <w:kern w:val="0"/>
          <w:sz w:val="24"/>
          <w:szCs w:val="24"/>
        </w:rPr>
      </w:pPr>
      <w:r w:rsidRPr="00412398">
        <w:rPr>
          <w:rFonts w:ascii="宋体" w:eastAsia="宋体" w:hAnsi="Arial" w:cs="宋体" w:hint="eastAsia"/>
          <w:color w:val="000000"/>
          <w:kern w:val="0"/>
          <w:sz w:val="24"/>
          <w:szCs w:val="24"/>
        </w:rPr>
        <w:t>本基金合同生效日为2015年</w:t>
      </w:r>
      <w:r w:rsidR="004520E3">
        <w:rPr>
          <w:rFonts w:ascii="宋体" w:eastAsia="宋体" w:hAnsi="Arial" w:cs="宋体" w:hint="eastAsia"/>
          <w:color w:val="000000"/>
          <w:kern w:val="0"/>
          <w:sz w:val="24"/>
          <w:szCs w:val="24"/>
        </w:rPr>
        <w:t>11</w:t>
      </w:r>
      <w:r w:rsidRPr="00412398">
        <w:rPr>
          <w:rFonts w:ascii="宋体" w:eastAsia="宋体" w:hAnsi="Arial" w:cs="宋体" w:hint="eastAsia"/>
          <w:color w:val="000000"/>
          <w:kern w:val="0"/>
          <w:sz w:val="24"/>
          <w:szCs w:val="24"/>
        </w:rPr>
        <w:t>月</w:t>
      </w:r>
      <w:r w:rsidR="004520E3">
        <w:rPr>
          <w:rFonts w:ascii="宋体" w:eastAsia="宋体" w:hAnsi="Arial" w:cs="宋体" w:hint="eastAsia"/>
          <w:color w:val="000000"/>
          <w:kern w:val="0"/>
          <w:sz w:val="24"/>
          <w:szCs w:val="24"/>
        </w:rPr>
        <w:t>3</w:t>
      </w:r>
      <w:r w:rsidRPr="00412398">
        <w:rPr>
          <w:rFonts w:ascii="宋体" w:eastAsia="宋体" w:hAnsi="Arial" w:cs="宋体" w:hint="eastAsia"/>
          <w:color w:val="000000"/>
          <w:kern w:val="0"/>
          <w:sz w:val="24"/>
          <w:szCs w:val="24"/>
        </w:rPr>
        <w:t>日，根据上述约定，</w:t>
      </w:r>
      <w:r w:rsidR="00B83B72">
        <w:rPr>
          <w:rFonts w:ascii="宋体" w:eastAsia="宋体" w:hAnsi="Arial" w:cs="宋体" w:hint="eastAsia"/>
          <w:color w:val="000000"/>
          <w:kern w:val="0"/>
          <w:sz w:val="24"/>
          <w:szCs w:val="24"/>
        </w:rPr>
        <w:t>本基金</w:t>
      </w:r>
      <w:r w:rsidR="00563CC9">
        <w:rPr>
          <w:rFonts w:ascii="宋体" w:eastAsia="宋体" w:hAnsi="Arial" w:cs="宋体" w:hint="eastAsia"/>
          <w:color w:val="000000"/>
          <w:kern w:val="0"/>
          <w:sz w:val="24"/>
          <w:szCs w:val="24"/>
        </w:rPr>
        <w:t>第</w:t>
      </w:r>
      <w:r w:rsidR="007D4FF0">
        <w:rPr>
          <w:rFonts w:ascii="宋体" w:eastAsia="宋体" w:hAnsi="Arial" w:cs="宋体" w:hint="eastAsia"/>
          <w:color w:val="000000"/>
          <w:kern w:val="0"/>
          <w:sz w:val="24"/>
          <w:szCs w:val="24"/>
        </w:rPr>
        <w:t>三</w:t>
      </w:r>
      <w:r w:rsidR="00563CC9">
        <w:rPr>
          <w:rFonts w:ascii="宋体" w:eastAsia="宋体" w:hAnsi="Arial" w:cs="宋体" w:hint="eastAsia"/>
          <w:color w:val="000000"/>
          <w:kern w:val="0"/>
          <w:sz w:val="24"/>
          <w:szCs w:val="24"/>
        </w:rPr>
        <w:t>个</w:t>
      </w:r>
      <w:r w:rsidR="00B83B72">
        <w:rPr>
          <w:rFonts w:ascii="宋体" w:eastAsia="宋体" w:hAnsi="Arial" w:cs="宋体" w:hint="eastAsia"/>
          <w:color w:val="000000"/>
          <w:kern w:val="0"/>
          <w:sz w:val="24"/>
          <w:szCs w:val="24"/>
        </w:rPr>
        <w:t>开放期起始日为</w:t>
      </w:r>
      <w:r w:rsidR="007D4FF0" w:rsidRPr="00E904DA">
        <w:rPr>
          <w:rFonts w:ascii="宋体" w:eastAsia="宋体" w:hAnsi="Arial" w:cs="宋体"/>
          <w:color w:val="000000"/>
          <w:kern w:val="0"/>
          <w:sz w:val="24"/>
          <w:szCs w:val="24"/>
        </w:rPr>
        <w:t>201</w:t>
      </w:r>
      <w:r w:rsidR="007D4FF0">
        <w:rPr>
          <w:rFonts w:ascii="宋体" w:eastAsia="宋体" w:hAnsi="Arial" w:cs="宋体"/>
          <w:color w:val="000000"/>
          <w:kern w:val="0"/>
          <w:sz w:val="24"/>
          <w:szCs w:val="24"/>
        </w:rPr>
        <w:t>8</w:t>
      </w:r>
      <w:r w:rsidRPr="00412398">
        <w:rPr>
          <w:rFonts w:ascii="宋体" w:eastAsia="宋体" w:hAnsi="Arial" w:cs="宋体" w:hint="eastAsia"/>
          <w:color w:val="000000"/>
          <w:kern w:val="0"/>
          <w:sz w:val="24"/>
          <w:szCs w:val="24"/>
        </w:rPr>
        <w:t>年</w:t>
      </w:r>
      <w:r w:rsidR="004520E3">
        <w:rPr>
          <w:rFonts w:ascii="宋体" w:eastAsia="宋体" w:hAnsi="Arial" w:cs="宋体" w:hint="eastAsia"/>
          <w:color w:val="000000"/>
          <w:kern w:val="0"/>
          <w:sz w:val="24"/>
          <w:szCs w:val="24"/>
        </w:rPr>
        <w:t>11</w:t>
      </w:r>
      <w:r w:rsidRPr="00412398">
        <w:rPr>
          <w:rFonts w:ascii="宋体" w:eastAsia="宋体" w:hAnsi="Arial" w:cs="宋体" w:hint="eastAsia"/>
          <w:color w:val="000000"/>
          <w:kern w:val="0"/>
          <w:sz w:val="24"/>
          <w:szCs w:val="24"/>
        </w:rPr>
        <w:t>月</w:t>
      </w:r>
      <w:r w:rsidR="007D4FF0">
        <w:rPr>
          <w:rFonts w:ascii="宋体" w:eastAsia="宋体" w:hAnsi="Arial" w:cs="宋体"/>
          <w:color w:val="000000"/>
          <w:kern w:val="0"/>
          <w:sz w:val="24"/>
          <w:szCs w:val="24"/>
        </w:rPr>
        <w:t>5</w:t>
      </w:r>
      <w:r w:rsidRPr="00412398">
        <w:rPr>
          <w:rFonts w:ascii="宋体" w:eastAsia="宋体" w:hAnsi="Arial" w:cs="宋体" w:hint="eastAsia"/>
          <w:color w:val="000000"/>
          <w:kern w:val="0"/>
          <w:sz w:val="24"/>
          <w:szCs w:val="24"/>
        </w:rPr>
        <w:t>日</w:t>
      </w:r>
      <w:r w:rsidR="007D4FF0">
        <w:rPr>
          <w:rFonts w:ascii="宋体" w:eastAsia="宋体" w:hAnsi="Arial" w:cs="宋体" w:hint="eastAsia"/>
          <w:color w:val="000000"/>
          <w:kern w:val="0"/>
          <w:sz w:val="24"/>
          <w:szCs w:val="24"/>
        </w:rPr>
        <w:t>（</w:t>
      </w:r>
      <w:r w:rsidR="007D4FF0">
        <w:rPr>
          <w:rFonts w:ascii="宋体" w:eastAsia="宋体" w:hAnsi="Arial" w:cs="宋体"/>
          <w:color w:val="000000"/>
          <w:kern w:val="0"/>
          <w:sz w:val="24"/>
          <w:szCs w:val="24"/>
        </w:rPr>
        <w:t>周一）</w:t>
      </w:r>
      <w:r w:rsidR="00B83B72">
        <w:rPr>
          <w:rFonts w:ascii="宋体" w:eastAsia="宋体" w:hAnsi="Arial" w:cs="宋体" w:hint="eastAsia"/>
          <w:color w:val="000000"/>
          <w:kern w:val="0"/>
          <w:sz w:val="24"/>
          <w:szCs w:val="24"/>
        </w:rPr>
        <w:t>，该日</w:t>
      </w:r>
      <w:r w:rsidRPr="00412398">
        <w:rPr>
          <w:rFonts w:ascii="宋体" w:eastAsia="宋体" w:hAnsi="Arial" w:cs="宋体" w:hint="eastAsia"/>
          <w:color w:val="000000"/>
          <w:kern w:val="0"/>
          <w:sz w:val="24"/>
          <w:szCs w:val="24"/>
        </w:rPr>
        <w:t>至</w:t>
      </w:r>
      <w:r w:rsidR="007D4FF0" w:rsidRPr="00E904DA">
        <w:rPr>
          <w:rFonts w:ascii="宋体" w:eastAsia="宋体" w:hAnsi="Arial" w:cs="宋体"/>
          <w:color w:val="000000"/>
          <w:kern w:val="0"/>
          <w:sz w:val="24"/>
          <w:szCs w:val="24"/>
        </w:rPr>
        <w:t>201</w:t>
      </w:r>
      <w:r w:rsidR="007D4FF0">
        <w:rPr>
          <w:rFonts w:ascii="宋体" w:eastAsia="宋体" w:hAnsi="Arial" w:cs="宋体"/>
          <w:color w:val="000000"/>
          <w:kern w:val="0"/>
          <w:sz w:val="24"/>
          <w:szCs w:val="24"/>
        </w:rPr>
        <w:t>8</w:t>
      </w:r>
      <w:r w:rsidRPr="00412398">
        <w:rPr>
          <w:rFonts w:ascii="宋体" w:eastAsia="宋体" w:hAnsi="Arial" w:cs="宋体" w:hint="eastAsia"/>
          <w:color w:val="000000"/>
          <w:kern w:val="0"/>
          <w:sz w:val="24"/>
          <w:szCs w:val="24"/>
        </w:rPr>
        <w:t>年</w:t>
      </w:r>
      <w:r w:rsidR="004520E3">
        <w:rPr>
          <w:rFonts w:ascii="宋体" w:eastAsia="宋体" w:hAnsi="Arial" w:cs="宋体" w:hint="eastAsia"/>
          <w:color w:val="000000"/>
          <w:kern w:val="0"/>
          <w:sz w:val="24"/>
          <w:szCs w:val="24"/>
        </w:rPr>
        <w:t>11</w:t>
      </w:r>
      <w:r w:rsidRPr="00412398">
        <w:rPr>
          <w:rFonts w:ascii="宋体" w:eastAsia="宋体" w:hAnsi="Arial" w:cs="宋体" w:hint="eastAsia"/>
          <w:color w:val="000000"/>
          <w:kern w:val="0"/>
          <w:sz w:val="24"/>
          <w:szCs w:val="24"/>
        </w:rPr>
        <w:t>月</w:t>
      </w:r>
      <w:r w:rsidR="00F263E7">
        <w:rPr>
          <w:rFonts w:ascii="宋体" w:eastAsia="宋体" w:hAnsi="Arial" w:cs="宋体" w:hint="eastAsia"/>
          <w:color w:val="000000"/>
          <w:kern w:val="0"/>
          <w:sz w:val="24"/>
          <w:szCs w:val="24"/>
        </w:rPr>
        <w:t>9</w:t>
      </w:r>
      <w:r w:rsidRPr="00412398">
        <w:rPr>
          <w:rFonts w:ascii="宋体" w:eastAsia="宋体" w:hAnsi="Arial" w:cs="宋体" w:hint="eastAsia"/>
          <w:color w:val="000000"/>
          <w:kern w:val="0"/>
          <w:sz w:val="24"/>
          <w:szCs w:val="24"/>
        </w:rPr>
        <w:t>日（含该日）为本基金</w:t>
      </w:r>
      <w:r w:rsidR="00563CC9" w:rsidRPr="00412398">
        <w:rPr>
          <w:rFonts w:ascii="宋体" w:eastAsia="宋体" w:hAnsi="Arial" w:cs="宋体" w:hint="eastAsia"/>
          <w:color w:val="000000"/>
          <w:kern w:val="0"/>
          <w:sz w:val="24"/>
          <w:szCs w:val="24"/>
        </w:rPr>
        <w:t>第</w:t>
      </w:r>
      <w:r w:rsidR="007D4FF0">
        <w:rPr>
          <w:rFonts w:ascii="宋体" w:eastAsia="宋体" w:hAnsi="Arial" w:cs="宋体" w:hint="eastAsia"/>
          <w:color w:val="000000"/>
          <w:kern w:val="0"/>
          <w:sz w:val="24"/>
          <w:szCs w:val="24"/>
        </w:rPr>
        <w:t>三</w:t>
      </w:r>
      <w:r w:rsidRPr="00412398">
        <w:rPr>
          <w:rFonts w:ascii="宋体" w:eastAsia="宋体" w:hAnsi="Arial" w:cs="宋体" w:hint="eastAsia"/>
          <w:color w:val="000000"/>
          <w:kern w:val="0"/>
          <w:sz w:val="24"/>
          <w:szCs w:val="24"/>
        </w:rPr>
        <w:t>个开放期</w:t>
      </w:r>
      <w:r w:rsidR="00E904DA">
        <w:rPr>
          <w:rFonts w:ascii="宋体" w:eastAsia="宋体" w:hAnsi="Arial" w:cs="宋体" w:hint="eastAsia"/>
          <w:color w:val="000000"/>
          <w:kern w:val="0"/>
          <w:sz w:val="24"/>
          <w:szCs w:val="24"/>
        </w:rPr>
        <w:t>。</w:t>
      </w:r>
      <w:r w:rsidR="005E2158" w:rsidRPr="00E96210">
        <w:rPr>
          <w:rFonts w:ascii="宋体" w:eastAsia="宋体" w:hAnsi="Arial" w:cs="宋体"/>
          <w:color w:val="000000"/>
          <w:kern w:val="0"/>
          <w:sz w:val="24"/>
          <w:szCs w:val="24"/>
        </w:rPr>
        <w:t>其中，本基金</w:t>
      </w:r>
      <w:r w:rsidR="005E2158" w:rsidRPr="00461BD0">
        <w:rPr>
          <w:rFonts w:ascii="宋体" w:eastAsia="宋体" w:hAnsi="Arial" w:cs="宋体"/>
          <w:color w:val="000000"/>
          <w:kern w:val="0"/>
          <w:sz w:val="24"/>
          <w:szCs w:val="24"/>
        </w:rPr>
        <w:t>于2018年</w:t>
      </w:r>
      <w:r w:rsidR="005E2158">
        <w:rPr>
          <w:rFonts w:ascii="宋体" w:eastAsia="宋体" w:hAnsi="Arial" w:cs="宋体"/>
          <w:color w:val="000000"/>
          <w:kern w:val="0"/>
          <w:sz w:val="24"/>
          <w:szCs w:val="24"/>
        </w:rPr>
        <w:t>11</w:t>
      </w:r>
      <w:r w:rsidR="005E2158" w:rsidRPr="00461BD0">
        <w:rPr>
          <w:rFonts w:ascii="宋体" w:eastAsia="宋体" w:hAnsi="Arial" w:cs="宋体"/>
          <w:color w:val="000000"/>
          <w:kern w:val="0"/>
          <w:sz w:val="24"/>
          <w:szCs w:val="24"/>
        </w:rPr>
        <w:t>月5日至2018年</w:t>
      </w:r>
      <w:r w:rsidR="005E2158">
        <w:rPr>
          <w:rFonts w:ascii="宋体" w:eastAsia="宋体" w:hAnsi="Arial" w:cs="宋体"/>
          <w:color w:val="000000"/>
          <w:kern w:val="0"/>
          <w:sz w:val="24"/>
          <w:szCs w:val="24"/>
        </w:rPr>
        <w:t>11</w:t>
      </w:r>
      <w:r w:rsidR="005E2158" w:rsidRPr="00461BD0">
        <w:rPr>
          <w:rFonts w:ascii="宋体" w:eastAsia="宋体" w:hAnsi="Arial" w:cs="宋体"/>
          <w:color w:val="000000"/>
          <w:kern w:val="0"/>
          <w:sz w:val="24"/>
          <w:szCs w:val="24"/>
        </w:rPr>
        <w:t>月</w:t>
      </w:r>
      <w:r w:rsidR="005E2158">
        <w:rPr>
          <w:rFonts w:ascii="宋体" w:eastAsia="宋体" w:hAnsi="Arial" w:cs="宋体"/>
          <w:color w:val="000000"/>
          <w:kern w:val="0"/>
          <w:sz w:val="24"/>
          <w:szCs w:val="24"/>
        </w:rPr>
        <w:t>9</w:t>
      </w:r>
      <w:r w:rsidR="005E2158" w:rsidRPr="00461BD0">
        <w:rPr>
          <w:rFonts w:ascii="宋体" w:eastAsia="宋体" w:hAnsi="Arial" w:cs="宋体"/>
          <w:color w:val="000000"/>
          <w:kern w:val="0"/>
          <w:sz w:val="24"/>
          <w:szCs w:val="24"/>
        </w:rPr>
        <w:t>日</w:t>
      </w:r>
      <w:r w:rsidR="005E2158" w:rsidRPr="00E96210">
        <w:rPr>
          <w:rFonts w:ascii="宋体" w:eastAsia="宋体" w:hAnsi="Arial" w:cs="宋体"/>
          <w:color w:val="000000"/>
          <w:kern w:val="0"/>
          <w:sz w:val="24"/>
          <w:szCs w:val="24"/>
        </w:rPr>
        <w:t>接受投资人的赎回申请，于2018年</w:t>
      </w:r>
      <w:r w:rsidR="005E2158">
        <w:rPr>
          <w:rFonts w:ascii="宋体" w:eastAsia="宋体" w:hAnsi="Arial" w:cs="宋体"/>
          <w:color w:val="000000"/>
          <w:kern w:val="0"/>
          <w:sz w:val="24"/>
          <w:szCs w:val="24"/>
        </w:rPr>
        <w:t>11</w:t>
      </w:r>
      <w:r w:rsidR="005E2158" w:rsidRPr="00E96210">
        <w:rPr>
          <w:rFonts w:ascii="宋体" w:eastAsia="宋体" w:hAnsi="Arial" w:cs="宋体"/>
          <w:color w:val="000000"/>
          <w:kern w:val="0"/>
          <w:sz w:val="24"/>
          <w:szCs w:val="24"/>
        </w:rPr>
        <w:t>月</w:t>
      </w:r>
      <w:r w:rsidR="005E2158">
        <w:rPr>
          <w:rFonts w:ascii="宋体" w:eastAsia="宋体" w:hAnsi="Arial" w:cs="宋体"/>
          <w:color w:val="000000"/>
          <w:kern w:val="0"/>
          <w:sz w:val="24"/>
          <w:szCs w:val="24"/>
        </w:rPr>
        <w:t>9</w:t>
      </w:r>
      <w:r w:rsidR="005E2158" w:rsidRPr="00E96210">
        <w:rPr>
          <w:rFonts w:ascii="宋体" w:eastAsia="宋体" w:hAnsi="Arial" w:cs="宋体"/>
          <w:color w:val="000000"/>
          <w:kern w:val="0"/>
          <w:sz w:val="24"/>
          <w:szCs w:val="24"/>
        </w:rPr>
        <w:t>日接受投资者的申购申请。</w:t>
      </w:r>
      <w:r w:rsidR="002C03DB" w:rsidRPr="00412398">
        <w:rPr>
          <w:rFonts w:ascii="宋体" w:eastAsia="宋体" w:hAnsi="Arial" w:cs="宋体" w:hint="eastAsia"/>
          <w:color w:val="000000"/>
          <w:kern w:val="0"/>
          <w:sz w:val="24"/>
          <w:szCs w:val="24"/>
        </w:rPr>
        <w:t>如在开放期内发生不可抗力或其他情形致使基金无法按时</w:t>
      </w:r>
      <w:r w:rsidR="002C03DB" w:rsidRPr="00412398">
        <w:rPr>
          <w:rFonts w:ascii="宋体" w:eastAsia="宋体" w:hAnsi="Arial" w:cs="宋体" w:hint="eastAsia"/>
          <w:color w:val="000000"/>
          <w:kern w:val="0"/>
          <w:sz w:val="24"/>
          <w:szCs w:val="24"/>
        </w:rPr>
        <w:lastRenderedPageBreak/>
        <w:t>开放申购或赎回业务的，基金管理人</w:t>
      </w:r>
      <w:r w:rsidR="00B83B72">
        <w:rPr>
          <w:rFonts w:ascii="宋体" w:eastAsia="宋体" w:hAnsi="Arial" w:cs="宋体" w:hint="eastAsia"/>
          <w:color w:val="000000"/>
          <w:kern w:val="0"/>
          <w:sz w:val="24"/>
          <w:szCs w:val="24"/>
        </w:rPr>
        <w:t>将重新调整开放期时间并提前予以公告</w:t>
      </w:r>
      <w:r w:rsidR="002C03DB" w:rsidRPr="00412398">
        <w:rPr>
          <w:rFonts w:ascii="宋体" w:eastAsia="宋体" w:hAnsi="Arial" w:cs="宋体" w:hint="eastAsia"/>
          <w:color w:val="000000"/>
          <w:kern w:val="0"/>
          <w:sz w:val="24"/>
          <w:szCs w:val="24"/>
        </w:rPr>
        <w:t>。开放期间本基金采取开放运作模式，投资人可办理基金份额申购、赎回</w:t>
      </w:r>
      <w:r w:rsidR="00C81F20">
        <w:rPr>
          <w:rFonts w:ascii="宋体" w:eastAsia="宋体" w:hAnsi="Arial" w:cs="宋体" w:hint="eastAsia"/>
          <w:color w:val="000000"/>
          <w:kern w:val="0"/>
          <w:sz w:val="24"/>
          <w:szCs w:val="24"/>
        </w:rPr>
        <w:t>及转换</w:t>
      </w:r>
      <w:r w:rsidR="002C03DB" w:rsidRPr="00412398">
        <w:rPr>
          <w:rFonts w:ascii="宋体" w:eastAsia="宋体" w:hAnsi="Arial" w:cs="宋体" w:hint="eastAsia"/>
          <w:color w:val="000000"/>
          <w:kern w:val="0"/>
          <w:sz w:val="24"/>
          <w:szCs w:val="24"/>
        </w:rPr>
        <w:t>业务。</w:t>
      </w:r>
    </w:p>
    <w:p w:rsidR="00700815" w:rsidRDefault="00286ED6" w:rsidP="008F69D2">
      <w:pPr>
        <w:autoSpaceDE w:val="0"/>
        <w:autoSpaceDN w:val="0"/>
        <w:adjustRightInd w:val="0"/>
        <w:spacing w:line="360" w:lineRule="auto"/>
        <w:ind w:firstLineChars="200" w:firstLine="480"/>
        <w:rPr>
          <w:rFonts w:ascii="MS Sans Serif" w:hAnsi="MS Sans Serif" w:cs="MS Sans Serif"/>
          <w:color w:val="000000"/>
          <w:kern w:val="0"/>
          <w:sz w:val="24"/>
          <w:szCs w:val="24"/>
        </w:rPr>
      </w:pPr>
      <w:r w:rsidRPr="00B7313B">
        <w:rPr>
          <w:bCs/>
          <w:sz w:val="24"/>
        </w:rPr>
        <w:t>基金管理人不得在基金合同约定之外的日期或者时间办理基金份额的申购</w:t>
      </w:r>
      <w:r w:rsidRPr="00B7313B">
        <w:rPr>
          <w:rFonts w:hint="eastAsia"/>
          <w:bCs/>
          <w:sz w:val="24"/>
        </w:rPr>
        <w:t>、</w:t>
      </w:r>
      <w:r w:rsidRPr="00B7313B">
        <w:rPr>
          <w:bCs/>
          <w:sz w:val="24"/>
        </w:rPr>
        <w:t>赎回或者转换。</w:t>
      </w:r>
      <w:r w:rsidRPr="00B7313B">
        <w:rPr>
          <w:rFonts w:hint="eastAsia"/>
          <w:bCs/>
          <w:sz w:val="24"/>
        </w:rPr>
        <w:t>在开放期内，</w:t>
      </w:r>
      <w:r w:rsidRPr="00B7313B">
        <w:rPr>
          <w:bCs/>
          <w:sz w:val="24"/>
        </w:rPr>
        <w:t>投资人在基金合同约定之外的日期和时间提出申购、赎回或转换申请</w:t>
      </w:r>
      <w:r w:rsidRPr="00B7313B">
        <w:rPr>
          <w:rFonts w:hint="eastAsia"/>
          <w:bCs/>
          <w:sz w:val="24"/>
        </w:rPr>
        <w:t>且登记机构确认接收</w:t>
      </w:r>
      <w:r w:rsidRPr="00B7313B">
        <w:rPr>
          <w:bCs/>
          <w:sz w:val="24"/>
        </w:rPr>
        <w:t>的，其基金份额申购、赎回价格为下一开放日基金份额申购、赎回的价格。但若投资人在开放期最后一日业务办理时间结束之后提出申购</w:t>
      </w:r>
      <w:r w:rsidRPr="00B7313B">
        <w:rPr>
          <w:rFonts w:hint="eastAsia"/>
          <w:bCs/>
          <w:sz w:val="24"/>
        </w:rPr>
        <w:t>、</w:t>
      </w:r>
      <w:r w:rsidRPr="00B7313B">
        <w:rPr>
          <w:bCs/>
          <w:sz w:val="24"/>
        </w:rPr>
        <w:t>赎回或转换申请的，</w:t>
      </w:r>
      <w:r w:rsidRPr="00B7313B">
        <w:rPr>
          <w:rFonts w:hint="eastAsia"/>
          <w:bCs/>
          <w:sz w:val="24"/>
        </w:rPr>
        <w:t>为无效申请</w:t>
      </w:r>
      <w:r w:rsidRPr="00B7313B">
        <w:rPr>
          <w:bCs/>
          <w:sz w:val="24"/>
        </w:rPr>
        <w:t>。</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 </w:t>
      </w:r>
      <w:r>
        <w:rPr>
          <w:rFonts w:ascii="宋体" w:eastAsia="宋体" w:hAnsi="Arial" w:cs="宋体" w:hint="eastAsia"/>
          <w:b/>
          <w:bCs/>
          <w:color w:val="000000"/>
          <w:kern w:val="0"/>
          <w:sz w:val="24"/>
          <w:szCs w:val="24"/>
        </w:rPr>
        <w:t>日常申购业务</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3.1 </w:t>
      </w:r>
      <w:r>
        <w:rPr>
          <w:rFonts w:ascii="宋体" w:eastAsia="宋体" w:hAnsi="Arial" w:cs="宋体" w:hint="eastAsia"/>
          <w:b/>
          <w:bCs/>
          <w:color w:val="000000"/>
          <w:kern w:val="0"/>
          <w:sz w:val="24"/>
          <w:szCs w:val="24"/>
        </w:rPr>
        <w:t>申购金额限制</w:t>
      </w:r>
    </w:p>
    <w:p w:rsidR="00513C14" w:rsidRPr="00B7313B" w:rsidRDefault="00513C14" w:rsidP="00513C14">
      <w:pPr>
        <w:spacing w:line="360" w:lineRule="auto"/>
        <w:ind w:firstLineChars="200" w:firstLine="480"/>
        <w:rPr>
          <w:sz w:val="24"/>
        </w:rPr>
      </w:pPr>
      <w:r>
        <w:rPr>
          <w:rFonts w:hint="eastAsia"/>
          <w:sz w:val="24"/>
        </w:rPr>
        <w:t>1</w:t>
      </w:r>
      <w:r>
        <w:rPr>
          <w:rFonts w:hint="eastAsia"/>
          <w:sz w:val="24"/>
        </w:rPr>
        <w:t>、</w:t>
      </w:r>
      <w:r w:rsidR="00C13A62" w:rsidRPr="00B57449">
        <w:rPr>
          <w:sz w:val="24"/>
        </w:rPr>
        <w:t>在本基金开放期，投资者通过基金管理人网上交易系统进行申购的，每笔申购的最低金额为人民币</w:t>
      </w:r>
      <w:r w:rsidR="00C13A62" w:rsidRPr="00B57449">
        <w:rPr>
          <w:sz w:val="24"/>
        </w:rPr>
        <w:t>10</w:t>
      </w:r>
      <w:r w:rsidR="00C13A62" w:rsidRPr="00B57449">
        <w:rPr>
          <w:sz w:val="24"/>
        </w:rPr>
        <w:t>元（含申购费）；通过基金管理人直销中心进行申购的，首次申购的最低金额为人民币</w:t>
      </w:r>
      <w:r w:rsidR="00C13A62" w:rsidRPr="00B57449">
        <w:rPr>
          <w:sz w:val="24"/>
        </w:rPr>
        <w:t>50,000</w:t>
      </w:r>
      <w:r w:rsidR="00C13A62" w:rsidRPr="00B57449">
        <w:rPr>
          <w:sz w:val="24"/>
        </w:rPr>
        <w:t>元（含申购费），单笔追加不得低于人民币</w:t>
      </w:r>
      <w:r w:rsidR="00C13A62" w:rsidRPr="00B57449">
        <w:rPr>
          <w:sz w:val="24"/>
        </w:rPr>
        <w:t>100</w:t>
      </w:r>
      <w:r w:rsidR="00210303">
        <w:rPr>
          <w:rFonts w:hint="eastAsia"/>
          <w:sz w:val="24"/>
        </w:rPr>
        <w:t>0</w:t>
      </w:r>
      <w:r w:rsidR="00C13A62" w:rsidRPr="00B57449">
        <w:rPr>
          <w:sz w:val="24"/>
        </w:rPr>
        <w:t>元（含申购费）；通过本基金其他销售机构的销售网点进行申购的，每笔申购的最低金额为人民币</w:t>
      </w:r>
      <w:r w:rsidR="00C13A62" w:rsidRPr="00B57449">
        <w:rPr>
          <w:sz w:val="24"/>
        </w:rPr>
        <w:t>10</w:t>
      </w:r>
      <w:r w:rsidR="00C13A62" w:rsidRPr="00B57449">
        <w:rPr>
          <w:sz w:val="24"/>
        </w:rPr>
        <w:t>元（含申购费），超过最低申购金额的部分不设金额级差。各销售机构对本基金最低申购金额及交易级差有其他规定的，以各销售机构的业务规定为准。</w:t>
      </w:r>
    </w:p>
    <w:p w:rsidR="00513C14" w:rsidRPr="00673FD7" w:rsidRDefault="00513C14" w:rsidP="00513C14">
      <w:pPr>
        <w:spacing w:line="360" w:lineRule="auto"/>
        <w:ind w:firstLineChars="200" w:firstLine="480"/>
        <w:rPr>
          <w:bCs/>
          <w:sz w:val="24"/>
        </w:rPr>
      </w:pPr>
      <w:r>
        <w:rPr>
          <w:rFonts w:hint="eastAsia"/>
          <w:bCs/>
          <w:sz w:val="24"/>
        </w:rPr>
        <w:t>2</w:t>
      </w:r>
      <w:r w:rsidRPr="00673FD7">
        <w:rPr>
          <w:rFonts w:hint="eastAsia"/>
          <w:bCs/>
          <w:sz w:val="24"/>
        </w:rPr>
        <w:t>、投资者将当期分配的基金收益转为基金份额时，不受最低申购金额的限制。</w:t>
      </w:r>
    </w:p>
    <w:p w:rsidR="00513C14" w:rsidRDefault="00513C14" w:rsidP="00513C14">
      <w:pPr>
        <w:spacing w:line="360" w:lineRule="auto"/>
        <w:ind w:firstLineChars="200" w:firstLine="480"/>
        <w:rPr>
          <w:bCs/>
          <w:sz w:val="24"/>
        </w:rPr>
      </w:pPr>
      <w:r>
        <w:rPr>
          <w:rFonts w:hint="eastAsia"/>
          <w:bCs/>
          <w:sz w:val="24"/>
        </w:rPr>
        <w:t>3</w:t>
      </w:r>
      <w:r w:rsidRPr="00673FD7">
        <w:rPr>
          <w:rFonts w:hint="eastAsia"/>
          <w:bCs/>
          <w:sz w:val="24"/>
        </w:rPr>
        <w:t>、投资者可多次申购，对单个投资者累计持有基金份额的比例或数量不设上限限制。法律法规、中国证监会另有规定的除外。</w:t>
      </w:r>
    </w:p>
    <w:p w:rsidR="00700815"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3.2 </w:t>
      </w:r>
      <w:r>
        <w:rPr>
          <w:rFonts w:ascii="宋体" w:eastAsia="宋体" w:hAnsi="Arial" w:cs="宋体" w:hint="eastAsia"/>
          <w:b/>
          <w:bCs/>
          <w:color w:val="000000"/>
          <w:kern w:val="0"/>
          <w:sz w:val="24"/>
          <w:szCs w:val="24"/>
        </w:rPr>
        <w:t>申购费率</w:t>
      </w:r>
    </w:p>
    <w:p w:rsidR="00C13A62" w:rsidRDefault="005D2EE0" w:rsidP="003329F8">
      <w:pPr>
        <w:pStyle w:val="a6"/>
        <w:rPr>
          <w:color w:val="000000"/>
          <w:kern w:val="0"/>
        </w:rPr>
      </w:pPr>
      <w:r w:rsidRPr="00B7313B">
        <w:rPr>
          <w:rFonts w:hint="eastAsia"/>
          <w:bCs/>
        </w:rPr>
        <w:t>1</w:t>
      </w:r>
      <w:r w:rsidRPr="00B7313B">
        <w:rPr>
          <w:rFonts w:hint="eastAsia"/>
          <w:bCs/>
        </w:rPr>
        <w:t>、</w:t>
      </w:r>
      <w:r w:rsidR="00C13A62" w:rsidRPr="00B57449">
        <w:rPr>
          <w:bCs/>
        </w:rPr>
        <w:t>A</w:t>
      </w:r>
      <w:r w:rsidR="00C13A62" w:rsidRPr="00B57449">
        <w:rPr>
          <w:bCs/>
        </w:rPr>
        <w:t>类基金份额的申购费用由申购该类基金份额的投资人承担，不列入基金资产，主要用于本基金的市场推广、销售、登记等各项费用；</w:t>
      </w:r>
      <w:r w:rsidR="00C13A62" w:rsidRPr="00B57449">
        <w:rPr>
          <w:bCs/>
        </w:rPr>
        <w:t>C</w:t>
      </w:r>
      <w:r w:rsidR="00C13A62" w:rsidRPr="00B57449">
        <w:rPr>
          <w:bCs/>
        </w:rPr>
        <w:t>类基金</w:t>
      </w:r>
      <w:r w:rsidR="00C13A62" w:rsidRPr="00B57449">
        <w:rPr>
          <w:color w:val="000000"/>
          <w:kern w:val="0"/>
        </w:rPr>
        <w:t>份额不收取申购费用。</w:t>
      </w:r>
    </w:p>
    <w:p w:rsidR="005D2EE0" w:rsidRPr="00B7313B" w:rsidRDefault="00C13A62" w:rsidP="00F35C1B">
      <w:pPr>
        <w:pStyle w:val="a6"/>
      </w:pPr>
      <w:r w:rsidRPr="00B57449">
        <w:rPr>
          <w:bCs/>
        </w:rPr>
        <w:t>本基金</w:t>
      </w:r>
      <w:r w:rsidRPr="00B57449">
        <w:rPr>
          <w:bCs/>
        </w:rPr>
        <w:t>A</w:t>
      </w:r>
      <w:r w:rsidRPr="00B57449">
        <w:rPr>
          <w:bCs/>
        </w:rPr>
        <w:t>类基金份额的申购费随申购金额的增加而递减，适用以下前端收费费率标准：</w:t>
      </w:r>
    </w:p>
    <w:tbl>
      <w:tblPr>
        <w:tblW w:w="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742"/>
      </w:tblGrid>
      <w:tr w:rsidR="005D2EE0" w:rsidRPr="00B7313B" w:rsidTr="00FA2BC5">
        <w:trPr>
          <w:trHeight w:val="396"/>
          <w:jc w:val="center"/>
        </w:trPr>
        <w:tc>
          <w:tcPr>
            <w:tcW w:w="2942" w:type="dxa"/>
            <w:shd w:val="clear" w:color="auto" w:fill="auto"/>
            <w:noWrap/>
            <w:vAlign w:val="center"/>
          </w:tcPr>
          <w:p w:rsidR="005D2EE0" w:rsidRPr="00B7313B" w:rsidRDefault="005D2EE0" w:rsidP="00FA2BC5">
            <w:pPr>
              <w:widowControl/>
              <w:jc w:val="center"/>
              <w:rPr>
                <w:rFonts w:ascii="宋体" w:hAnsi="宋体" w:cs="宋体"/>
                <w:b/>
                <w:color w:val="000000"/>
                <w:kern w:val="0"/>
                <w:sz w:val="20"/>
                <w:szCs w:val="20"/>
              </w:rPr>
            </w:pPr>
            <w:r w:rsidRPr="00B7313B">
              <w:rPr>
                <w:rFonts w:ascii="宋体" w:hAnsi="宋体" w:cs="宋体" w:hint="eastAsia"/>
                <w:b/>
                <w:color w:val="000000"/>
                <w:kern w:val="0"/>
                <w:sz w:val="20"/>
                <w:szCs w:val="20"/>
              </w:rPr>
              <w:t>申购金额</w:t>
            </w:r>
          </w:p>
        </w:tc>
        <w:tc>
          <w:tcPr>
            <w:tcW w:w="2742" w:type="dxa"/>
            <w:shd w:val="clear" w:color="auto" w:fill="auto"/>
            <w:vAlign w:val="center"/>
          </w:tcPr>
          <w:p w:rsidR="005D2EE0" w:rsidRPr="00B7313B" w:rsidRDefault="005D2EE0" w:rsidP="00FA2BC5">
            <w:pPr>
              <w:widowControl/>
              <w:jc w:val="center"/>
              <w:rPr>
                <w:rFonts w:ascii="宋体" w:hAnsi="宋体" w:cs="宋体"/>
                <w:b/>
                <w:color w:val="000000"/>
                <w:kern w:val="0"/>
                <w:sz w:val="20"/>
                <w:szCs w:val="20"/>
              </w:rPr>
            </w:pPr>
            <w:r w:rsidRPr="00B7313B">
              <w:rPr>
                <w:rFonts w:ascii="宋体" w:hAnsi="宋体" w:cs="宋体" w:hint="eastAsia"/>
                <w:b/>
                <w:color w:val="000000"/>
                <w:kern w:val="0"/>
                <w:sz w:val="20"/>
                <w:szCs w:val="20"/>
              </w:rPr>
              <w:t>申购费率</w:t>
            </w:r>
          </w:p>
        </w:tc>
      </w:tr>
      <w:tr w:rsidR="005D2EE0" w:rsidRPr="00B7313B" w:rsidTr="00FA2BC5">
        <w:trPr>
          <w:trHeight w:val="396"/>
          <w:jc w:val="center"/>
        </w:trPr>
        <w:tc>
          <w:tcPr>
            <w:tcW w:w="29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M</w:t>
            </w:r>
            <w:r w:rsidRPr="00B7313B">
              <w:rPr>
                <w:kern w:val="0"/>
                <w:szCs w:val="21"/>
              </w:rPr>
              <w:t>＜</w:t>
            </w:r>
            <w:r w:rsidRPr="00B7313B">
              <w:rPr>
                <w:kern w:val="0"/>
                <w:szCs w:val="21"/>
              </w:rPr>
              <w:t>100</w:t>
            </w:r>
            <w:r w:rsidRPr="00B7313B">
              <w:rPr>
                <w:kern w:val="0"/>
                <w:szCs w:val="21"/>
              </w:rPr>
              <w:t>万</w:t>
            </w:r>
          </w:p>
        </w:tc>
        <w:tc>
          <w:tcPr>
            <w:tcW w:w="27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rFonts w:hint="eastAsia"/>
                <w:kern w:val="0"/>
                <w:szCs w:val="21"/>
              </w:rPr>
              <w:t>0.</w:t>
            </w:r>
            <w:r w:rsidR="00833226">
              <w:rPr>
                <w:rFonts w:hint="eastAsia"/>
                <w:kern w:val="0"/>
                <w:szCs w:val="21"/>
              </w:rPr>
              <w:t>8</w:t>
            </w:r>
            <w:r w:rsidRPr="00B7313B">
              <w:rPr>
                <w:rFonts w:hint="eastAsia"/>
                <w:kern w:val="0"/>
                <w:szCs w:val="21"/>
              </w:rPr>
              <w:t>0</w:t>
            </w:r>
            <w:r w:rsidRPr="00B7313B">
              <w:rPr>
                <w:kern w:val="0"/>
                <w:szCs w:val="21"/>
              </w:rPr>
              <w:t>%</w:t>
            </w:r>
          </w:p>
        </w:tc>
      </w:tr>
      <w:tr w:rsidR="005D2EE0" w:rsidRPr="00B7313B" w:rsidTr="00FA2BC5">
        <w:trPr>
          <w:trHeight w:val="396"/>
          <w:jc w:val="center"/>
        </w:trPr>
        <w:tc>
          <w:tcPr>
            <w:tcW w:w="29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100</w:t>
            </w:r>
            <w:r w:rsidRPr="00B7313B">
              <w:rPr>
                <w:kern w:val="0"/>
                <w:szCs w:val="21"/>
              </w:rPr>
              <w:t>万</w:t>
            </w:r>
            <w:r w:rsidRPr="00B7313B">
              <w:rPr>
                <w:kern w:val="0"/>
                <w:szCs w:val="21"/>
              </w:rPr>
              <w:t>≤M</w:t>
            </w:r>
            <w:r w:rsidRPr="00B7313B">
              <w:rPr>
                <w:kern w:val="0"/>
                <w:szCs w:val="21"/>
              </w:rPr>
              <w:t>＜</w:t>
            </w:r>
            <w:r w:rsidRPr="00B7313B">
              <w:rPr>
                <w:rFonts w:hint="eastAsia"/>
                <w:kern w:val="0"/>
                <w:szCs w:val="21"/>
              </w:rPr>
              <w:t>5</w:t>
            </w:r>
            <w:r w:rsidRPr="00B7313B">
              <w:rPr>
                <w:kern w:val="0"/>
                <w:szCs w:val="21"/>
              </w:rPr>
              <w:t>00</w:t>
            </w:r>
            <w:r w:rsidRPr="00B7313B">
              <w:rPr>
                <w:kern w:val="0"/>
                <w:szCs w:val="21"/>
              </w:rPr>
              <w:t>万</w:t>
            </w:r>
          </w:p>
        </w:tc>
        <w:tc>
          <w:tcPr>
            <w:tcW w:w="27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0.</w:t>
            </w:r>
            <w:r w:rsidRPr="00B7313B">
              <w:rPr>
                <w:rFonts w:hint="eastAsia"/>
                <w:kern w:val="0"/>
                <w:szCs w:val="21"/>
              </w:rPr>
              <w:t>30</w:t>
            </w:r>
            <w:r w:rsidRPr="00B7313B">
              <w:rPr>
                <w:kern w:val="0"/>
                <w:szCs w:val="21"/>
              </w:rPr>
              <w:t>%</w:t>
            </w:r>
          </w:p>
        </w:tc>
      </w:tr>
      <w:tr w:rsidR="005D2EE0" w:rsidRPr="00B7313B" w:rsidTr="00FA2BC5">
        <w:trPr>
          <w:trHeight w:val="396"/>
          <w:jc w:val="center"/>
        </w:trPr>
        <w:tc>
          <w:tcPr>
            <w:tcW w:w="29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rFonts w:hint="eastAsia"/>
                <w:kern w:val="0"/>
                <w:szCs w:val="21"/>
              </w:rPr>
              <w:t>5</w:t>
            </w:r>
            <w:r w:rsidRPr="00B7313B">
              <w:rPr>
                <w:kern w:val="0"/>
                <w:szCs w:val="21"/>
              </w:rPr>
              <w:t>00</w:t>
            </w:r>
            <w:r w:rsidRPr="00B7313B">
              <w:rPr>
                <w:kern w:val="0"/>
                <w:szCs w:val="21"/>
              </w:rPr>
              <w:t>万</w:t>
            </w:r>
            <w:r w:rsidRPr="00B7313B">
              <w:rPr>
                <w:kern w:val="0"/>
                <w:szCs w:val="21"/>
              </w:rPr>
              <w:t>≤M</w:t>
            </w:r>
            <w:r w:rsidRPr="00B7313B">
              <w:rPr>
                <w:kern w:val="0"/>
                <w:szCs w:val="21"/>
              </w:rPr>
              <w:t>＜</w:t>
            </w:r>
            <w:r w:rsidRPr="00B7313B">
              <w:rPr>
                <w:rFonts w:hint="eastAsia"/>
                <w:kern w:val="0"/>
                <w:szCs w:val="21"/>
              </w:rPr>
              <w:t>10</w:t>
            </w:r>
            <w:r w:rsidRPr="00B7313B">
              <w:rPr>
                <w:kern w:val="0"/>
                <w:szCs w:val="21"/>
              </w:rPr>
              <w:t>00</w:t>
            </w:r>
            <w:r w:rsidRPr="00B7313B">
              <w:rPr>
                <w:kern w:val="0"/>
                <w:szCs w:val="21"/>
              </w:rPr>
              <w:t>万</w:t>
            </w:r>
          </w:p>
        </w:tc>
        <w:tc>
          <w:tcPr>
            <w:tcW w:w="27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0.</w:t>
            </w:r>
            <w:r w:rsidRPr="00B7313B">
              <w:rPr>
                <w:rFonts w:hint="eastAsia"/>
                <w:kern w:val="0"/>
                <w:szCs w:val="21"/>
              </w:rPr>
              <w:t>10</w:t>
            </w:r>
            <w:r w:rsidRPr="00B7313B">
              <w:rPr>
                <w:kern w:val="0"/>
                <w:szCs w:val="21"/>
              </w:rPr>
              <w:t>%</w:t>
            </w:r>
          </w:p>
        </w:tc>
      </w:tr>
      <w:tr w:rsidR="005D2EE0" w:rsidRPr="00B7313B" w:rsidTr="00FA2BC5">
        <w:trPr>
          <w:trHeight w:val="396"/>
          <w:jc w:val="center"/>
        </w:trPr>
        <w:tc>
          <w:tcPr>
            <w:tcW w:w="29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M≥</w:t>
            </w:r>
            <w:r w:rsidRPr="00B7313B">
              <w:rPr>
                <w:rFonts w:hint="eastAsia"/>
                <w:kern w:val="0"/>
                <w:szCs w:val="21"/>
              </w:rPr>
              <w:t>10</w:t>
            </w:r>
            <w:r w:rsidRPr="00B7313B">
              <w:rPr>
                <w:kern w:val="0"/>
                <w:szCs w:val="21"/>
              </w:rPr>
              <w:t>00</w:t>
            </w:r>
            <w:r w:rsidRPr="00B7313B">
              <w:rPr>
                <w:kern w:val="0"/>
                <w:szCs w:val="21"/>
              </w:rPr>
              <w:t>万</w:t>
            </w:r>
          </w:p>
        </w:tc>
        <w:tc>
          <w:tcPr>
            <w:tcW w:w="2742" w:type="dxa"/>
            <w:shd w:val="clear" w:color="auto" w:fill="auto"/>
            <w:noWrap/>
            <w:vAlign w:val="center"/>
          </w:tcPr>
          <w:p w:rsidR="005D2EE0" w:rsidRPr="00B7313B" w:rsidRDefault="005D2EE0" w:rsidP="00FA2BC5">
            <w:pPr>
              <w:widowControl/>
              <w:jc w:val="center"/>
              <w:rPr>
                <w:rFonts w:ascii="宋体" w:hAnsi="宋体" w:cs="宋体"/>
                <w:color w:val="000000"/>
                <w:kern w:val="0"/>
                <w:sz w:val="20"/>
                <w:szCs w:val="20"/>
              </w:rPr>
            </w:pPr>
            <w:r w:rsidRPr="00B7313B">
              <w:rPr>
                <w:kern w:val="0"/>
                <w:szCs w:val="21"/>
              </w:rPr>
              <w:t>按笔收取，</w:t>
            </w:r>
            <w:r w:rsidRPr="00B7313B">
              <w:rPr>
                <w:kern w:val="0"/>
                <w:szCs w:val="21"/>
              </w:rPr>
              <w:t>1,000</w:t>
            </w:r>
            <w:r w:rsidRPr="00B7313B">
              <w:rPr>
                <w:kern w:val="0"/>
                <w:szCs w:val="21"/>
              </w:rPr>
              <w:t>元</w:t>
            </w:r>
            <w:r w:rsidRPr="00B7313B">
              <w:rPr>
                <w:kern w:val="0"/>
                <w:szCs w:val="21"/>
              </w:rPr>
              <w:t>/</w:t>
            </w:r>
            <w:r w:rsidRPr="00B7313B">
              <w:rPr>
                <w:kern w:val="0"/>
                <w:szCs w:val="21"/>
              </w:rPr>
              <w:t>笔</w:t>
            </w:r>
          </w:p>
        </w:tc>
      </w:tr>
    </w:tbl>
    <w:p w:rsidR="005D2EE0" w:rsidRDefault="005D2EE0" w:rsidP="005D2EE0">
      <w:pPr>
        <w:pStyle w:val="a7"/>
        <w:adjustRightInd w:val="0"/>
        <w:snapToGrid w:val="0"/>
        <w:ind w:firstLineChars="250" w:firstLine="525"/>
        <w:rPr>
          <w:rFonts w:hAnsi="宋体"/>
          <w:szCs w:val="21"/>
        </w:rPr>
      </w:pPr>
      <w:r w:rsidRPr="00B7313B">
        <w:rPr>
          <w:rFonts w:hAnsi="宋体" w:hint="eastAsia"/>
          <w:szCs w:val="21"/>
        </w:rPr>
        <w:t>注：M为申购金额。</w:t>
      </w:r>
    </w:p>
    <w:p w:rsidR="00700815" w:rsidRDefault="005D2EE0" w:rsidP="00F35C1B">
      <w:pPr>
        <w:pStyle w:val="a7"/>
        <w:ind w:firstLine="480"/>
        <w:rPr>
          <w:rFonts w:ascii="MS Sans Serif" w:hAnsi="MS Sans Serif" w:cs="MS Sans Serif"/>
          <w:color w:val="000000"/>
          <w:kern w:val="0"/>
          <w:sz w:val="24"/>
          <w:szCs w:val="24"/>
        </w:rPr>
      </w:pPr>
      <w:r w:rsidRPr="003329F8">
        <w:rPr>
          <w:bCs/>
          <w:sz w:val="24"/>
        </w:rPr>
        <w:t>2</w:t>
      </w:r>
      <w:r w:rsidRPr="003329F8">
        <w:rPr>
          <w:rFonts w:hint="eastAsia"/>
          <w:bCs/>
          <w:sz w:val="24"/>
        </w:rPr>
        <w:t>、</w:t>
      </w:r>
      <w:r w:rsidR="007D4FF0" w:rsidRPr="00DB0ECA">
        <w:rPr>
          <w:rFonts w:hint="eastAsia"/>
          <w:bCs/>
          <w:sz w:val="24"/>
        </w:rPr>
        <w:t>机构投资者通过本公司直销中心开户并申购本基金，享受申购费率</w:t>
      </w:r>
      <w:r w:rsidR="007D4FF0" w:rsidRPr="00DB0ECA">
        <w:rPr>
          <w:bCs/>
          <w:sz w:val="24"/>
        </w:rPr>
        <w:t>1</w:t>
      </w:r>
      <w:r w:rsidR="007D4FF0" w:rsidRPr="00DB0ECA">
        <w:rPr>
          <w:rFonts w:hint="eastAsia"/>
          <w:bCs/>
          <w:sz w:val="24"/>
        </w:rPr>
        <w:t>折优惠，申购费率为固定金额的，按原费率执行，不再享有费率折扣。具体详见</w:t>
      </w:r>
      <w:r w:rsidR="007D4FF0" w:rsidRPr="00DB0ECA">
        <w:rPr>
          <w:bCs/>
          <w:sz w:val="24"/>
        </w:rPr>
        <w:t>201</w:t>
      </w:r>
      <w:r w:rsidR="007D4FF0">
        <w:rPr>
          <w:bCs/>
          <w:sz w:val="24"/>
        </w:rPr>
        <w:t>8</w:t>
      </w:r>
      <w:r w:rsidR="007D4FF0" w:rsidRPr="00DB0ECA">
        <w:rPr>
          <w:rFonts w:hint="eastAsia"/>
          <w:bCs/>
          <w:sz w:val="24"/>
        </w:rPr>
        <w:t>年</w:t>
      </w:r>
      <w:r w:rsidR="007D4FF0">
        <w:rPr>
          <w:bCs/>
          <w:sz w:val="24"/>
        </w:rPr>
        <w:t>4</w:t>
      </w:r>
      <w:r w:rsidR="007D4FF0" w:rsidRPr="00DB0ECA">
        <w:rPr>
          <w:rFonts w:hint="eastAsia"/>
          <w:bCs/>
          <w:sz w:val="24"/>
        </w:rPr>
        <w:t>月</w:t>
      </w:r>
      <w:r w:rsidR="007D4FF0">
        <w:rPr>
          <w:bCs/>
          <w:sz w:val="24"/>
        </w:rPr>
        <w:t>17</w:t>
      </w:r>
      <w:r w:rsidR="007D4FF0" w:rsidRPr="00DB0ECA">
        <w:rPr>
          <w:rFonts w:hint="eastAsia"/>
          <w:bCs/>
          <w:sz w:val="24"/>
        </w:rPr>
        <w:t>日刊登的《国寿安保基金管理有限公司关于旗下基金开展直销费率优惠活动的公告》。</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3.3 </w:t>
      </w:r>
      <w:r>
        <w:rPr>
          <w:rFonts w:ascii="宋体" w:eastAsia="宋体" w:hAnsi="Arial" w:cs="宋体" w:hint="eastAsia"/>
          <w:b/>
          <w:bCs/>
          <w:color w:val="000000"/>
          <w:kern w:val="0"/>
          <w:sz w:val="24"/>
          <w:szCs w:val="24"/>
        </w:rPr>
        <w:t>其他与申购相关的事项</w:t>
      </w:r>
    </w:p>
    <w:p w:rsidR="00513C14" w:rsidRPr="00412398" w:rsidRDefault="00CF0BFA" w:rsidP="00412398">
      <w:pPr>
        <w:autoSpaceDE w:val="0"/>
        <w:autoSpaceDN w:val="0"/>
        <w:adjustRightInd w:val="0"/>
        <w:spacing w:line="360" w:lineRule="auto"/>
        <w:ind w:firstLine="460"/>
        <w:rPr>
          <w:bCs/>
          <w:sz w:val="24"/>
          <w:szCs w:val="20"/>
        </w:rPr>
      </w:pPr>
      <w:r w:rsidRPr="009D1ABC">
        <w:rPr>
          <w:rFonts w:hint="eastAsia"/>
          <w:bCs/>
          <w:sz w:val="24"/>
          <w:szCs w:val="20"/>
        </w:rPr>
        <w:t>1</w:t>
      </w:r>
      <w:r w:rsidRPr="009D1ABC">
        <w:rPr>
          <w:rFonts w:hint="eastAsia"/>
          <w:bCs/>
          <w:sz w:val="24"/>
          <w:szCs w:val="20"/>
        </w:rPr>
        <w:t>、</w:t>
      </w:r>
      <w:r w:rsidR="00513C14" w:rsidRPr="00412398">
        <w:rPr>
          <w:bCs/>
          <w:sz w:val="24"/>
          <w:szCs w:val="20"/>
        </w:rPr>
        <w:t>投资者</w:t>
      </w:r>
      <w:r w:rsidR="00513C14" w:rsidRPr="00412398">
        <w:rPr>
          <w:rFonts w:hint="eastAsia"/>
          <w:bCs/>
          <w:sz w:val="24"/>
          <w:szCs w:val="20"/>
        </w:rPr>
        <w:t>在一天之内多次申购的，</w:t>
      </w:r>
      <w:r w:rsidR="00513C14" w:rsidRPr="00412398">
        <w:rPr>
          <w:bCs/>
          <w:sz w:val="24"/>
          <w:szCs w:val="20"/>
        </w:rPr>
        <w:t>需按</w:t>
      </w:r>
      <w:r w:rsidR="00513C14" w:rsidRPr="00412398">
        <w:rPr>
          <w:rFonts w:hint="eastAsia"/>
          <w:bCs/>
          <w:sz w:val="24"/>
          <w:szCs w:val="20"/>
        </w:rPr>
        <w:t>单一交易账户当日累计申</w:t>
      </w:r>
      <w:r w:rsidR="00513C14" w:rsidRPr="00412398">
        <w:rPr>
          <w:bCs/>
          <w:sz w:val="24"/>
          <w:szCs w:val="20"/>
        </w:rPr>
        <w:t>购金额对应的费率计算</w:t>
      </w:r>
      <w:r w:rsidR="00D1731B">
        <w:rPr>
          <w:rFonts w:hint="eastAsia"/>
          <w:bCs/>
          <w:sz w:val="24"/>
          <w:szCs w:val="20"/>
        </w:rPr>
        <w:t>申购</w:t>
      </w:r>
      <w:r w:rsidR="00513C14" w:rsidRPr="00412398">
        <w:rPr>
          <w:bCs/>
          <w:sz w:val="24"/>
          <w:szCs w:val="20"/>
        </w:rPr>
        <w:t>费用</w:t>
      </w:r>
      <w:r w:rsidR="00513C14" w:rsidRPr="00412398">
        <w:rPr>
          <w:rFonts w:hint="eastAsia"/>
          <w:bCs/>
          <w:sz w:val="24"/>
          <w:szCs w:val="20"/>
        </w:rPr>
        <w:t>。</w:t>
      </w:r>
    </w:p>
    <w:p w:rsidR="009D1ABC" w:rsidRPr="00673FD7" w:rsidRDefault="009D1ABC" w:rsidP="00412398">
      <w:pPr>
        <w:autoSpaceDE w:val="0"/>
        <w:autoSpaceDN w:val="0"/>
        <w:adjustRightInd w:val="0"/>
        <w:spacing w:line="360" w:lineRule="auto"/>
        <w:ind w:firstLine="460"/>
        <w:rPr>
          <w:bCs/>
          <w:sz w:val="24"/>
        </w:rPr>
      </w:pPr>
      <w:r w:rsidRPr="009D1ABC">
        <w:rPr>
          <w:rFonts w:hint="eastAsia"/>
          <w:bCs/>
          <w:sz w:val="24"/>
          <w:szCs w:val="20"/>
        </w:rPr>
        <w:t>2</w:t>
      </w:r>
      <w:r w:rsidRPr="009D1ABC">
        <w:rPr>
          <w:rFonts w:hint="eastAsia"/>
          <w:bCs/>
          <w:sz w:val="24"/>
          <w:szCs w:val="20"/>
        </w:rPr>
        <w:t>、</w:t>
      </w:r>
      <w:r w:rsidR="004A07E8" w:rsidRPr="00B57449">
        <w:rPr>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rsidR="00CF0BFA" w:rsidRPr="00673FD7" w:rsidRDefault="009D1ABC" w:rsidP="00CF0BFA">
      <w:pPr>
        <w:spacing w:line="360" w:lineRule="auto"/>
        <w:ind w:firstLineChars="200" w:firstLine="480"/>
        <w:rPr>
          <w:bCs/>
          <w:sz w:val="24"/>
        </w:rPr>
      </w:pPr>
      <w:r>
        <w:rPr>
          <w:rFonts w:hint="eastAsia"/>
          <w:bCs/>
          <w:sz w:val="24"/>
          <w:szCs w:val="20"/>
        </w:rPr>
        <w:t>3</w:t>
      </w:r>
      <w:r w:rsidR="00CF0BFA" w:rsidRPr="007F2D30">
        <w:rPr>
          <w:rFonts w:hint="eastAsia"/>
          <w:bCs/>
          <w:sz w:val="24"/>
          <w:szCs w:val="20"/>
        </w:rPr>
        <w:t>、</w:t>
      </w:r>
      <w:r w:rsidR="004A07E8" w:rsidRPr="00B57449">
        <w:rPr>
          <w:bCs/>
          <w:sz w:val="24"/>
        </w:rPr>
        <w:t>基金管理人可以在履行相关手续后，在基金合同约定的范围内调整费率或收费方式，并最迟应于新的费率或收费方式实施日前依照《信息披露办法》的有关规定在指定媒介上公告。</w:t>
      </w:r>
    </w:p>
    <w:p w:rsidR="004A07E8" w:rsidRDefault="009D1ABC" w:rsidP="004A07E8">
      <w:pPr>
        <w:autoSpaceDE w:val="0"/>
        <w:autoSpaceDN w:val="0"/>
        <w:adjustRightInd w:val="0"/>
        <w:spacing w:line="360" w:lineRule="auto"/>
        <w:ind w:firstLine="460"/>
        <w:rPr>
          <w:bCs/>
          <w:sz w:val="24"/>
          <w:szCs w:val="20"/>
        </w:rPr>
      </w:pPr>
      <w:r>
        <w:rPr>
          <w:rFonts w:hint="eastAsia"/>
          <w:bCs/>
          <w:sz w:val="24"/>
          <w:szCs w:val="20"/>
        </w:rPr>
        <w:t>4</w:t>
      </w:r>
      <w:r w:rsidR="00CF0BFA" w:rsidRPr="007F2D30">
        <w:rPr>
          <w:rFonts w:hint="eastAsia"/>
          <w:bCs/>
          <w:sz w:val="24"/>
          <w:szCs w:val="20"/>
        </w:rPr>
        <w:t>、</w:t>
      </w:r>
      <w:r w:rsidR="004A07E8" w:rsidRPr="00B57449">
        <w:rPr>
          <w:bCs/>
          <w:sz w:val="24"/>
          <w:szCs w:val="20"/>
        </w:rPr>
        <w:t>基金管理人可以在不违背法律法规规定及基金合同约定的情况下根据市场情况制定基金促销计划，定期和不定期地开展基金促销活动。在基金促销活动</w:t>
      </w:r>
      <w:r w:rsidR="004A07E8" w:rsidRPr="00B57449">
        <w:rPr>
          <w:bCs/>
          <w:sz w:val="24"/>
        </w:rPr>
        <w:t>期间，</w:t>
      </w:r>
      <w:r w:rsidR="004A07E8" w:rsidRPr="00B57449">
        <w:rPr>
          <w:bCs/>
          <w:sz w:val="24"/>
          <w:szCs w:val="20"/>
        </w:rPr>
        <w:t>可以按中国证监会要求履行必要手续后，对基金投资者适当调低基金申购费率、赎回费率。</w:t>
      </w:r>
    </w:p>
    <w:p w:rsidR="00700815" w:rsidRDefault="00700815" w:rsidP="004A07E8">
      <w:pPr>
        <w:autoSpaceDE w:val="0"/>
        <w:autoSpaceDN w:val="0"/>
        <w:adjustRightInd w:val="0"/>
        <w:spacing w:line="360" w:lineRule="auto"/>
        <w:ind w:firstLine="460"/>
        <w:rPr>
          <w:rFonts w:ascii="MS Sans Serif" w:hAnsi="MS Sans Serif" w:cs="MS Sans Serif"/>
          <w:color w:val="000000"/>
          <w:kern w:val="0"/>
          <w:sz w:val="24"/>
          <w:szCs w:val="24"/>
        </w:rPr>
      </w:pP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 </w:t>
      </w:r>
      <w:r>
        <w:rPr>
          <w:rFonts w:ascii="宋体" w:eastAsia="宋体" w:hAnsi="Arial" w:cs="宋体" w:hint="eastAsia"/>
          <w:b/>
          <w:bCs/>
          <w:color w:val="000000"/>
          <w:kern w:val="0"/>
          <w:sz w:val="24"/>
          <w:szCs w:val="24"/>
        </w:rPr>
        <w:t>日常赎回业务</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4.1 </w:t>
      </w:r>
      <w:r>
        <w:rPr>
          <w:rFonts w:ascii="宋体" w:eastAsia="宋体" w:hAnsi="Arial" w:cs="宋体" w:hint="eastAsia"/>
          <w:b/>
          <w:bCs/>
          <w:color w:val="000000"/>
          <w:kern w:val="0"/>
          <w:sz w:val="24"/>
          <w:szCs w:val="24"/>
        </w:rPr>
        <w:t>赎回份额限制</w:t>
      </w:r>
    </w:p>
    <w:p w:rsidR="009D1ABC" w:rsidRDefault="009D1ABC" w:rsidP="009D1ABC">
      <w:pPr>
        <w:spacing w:line="360" w:lineRule="auto"/>
        <w:ind w:firstLineChars="200" w:firstLine="480"/>
        <w:rPr>
          <w:bCs/>
          <w:sz w:val="24"/>
        </w:rPr>
      </w:pPr>
      <w:r>
        <w:rPr>
          <w:rFonts w:hint="eastAsia"/>
          <w:bCs/>
          <w:sz w:val="24"/>
        </w:rPr>
        <w:t>1</w:t>
      </w:r>
      <w:r>
        <w:rPr>
          <w:rFonts w:hint="eastAsia"/>
          <w:bCs/>
          <w:sz w:val="24"/>
        </w:rPr>
        <w:t>、</w:t>
      </w:r>
      <w:r w:rsidR="00570C23" w:rsidRPr="00B57449">
        <w:rPr>
          <w:bCs/>
          <w:sz w:val="24"/>
        </w:rPr>
        <w:t>本基金不设最低赎回份额（销售机构另有规定的，从其规定）限制，但某笔赎回导致基金份额持有人持有的基金份额余额不足</w:t>
      </w:r>
      <w:r w:rsidR="00570C23" w:rsidRPr="00B57449">
        <w:rPr>
          <w:bCs/>
          <w:sz w:val="24"/>
        </w:rPr>
        <w:t>10</w:t>
      </w:r>
      <w:r w:rsidR="00570C23" w:rsidRPr="00B57449">
        <w:rPr>
          <w:bCs/>
          <w:sz w:val="24"/>
        </w:rPr>
        <w:t>份时，余额部分基金份额必须一同全部赎回。</w:t>
      </w:r>
    </w:p>
    <w:p w:rsidR="009D1ABC" w:rsidRPr="001F1EA5" w:rsidRDefault="009D1ABC" w:rsidP="009D1ABC">
      <w:pPr>
        <w:spacing w:line="360" w:lineRule="auto"/>
        <w:ind w:firstLineChars="200" w:firstLine="480"/>
        <w:rPr>
          <w:bCs/>
          <w:sz w:val="24"/>
        </w:rPr>
      </w:pPr>
      <w:r>
        <w:rPr>
          <w:rFonts w:hint="eastAsia"/>
          <w:bCs/>
          <w:sz w:val="24"/>
        </w:rPr>
        <w:t>2</w:t>
      </w:r>
      <w:r>
        <w:rPr>
          <w:rFonts w:hint="eastAsia"/>
          <w:bCs/>
          <w:sz w:val="24"/>
        </w:rPr>
        <w:t>、</w:t>
      </w:r>
      <w:r w:rsidRPr="001F1EA5">
        <w:rPr>
          <w:rFonts w:hint="eastAsia"/>
          <w:bCs/>
          <w:sz w:val="24"/>
        </w:rPr>
        <w:t>基金管理人可在法律法规允许的情况下，调整上述规定赎回份额和最低基金份额保留余额的数量限制。基金管理人必须在调整实施前依照《信息披露办法》的有关规定在指定媒介上公告并报中国证监会备案。</w:t>
      </w:r>
    </w:p>
    <w:p w:rsidR="00700815" w:rsidRDefault="00700815" w:rsidP="00700815">
      <w:pPr>
        <w:autoSpaceDE w:val="0"/>
        <w:autoSpaceDN w:val="0"/>
        <w:adjustRightInd w:val="0"/>
        <w:spacing w:before="30" w:line="360" w:lineRule="auto"/>
        <w:ind w:left="15" w:firstLineChars="200" w:firstLine="480"/>
        <w:rPr>
          <w:rFonts w:ascii="宋体" w:eastAsia="宋体" w:hAnsi="Arial" w:cs="宋体"/>
          <w:color w:val="000000"/>
          <w:kern w:val="0"/>
          <w:sz w:val="24"/>
          <w:szCs w:val="24"/>
        </w:rPr>
      </w:pP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4.2 </w:t>
      </w:r>
      <w:r>
        <w:rPr>
          <w:rFonts w:ascii="宋体" w:eastAsia="宋体" w:hAnsi="Arial" w:cs="宋体" w:hint="eastAsia"/>
          <w:b/>
          <w:bCs/>
          <w:color w:val="000000"/>
          <w:kern w:val="0"/>
          <w:sz w:val="24"/>
          <w:szCs w:val="24"/>
        </w:rPr>
        <w:t>赎回费率</w:t>
      </w:r>
    </w:p>
    <w:p w:rsidR="00700815" w:rsidRPr="00CF725E" w:rsidRDefault="00D0581D" w:rsidP="00CF725E">
      <w:pPr>
        <w:spacing w:line="360" w:lineRule="auto"/>
        <w:ind w:firstLineChars="200" w:firstLine="480"/>
        <w:rPr>
          <w:bCs/>
          <w:sz w:val="24"/>
        </w:rPr>
      </w:pPr>
      <w:r w:rsidRPr="00B57449">
        <w:rPr>
          <w:bCs/>
          <w:sz w:val="24"/>
        </w:rPr>
        <w:t>本基金</w:t>
      </w:r>
      <w:r w:rsidRPr="00B57449">
        <w:rPr>
          <w:bCs/>
          <w:sz w:val="24"/>
        </w:rPr>
        <w:t>A</w:t>
      </w:r>
      <w:r w:rsidRPr="00B57449">
        <w:rPr>
          <w:bCs/>
          <w:sz w:val="24"/>
        </w:rPr>
        <w:t>类基金份额和</w:t>
      </w:r>
      <w:r w:rsidRPr="00B57449">
        <w:rPr>
          <w:bCs/>
          <w:sz w:val="24"/>
        </w:rPr>
        <w:t>C</w:t>
      </w:r>
      <w:r w:rsidRPr="00B57449">
        <w:rPr>
          <w:bCs/>
          <w:sz w:val="24"/>
        </w:rPr>
        <w:t>类基金份额采用相同的赎回费率收取模式，</w:t>
      </w:r>
      <w:r w:rsidR="007D0B30" w:rsidRPr="00AA6D8A">
        <w:rPr>
          <w:rFonts w:hint="eastAsia"/>
          <w:bCs/>
          <w:sz w:val="24"/>
        </w:rPr>
        <w:t>即对在同一个开放期内申购又赎回且持续持有期少于</w:t>
      </w:r>
      <w:r w:rsidR="007D0B30" w:rsidRPr="00AA6D8A">
        <w:rPr>
          <w:bCs/>
          <w:sz w:val="24"/>
        </w:rPr>
        <w:t>7</w:t>
      </w:r>
      <w:r w:rsidR="007D0B30" w:rsidRPr="00AA6D8A">
        <w:rPr>
          <w:rFonts w:hint="eastAsia"/>
          <w:bCs/>
          <w:sz w:val="24"/>
        </w:rPr>
        <w:t>日的份额收取</w:t>
      </w:r>
      <w:r w:rsidR="007D0B30" w:rsidRPr="00AA6D8A">
        <w:rPr>
          <w:bCs/>
          <w:sz w:val="24"/>
        </w:rPr>
        <w:t>1.5%</w:t>
      </w:r>
      <w:r w:rsidR="007D0B30" w:rsidRPr="00AA6D8A">
        <w:rPr>
          <w:rFonts w:hint="eastAsia"/>
          <w:bCs/>
          <w:sz w:val="24"/>
        </w:rPr>
        <w:t>的赎回</w:t>
      </w:r>
      <w:r w:rsidR="007D0B30" w:rsidRPr="007D0B30">
        <w:rPr>
          <w:bCs/>
          <w:sz w:val="24"/>
        </w:rPr>
        <w:t>费，并全额计入基金财产</w:t>
      </w:r>
      <w:r w:rsidR="007D0B30">
        <w:rPr>
          <w:rFonts w:hint="eastAsia"/>
          <w:bCs/>
          <w:sz w:val="24"/>
        </w:rPr>
        <w:t>；</w:t>
      </w:r>
      <w:r w:rsidR="007D0B30" w:rsidRPr="00AA6D8A">
        <w:rPr>
          <w:rFonts w:hint="eastAsia"/>
          <w:bCs/>
          <w:sz w:val="24"/>
        </w:rPr>
        <w:t>对在同一个开放期内申购又赎回且持续持有期不少于</w:t>
      </w:r>
      <w:r w:rsidR="007D0B30" w:rsidRPr="00AA6D8A">
        <w:rPr>
          <w:bCs/>
          <w:sz w:val="24"/>
        </w:rPr>
        <w:t>7</w:t>
      </w:r>
      <w:r w:rsidR="007D0B30" w:rsidRPr="00AA6D8A">
        <w:rPr>
          <w:rFonts w:hint="eastAsia"/>
          <w:bCs/>
          <w:sz w:val="24"/>
        </w:rPr>
        <w:t>日的份额收取</w:t>
      </w:r>
      <w:r w:rsidR="007D0B30" w:rsidRPr="00AA6D8A">
        <w:rPr>
          <w:bCs/>
          <w:sz w:val="24"/>
        </w:rPr>
        <w:t>1.0%</w:t>
      </w:r>
      <w:r w:rsidR="007D0B30" w:rsidRPr="007D0B30">
        <w:rPr>
          <w:bCs/>
          <w:sz w:val="24"/>
        </w:rPr>
        <w:t>的赎回费率</w:t>
      </w:r>
      <w:r w:rsidR="007D0B30">
        <w:rPr>
          <w:rFonts w:hint="eastAsia"/>
          <w:bCs/>
          <w:sz w:val="24"/>
        </w:rPr>
        <w:t>；</w:t>
      </w:r>
      <w:r w:rsidR="007D0B30" w:rsidRPr="00AA6D8A">
        <w:rPr>
          <w:rFonts w:hint="eastAsia"/>
          <w:bCs/>
          <w:sz w:val="24"/>
        </w:rPr>
        <w:t>认购或在某一开放期申购并在下一个及之后的开放期赎回的份额不收取赎回费。</w:t>
      </w:r>
      <w:r w:rsidRPr="00B57449">
        <w:rPr>
          <w:bCs/>
          <w:sz w:val="24"/>
        </w:rPr>
        <w:t>赎回费用由赎回基金份额的基金份额持有人承担，在基金份额持有人赎回基金份额时收取。不低于赎回费总额的</w:t>
      </w:r>
      <w:r w:rsidRPr="00B57449">
        <w:rPr>
          <w:bCs/>
          <w:sz w:val="24"/>
        </w:rPr>
        <w:t>25%</w:t>
      </w:r>
      <w:r w:rsidRPr="00B57449">
        <w:rPr>
          <w:bCs/>
          <w:sz w:val="24"/>
        </w:rPr>
        <w:t>应归基金财产，其余用于支付登记费和其他必要的手续费。</w:t>
      </w: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4.3 </w:t>
      </w:r>
      <w:r>
        <w:rPr>
          <w:rFonts w:ascii="宋体" w:eastAsia="宋体" w:hAnsi="Arial" w:cs="宋体" w:hint="eastAsia"/>
          <w:b/>
          <w:bCs/>
          <w:color w:val="000000"/>
          <w:kern w:val="0"/>
          <w:sz w:val="24"/>
          <w:szCs w:val="24"/>
        </w:rPr>
        <w:t>其他与赎回相关的事项</w:t>
      </w:r>
    </w:p>
    <w:p w:rsidR="009D1ABC" w:rsidRPr="00673FD7" w:rsidRDefault="009D1ABC" w:rsidP="009D1ABC">
      <w:pPr>
        <w:spacing w:line="360" w:lineRule="auto"/>
        <w:ind w:firstLineChars="200" w:firstLine="480"/>
        <w:rPr>
          <w:bCs/>
          <w:sz w:val="24"/>
        </w:rPr>
      </w:pPr>
      <w:r>
        <w:rPr>
          <w:rFonts w:hint="eastAsia"/>
          <w:bCs/>
          <w:sz w:val="24"/>
        </w:rPr>
        <w:t>1</w:t>
      </w:r>
      <w:r w:rsidRPr="00673FD7">
        <w:rPr>
          <w:rFonts w:hint="eastAsia"/>
          <w:bCs/>
          <w:sz w:val="24"/>
        </w:rPr>
        <w:t>、基金管理人可以在履行相关手续后，在</w:t>
      </w:r>
      <w:r w:rsidRPr="00673FD7">
        <w:rPr>
          <w:bCs/>
          <w:sz w:val="24"/>
        </w:rPr>
        <w:t>基金合同约定的范围内调整费率或收费方式，并最迟应于新的费率或收费方式实施日前依照《信息披露办法》的有关规定在指定媒介上公告。</w:t>
      </w:r>
    </w:p>
    <w:p w:rsidR="009D1ABC" w:rsidRPr="00673FD7" w:rsidRDefault="009D1ABC" w:rsidP="009D1ABC">
      <w:pPr>
        <w:autoSpaceDE w:val="0"/>
        <w:autoSpaceDN w:val="0"/>
        <w:adjustRightInd w:val="0"/>
        <w:spacing w:line="360" w:lineRule="auto"/>
        <w:ind w:firstLine="460"/>
        <w:rPr>
          <w:sz w:val="24"/>
        </w:rPr>
      </w:pPr>
      <w:r>
        <w:rPr>
          <w:rFonts w:hint="eastAsia"/>
          <w:bCs/>
          <w:sz w:val="24"/>
          <w:szCs w:val="20"/>
        </w:rPr>
        <w:t>2</w:t>
      </w:r>
      <w:r w:rsidRPr="00673FD7">
        <w:rPr>
          <w:rFonts w:hint="eastAsia"/>
          <w:bCs/>
          <w:sz w:val="24"/>
          <w:szCs w:val="20"/>
        </w:rPr>
        <w:t>、</w:t>
      </w:r>
      <w:r w:rsidR="00B628CD" w:rsidRPr="00B57449">
        <w:rPr>
          <w:bCs/>
          <w:sz w:val="24"/>
          <w:szCs w:val="20"/>
        </w:rPr>
        <w:t>基金管理人可以在不违背法律法规规定及基金合同约定的情况下根据市场情况制定基金促销计划，定期和不定期地开展基金促销活动。在基金促销活动</w:t>
      </w:r>
      <w:r w:rsidR="00B628CD" w:rsidRPr="00B57449">
        <w:rPr>
          <w:bCs/>
          <w:sz w:val="24"/>
        </w:rPr>
        <w:t>期间，</w:t>
      </w:r>
      <w:r w:rsidR="00B628CD" w:rsidRPr="00B57449">
        <w:rPr>
          <w:bCs/>
          <w:sz w:val="24"/>
          <w:szCs w:val="20"/>
        </w:rPr>
        <w:t>可以按中国证监会要求履行必要手续后，对基金投资者适当调低基金申购费率、赎回费率。</w:t>
      </w:r>
    </w:p>
    <w:p w:rsidR="00700815"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Default="00700815"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 </w:t>
      </w:r>
      <w:r>
        <w:rPr>
          <w:rFonts w:ascii="宋体" w:eastAsia="宋体" w:hAnsi="Arial" w:cs="宋体" w:hint="eastAsia"/>
          <w:b/>
          <w:bCs/>
          <w:color w:val="000000"/>
          <w:kern w:val="0"/>
          <w:sz w:val="24"/>
          <w:szCs w:val="24"/>
        </w:rPr>
        <w:t>日常转换业务</w:t>
      </w:r>
    </w:p>
    <w:p w:rsidR="00882D3C" w:rsidRDefault="00882D3C" w:rsidP="00882D3C">
      <w:pPr>
        <w:autoSpaceDE w:val="0"/>
        <w:autoSpaceDN w:val="0"/>
        <w:spacing w:line="360" w:lineRule="auto"/>
        <w:ind w:left="15"/>
        <w:jc w:val="left"/>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5.1 </w:t>
      </w:r>
      <w:r>
        <w:rPr>
          <w:rFonts w:ascii="宋体" w:eastAsia="宋体" w:hAnsi="Arial" w:cs="宋体" w:hint="eastAsia"/>
          <w:b/>
          <w:bCs/>
          <w:color w:val="000000"/>
          <w:kern w:val="0"/>
          <w:sz w:val="24"/>
          <w:szCs w:val="24"/>
        </w:rPr>
        <w:t>转换费率</w:t>
      </w:r>
    </w:p>
    <w:p w:rsidR="00882D3C" w:rsidRPr="007F2D30" w:rsidRDefault="00882D3C" w:rsidP="00E43932">
      <w:pPr>
        <w:autoSpaceDE w:val="0"/>
        <w:autoSpaceDN w:val="0"/>
        <w:adjustRightInd w:val="0"/>
        <w:spacing w:before="29" w:line="360" w:lineRule="auto"/>
        <w:ind w:left="15" w:firstLineChars="200" w:firstLine="480"/>
        <w:rPr>
          <w:bCs/>
          <w:sz w:val="24"/>
          <w:szCs w:val="20"/>
        </w:rPr>
      </w:pPr>
      <w:r w:rsidRPr="007F2D30">
        <w:rPr>
          <w:rFonts w:hint="eastAsia"/>
          <w:bCs/>
          <w:sz w:val="24"/>
          <w:szCs w:val="20"/>
        </w:rPr>
        <w:t>1</w:t>
      </w:r>
      <w:r w:rsidRPr="007F2D30">
        <w:rPr>
          <w:rFonts w:hint="eastAsia"/>
          <w:bCs/>
          <w:sz w:val="24"/>
          <w:szCs w:val="20"/>
        </w:rPr>
        <w:t>、</w:t>
      </w:r>
      <w:r w:rsidR="007D0B30" w:rsidRPr="00DB0ECA">
        <w:rPr>
          <w:rFonts w:hint="eastAsia"/>
          <w:bCs/>
          <w:sz w:val="24"/>
          <w:szCs w:val="20"/>
        </w:rPr>
        <w:t>本基金在本公司直销机构（包括直销中心和网上直销交易系统）开通本基金与</w:t>
      </w:r>
      <w:r w:rsidR="007D0B30" w:rsidRPr="006C5941">
        <w:rPr>
          <w:rFonts w:ascii="Arial" w:hAnsi="Arial" w:cs="Arial" w:hint="eastAsia"/>
          <w:bCs/>
          <w:sz w:val="24"/>
          <w:szCs w:val="24"/>
        </w:rPr>
        <w:t>国寿安保货币市场基金（基金代码：</w:t>
      </w:r>
      <w:r w:rsidR="007D0B30" w:rsidRPr="006C5941">
        <w:rPr>
          <w:rFonts w:ascii="Arial" w:hAnsi="Arial" w:cs="Arial"/>
          <w:bCs/>
          <w:sz w:val="24"/>
          <w:szCs w:val="24"/>
        </w:rPr>
        <w:t>A</w:t>
      </w:r>
      <w:r w:rsidR="007D0B30" w:rsidRPr="006C5941">
        <w:rPr>
          <w:rFonts w:ascii="Arial" w:hAnsi="Arial" w:cs="Arial" w:hint="eastAsia"/>
          <w:bCs/>
          <w:sz w:val="24"/>
          <w:szCs w:val="24"/>
        </w:rPr>
        <w:t>类</w:t>
      </w:r>
      <w:r w:rsidR="007D0B30" w:rsidRPr="006C5941">
        <w:rPr>
          <w:rFonts w:ascii="Arial" w:hAnsi="Arial" w:cs="Arial"/>
          <w:bCs/>
          <w:sz w:val="24"/>
          <w:szCs w:val="24"/>
        </w:rPr>
        <w:t>000505</w:t>
      </w:r>
      <w:r w:rsidR="007D0B30" w:rsidRPr="006C5941">
        <w:rPr>
          <w:rFonts w:ascii="Arial" w:hAnsi="Arial" w:cs="Arial" w:hint="eastAsia"/>
          <w:bCs/>
          <w:sz w:val="24"/>
          <w:szCs w:val="24"/>
        </w:rPr>
        <w:t>；</w:t>
      </w:r>
      <w:r w:rsidR="007D0B30" w:rsidRPr="006C5941">
        <w:rPr>
          <w:rFonts w:ascii="Arial" w:hAnsi="Arial" w:cs="Arial"/>
          <w:bCs/>
          <w:sz w:val="24"/>
          <w:szCs w:val="24"/>
        </w:rPr>
        <w:t>B</w:t>
      </w:r>
      <w:r w:rsidR="007D0B30" w:rsidRPr="006C5941">
        <w:rPr>
          <w:rFonts w:ascii="Arial" w:hAnsi="Arial" w:cs="Arial" w:hint="eastAsia"/>
          <w:bCs/>
          <w:sz w:val="24"/>
          <w:szCs w:val="24"/>
        </w:rPr>
        <w:t>类</w:t>
      </w:r>
      <w:r w:rsidR="007D0B30" w:rsidRPr="006C5941">
        <w:rPr>
          <w:rFonts w:ascii="Arial" w:hAnsi="Arial" w:cs="Arial"/>
          <w:bCs/>
          <w:sz w:val="24"/>
          <w:szCs w:val="24"/>
        </w:rPr>
        <w:t>000506</w:t>
      </w:r>
      <w:r w:rsidR="007D0B30" w:rsidRPr="006C5941">
        <w:rPr>
          <w:rFonts w:ascii="Arial" w:hAnsi="Arial" w:cs="Arial" w:hint="eastAsia"/>
          <w:bCs/>
          <w:sz w:val="24"/>
          <w:szCs w:val="24"/>
        </w:rPr>
        <w:t>）、国寿安保沪深</w:t>
      </w:r>
      <w:r w:rsidR="007D0B30" w:rsidRPr="006C5941">
        <w:rPr>
          <w:rFonts w:ascii="Arial" w:hAnsi="Arial" w:cs="Arial"/>
          <w:bCs/>
          <w:sz w:val="24"/>
          <w:szCs w:val="24"/>
        </w:rPr>
        <w:t>300</w:t>
      </w:r>
      <w:r w:rsidR="00F42740" w:rsidRPr="00F42740">
        <w:rPr>
          <w:rFonts w:ascii="Arial" w:hAnsi="Arial" w:cs="Arial" w:hint="eastAsia"/>
          <w:bCs/>
          <w:sz w:val="24"/>
          <w:szCs w:val="24"/>
        </w:rPr>
        <w:t>交易型开放式指数证券投资基金联接基金</w:t>
      </w:r>
      <w:r w:rsidR="007D0B30" w:rsidRPr="006C5941">
        <w:rPr>
          <w:rFonts w:ascii="Arial" w:hAnsi="Arial" w:cs="Arial" w:hint="eastAsia"/>
          <w:bCs/>
          <w:sz w:val="24"/>
          <w:szCs w:val="24"/>
        </w:rPr>
        <w:t>（基金代码：</w:t>
      </w:r>
      <w:r w:rsidR="007D0B30" w:rsidRPr="006C5941">
        <w:rPr>
          <w:rFonts w:ascii="Arial" w:hAnsi="Arial" w:cs="Arial"/>
          <w:bCs/>
          <w:sz w:val="24"/>
          <w:szCs w:val="24"/>
        </w:rPr>
        <w:t>000613</w:t>
      </w:r>
      <w:r w:rsidR="007D0B30" w:rsidRPr="006C5941">
        <w:rPr>
          <w:rFonts w:ascii="Arial" w:hAnsi="Arial" w:cs="Arial" w:hint="eastAsia"/>
          <w:bCs/>
          <w:sz w:val="24"/>
          <w:szCs w:val="24"/>
        </w:rPr>
        <w:t>）、国寿安保尊享债券型证券投资基金（基金代码：</w:t>
      </w:r>
      <w:r w:rsidR="007D0B30" w:rsidRPr="006C5941">
        <w:rPr>
          <w:rFonts w:ascii="Arial" w:hAnsi="Arial" w:cs="Arial"/>
          <w:bCs/>
          <w:sz w:val="24"/>
          <w:szCs w:val="24"/>
        </w:rPr>
        <w:t>A</w:t>
      </w:r>
      <w:r w:rsidR="007D0B30" w:rsidRPr="006C5941">
        <w:rPr>
          <w:rFonts w:ascii="Arial" w:hAnsi="Arial" w:cs="Arial" w:hint="eastAsia"/>
          <w:bCs/>
          <w:sz w:val="24"/>
          <w:szCs w:val="24"/>
        </w:rPr>
        <w:t>类</w:t>
      </w:r>
      <w:r w:rsidR="007D0B30" w:rsidRPr="006C5941">
        <w:rPr>
          <w:rFonts w:ascii="Arial" w:hAnsi="Arial" w:cs="Arial"/>
          <w:bCs/>
          <w:sz w:val="24"/>
          <w:szCs w:val="24"/>
        </w:rPr>
        <w:t>000668</w:t>
      </w:r>
      <w:r w:rsidR="007D0B30" w:rsidRPr="006C5941">
        <w:rPr>
          <w:rFonts w:ascii="Arial" w:hAnsi="Arial" w:cs="Arial" w:hint="eastAsia"/>
          <w:bCs/>
          <w:sz w:val="24"/>
          <w:szCs w:val="24"/>
        </w:rPr>
        <w:t>；</w:t>
      </w:r>
      <w:r w:rsidR="007D0B30" w:rsidRPr="006C5941">
        <w:rPr>
          <w:rFonts w:ascii="Arial" w:hAnsi="Arial" w:cs="Arial"/>
          <w:bCs/>
          <w:sz w:val="24"/>
          <w:szCs w:val="24"/>
        </w:rPr>
        <w:t>C</w:t>
      </w:r>
      <w:r w:rsidR="007D0B30" w:rsidRPr="006C5941">
        <w:rPr>
          <w:rFonts w:ascii="Arial" w:hAnsi="Arial" w:cs="Arial" w:hint="eastAsia"/>
          <w:bCs/>
          <w:sz w:val="24"/>
          <w:szCs w:val="24"/>
        </w:rPr>
        <w:t>类</w:t>
      </w:r>
      <w:r w:rsidR="007D0B30" w:rsidRPr="006C5941">
        <w:rPr>
          <w:rFonts w:ascii="Arial" w:hAnsi="Arial" w:cs="Arial"/>
          <w:bCs/>
          <w:sz w:val="24"/>
          <w:szCs w:val="24"/>
        </w:rPr>
        <w:t>000669</w:t>
      </w:r>
      <w:r w:rsidR="007D0B30" w:rsidRPr="006C5941">
        <w:rPr>
          <w:rFonts w:ascii="Arial" w:hAnsi="Arial" w:cs="Arial" w:hint="eastAsia"/>
          <w:bCs/>
          <w:sz w:val="24"/>
          <w:szCs w:val="24"/>
        </w:rPr>
        <w:t>）、国寿安保薪金宝货币市场基金（基金代码：</w:t>
      </w:r>
      <w:r w:rsidR="007D0B30" w:rsidRPr="006C5941">
        <w:rPr>
          <w:rFonts w:ascii="Arial" w:hAnsi="Arial" w:cs="Arial"/>
          <w:bCs/>
          <w:sz w:val="24"/>
          <w:szCs w:val="24"/>
        </w:rPr>
        <w:t>000895</w:t>
      </w:r>
      <w:r w:rsidR="007D0B30" w:rsidRPr="006C5941">
        <w:rPr>
          <w:rFonts w:ascii="Arial" w:hAnsi="Arial" w:cs="Arial" w:hint="eastAsia"/>
          <w:bCs/>
          <w:sz w:val="24"/>
          <w:szCs w:val="24"/>
        </w:rPr>
        <w:t>）、国寿安保聚宝盆货币市场基金（基金代码：</w:t>
      </w:r>
      <w:r w:rsidR="007D0B30" w:rsidRPr="006C5941">
        <w:rPr>
          <w:rFonts w:ascii="Arial" w:hAnsi="Arial" w:cs="Arial"/>
          <w:bCs/>
          <w:sz w:val="24"/>
          <w:szCs w:val="24"/>
        </w:rPr>
        <w:t>001096</w:t>
      </w:r>
      <w:r w:rsidR="007D0B30" w:rsidRPr="006C5941">
        <w:rPr>
          <w:rFonts w:ascii="Arial" w:hAnsi="Arial" w:cs="Arial" w:hint="eastAsia"/>
          <w:bCs/>
          <w:sz w:val="24"/>
          <w:szCs w:val="24"/>
        </w:rPr>
        <w:t>）、国寿安保中证</w:t>
      </w:r>
      <w:r w:rsidR="007D0B30" w:rsidRPr="006C5941">
        <w:rPr>
          <w:rFonts w:ascii="Arial" w:hAnsi="Arial" w:cs="Arial"/>
          <w:bCs/>
          <w:sz w:val="24"/>
          <w:szCs w:val="24"/>
        </w:rPr>
        <w:t>500</w:t>
      </w:r>
      <w:r w:rsidR="007D0B30" w:rsidRPr="006C5941">
        <w:rPr>
          <w:rFonts w:ascii="Arial" w:hAnsi="Arial" w:cs="Arial" w:hint="eastAsia"/>
          <w:bCs/>
          <w:sz w:val="24"/>
          <w:szCs w:val="24"/>
        </w:rPr>
        <w:t>交易型开放式指数证券投资基金联接基金（基金代码：</w:t>
      </w:r>
      <w:r w:rsidR="007D0B30" w:rsidRPr="006C5941">
        <w:rPr>
          <w:rFonts w:ascii="Arial" w:hAnsi="Arial" w:cs="Arial"/>
          <w:bCs/>
          <w:sz w:val="24"/>
          <w:szCs w:val="24"/>
        </w:rPr>
        <w:t>001241</w:t>
      </w:r>
      <w:r w:rsidR="007D0B30" w:rsidRPr="006C5941">
        <w:rPr>
          <w:rFonts w:ascii="Arial" w:hAnsi="Arial" w:cs="Arial" w:hint="eastAsia"/>
          <w:bCs/>
          <w:sz w:val="24"/>
          <w:szCs w:val="24"/>
        </w:rPr>
        <w:t>）、国寿安保智慧生活股票型证券投资基金（基金代码：</w:t>
      </w:r>
      <w:r w:rsidR="007D0B30" w:rsidRPr="006C5941">
        <w:rPr>
          <w:rFonts w:ascii="Arial" w:hAnsi="Arial" w:cs="Arial"/>
          <w:bCs/>
          <w:sz w:val="24"/>
          <w:szCs w:val="24"/>
        </w:rPr>
        <w:t>001672</w:t>
      </w:r>
      <w:r w:rsidR="007D0B30" w:rsidRPr="006C5941">
        <w:rPr>
          <w:rFonts w:ascii="Arial" w:hAnsi="Arial" w:cs="Arial" w:hint="eastAsia"/>
          <w:bCs/>
          <w:sz w:val="24"/>
          <w:szCs w:val="24"/>
        </w:rPr>
        <w:t>）、国寿安保</w:t>
      </w:r>
      <w:r w:rsidR="007D0B30">
        <w:rPr>
          <w:rFonts w:ascii="Arial" w:hAnsi="Arial" w:cs="Arial" w:hint="eastAsia"/>
          <w:bCs/>
          <w:sz w:val="24"/>
          <w:szCs w:val="24"/>
        </w:rPr>
        <w:t>稳恒</w:t>
      </w:r>
      <w:r w:rsidR="007D0B30" w:rsidRPr="006C5941">
        <w:rPr>
          <w:rFonts w:ascii="Arial" w:hAnsi="Arial" w:cs="Arial" w:hint="eastAsia"/>
          <w:bCs/>
          <w:sz w:val="24"/>
          <w:szCs w:val="24"/>
        </w:rPr>
        <w:t>混合型证券投资基金（基金代码：</w:t>
      </w:r>
      <w:r w:rsidR="007D0B30" w:rsidRPr="006C5941">
        <w:rPr>
          <w:rFonts w:ascii="Arial" w:hAnsi="Arial" w:cs="Arial"/>
          <w:bCs/>
          <w:sz w:val="24"/>
          <w:szCs w:val="24"/>
        </w:rPr>
        <w:t>A</w:t>
      </w:r>
      <w:r w:rsidR="007D0B30" w:rsidRPr="006C5941">
        <w:rPr>
          <w:rFonts w:ascii="Arial" w:hAnsi="Arial" w:cs="Arial" w:hint="eastAsia"/>
          <w:bCs/>
          <w:sz w:val="24"/>
          <w:szCs w:val="24"/>
        </w:rPr>
        <w:t>类</w:t>
      </w:r>
      <w:r w:rsidR="007D0B30" w:rsidRPr="006C5941">
        <w:rPr>
          <w:rFonts w:ascii="Arial" w:hAnsi="Arial" w:cs="Arial"/>
          <w:bCs/>
          <w:sz w:val="24"/>
          <w:szCs w:val="24"/>
        </w:rPr>
        <w:t>001845</w:t>
      </w:r>
      <w:r w:rsidR="007D0B30" w:rsidRPr="006C5941">
        <w:rPr>
          <w:rFonts w:ascii="Arial" w:hAnsi="Arial" w:cs="Arial" w:hint="eastAsia"/>
          <w:bCs/>
          <w:sz w:val="24"/>
          <w:szCs w:val="24"/>
        </w:rPr>
        <w:t>，</w:t>
      </w:r>
      <w:r w:rsidR="007D0B30" w:rsidRPr="006C5941">
        <w:rPr>
          <w:rFonts w:ascii="Arial" w:hAnsi="Arial" w:cs="Arial"/>
          <w:bCs/>
          <w:sz w:val="24"/>
          <w:szCs w:val="24"/>
        </w:rPr>
        <w:t>C</w:t>
      </w:r>
      <w:r w:rsidR="007D0B30" w:rsidRPr="006C5941">
        <w:rPr>
          <w:rFonts w:ascii="Arial" w:hAnsi="Arial" w:cs="Arial" w:hint="eastAsia"/>
          <w:bCs/>
          <w:sz w:val="24"/>
          <w:szCs w:val="24"/>
        </w:rPr>
        <w:t>类</w:t>
      </w:r>
      <w:r w:rsidR="007D0B30" w:rsidRPr="006C5941">
        <w:rPr>
          <w:rFonts w:ascii="Arial" w:hAnsi="Arial" w:cs="Arial"/>
          <w:bCs/>
          <w:sz w:val="24"/>
          <w:szCs w:val="24"/>
        </w:rPr>
        <w:t>002309</w:t>
      </w:r>
      <w:r w:rsidR="007D0B30" w:rsidRPr="006C5941">
        <w:rPr>
          <w:rFonts w:ascii="Arial" w:hAnsi="Arial" w:cs="Arial" w:hint="eastAsia"/>
          <w:bCs/>
          <w:sz w:val="24"/>
          <w:szCs w:val="24"/>
        </w:rPr>
        <w:t>）、国寿安保鑫钱包货币市场基金（基金代码：</w:t>
      </w:r>
      <w:r w:rsidR="007D0B30" w:rsidRPr="006C5941">
        <w:rPr>
          <w:rFonts w:ascii="Arial" w:hAnsi="Arial" w:cs="Arial"/>
          <w:bCs/>
          <w:sz w:val="24"/>
          <w:szCs w:val="24"/>
        </w:rPr>
        <w:t>001931</w:t>
      </w:r>
      <w:r w:rsidR="007D0B30" w:rsidRPr="006C5941">
        <w:rPr>
          <w:rFonts w:ascii="Arial" w:hAnsi="Arial" w:cs="Arial" w:hint="eastAsia"/>
          <w:bCs/>
          <w:sz w:val="24"/>
          <w:szCs w:val="24"/>
        </w:rPr>
        <w:t>）、国寿安保增金宝货币市场基金（基金代码：</w:t>
      </w:r>
      <w:r w:rsidR="007D0B30" w:rsidRPr="006C5941">
        <w:rPr>
          <w:rFonts w:ascii="Arial" w:hAnsi="Arial" w:cs="Arial"/>
          <w:bCs/>
          <w:sz w:val="24"/>
          <w:szCs w:val="24"/>
        </w:rPr>
        <w:t>001826</w:t>
      </w:r>
      <w:r w:rsidR="007D0B30" w:rsidRPr="006C5941">
        <w:rPr>
          <w:rFonts w:ascii="Arial" w:hAnsi="Arial" w:cs="Arial" w:hint="eastAsia"/>
          <w:bCs/>
          <w:sz w:val="24"/>
          <w:szCs w:val="24"/>
        </w:rPr>
        <w:t>）、国寿安保成长优选股票型证券投资基金（基金代码：</w:t>
      </w:r>
      <w:r w:rsidR="007D0B30" w:rsidRPr="006C5941">
        <w:rPr>
          <w:rFonts w:ascii="Arial" w:hAnsi="Arial" w:cs="Arial"/>
          <w:bCs/>
          <w:sz w:val="24"/>
          <w:szCs w:val="24"/>
        </w:rPr>
        <w:t>001521</w:t>
      </w:r>
      <w:r w:rsidR="007D0B30" w:rsidRPr="006C5941">
        <w:rPr>
          <w:rFonts w:ascii="Arial" w:hAnsi="Arial" w:cs="Arial" w:hint="eastAsia"/>
          <w:bCs/>
          <w:sz w:val="24"/>
          <w:szCs w:val="24"/>
        </w:rPr>
        <w:t>）、国寿安保</w:t>
      </w:r>
      <w:r w:rsidR="007D0B30">
        <w:rPr>
          <w:rFonts w:ascii="Arial" w:hAnsi="Arial" w:cs="Arial" w:hint="eastAsia"/>
          <w:bCs/>
          <w:sz w:val="24"/>
          <w:szCs w:val="24"/>
        </w:rPr>
        <w:t>稳惠</w:t>
      </w:r>
      <w:r w:rsidR="007D0B30" w:rsidRPr="006C5941">
        <w:rPr>
          <w:rFonts w:ascii="Arial" w:hAnsi="Arial" w:cs="Arial" w:hint="eastAsia"/>
          <w:bCs/>
          <w:sz w:val="24"/>
          <w:szCs w:val="24"/>
        </w:rPr>
        <w:t>灵活配置混合型证券投资基金（基金代码：</w:t>
      </w:r>
      <w:r w:rsidR="007D0B30" w:rsidRPr="006C5941">
        <w:rPr>
          <w:rFonts w:ascii="Arial" w:hAnsi="Arial" w:cs="Arial"/>
          <w:bCs/>
          <w:sz w:val="24"/>
          <w:szCs w:val="24"/>
        </w:rPr>
        <w:t>002148</w:t>
      </w:r>
      <w:r w:rsidR="007D0B30" w:rsidRPr="006C5941">
        <w:rPr>
          <w:rFonts w:ascii="Arial" w:hAnsi="Arial" w:cs="Arial" w:hint="eastAsia"/>
          <w:bCs/>
          <w:sz w:val="24"/>
          <w:szCs w:val="24"/>
        </w:rPr>
        <w:t>）、国寿安保核心产业灵活配置混合型证券投资基金（基金代码：</w:t>
      </w:r>
      <w:r w:rsidR="007D0B30" w:rsidRPr="006C5941">
        <w:rPr>
          <w:rFonts w:ascii="Arial" w:hAnsi="Arial" w:cs="Arial" w:hint="eastAsia"/>
          <w:bCs/>
          <w:sz w:val="24"/>
          <w:szCs w:val="24"/>
        </w:rPr>
        <w:t>002376</w:t>
      </w:r>
      <w:r w:rsidR="007D0B30" w:rsidRPr="006C5941">
        <w:rPr>
          <w:rFonts w:ascii="Arial" w:hAnsi="Arial" w:cs="Arial" w:hint="eastAsia"/>
          <w:bCs/>
          <w:sz w:val="24"/>
          <w:szCs w:val="24"/>
        </w:rPr>
        <w:t>）、国寿安保保本混合型证券投资基金（基金代码：</w:t>
      </w:r>
      <w:r w:rsidR="007D0B30" w:rsidRPr="006C5941">
        <w:rPr>
          <w:rFonts w:ascii="Arial" w:hAnsi="Arial" w:cs="Arial" w:hint="eastAsia"/>
          <w:bCs/>
          <w:sz w:val="24"/>
          <w:szCs w:val="24"/>
        </w:rPr>
        <w:t>001932</w:t>
      </w:r>
      <w:r w:rsidR="007D0B30" w:rsidRPr="006C5941">
        <w:rPr>
          <w:rFonts w:ascii="Arial" w:hAnsi="Arial" w:cs="Arial" w:hint="eastAsia"/>
          <w:bCs/>
          <w:sz w:val="24"/>
          <w:szCs w:val="24"/>
        </w:rPr>
        <w:t>）、国寿安保尊利增强回报债券型证券投资基金（基金代码：</w:t>
      </w:r>
      <w:r w:rsidR="007D0B30" w:rsidRPr="006C5941">
        <w:rPr>
          <w:rFonts w:ascii="Arial" w:hAnsi="Arial" w:cs="Arial"/>
          <w:bCs/>
          <w:sz w:val="24"/>
          <w:szCs w:val="24"/>
        </w:rPr>
        <w:t>A</w:t>
      </w:r>
      <w:r w:rsidR="007D0B30" w:rsidRPr="006C5941">
        <w:rPr>
          <w:rFonts w:ascii="Arial" w:hAnsi="Arial" w:cs="Arial" w:hint="eastAsia"/>
          <w:bCs/>
          <w:sz w:val="24"/>
          <w:szCs w:val="24"/>
        </w:rPr>
        <w:t>类</w:t>
      </w:r>
      <w:r w:rsidR="007D0B30" w:rsidRPr="006C5941">
        <w:rPr>
          <w:rFonts w:ascii="Arial" w:hAnsi="Arial" w:cs="Arial"/>
          <w:bCs/>
          <w:sz w:val="24"/>
          <w:szCs w:val="24"/>
        </w:rPr>
        <w:t>00</w:t>
      </w:r>
      <w:r w:rsidR="007D0B30" w:rsidRPr="006C5941">
        <w:rPr>
          <w:rFonts w:ascii="Arial" w:hAnsi="Arial" w:cs="Arial" w:hint="eastAsia"/>
          <w:bCs/>
          <w:sz w:val="24"/>
          <w:szCs w:val="24"/>
        </w:rPr>
        <w:t>2720</w:t>
      </w:r>
      <w:r w:rsidR="007D0B30" w:rsidRPr="006C5941">
        <w:rPr>
          <w:rFonts w:ascii="Arial" w:hAnsi="Arial" w:cs="Arial" w:hint="eastAsia"/>
          <w:bCs/>
          <w:sz w:val="24"/>
          <w:szCs w:val="24"/>
        </w:rPr>
        <w:t>，</w:t>
      </w:r>
      <w:r w:rsidR="007D0B30" w:rsidRPr="006C5941">
        <w:rPr>
          <w:rFonts w:ascii="Arial" w:hAnsi="Arial" w:cs="Arial"/>
          <w:bCs/>
          <w:sz w:val="24"/>
          <w:szCs w:val="24"/>
        </w:rPr>
        <w:t>C</w:t>
      </w:r>
      <w:r w:rsidR="007D0B30" w:rsidRPr="006C5941">
        <w:rPr>
          <w:rFonts w:ascii="Arial" w:hAnsi="Arial" w:cs="Arial" w:hint="eastAsia"/>
          <w:bCs/>
          <w:sz w:val="24"/>
          <w:szCs w:val="24"/>
        </w:rPr>
        <w:t>类</w:t>
      </w:r>
      <w:r w:rsidR="007D0B30" w:rsidRPr="006C5941">
        <w:rPr>
          <w:rFonts w:ascii="Arial" w:hAnsi="Arial" w:cs="Arial" w:hint="eastAsia"/>
          <w:bCs/>
          <w:sz w:val="24"/>
          <w:szCs w:val="24"/>
        </w:rPr>
        <w:t>002721</w:t>
      </w:r>
      <w:r w:rsidR="007D0B30" w:rsidRPr="006C5941">
        <w:rPr>
          <w:rFonts w:ascii="Arial" w:hAnsi="Arial" w:cs="Arial" w:hint="eastAsia"/>
          <w:bCs/>
          <w:sz w:val="24"/>
          <w:szCs w:val="24"/>
        </w:rPr>
        <w:t>）、国寿安保安康纯债债券型证券投资基金（基金代码：</w:t>
      </w:r>
      <w:r w:rsidR="007D0B30" w:rsidRPr="006C5941">
        <w:rPr>
          <w:rFonts w:ascii="Arial" w:hAnsi="Arial" w:cs="Arial" w:hint="eastAsia"/>
          <w:bCs/>
          <w:sz w:val="24"/>
          <w:szCs w:val="24"/>
        </w:rPr>
        <w:t>003285</w:t>
      </w:r>
      <w:r w:rsidR="007D0B30" w:rsidRPr="006C5941">
        <w:rPr>
          <w:rFonts w:ascii="Arial" w:hAnsi="Arial" w:cs="Arial" w:hint="eastAsia"/>
          <w:bCs/>
          <w:sz w:val="24"/>
          <w:szCs w:val="24"/>
        </w:rPr>
        <w:t>）</w:t>
      </w:r>
      <w:r w:rsidR="007D0B30">
        <w:rPr>
          <w:rFonts w:ascii="Arial" w:hAnsi="Arial" w:cs="Arial" w:hint="eastAsia"/>
          <w:bCs/>
          <w:sz w:val="24"/>
          <w:szCs w:val="24"/>
        </w:rPr>
        <w:t>、国寿安保强国智造灵活配置混合型证券投资基金（基金代码：</w:t>
      </w:r>
      <w:r w:rsidR="007D0B30">
        <w:rPr>
          <w:rFonts w:ascii="Arial" w:hAnsi="Arial" w:cs="Arial" w:hint="eastAsia"/>
          <w:bCs/>
          <w:sz w:val="24"/>
          <w:szCs w:val="24"/>
        </w:rPr>
        <w:t>003131</w:t>
      </w:r>
      <w:r w:rsidR="007D0B30">
        <w:rPr>
          <w:rFonts w:ascii="Arial" w:hAnsi="Arial" w:cs="Arial" w:hint="eastAsia"/>
          <w:bCs/>
          <w:sz w:val="24"/>
          <w:szCs w:val="24"/>
        </w:rPr>
        <w:t>）、国寿安保安享纯债债券型证券投资基金（基金代码：</w:t>
      </w:r>
      <w:r w:rsidR="007D0B30">
        <w:rPr>
          <w:rFonts w:ascii="Arial" w:hAnsi="Arial" w:cs="Arial" w:hint="eastAsia"/>
          <w:bCs/>
          <w:sz w:val="24"/>
          <w:szCs w:val="24"/>
        </w:rPr>
        <w:t>003514</w:t>
      </w:r>
      <w:r w:rsidR="007D0B30">
        <w:rPr>
          <w:rFonts w:ascii="Arial" w:hAnsi="Arial" w:cs="Arial" w:hint="eastAsia"/>
          <w:bCs/>
          <w:sz w:val="24"/>
          <w:szCs w:val="24"/>
        </w:rPr>
        <w:t>）、国寿安保添利货币市场基金（基金代码：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003422</w:t>
      </w:r>
      <w:r w:rsidR="007D0B30">
        <w:rPr>
          <w:rFonts w:ascii="Arial" w:hAnsi="Arial" w:cs="Arial" w:hint="eastAsia"/>
          <w:bCs/>
          <w:sz w:val="24"/>
          <w:szCs w:val="24"/>
        </w:rPr>
        <w:t>，</w:t>
      </w:r>
      <w:r w:rsidR="007D0B30">
        <w:rPr>
          <w:rFonts w:ascii="Arial" w:hAnsi="Arial" w:cs="Arial" w:hint="eastAsia"/>
          <w:bCs/>
          <w:sz w:val="24"/>
          <w:szCs w:val="24"/>
        </w:rPr>
        <w:t>B</w:t>
      </w:r>
      <w:r w:rsidR="007D0B30">
        <w:rPr>
          <w:rFonts w:ascii="Arial" w:hAnsi="Arial" w:cs="Arial" w:hint="eastAsia"/>
          <w:bCs/>
          <w:sz w:val="24"/>
          <w:szCs w:val="24"/>
        </w:rPr>
        <w:t>类</w:t>
      </w:r>
      <w:r w:rsidR="007D0B30">
        <w:rPr>
          <w:rFonts w:ascii="Arial" w:hAnsi="Arial" w:cs="Arial" w:hint="eastAsia"/>
          <w:bCs/>
          <w:sz w:val="24"/>
          <w:szCs w:val="24"/>
        </w:rPr>
        <w:t>003423</w:t>
      </w:r>
      <w:r w:rsidR="007D0B30">
        <w:rPr>
          <w:rFonts w:ascii="Arial" w:hAnsi="Arial" w:cs="Arial" w:hint="eastAsia"/>
          <w:bCs/>
          <w:sz w:val="24"/>
          <w:szCs w:val="24"/>
        </w:rPr>
        <w:t>）、国寿安保稳诚混合型证券投资基金（基金代码：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004225</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004226</w:t>
      </w:r>
      <w:r w:rsidR="007D0B30">
        <w:rPr>
          <w:rFonts w:ascii="Arial" w:hAnsi="Arial" w:cs="Arial" w:hint="eastAsia"/>
          <w:bCs/>
          <w:sz w:val="24"/>
          <w:szCs w:val="24"/>
        </w:rPr>
        <w:t>）、国寿安保尊裕优化回报债券型证券投资基金（基金代码：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004318</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004319</w:t>
      </w:r>
      <w:r w:rsidR="007D0B30">
        <w:rPr>
          <w:rFonts w:ascii="Arial" w:hAnsi="Arial" w:cs="Arial" w:hint="eastAsia"/>
          <w:bCs/>
          <w:sz w:val="24"/>
          <w:szCs w:val="24"/>
        </w:rPr>
        <w:t>）、国寿安保稳荣混合型证券投资基金（基金代码：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004279</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004280</w:t>
      </w:r>
      <w:r w:rsidR="007D0B30">
        <w:rPr>
          <w:rFonts w:ascii="Arial" w:hAnsi="Arial" w:cs="Arial" w:hint="eastAsia"/>
          <w:bCs/>
          <w:sz w:val="24"/>
          <w:szCs w:val="24"/>
        </w:rPr>
        <w:t>）、国寿安保稳嘉混合型证券投资基金（基金代码：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004258</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004259</w:t>
      </w:r>
      <w:r w:rsidR="007D0B30">
        <w:rPr>
          <w:rFonts w:ascii="Arial" w:hAnsi="Arial" w:cs="Arial" w:hint="eastAsia"/>
          <w:bCs/>
          <w:sz w:val="24"/>
          <w:szCs w:val="24"/>
        </w:rPr>
        <w:t>）、</w:t>
      </w:r>
      <w:r w:rsidR="007D0B30">
        <w:rPr>
          <w:rFonts w:ascii="Arial" w:hAnsi="Arial" w:cs="Arial"/>
          <w:bCs/>
          <w:sz w:val="24"/>
          <w:szCs w:val="24"/>
        </w:rPr>
        <w:t>国寿安保稳信混合型证券投资基金（</w:t>
      </w:r>
      <w:r w:rsidR="007D0B30">
        <w:rPr>
          <w:rFonts w:ascii="Arial" w:hAnsi="Arial" w:cs="Arial" w:hint="eastAsia"/>
          <w:bCs/>
          <w:sz w:val="24"/>
          <w:szCs w:val="24"/>
        </w:rPr>
        <w:t>基金代码</w:t>
      </w:r>
      <w:r w:rsidR="007D0B30">
        <w:rPr>
          <w:rFonts w:ascii="Arial" w:hAnsi="Arial" w:cs="Arial"/>
          <w:bCs/>
          <w:sz w:val="24"/>
          <w:szCs w:val="24"/>
        </w:rPr>
        <w:t>：</w:t>
      </w:r>
      <w:r w:rsidR="007D0B30">
        <w:rPr>
          <w:rFonts w:ascii="Arial" w:hAnsi="Arial" w:cs="Arial"/>
          <w:bCs/>
          <w:sz w:val="24"/>
          <w:szCs w:val="24"/>
        </w:rPr>
        <w:t>A</w:t>
      </w:r>
      <w:r w:rsidR="007D0B30">
        <w:rPr>
          <w:rFonts w:ascii="Arial" w:hAnsi="Arial" w:cs="Arial"/>
          <w:bCs/>
          <w:sz w:val="24"/>
          <w:szCs w:val="24"/>
        </w:rPr>
        <w:t>类</w:t>
      </w:r>
      <w:r w:rsidR="007D0B30">
        <w:rPr>
          <w:rFonts w:ascii="Arial" w:hAnsi="Arial" w:cs="Arial" w:hint="eastAsia"/>
          <w:bCs/>
          <w:sz w:val="24"/>
          <w:szCs w:val="24"/>
        </w:rPr>
        <w:t>004</w:t>
      </w:r>
      <w:r w:rsidR="007D0B30">
        <w:rPr>
          <w:rFonts w:ascii="Arial" w:hAnsi="Arial" w:cs="Arial"/>
          <w:bCs/>
          <w:sz w:val="24"/>
          <w:szCs w:val="24"/>
        </w:rPr>
        <w:t>301</w:t>
      </w:r>
      <w:r w:rsidR="007D0B30">
        <w:rPr>
          <w:rFonts w:ascii="Arial" w:hAnsi="Arial" w:cs="Arial" w:hint="eastAsia"/>
          <w:bCs/>
          <w:sz w:val="24"/>
          <w:szCs w:val="24"/>
        </w:rPr>
        <w:t>，</w:t>
      </w:r>
      <w:r w:rsidR="007D0B30">
        <w:rPr>
          <w:rFonts w:ascii="Arial" w:hAnsi="Arial" w:cs="Arial"/>
          <w:bCs/>
          <w:sz w:val="24"/>
          <w:szCs w:val="24"/>
        </w:rPr>
        <w:t>C</w:t>
      </w:r>
      <w:r w:rsidR="007D0B30">
        <w:rPr>
          <w:rFonts w:ascii="Arial" w:hAnsi="Arial" w:cs="Arial"/>
          <w:bCs/>
          <w:sz w:val="24"/>
          <w:szCs w:val="24"/>
        </w:rPr>
        <w:t>类</w:t>
      </w:r>
      <w:r w:rsidR="007D0B30">
        <w:rPr>
          <w:rFonts w:ascii="Arial" w:hAnsi="Arial" w:cs="Arial" w:hint="eastAsia"/>
          <w:bCs/>
          <w:sz w:val="24"/>
          <w:szCs w:val="24"/>
        </w:rPr>
        <w:t>004302</w:t>
      </w:r>
      <w:r w:rsidR="007D0B30">
        <w:rPr>
          <w:rFonts w:ascii="Arial" w:hAnsi="Arial" w:cs="Arial"/>
          <w:bCs/>
          <w:sz w:val="24"/>
          <w:szCs w:val="24"/>
        </w:rPr>
        <w:t>）</w:t>
      </w:r>
      <w:r w:rsidR="007D0B30">
        <w:rPr>
          <w:rFonts w:ascii="Arial" w:hAnsi="Arial" w:cs="Arial" w:hint="eastAsia"/>
          <w:bCs/>
          <w:sz w:val="24"/>
          <w:szCs w:val="24"/>
        </w:rPr>
        <w:t>、国寿安保安瑞纯债</w:t>
      </w:r>
      <w:r w:rsidR="007D0B30">
        <w:rPr>
          <w:rFonts w:ascii="Arial" w:hAnsi="Arial" w:cs="Arial"/>
          <w:bCs/>
          <w:sz w:val="24"/>
          <w:szCs w:val="24"/>
        </w:rPr>
        <w:t>债券型证券投资基金（</w:t>
      </w:r>
      <w:r w:rsidR="007D0B30">
        <w:rPr>
          <w:rFonts w:ascii="Arial" w:hAnsi="Arial" w:cs="Arial" w:hint="eastAsia"/>
          <w:bCs/>
          <w:sz w:val="24"/>
          <w:szCs w:val="24"/>
        </w:rPr>
        <w:t>基金代码</w:t>
      </w:r>
      <w:r w:rsidR="007D0B30">
        <w:rPr>
          <w:rFonts w:ascii="Arial" w:hAnsi="Arial" w:cs="Arial"/>
          <w:bCs/>
          <w:sz w:val="24"/>
          <w:szCs w:val="24"/>
        </w:rPr>
        <w:t>：</w:t>
      </w:r>
      <w:r w:rsidR="007D0B30">
        <w:rPr>
          <w:rFonts w:ascii="Arial" w:hAnsi="Arial" w:cs="Arial" w:hint="eastAsia"/>
          <w:bCs/>
          <w:sz w:val="24"/>
          <w:szCs w:val="24"/>
        </w:rPr>
        <w:t>004629</w:t>
      </w:r>
      <w:r w:rsidR="007D0B30">
        <w:rPr>
          <w:rFonts w:ascii="Arial" w:hAnsi="Arial" w:cs="Arial"/>
          <w:bCs/>
          <w:sz w:val="24"/>
          <w:szCs w:val="24"/>
        </w:rPr>
        <w:t>）</w:t>
      </w:r>
      <w:r w:rsidR="007D0B30">
        <w:rPr>
          <w:rFonts w:ascii="Arial" w:hAnsi="Arial" w:cs="Arial" w:hint="eastAsia"/>
          <w:bCs/>
          <w:sz w:val="24"/>
          <w:szCs w:val="24"/>
        </w:rPr>
        <w:t>、国寿安保</w:t>
      </w:r>
      <w:r w:rsidR="007D0B30">
        <w:rPr>
          <w:rFonts w:ascii="Arial" w:hAnsi="Arial" w:cs="Arial"/>
          <w:bCs/>
          <w:sz w:val="24"/>
          <w:szCs w:val="24"/>
        </w:rPr>
        <w:t>稳寿</w:t>
      </w:r>
      <w:r w:rsidR="007D0B30">
        <w:rPr>
          <w:rFonts w:ascii="Arial" w:hAnsi="Arial" w:cs="Arial" w:hint="eastAsia"/>
          <w:bCs/>
          <w:sz w:val="24"/>
          <w:szCs w:val="24"/>
        </w:rPr>
        <w:t>混合型证券投资基金（基金代码：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405</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406</w:t>
      </w:r>
      <w:r w:rsidR="007D0B30">
        <w:rPr>
          <w:rFonts w:ascii="Arial" w:hAnsi="Arial" w:cs="Arial" w:hint="eastAsia"/>
          <w:bCs/>
          <w:sz w:val="24"/>
          <w:szCs w:val="24"/>
        </w:rPr>
        <w:t>）、国寿安保目标策略灵活配置</w:t>
      </w:r>
      <w:r w:rsidR="007D0B30">
        <w:rPr>
          <w:rFonts w:ascii="Arial" w:hAnsi="Arial" w:cs="Arial"/>
          <w:bCs/>
          <w:sz w:val="24"/>
          <w:szCs w:val="24"/>
        </w:rPr>
        <w:t>混合</w:t>
      </w:r>
      <w:r w:rsidR="007D0B30">
        <w:rPr>
          <w:rFonts w:ascii="Arial" w:hAnsi="Arial" w:cs="Arial" w:hint="eastAsia"/>
          <w:bCs/>
          <w:sz w:val="24"/>
          <w:szCs w:val="24"/>
        </w:rPr>
        <w:t>型发起式证券投资</w:t>
      </w:r>
      <w:r w:rsidR="007D0B30">
        <w:rPr>
          <w:rFonts w:ascii="Arial" w:hAnsi="Arial" w:cs="Arial"/>
          <w:bCs/>
          <w:sz w:val="24"/>
          <w:szCs w:val="24"/>
        </w:rPr>
        <w:t>基金</w:t>
      </w:r>
      <w:r w:rsidR="007D0B30">
        <w:rPr>
          <w:rFonts w:ascii="Arial" w:hAnsi="Arial" w:cs="Arial" w:hint="eastAsia"/>
          <w:bCs/>
          <w:sz w:val="24"/>
          <w:szCs w:val="24"/>
        </w:rPr>
        <w:t>（基金代码：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818</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819</w:t>
      </w:r>
      <w:r w:rsidR="007D0B30">
        <w:rPr>
          <w:rFonts w:ascii="Arial" w:hAnsi="Arial" w:cs="Arial" w:hint="eastAsia"/>
          <w:bCs/>
          <w:sz w:val="24"/>
          <w:szCs w:val="24"/>
        </w:rPr>
        <w:t>）、</w:t>
      </w:r>
      <w:r w:rsidR="007D0B30">
        <w:rPr>
          <w:rFonts w:ascii="Arial" w:hAnsi="Arial" w:cs="Arial"/>
          <w:bCs/>
          <w:sz w:val="24"/>
          <w:szCs w:val="24"/>
        </w:rPr>
        <w:t>国寿</w:t>
      </w:r>
      <w:r w:rsidR="007D0B30">
        <w:rPr>
          <w:rFonts w:ascii="Arial" w:hAnsi="Arial" w:cs="Arial" w:hint="eastAsia"/>
          <w:bCs/>
          <w:sz w:val="24"/>
          <w:szCs w:val="24"/>
        </w:rPr>
        <w:t>安保</w:t>
      </w:r>
      <w:r w:rsidR="007D0B30">
        <w:rPr>
          <w:rFonts w:ascii="Arial" w:hAnsi="Arial" w:cs="Arial"/>
          <w:bCs/>
          <w:sz w:val="24"/>
          <w:szCs w:val="24"/>
        </w:rPr>
        <w:t>健康科学混合型证券投资基金（</w:t>
      </w:r>
      <w:r w:rsidR="007D0B30">
        <w:rPr>
          <w:rFonts w:ascii="Arial" w:hAnsi="Arial" w:cs="Arial" w:hint="eastAsia"/>
          <w:bCs/>
          <w:sz w:val="24"/>
          <w:szCs w:val="24"/>
        </w:rPr>
        <w:t>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w:t>
      </w:r>
      <w:r w:rsidR="007D0B30">
        <w:rPr>
          <w:rFonts w:ascii="Arial" w:hAnsi="Arial" w:cs="Arial"/>
          <w:bCs/>
          <w:sz w:val="24"/>
          <w:szCs w:val="24"/>
        </w:rPr>
        <w:t>5043</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w:t>
      </w:r>
      <w:r w:rsidR="007D0B30">
        <w:rPr>
          <w:rFonts w:ascii="Arial" w:hAnsi="Arial" w:cs="Arial"/>
          <w:bCs/>
          <w:sz w:val="24"/>
          <w:szCs w:val="24"/>
        </w:rPr>
        <w:t>5044</w:t>
      </w:r>
      <w:r w:rsidR="007D0B30">
        <w:rPr>
          <w:rFonts w:ascii="Arial" w:hAnsi="Arial" w:cs="Arial"/>
          <w:bCs/>
          <w:sz w:val="24"/>
          <w:szCs w:val="24"/>
        </w:rPr>
        <w:t>）</w:t>
      </w:r>
      <w:r w:rsidR="007D0B30">
        <w:rPr>
          <w:rFonts w:ascii="Arial" w:hAnsi="Arial" w:cs="Arial" w:hint="eastAsia"/>
          <w:bCs/>
          <w:sz w:val="24"/>
          <w:szCs w:val="24"/>
        </w:rPr>
        <w:t>、</w:t>
      </w:r>
      <w:r w:rsidR="007D0B30" w:rsidRPr="004E7111">
        <w:rPr>
          <w:rFonts w:ascii="Arial" w:hAnsi="Arial" w:cs="Arial"/>
          <w:bCs/>
          <w:sz w:val="24"/>
          <w:szCs w:val="24"/>
        </w:rPr>
        <w:t>国寿安保消费新蓝海灵活配置混合型证券投资基金（基金代码：</w:t>
      </w:r>
      <w:r w:rsidR="007D0B30" w:rsidRPr="004E7111">
        <w:rPr>
          <w:rFonts w:ascii="Arial" w:hAnsi="Arial" w:cs="Arial"/>
          <w:bCs/>
          <w:sz w:val="24"/>
          <w:szCs w:val="24"/>
        </w:rPr>
        <w:t>005175</w:t>
      </w:r>
      <w:r w:rsidR="007D0B30" w:rsidRPr="004E7111">
        <w:rPr>
          <w:rFonts w:ascii="Arial" w:hAnsi="Arial" w:cs="Arial"/>
          <w:bCs/>
          <w:sz w:val="24"/>
          <w:szCs w:val="24"/>
        </w:rPr>
        <w:t>）</w:t>
      </w:r>
      <w:r w:rsidR="00FC1134">
        <w:rPr>
          <w:rFonts w:ascii="Arial" w:hAnsi="Arial" w:cs="Arial" w:hint="eastAsia"/>
          <w:bCs/>
          <w:sz w:val="24"/>
          <w:szCs w:val="24"/>
        </w:rPr>
        <w:t>、</w:t>
      </w:r>
      <w:r w:rsidR="007D0B30">
        <w:rPr>
          <w:rFonts w:ascii="Arial" w:hAnsi="Arial" w:cs="Arial" w:hint="eastAsia"/>
          <w:bCs/>
          <w:sz w:val="24"/>
          <w:szCs w:val="24"/>
        </w:rPr>
        <w:t>国寿安保</w:t>
      </w:r>
      <w:r w:rsidR="007D0B30">
        <w:rPr>
          <w:rFonts w:ascii="Arial" w:hAnsi="Arial" w:cs="Arial"/>
          <w:bCs/>
          <w:sz w:val="24"/>
          <w:szCs w:val="24"/>
        </w:rPr>
        <w:t>稳</w:t>
      </w:r>
      <w:r w:rsidR="007D0B30">
        <w:rPr>
          <w:rFonts w:ascii="Arial" w:hAnsi="Arial" w:cs="Arial" w:hint="eastAsia"/>
          <w:bCs/>
          <w:sz w:val="24"/>
          <w:szCs w:val="24"/>
        </w:rPr>
        <w:t>瑞混合型证券投资基金（基金代码：</w:t>
      </w:r>
      <w:r w:rsidR="007D0B30">
        <w:rPr>
          <w:rFonts w:ascii="Arial" w:hAnsi="Arial" w:cs="Arial" w:hint="eastAsia"/>
          <w:bCs/>
          <w:sz w:val="24"/>
          <w:szCs w:val="24"/>
        </w:rPr>
        <w:t>A</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760</w:t>
      </w:r>
      <w:r w:rsidR="007D0B30">
        <w:rPr>
          <w:rFonts w:ascii="Arial" w:hAnsi="Arial" w:cs="Arial" w:hint="eastAsia"/>
          <w:bCs/>
          <w:sz w:val="24"/>
          <w:szCs w:val="24"/>
        </w:rPr>
        <w:t>，</w:t>
      </w:r>
      <w:r w:rsidR="007D0B30">
        <w:rPr>
          <w:rFonts w:ascii="Arial" w:hAnsi="Arial" w:cs="Arial" w:hint="eastAsia"/>
          <w:bCs/>
          <w:sz w:val="24"/>
          <w:szCs w:val="24"/>
        </w:rPr>
        <w:t>C</w:t>
      </w:r>
      <w:r w:rsidR="007D0B30">
        <w:rPr>
          <w:rFonts w:ascii="Arial" w:hAnsi="Arial" w:cs="Arial" w:hint="eastAsia"/>
          <w:bCs/>
          <w:sz w:val="24"/>
          <w:szCs w:val="24"/>
        </w:rPr>
        <w:t>类</w:t>
      </w:r>
      <w:r w:rsidR="007D0B30">
        <w:rPr>
          <w:rFonts w:ascii="Arial" w:hAnsi="Arial" w:cs="Arial" w:hint="eastAsia"/>
          <w:bCs/>
          <w:sz w:val="24"/>
          <w:szCs w:val="24"/>
        </w:rPr>
        <w:t>004</w:t>
      </w:r>
      <w:r w:rsidR="007D0B30">
        <w:rPr>
          <w:rFonts w:ascii="Arial" w:hAnsi="Arial" w:cs="Arial"/>
          <w:bCs/>
          <w:sz w:val="24"/>
          <w:szCs w:val="24"/>
        </w:rPr>
        <w:t>761</w:t>
      </w:r>
      <w:r w:rsidR="007D0B30">
        <w:rPr>
          <w:rFonts w:ascii="Arial" w:hAnsi="Arial" w:cs="Arial" w:hint="eastAsia"/>
          <w:bCs/>
          <w:sz w:val="24"/>
          <w:szCs w:val="24"/>
        </w:rPr>
        <w:t>）</w:t>
      </w:r>
      <w:r w:rsidR="00FC1134">
        <w:rPr>
          <w:rFonts w:ascii="Arial" w:hAnsi="Arial" w:cs="Arial" w:hint="eastAsia"/>
          <w:bCs/>
          <w:sz w:val="24"/>
          <w:szCs w:val="24"/>
        </w:rPr>
        <w:t>和</w:t>
      </w:r>
      <w:r w:rsidR="00FC1134" w:rsidRPr="004E7111">
        <w:rPr>
          <w:rFonts w:ascii="Arial" w:hAnsi="Arial" w:cs="Arial"/>
          <w:bCs/>
          <w:sz w:val="24"/>
          <w:szCs w:val="24"/>
        </w:rPr>
        <w:t>国寿安保</w:t>
      </w:r>
      <w:r w:rsidR="00FC1134">
        <w:rPr>
          <w:rFonts w:ascii="Arial" w:hAnsi="Arial" w:cs="Arial" w:hint="eastAsia"/>
          <w:bCs/>
          <w:sz w:val="24"/>
          <w:szCs w:val="24"/>
        </w:rPr>
        <w:t>华兴</w:t>
      </w:r>
      <w:r w:rsidR="00FC1134" w:rsidRPr="004E7111">
        <w:rPr>
          <w:rFonts w:ascii="Arial" w:hAnsi="Arial" w:cs="Arial"/>
          <w:bCs/>
          <w:sz w:val="24"/>
          <w:szCs w:val="24"/>
        </w:rPr>
        <w:t>灵活配置混合型证券投资基金（基金代码：</w:t>
      </w:r>
      <w:r w:rsidR="00FC1134" w:rsidRPr="004E7111">
        <w:rPr>
          <w:rFonts w:ascii="Arial" w:hAnsi="Arial" w:cs="Arial"/>
          <w:bCs/>
          <w:sz w:val="24"/>
          <w:szCs w:val="24"/>
        </w:rPr>
        <w:t>00</w:t>
      </w:r>
      <w:r w:rsidR="00FC1134">
        <w:rPr>
          <w:rFonts w:ascii="Arial" w:hAnsi="Arial" w:cs="Arial"/>
          <w:bCs/>
          <w:sz w:val="24"/>
          <w:szCs w:val="24"/>
        </w:rPr>
        <w:t>5683</w:t>
      </w:r>
      <w:r w:rsidR="00FC1134" w:rsidRPr="004E7111">
        <w:rPr>
          <w:rFonts w:ascii="Arial" w:hAnsi="Arial" w:cs="Arial"/>
          <w:bCs/>
          <w:sz w:val="24"/>
          <w:szCs w:val="24"/>
        </w:rPr>
        <w:t>）</w:t>
      </w:r>
      <w:r w:rsidR="00F9230F">
        <w:rPr>
          <w:rFonts w:hint="eastAsia"/>
          <w:bCs/>
          <w:sz w:val="24"/>
          <w:szCs w:val="20"/>
        </w:rPr>
        <w:t>之间的转换</w:t>
      </w:r>
      <w:r w:rsidR="00854FE8" w:rsidRPr="00854FE8">
        <w:rPr>
          <w:rFonts w:hint="eastAsia"/>
          <w:bCs/>
          <w:sz w:val="24"/>
          <w:szCs w:val="20"/>
        </w:rPr>
        <w:t>，具体办理时间为上海证券交易所、深圳证券交易所的正常交易日的交易时间，但基金管理人根据法律法规、中国证监会的要求或基金合同的规定公告暂停申购、赎回时除外</w:t>
      </w:r>
      <w:r w:rsidRPr="007F2D30">
        <w:rPr>
          <w:rFonts w:hint="eastAsia"/>
          <w:bCs/>
          <w:sz w:val="24"/>
          <w:szCs w:val="20"/>
        </w:rPr>
        <w:t>。本公司今后发行的其他开放式基金将视具体情况决定是否开展基金转换业务，本基金管理人将另行公告。</w:t>
      </w:r>
    </w:p>
    <w:p w:rsidR="00882D3C" w:rsidRPr="007F2D30" w:rsidRDefault="00882D3C" w:rsidP="00E43932">
      <w:pPr>
        <w:autoSpaceDE w:val="0"/>
        <w:autoSpaceDN w:val="0"/>
        <w:adjustRightInd w:val="0"/>
        <w:spacing w:before="29" w:line="360" w:lineRule="auto"/>
        <w:ind w:left="15" w:firstLineChars="200" w:firstLine="480"/>
        <w:rPr>
          <w:bCs/>
          <w:sz w:val="24"/>
          <w:szCs w:val="20"/>
        </w:rPr>
      </w:pPr>
      <w:r w:rsidRPr="00FD15B1">
        <w:rPr>
          <w:rFonts w:hint="eastAsia"/>
          <w:bCs/>
          <w:sz w:val="24"/>
          <w:szCs w:val="20"/>
        </w:rPr>
        <w:t>2</w:t>
      </w:r>
      <w:r w:rsidRPr="00FD15B1">
        <w:rPr>
          <w:rFonts w:hint="eastAsia"/>
          <w:bCs/>
          <w:sz w:val="24"/>
          <w:szCs w:val="20"/>
        </w:rPr>
        <w:t>、投资者办理本基金转换业务时，基金转换费用的计算将按照本公司于</w:t>
      </w:r>
      <w:r w:rsidRPr="00FD15B1">
        <w:rPr>
          <w:bCs/>
          <w:sz w:val="24"/>
          <w:szCs w:val="20"/>
        </w:rPr>
        <w:t>2014</w:t>
      </w:r>
      <w:r w:rsidRPr="00FD15B1">
        <w:rPr>
          <w:rFonts w:hint="eastAsia"/>
          <w:bCs/>
          <w:sz w:val="24"/>
          <w:szCs w:val="20"/>
        </w:rPr>
        <w:t>年</w:t>
      </w:r>
      <w:r w:rsidRPr="00FD15B1">
        <w:rPr>
          <w:bCs/>
          <w:sz w:val="24"/>
          <w:szCs w:val="20"/>
        </w:rPr>
        <w:t>8</w:t>
      </w:r>
      <w:r w:rsidRPr="00FD15B1">
        <w:rPr>
          <w:rFonts w:hint="eastAsia"/>
          <w:bCs/>
          <w:sz w:val="24"/>
          <w:szCs w:val="20"/>
        </w:rPr>
        <w:t>月</w:t>
      </w:r>
      <w:r w:rsidRPr="00FD15B1">
        <w:rPr>
          <w:bCs/>
          <w:sz w:val="24"/>
          <w:szCs w:val="20"/>
        </w:rPr>
        <w:t>5</w:t>
      </w:r>
      <w:r w:rsidRPr="00FD15B1">
        <w:rPr>
          <w:rFonts w:hint="eastAsia"/>
          <w:bCs/>
          <w:sz w:val="24"/>
          <w:szCs w:val="20"/>
        </w:rPr>
        <w:t>日刊登的《国寿安保基金管理有限公司关于直销机构开通旗下部分基金转换业务的公告》及</w:t>
      </w:r>
      <w:r w:rsidR="00A17624" w:rsidRPr="00202551">
        <w:rPr>
          <w:rFonts w:ascii="Arial" w:hAnsi="Arial" w:cs="Arial"/>
          <w:bCs/>
          <w:sz w:val="24"/>
          <w:szCs w:val="24"/>
        </w:rPr>
        <w:t>2018</w:t>
      </w:r>
      <w:r w:rsidR="00A17624" w:rsidRPr="00202551">
        <w:rPr>
          <w:rFonts w:ascii="Arial" w:hAnsi="Arial" w:cs="Arial" w:hint="eastAsia"/>
          <w:bCs/>
          <w:sz w:val="24"/>
          <w:szCs w:val="24"/>
        </w:rPr>
        <w:t>年</w:t>
      </w:r>
      <w:r w:rsidR="00A17624" w:rsidRPr="00202551">
        <w:rPr>
          <w:rFonts w:ascii="Arial" w:hAnsi="Arial" w:cs="Arial"/>
          <w:bCs/>
          <w:sz w:val="24"/>
          <w:szCs w:val="24"/>
        </w:rPr>
        <w:t>4</w:t>
      </w:r>
      <w:r w:rsidR="00A17624" w:rsidRPr="00202551">
        <w:rPr>
          <w:rFonts w:ascii="Arial" w:hAnsi="Arial" w:cs="Arial" w:hint="eastAsia"/>
          <w:bCs/>
          <w:sz w:val="24"/>
          <w:szCs w:val="24"/>
        </w:rPr>
        <w:t>月</w:t>
      </w:r>
      <w:r w:rsidR="00A17624" w:rsidRPr="00202551">
        <w:rPr>
          <w:rFonts w:ascii="Arial" w:hAnsi="Arial" w:cs="Arial"/>
          <w:bCs/>
          <w:sz w:val="24"/>
          <w:szCs w:val="24"/>
        </w:rPr>
        <w:t>17</w:t>
      </w:r>
      <w:r w:rsidR="00A17624" w:rsidRPr="00202551">
        <w:rPr>
          <w:rFonts w:ascii="Arial" w:hAnsi="Arial" w:cs="Arial" w:hint="eastAsia"/>
          <w:bCs/>
          <w:sz w:val="24"/>
          <w:szCs w:val="24"/>
        </w:rPr>
        <w:t>日</w:t>
      </w:r>
      <w:r w:rsidR="00A17624" w:rsidRPr="00DB0ECA">
        <w:rPr>
          <w:rFonts w:hint="eastAsia"/>
          <w:bCs/>
          <w:sz w:val="24"/>
          <w:szCs w:val="20"/>
        </w:rPr>
        <w:t>刊登的《国</w:t>
      </w:r>
      <w:r w:rsidR="00A17624">
        <w:rPr>
          <w:rFonts w:hint="eastAsia"/>
          <w:bCs/>
          <w:sz w:val="24"/>
          <w:szCs w:val="20"/>
        </w:rPr>
        <w:t>寿安保基金管理有限公司关于旗下基金开展直销费率优惠活动的公告》</w:t>
      </w:r>
      <w:r w:rsidRPr="00FD15B1">
        <w:rPr>
          <w:rFonts w:hint="eastAsia"/>
          <w:bCs/>
          <w:sz w:val="24"/>
          <w:szCs w:val="20"/>
        </w:rPr>
        <w:t>执行。</w:t>
      </w:r>
    </w:p>
    <w:p w:rsidR="00882D3C" w:rsidRDefault="00882D3C" w:rsidP="00882D3C">
      <w:pPr>
        <w:spacing w:line="360" w:lineRule="auto"/>
        <w:rPr>
          <w:rFonts w:ascii="宋体" w:eastAsia="宋体" w:hAnsi="Arial" w:cs="宋体"/>
          <w:color w:val="000000"/>
          <w:kern w:val="0"/>
          <w:sz w:val="24"/>
          <w:szCs w:val="24"/>
        </w:rPr>
      </w:pPr>
    </w:p>
    <w:p w:rsidR="00882D3C" w:rsidRDefault="00882D3C" w:rsidP="00882D3C">
      <w:pPr>
        <w:autoSpaceDE w:val="0"/>
        <w:autoSpaceDN w:val="0"/>
        <w:spacing w:line="360" w:lineRule="auto"/>
        <w:ind w:left="15"/>
        <w:jc w:val="left"/>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5.2 </w:t>
      </w:r>
      <w:r>
        <w:rPr>
          <w:rFonts w:ascii="宋体" w:eastAsia="宋体" w:hAnsi="Arial" w:cs="宋体" w:hint="eastAsia"/>
          <w:b/>
          <w:bCs/>
          <w:color w:val="000000"/>
          <w:kern w:val="0"/>
          <w:sz w:val="24"/>
          <w:szCs w:val="24"/>
        </w:rPr>
        <w:t>其他与转换相关的事项</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1</w:t>
      </w:r>
      <w:r>
        <w:rPr>
          <w:rFonts w:ascii="宋体" w:eastAsia="宋体" w:hAnsi="Arial" w:cs="宋体" w:hint="eastAsia"/>
          <w:color w:val="000000"/>
          <w:kern w:val="0"/>
          <w:sz w:val="24"/>
          <w:szCs w:val="24"/>
        </w:rPr>
        <w:t>、基金转换的业务规则：</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1</w:t>
      </w:r>
      <w:r>
        <w:rPr>
          <w:rFonts w:ascii="宋体" w:eastAsia="宋体" w:hAnsi="Arial" w:cs="宋体" w:hint="eastAsia"/>
          <w:color w:val="000000"/>
          <w:kern w:val="0"/>
          <w:sz w:val="24"/>
          <w:szCs w:val="24"/>
        </w:rPr>
        <w:t>）基金转换业务是指投资者向本公司提出申请将其所持有的本公司管理的开放式基金（转出基金）的全部或部分基金份额转换为本公司管理的其他开放式基金（转入基金）的基金份额的行为。</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）转换的两只基金必须都是同一销售机构销售、同一基金管理人管理、并在同一注册登记机构处注册登记的基金。</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）投资者可在基金开放日申请办理基金转换业务，具体办理时间与基金申购、赎回业务办理时间相同。本公司公告暂停申购、赎回或转换时除外。</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4</w:t>
      </w:r>
      <w:r>
        <w:rPr>
          <w:rFonts w:ascii="宋体" w:eastAsia="宋体" w:hAnsi="Arial" w:cs="宋体" w:hint="eastAsia"/>
          <w:color w:val="000000"/>
          <w:kern w:val="0"/>
          <w:sz w:val="24"/>
          <w:szCs w:val="24"/>
        </w:rPr>
        <w:t>）交易限额参见相关基金招募说明书和相关公告中对申购和赎回限额的规定。</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5</w:t>
      </w:r>
      <w:r>
        <w:rPr>
          <w:rFonts w:ascii="宋体" w:eastAsia="宋体" w:hAnsi="Arial" w:cs="宋体" w:hint="eastAsia"/>
          <w:color w:val="000000"/>
          <w:kern w:val="0"/>
          <w:sz w:val="24"/>
          <w:szCs w:val="24"/>
        </w:rPr>
        <w:t>）投资者提出的基金转换申请，在当日交易时间结束之前可以撤销，交易时间结束后不得撤销。</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6</w:t>
      </w:r>
      <w:r>
        <w:rPr>
          <w:rFonts w:ascii="宋体" w:eastAsia="宋体" w:hAnsi="Arial" w:cs="宋体" w:hint="eastAsia"/>
          <w:color w:val="000000"/>
          <w:kern w:val="0"/>
          <w:sz w:val="24"/>
          <w:szCs w:val="24"/>
        </w:rPr>
        <w:t>）其他未尽规则详见《国寿安保基金管理有限公司开放式证券投资基金业务规则》。</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2</w:t>
      </w:r>
      <w:r>
        <w:rPr>
          <w:rFonts w:ascii="宋体" w:eastAsia="宋体" w:hAnsi="Arial" w:cs="宋体" w:hint="eastAsia"/>
          <w:color w:val="000000"/>
          <w:kern w:val="0"/>
          <w:sz w:val="24"/>
          <w:szCs w:val="24"/>
        </w:rPr>
        <w:t>、适用销售机构：投资者可通过国寿安保基金管理有限公司直销</w:t>
      </w:r>
      <w:r w:rsidR="00563455">
        <w:rPr>
          <w:rFonts w:ascii="宋体" w:eastAsia="宋体" w:hAnsi="Arial" w:cs="宋体" w:hint="eastAsia"/>
          <w:color w:val="000000"/>
          <w:kern w:val="0"/>
          <w:sz w:val="24"/>
          <w:szCs w:val="24"/>
        </w:rPr>
        <w:t>中心</w:t>
      </w:r>
      <w:r>
        <w:rPr>
          <w:rFonts w:ascii="宋体" w:eastAsia="宋体" w:hAnsi="Arial" w:cs="宋体" w:hint="eastAsia"/>
          <w:color w:val="000000"/>
          <w:kern w:val="0"/>
          <w:sz w:val="24"/>
          <w:szCs w:val="24"/>
        </w:rPr>
        <w:t>和网上直销交易系统办理基金转换业务。若增加新的业务办理机构，本公司将及时公告，敬请投资者留意。</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3</w:t>
      </w:r>
      <w:r>
        <w:rPr>
          <w:rFonts w:ascii="宋体" w:eastAsia="宋体" w:hAnsi="Arial" w:cs="宋体" w:hint="eastAsia"/>
          <w:color w:val="000000"/>
          <w:kern w:val="0"/>
          <w:sz w:val="24"/>
          <w:szCs w:val="24"/>
        </w:rPr>
        <w:t>、重要提示：</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1</w:t>
      </w:r>
      <w:r>
        <w:rPr>
          <w:rFonts w:ascii="宋体" w:eastAsia="宋体" w:hAnsi="Arial" w:cs="宋体" w:hint="eastAsia"/>
          <w:color w:val="000000"/>
          <w:kern w:val="0"/>
          <w:sz w:val="24"/>
          <w:szCs w:val="24"/>
        </w:rPr>
        <w:t>）本公司有权根据市场情况或法律法规变化调整上述转换的程序及有关限制，届时本公司将在规则调整前</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个工作日内在中国证监会指定的信息披露媒体公告。</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）投资者欲了解其他详细情况，请登录本公司网站（</w:t>
      </w:r>
      <w:r>
        <w:rPr>
          <w:rFonts w:ascii="宋体" w:eastAsia="宋体" w:hAnsi="Arial" w:cs="宋体"/>
          <w:color w:val="000000"/>
          <w:kern w:val="0"/>
          <w:sz w:val="24"/>
          <w:szCs w:val="24"/>
        </w:rPr>
        <w:t>www.gsfunds.com.cn</w:t>
      </w:r>
      <w:r>
        <w:rPr>
          <w:rFonts w:ascii="宋体" w:eastAsia="宋体" w:hAnsi="Arial" w:cs="宋体" w:hint="eastAsia"/>
          <w:color w:val="000000"/>
          <w:kern w:val="0"/>
          <w:sz w:val="24"/>
          <w:szCs w:val="24"/>
        </w:rPr>
        <w:t>）或拨打本公司客户服务电话（</w:t>
      </w:r>
      <w:r>
        <w:rPr>
          <w:rFonts w:ascii="宋体" w:eastAsia="宋体" w:hAnsi="Arial" w:cs="宋体"/>
          <w:color w:val="000000"/>
          <w:kern w:val="0"/>
          <w:sz w:val="24"/>
          <w:szCs w:val="24"/>
        </w:rPr>
        <w:t>4009-258-258</w:t>
      </w:r>
      <w:r>
        <w:rPr>
          <w:rFonts w:ascii="宋体" w:eastAsia="宋体" w:hAnsi="Arial" w:cs="宋体" w:hint="eastAsia"/>
          <w:color w:val="000000"/>
          <w:kern w:val="0"/>
          <w:sz w:val="24"/>
          <w:szCs w:val="24"/>
        </w:rPr>
        <w:t>）。</w:t>
      </w:r>
    </w:p>
    <w:p w:rsidR="00882D3C" w:rsidRDefault="00882D3C" w:rsidP="00882D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）本基金转换业务的解释权归本公司。</w:t>
      </w:r>
    </w:p>
    <w:p w:rsidR="00700815"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6</w:t>
      </w:r>
      <w:r w:rsidR="00700815">
        <w:rPr>
          <w:rFonts w:ascii="宋体" w:eastAsia="宋体" w:hAnsi="Arial" w:cs="宋体" w:hint="eastAsia"/>
          <w:b/>
          <w:bCs/>
          <w:color w:val="000000"/>
          <w:kern w:val="0"/>
          <w:sz w:val="24"/>
          <w:szCs w:val="24"/>
        </w:rPr>
        <w:t>基金销售机构</w:t>
      </w:r>
    </w:p>
    <w:p w:rsidR="000332E2" w:rsidRPr="000332E2" w:rsidRDefault="00412398" w:rsidP="000332E2">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6</w:t>
      </w:r>
      <w:r w:rsidR="00700815">
        <w:rPr>
          <w:rFonts w:ascii="宋体" w:eastAsia="宋体" w:hAnsi="Arial" w:cs="宋体"/>
          <w:b/>
          <w:bCs/>
          <w:color w:val="000000"/>
          <w:kern w:val="0"/>
          <w:sz w:val="24"/>
          <w:szCs w:val="24"/>
        </w:rPr>
        <w:t>.1</w:t>
      </w:r>
      <w:r w:rsidR="00700815">
        <w:rPr>
          <w:rFonts w:ascii="宋体" w:eastAsia="宋体" w:hAnsi="Arial" w:cs="宋体" w:hint="eastAsia"/>
          <w:b/>
          <w:bCs/>
          <w:color w:val="000000"/>
          <w:kern w:val="0"/>
          <w:sz w:val="24"/>
          <w:szCs w:val="24"/>
        </w:rPr>
        <w:t>直销机构</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1</w:t>
      </w:r>
      <w:r>
        <w:rPr>
          <w:rFonts w:ascii="宋体" w:eastAsia="宋体" w:hAnsi="Arial" w:cs="宋体" w:hint="eastAsia"/>
          <w:color w:val="000000"/>
          <w:kern w:val="0"/>
          <w:sz w:val="24"/>
          <w:szCs w:val="24"/>
        </w:rPr>
        <w:t>、国寿安保基金管理有限公司直销中心</w:t>
      </w:r>
    </w:p>
    <w:p w:rsidR="009454BD" w:rsidRPr="0087043A" w:rsidRDefault="009454BD" w:rsidP="009454BD">
      <w:pPr>
        <w:autoSpaceDE w:val="0"/>
        <w:autoSpaceDN w:val="0"/>
        <w:adjustRightInd w:val="0"/>
        <w:spacing w:before="29" w:line="360" w:lineRule="auto"/>
        <w:ind w:left="15"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办公地址：</w:t>
      </w:r>
      <w:r w:rsidRPr="007F2D30">
        <w:rPr>
          <w:rFonts w:ascii="宋体" w:eastAsia="宋体" w:hAnsi="Arial" w:cs="宋体" w:hint="eastAsia"/>
          <w:color w:val="000000"/>
          <w:kern w:val="0"/>
          <w:sz w:val="24"/>
          <w:szCs w:val="24"/>
        </w:rPr>
        <w:t>北京市西城区金融大街</w:t>
      </w:r>
      <w:r w:rsidRPr="007F2D30">
        <w:rPr>
          <w:rFonts w:ascii="宋体" w:eastAsia="宋体" w:hAnsi="Arial" w:cs="宋体"/>
          <w:color w:val="000000"/>
          <w:kern w:val="0"/>
          <w:sz w:val="24"/>
          <w:szCs w:val="24"/>
        </w:rPr>
        <w:t>28</w:t>
      </w:r>
      <w:r w:rsidRPr="007F2D30">
        <w:rPr>
          <w:rFonts w:ascii="宋体" w:eastAsia="宋体" w:hAnsi="Arial" w:cs="宋体" w:hint="eastAsia"/>
          <w:color w:val="000000"/>
          <w:kern w:val="0"/>
          <w:sz w:val="24"/>
          <w:szCs w:val="24"/>
        </w:rPr>
        <w:t>号</w:t>
      </w:r>
      <w:r>
        <w:rPr>
          <w:rFonts w:ascii="宋体" w:eastAsia="宋体" w:hAnsi="Arial" w:cs="宋体" w:hint="eastAsia"/>
          <w:color w:val="000000"/>
          <w:kern w:val="0"/>
          <w:sz w:val="24"/>
          <w:szCs w:val="24"/>
        </w:rPr>
        <w:t>院</w:t>
      </w:r>
      <w:r w:rsidRPr="007F2D30">
        <w:rPr>
          <w:rFonts w:ascii="宋体" w:eastAsia="宋体" w:hAnsi="Arial" w:cs="宋体" w:hint="eastAsia"/>
          <w:color w:val="000000"/>
          <w:kern w:val="0"/>
          <w:sz w:val="24"/>
          <w:szCs w:val="24"/>
        </w:rPr>
        <w:t>盈泰商务中心</w:t>
      </w:r>
      <w:r w:rsidRPr="007F2D30">
        <w:rPr>
          <w:rFonts w:ascii="宋体" w:eastAsia="宋体" w:hAnsi="Arial" w:cs="宋体"/>
          <w:color w:val="000000"/>
          <w:kern w:val="0"/>
          <w:sz w:val="24"/>
          <w:szCs w:val="24"/>
        </w:rPr>
        <w:t>2</w:t>
      </w:r>
      <w:r w:rsidRPr="007F2D30">
        <w:rPr>
          <w:rFonts w:ascii="宋体" w:eastAsia="宋体" w:hAnsi="Arial" w:cs="宋体" w:hint="eastAsia"/>
          <w:color w:val="000000"/>
          <w:kern w:val="0"/>
          <w:sz w:val="24"/>
          <w:szCs w:val="24"/>
        </w:rPr>
        <w:t>号楼</w:t>
      </w:r>
      <w:r w:rsidRPr="007F2D30">
        <w:rPr>
          <w:rFonts w:ascii="宋体" w:eastAsia="宋体" w:hAnsi="Arial" w:cs="宋体"/>
          <w:color w:val="000000"/>
          <w:kern w:val="0"/>
          <w:sz w:val="24"/>
          <w:szCs w:val="24"/>
        </w:rPr>
        <w:t>11</w:t>
      </w:r>
      <w:r w:rsidRPr="007F2D30">
        <w:rPr>
          <w:rFonts w:ascii="宋体" w:eastAsia="宋体" w:hAnsi="Arial" w:cs="宋体" w:hint="eastAsia"/>
          <w:color w:val="000000"/>
          <w:kern w:val="0"/>
          <w:sz w:val="24"/>
          <w:szCs w:val="24"/>
        </w:rPr>
        <w:t>层</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直销</w:t>
      </w:r>
      <w:r w:rsidR="002204CB">
        <w:rPr>
          <w:rFonts w:ascii="宋体" w:eastAsia="宋体" w:hAnsi="Arial" w:cs="宋体" w:hint="eastAsia"/>
          <w:color w:val="000000"/>
          <w:kern w:val="0"/>
          <w:sz w:val="24"/>
          <w:szCs w:val="24"/>
        </w:rPr>
        <w:t>中心</w:t>
      </w:r>
      <w:r>
        <w:rPr>
          <w:rFonts w:ascii="宋体" w:eastAsia="宋体" w:hAnsi="Arial" w:cs="宋体" w:hint="eastAsia"/>
          <w:color w:val="000000"/>
          <w:kern w:val="0"/>
          <w:sz w:val="24"/>
          <w:szCs w:val="24"/>
        </w:rPr>
        <w:t>电话：</w:t>
      </w:r>
      <w:r w:rsidRPr="007F2D30">
        <w:rPr>
          <w:rFonts w:ascii="宋体" w:eastAsia="宋体" w:hAnsi="Arial" w:cs="宋体"/>
          <w:color w:val="000000"/>
          <w:kern w:val="0"/>
          <w:sz w:val="24"/>
          <w:szCs w:val="24"/>
        </w:rPr>
        <w:t>010-50850723</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直销</w:t>
      </w:r>
      <w:r w:rsidR="002204CB">
        <w:rPr>
          <w:rFonts w:ascii="宋体" w:eastAsia="宋体" w:hAnsi="Arial" w:cs="宋体" w:hint="eastAsia"/>
          <w:color w:val="000000"/>
          <w:kern w:val="0"/>
          <w:sz w:val="24"/>
          <w:szCs w:val="24"/>
        </w:rPr>
        <w:t>中心</w:t>
      </w:r>
      <w:r>
        <w:rPr>
          <w:rFonts w:ascii="宋体" w:eastAsia="宋体" w:hAnsi="Arial" w:cs="宋体" w:hint="eastAsia"/>
          <w:color w:val="000000"/>
          <w:kern w:val="0"/>
          <w:sz w:val="24"/>
          <w:szCs w:val="24"/>
        </w:rPr>
        <w:t>传真：</w:t>
      </w:r>
      <w:r w:rsidRPr="007F2D30">
        <w:rPr>
          <w:rFonts w:ascii="宋体" w:eastAsia="宋体" w:hAnsi="Arial" w:cs="宋体"/>
          <w:color w:val="000000"/>
          <w:kern w:val="0"/>
          <w:sz w:val="24"/>
          <w:szCs w:val="24"/>
        </w:rPr>
        <w:t>010-50850777</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客</w:t>
      </w:r>
      <w:r w:rsidR="002204CB">
        <w:rPr>
          <w:rFonts w:ascii="宋体" w:eastAsia="宋体" w:hAnsi="Arial" w:cs="宋体" w:hint="eastAsia"/>
          <w:color w:val="000000"/>
          <w:kern w:val="0"/>
          <w:sz w:val="24"/>
          <w:szCs w:val="24"/>
        </w:rPr>
        <w:t>户</w:t>
      </w:r>
      <w:r>
        <w:rPr>
          <w:rFonts w:ascii="宋体" w:eastAsia="宋体" w:hAnsi="Arial" w:cs="宋体" w:hint="eastAsia"/>
          <w:color w:val="000000"/>
          <w:kern w:val="0"/>
          <w:sz w:val="24"/>
          <w:szCs w:val="24"/>
        </w:rPr>
        <w:t>服</w:t>
      </w:r>
      <w:r w:rsidR="002204CB">
        <w:rPr>
          <w:rFonts w:ascii="宋体" w:eastAsia="宋体" w:hAnsi="Arial" w:cs="宋体" w:hint="eastAsia"/>
          <w:color w:val="000000"/>
          <w:kern w:val="0"/>
          <w:sz w:val="24"/>
          <w:szCs w:val="24"/>
        </w:rPr>
        <w:t>务</w:t>
      </w:r>
      <w:r>
        <w:rPr>
          <w:rFonts w:ascii="宋体" w:eastAsia="宋体" w:hAnsi="Arial" w:cs="宋体" w:hint="eastAsia"/>
          <w:color w:val="000000"/>
          <w:kern w:val="0"/>
          <w:sz w:val="24"/>
          <w:szCs w:val="24"/>
        </w:rPr>
        <w:t>电话：</w:t>
      </w:r>
      <w:r>
        <w:rPr>
          <w:rFonts w:ascii="宋体" w:eastAsia="宋体" w:hAnsi="Arial" w:cs="宋体"/>
          <w:color w:val="000000"/>
          <w:kern w:val="0"/>
          <w:sz w:val="24"/>
          <w:szCs w:val="24"/>
        </w:rPr>
        <w:t>4009-258-258</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网址：</w:t>
      </w:r>
      <w:r>
        <w:rPr>
          <w:rFonts w:ascii="宋体" w:eastAsia="宋体" w:hAnsi="Arial" w:cs="宋体"/>
          <w:color w:val="000000"/>
          <w:kern w:val="0"/>
          <w:sz w:val="24"/>
          <w:szCs w:val="24"/>
        </w:rPr>
        <w:t xml:space="preserve">www.gsfunds.com.cn </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2</w:t>
      </w:r>
      <w:r>
        <w:rPr>
          <w:rFonts w:ascii="宋体" w:eastAsia="宋体" w:hAnsi="Arial" w:cs="宋体" w:hint="eastAsia"/>
          <w:color w:val="000000"/>
          <w:kern w:val="0"/>
          <w:sz w:val="24"/>
          <w:szCs w:val="24"/>
        </w:rPr>
        <w:t>、国寿安保基金管理有限公司网上直销</w:t>
      </w:r>
      <w:r w:rsidR="002204CB" w:rsidRPr="002204CB">
        <w:rPr>
          <w:rFonts w:ascii="宋体" w:eastAsia="宋体" w:hAnsi="Arial" w:cs="宋体" w:hint="eastAsia"/>
          <w:bCs/>
          <w:color w:val="000000"/>
          <w:kern w:val="0"/>
          <w:sz w:val="24"/>
          <w:szCs w:val="24"/>
        </w:rPr>
        <w:t>交易系统</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投资者可以通过本公司网上直销交易系统办理本基金的申购及赎回业务，具体交易细则请参阅本公司网站公告。</w:t>
      </w:r>
    </w:p>
    <w:p w:rsidR="009454BD" w:rsidRDefault="009454BD" w:rsidP="009454B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网上交易网址：</w:t>
      </w:r>
      <w:r w:rsidR="00EC76A5" w:rsidRPr="00EC76A5">
        <w:rPr>
          <w:rFonts w:ascii="宋体" w:eastAsia="宋体" w:hAnsi="Arial" w:cs="宋体" w:hint="eastAsia"/>
          <w:color w:val="000000"/>
          <w:kern w:val="0"/>
          <w:sz w:val="24"/>
          <w:szCs w:val="24"/>
        </w:rPr>
        <w:t>https://e.gsfunds.com.cn/etrading/</w:t>
      </w:r>
    </w:p>
    <w:p w:rsidR="00700815"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Default="00F42740"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6</w:t>
      </w:r>
      <w:r w:rsidR="00700815">
        <w:rPr>
          <w:rFonts w:ascii="宋体" w:eastAsia="宋体" w:hAnsi="Arial" w:cs="宋体"/>
          <w:b/>
          <w:bCs/>
          <w:color w:val="000000"/>
          <w:kern w:val="0"/>
          <w:sz w:val="24"/>
          <w:szCs w:val="24"/>
        </w:rPr>
        <w:t>.2</w:t>
      </w:r>
      <w:r w:rsidR="001E16EB" w:rsidRPr="00FD15B1">
        <w:rPr>
          <w:rFonts w:ascii="宋体" w:eastAsia="宋体" w:hAnsi="Arial" w:cs="宋体" w:hint="eastAsia"/>
          <w:b/>
          <w:bCs/>
          <w:color w:val="000000"/>
          <w:kern w:val="0"/>
          <w:sz w:val="24"/>
          <w:szCs w:val="24"/>
        </w:rPr>
        <w:t>其他销售</w:t>
      </w:r>
      <w:r w:rsidR="00700815" w:rsidRPr="00FD15B1">
        <w:rPr>
          <w:rFonts w:ascii="宋体" w:eastAsia="宋体" w:hAnsi="Arial" w:cs="宋体" w:hint="eastAsia"/>
          <w:b/>
          <w:bCs/>
          <w:color w:val="000000"/>
          <w:kern w:val="0"/>
          <w:sz w:val="24"/>
          <w:szCs w:val="24"/>
        </w:rPr>
        <w:t>机构</w:t>
      </w:r>
    </w:p>
    <w:p w:rsidR="00B07577" w:rsidRPr="00796328" w:rsidRDefault="00B07577" w:rsidP="00B07577">
      <w:pPr>
        <w:autoSpaceDE w:val="0"/>
        <w:autoSpaceDN w:val="0"/>
        <w:adjustRightInd w:val="0"/>
        <w:spacing w:line="360" w:lineRule="auto"/>
        <w:ind w:firstLineChars="200" w:firstLine="480"/>
        <w:jc w:val="left"/>
        <w:rPr>
          <w:rFonts w:ascii="宋体" w:eastAsia="宋体" w:hAnsi="Arial" w:cs="宋体"/>
          <w:color w:val="000000"/>
          <w:kern w:val="0"/>
          <w:sz w:val="24"/>
          <w:szCs w:val="24"/>
        </w:rPr>
      </w:pPr>
      <w:r w:rsidRPr="00796328">
        <w:rPr>
          <w:rFonts w:ascii="宋体" w:eastAsia="宋体" w:hAnsi="Arial" w:cs="宋体" w:hint="eastAsia"/>
          <w:color w:val="000000"/>
          <w:kern w:val="0"/>
          <w:sz w:val="24"/>
          <w:szCs w:val="24"/>
        </w:rPr>
        <w:t>1、开放期开通申购、赎回业务的销售机构</w:t>
      </w:r>
    </w:p>
    <w:p w:rsidR="00B07577" w:rsidRPr="00EF72D0" w:rsidRDefault="0073347B" w:rsidP="00EF72D0">
      <w:pPr>
        <w:widowControl/>
        <w:spacing w:line="360" w:lineRule="auto"/>
        <w:ind w:firstLineChars="200" w:firstLine="480"/>
        <w:rPr>
          <w:rFonts w:ascii="宋体" w:eastAsia="宋体" w:hAnsi="Arial" w:cs="宋体"/>
          <w:color w:val="000000"/>
          <w:kern w:val="0"/>
          <w:sz w:val="24"/>
          <w:szCs w:val="24"/>
        </w:rPr>
      </w:pPr>
      <w:r w:rsidRPr="00796328">
        <w:rPr>
          <w:rFonts w:ascii="宋体" w:eastAsia="宋体" w:hAnsi="Arial" w:cs="宋体"/>
          <w:color w:val="000000"/>
          <w:kern w:val="0"/>
          <w:sz w:val="24"/>
          <w:szCs w:val="24"/>
        </w:rPr>
        <w:t>中国工商银行股份有限公司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中国银行股份有限公司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上海浦东发展银行股份有限公司</w:t>
      </w:r>
      <w:r w:rsidRPr="00796328">
        <w:rPr>
          <w:rFonts w:ascii="宋体" w:eastAsia="宋体" w:hAnsi="Arial" w:cs="宋体" w:hint="eastAsia"/>
          <w:color w:val="000000"/>
          <w:kern w:val="0"/>
          <w:sz w:val="24"/>
          <w:szCs w:val="24"/>
        </w:rPr>
        <w:t>、</w:t>
      </w:r>
      <w:r w:rsidR="00D321C3" w:rsidRPr="00796328">
        <w:rPr>
          <w:rFonts w:ascii="宋体" w:eastAsia="宋体" w:hAnsi="Arial" w:cs="宋体" w:hint="eastAsia"/>
          <w:color w:val="000000"/>
          <w:kern w:val="0"/>
          <w:sz w:val="24"/>
          <w:szCs w:val="24"/>
        </w:rPr>
        <w:t>广发</w:t>
      </w:r>
      <w:r w:rsidR="00D321C3" w:rsidRPr="00796328">
        <w:rPr>
          <w:rFonts w:ascii="宋体" w:eastAsia="宋体" w:hAnsi="Arial" w:cs="宋体"/>
          <w:color w:val="000000"/>
          <w:kern w:val="0"/>
          <w:sz w:val="24"/>
          <w:szCs w:val="24"/>
        </w:rPr>
        <w:t>银行股份有限公司、</w:t>
      </w:r>
      <w:r w:rsidRPr="00796328">
        <w:rPr>
          <w:rFonts w:ascii="宋体" w:eastAsia="宋体" w:hAnsi="Arial" w:cs="宋体"/>
          <w:color w:val="000000"/>
          <w:kern w:val="0"/>
          <w:sz w:val="24"/>
          <w:szCs w:val="24"/>
        </w:rPr>
        <w:t>兴业证券股份有限公司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海通证券股份有限公司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信达证券股份有限公司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中信证券股份有限公司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中信证券（山东）有限责任公司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中信建投证券股份有限公司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国海证券股份有限公司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中泰证券股份有限公司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长江证券股份有限公司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中山证券有限责任公司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国泰君安证券股份有限公司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申万宏源证券有限公司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申万宏源西部证券有限公司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中国银河证券股份有限公司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中国国际金融股份有限公司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东吴证券股份有限公司</w:t>
      </w:r>
      <w:r w:rsidRPr="00796328">
        <w:rPr>
          <w:rFonts w:ascii="宋体" w:eastAsia="宋体" w:hAnsi="Arial" w:cs="宋体" w:hint="eastAsia"/>
          <w:color w:val="000000"/>
          <w:kern w:val="0"/>
          <w:sz w:val="24"/>
          <w:szCs w:val="24"/>
        </w:rPr>
        <w:t>、</w:t>
      </w:r>
      <w:r w:rsidR="00EF72D0" w:rsidRPr="00796328">
        <w:rPr>
          <w:rFonts w:ascii="宋体" w:eastAsia="宋体" w:hAnsi="Arial" w:cs="宋体" w:hint="eastAsia"/>
          <w:color w:val="000000"/>
          <w:kern w:val="0"/>
          <w:sz w:val="24"/>
          <w:szCs w:val="24"/>
        </w:rPr>
        <w:t>上海华信证券有限责任公司、平安证券股份有限公司、</w:t>
      </w:r>
      <w:r w:rsidR="006F74E8" w:rsidRPr="00796328">
        <w:rPr>
          <w:rFonts w:ascii="宋体" w:eastAsia="宋体" w:hAnsi="Arial" w:cs="宋体"/>
          <w:color w:val="000000"/>
          <w:kern w:val="0"/>
          <w:sz w:val="24"/>
          <w:szCs w:val="24"/>
        </w:rPr>
        <w:t>第一创业证券股份有限公司</w:t>
      </w:r>
      <w:r w:rsidR="006F74E8" w:rsidRPr="00796328">
        <w:rPr>
          <w:rFonts w:ascii="宋体" w:eastAsia="宋体" w:hAnsi="Arial" w:cs="宋体" w:hint="eastAsia"/>
          <w:color w:val="000000"/>
          <w:kern w:val="0"/>
          <w:sz w:val="24"/>
          <w:szCs w:val="24"/>
        </w:rPr>
        <w:t>、</w:t>
      </w:r>
      <w:r w:rsidR="0047404A" w:rsidRPr="00796328">
        <w:rPr>
          <w:rFonts w:ascii="宋体" w:eastAsia="宋体" w:hAnsi="Arial" w:cs="宋体"/>
          <w:color w:val="000000"/>
          <w:kern w:val="0"/>
          <w:sz w:val="24"/>
          <w:szCs w:val="24"/>
        </w:rPr>
        <w:t>中国国际金融股份有限公司、</w:t>
      </w:r>
      <w:r w:rsidRPr="00796328">
        <w:rPr>
          <w:rFonts w:ascii="宋体" w:eastAsia="宋体" w:hAnsi="Arial" w:cs="宋体"/>
          <w:color w:val="000000"/>
          <w:kern w:val="0"/>
          <w:sz w:val="24"/>
          <w:szCs w:val="24"/>
        </w:rPr>
        <w:t>北京展恒基金销售有限公司</w:t>
      </w:r>
      <w:r w:rsidRPr="00796328">
        <w:rPr>
          <w:rFonts w:ascii="宋体" w:eastAsia="宋体" w:hAnsi="Arial" w:cs="宋体" w:hint="eastAsia"/>
          <w:color w:val="000000"/>
          <w:kern w:val="0"/>
          <w:sz w:val="24"/>
          <w:szCs w:val="24"/>
        </w:rPr>
        <w:t>、</w:t>
      </w:r>
      <w:r w:rsidRPr="00796328">
        <w:rPr>
          <w:rFonts w:ascii="宋体" w:eastAsia="宋体" w:hAnsi="Arial" w:cs="宋体"/>
          <w:color w:val="000000"/>
          <w:kern w:val="0"/>
          <w:sz w:val="24"/>
          <w:szCs w:val="24"/>
        </w:rPr>
        <w:t>深圳腾元基金销售有限公司</w:t>
      </w:r>
      <w:r w:rsidRPr="00796328">
        <w:rPr>
          <w:rFonts w:ascii="宋体" w:eastAsia="宋体" w:hAnsi="Arial" w:cs="宋体" w:hint="eastAsia"/>
          <w:color w:val="000000"/>
          <w:kern w:val="0"/>
          <w:sz w:val="24"/>
          <w:szCs w:val="24"/>
        </w:rPr>
        <w:t>、</w:t>
      </w:r>
      <w:r w:rsidR="00F263E7" w:rsidRPr="00796328">
        <w:rPr>
          <w:rFonts w:ascii="宋体" w:eastAsia="宋体" w:hAnsi="Arial" w:cs="宋体" w:hint="eastAsia"/>
          <w:color w:val="000000"/>
          <w:kern w:val="0"/>
          <w:sz w:val="24"/>
          <w:szCs w:val="24"/>
        </w:rPr>
        <w:t>上海天天基金销售有限公司、浙江同花顺基金销售有限公司、和讯信息科技有限公司、一路财富（北京）基金销售股份有限公司、北京中天嘉华基金销售有限公司、上海好买基金销售有限公司、深圳众禄基金销售股份有限公司、诺亚正行基金销售有限公司、上海汇付基金销售有限公司、深圳富济基金销售有限公司、上海联泰资产管理有限公司、深圳市新兰德证券投资咨询有限公司、泰诚财富基金销售（大连）有限公司、北京虹点基金销售有限公司、北京懒猫金融信息服务有限公司、珠海盈米财富管理有限公司、北京汇成基金销售有限公司、上海长量基金销售投资顾问有限公司</w:t>
      </w:r>
      <w:r w:rsidR="00464F7B" w:rsidRPr="00796328">
        <w:rPr>
          <w:rFonts w:ascii="宋体" w:eastAsia="宋体" w:hAnsi="Arial" w:cs="宋体" w:hint="eastAsia"/>
          <w:color w:val="000000"/>
          <w:kern w:val="0"/>
          <w:sz w:val="24"/>
          <w:szCs w:val="24"/>
        </w:rPr>
        <w:t>、</w:t>
      </w:r>
      <w:r w:rsidR="00464F7B" w:rsidRPr="00796328">
        <w:rPr>
          <w:rFonts w:ascii="宋体" w:eastAsia="宋体" w:hAnsi="Arial" w:cs="宋体"/>
          <w:color w:val="000000"/>
          <w:kern w:val="0"/>
          <w:sz w:val="24"/>
          <w:szCs w:val="24"/>
        </w:rPr>
        <w:t>上海基煜基金销售有限公司</w:t>
      </w:r>
      <w:r w:rsidR="00E77DA3" w:rsidRPr="00796328">
        <w:rPr>
          <w:rFonts w:ascii="宋体" w:eastAsia="宋体" w:hAnsi="Arial" w:cs="宋体" w:hint="eastAsia"/>
          <w:color w:val="000000"/>
          <w:kern w:val="0"/>
          <w:sz w:val="24"/>
          <w:szCs w:val="24"/>
        </w:rPr>
        <w:t>、</w:t>
      </w:r>
      <w:r w:rsidR="00E77DA3" w:rsidRPr="00796328">
        <w:rPr>
          <w:rFonts w:ascii="宋体" w:eastAsia="宋体" w:hAnsi="Arial" w:cs="宋体"/>
          <w:color w:val="000000"/>
          <w:kern w:val="0"/>
          <w:sz w:val="24"/>
          <w:szCs w:val="24"/>
        </w:rPr>
        <w:t>上海华夏财富投资管理有限公司</w:t>
      </w:r>
      <w:r w:rsidR="003C529F" w:rsidRPr="00796328">
        <w:rPr>
          <w:rFonts w:ascii="宋体" w:eastAsia="宋体" w:hAnsi="Arial" w:cs="宋体" w:hint="eastAsia"/>
          <w:color w:val="000000"/>
          <w:kern w:val="0"/>
          <w:sz w:val="24"/>
          <w:szCs w:val="24"/>
        </w:rPr>
        <w:t>、</w:t>
      </w:r>
      <w:r w:rsidR="003C529F" w:rsidRPr="00796328">
        <w:rPr>
          <w:rFonts w:ascii="宋体" w:eastAsia="宋体" w:hAnsi="Arial" w:cs="宋体"/>
          <w:color w:val="000000"/>
          <w:kern w:val="0"/>
          <w:sz w:val="24"/>
          <w:szCs w:val="24"/>
        </w:rPr>
        <w:t>上海利得基金销售有限公司</w:t>
      </w:r>
      <w:r w:rsidR="00D321C3" w:rsidRPr="00796328">
        <w:rPr>
          <w:rFonts w:ascii="宋体" w:eastAsia="宋体" w:hAnsi="Arial" w:cs="宋体" w:hint="eastAsia"/>
          <w:color w:val="000000"/>
          <w:kern w:val="0"/>
          <w:sz w:val="24"/>
          <w:szCs w:val="24"/>
        </w:rPr>
        <w:t>、</w:t>
      </w:r>
      <w:r w:rsidR="00D321C3" w:rsidRPr="00796328">
        <w:rPr>
          <w:rFonts w:ascii="宋体" w:eastAsia="宋体" w:hAnsi="Arial" w:cs="宋体"/>
          <w:color w:val="000000"/>
          <w:kern w:val="0"/>
          <w:sz w:val="24"/>
          <w:szCs w:val="24"/>
        </w:rPr>
        <w:t>北京植信基金销售有限公司</w:t>
      </w:r>
      <w:r w:rsidR="00F263E7" w:rsidRPr="00796328">
        <w:rPr>
          <w:rFonts w:ascii="宋体" w:eastAsia="宋体" w:hAnsi="Arial" w:cs="宋体" w:hint="eastAsia"/>
          <w:color w:val="000000"/>
          <w:kern w:val="0"/>
          <w:sz w:val="24"/>
          <w:szCs w:val="24"/>
        </w:rPr>
        <w:t>。</w:t>
      </w:r>
    </w:p>
    <w:p w:rsidR="00B07577" w:rsidRPr="00864FBB" w:rsidRDefault="00B07577" w:rsidP="00B8273C">
      <w:pPr>
        <w:autoSpaceDE w:val="0"/>
        <w:autoSpaceDN w:val="0"/>
        <w:adjustRightInd w:val="0"/>
        <w:spacing w:line="360" w:lineRule="auto"/>
        <w:ind w:firstLineChars="200" w:firstLine="480"/>
        <w:rPr>
          <w:rFonts w:ascii="宋体" w:eastAsia="宋体" w:hAnsi="Arial" w:cs="宋体"/>
          <w:color w:val="000000"/>
          <w:kern w:val="0"/>
          <w:sz w:val="24"/>
          <w:szCs w:val="24"/>
        </w:rPr>
      </w:pPr>
      <w:r w:rsidRPr="00864FBB">
        <w:rPr>
          <w:rFonts w:ascii="宋体" w:eastAsia="宋体" w:hAnsi="Arial" w:cs="宋体" w:hint="eastAsia"/>
          <w:color w:val="000000"/>
          <w:kern w:val="0"/>
          <w:sz w:val="24"/>
          <w:szCs w:val="24"/>
        </w:rPr>
        <w:t>2、开放期开通转换业务的销售机构</w:t>
      </w:r>
    </w:p>
    <w:p w:rsidR="00B07577" w:rsidRPr="006D6415" w:rsidRDefault="00207536" w:rsidP="00207536">
      <w:pPr>
        <w:autoSpaceDE w:val="0"/>
        <w:autoSpaceDN w:val="0"/>
        <w:spacing w:line="360" w:lineRule="auto"/>
        <w:ind w:left="15" w:firstLineChars="200" w:firstLine="480"/>
        <w:rPr>
          <w:rFonts w:ascii="宋体" w:eastAsia="宋体" w:hAnsi="Arial" w:cs="宋体"/>
          <w:color w:val="000000"/>
          <w:kern w:val="0"/>
          <w:sz w:val="24"/>
          <w:szCs w:val="24"/>
        </w:rPr>
      </w:pPr>
      <w:r w:rsidRPr="00207536">
        <w:rPr>
          <w:rFonts w:ascii="宋体" w:eastAsia="宋体" w:hAnsi="Arial" w:cs="宋体" w:hint="eastAsia"/>
          <w:color w:val="000000"/>
          <w:kern w:val="0"/>
          <w:sz w:val="24"/>
          <w:szCs w:val="24"/>
        </w:rPr>
        <w:t>中国工商银行股份有限公司、中国银行股份有限公司、上海浦东发展银行股份有限公司、上海华信证券有限责任公司、</w:t>
      </w:r>
      <w:r w:rsidR="00F263E7" w:rsidRPr="00AA6D8A">
        <w:rPr>
          <w:rFonts w:ascii="宋体" w:eastAsia="宋体" w:hAnsi="Arial" w:cs="宋体" w:hint="eastAsia"/>
          <w:color w:val="000000"/>
          <w:kern w:val="0"/>
          <w:sz w:val="24"/>
          <w:szCs w:val="24"/>
        </w:rPr>
        <w:t>深圳众禄基金销售股份有限公司、上海汇付基金销售有限公司、深圳富济基金销售有限公司、北京虹点基金销售有限公司、珠海盈米财富管理有限公司、北京汇成基金销售有限公司、上海长量基金销售投资顾问有限公司</w:t>
      </w:r>
      <w:r w:rsidR="00F263E7">
        <w:rPr>
          <w:rFonts w:ascii="宋体" w:eastAsia="宋体" w:hAnsi="Arial" w:cs="宋体" w:hint="eastAsia"/>
          <w:color w:val="000000"/>
          <w:kern w:val="0"/>
          <w:sz w:val="24"/>
          <w:szCs w:val="24"/>
        </w:rPr>
        <w:t>。</w:t>
      </w:r>
    </w:p>
    <w:p w:rsidR="00B07577" w:rsidRDefault="00B07577" w:rsidP="00B8273C">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基金管理人可以根据相关法律法规要求，选择其他符合要求的机构代理销售本基金，具体情况以相关公告为准。</w:t>
      </w:r>
    </w:p>
    <w:p w:rsidR="00700815" w:rsidRPr="00EF72D0" w:rsidRDefault="00700815" w:rsidP="00700815">
      <w:pPr>
        <w:autoSpaceDE w:val="0"/>
        <w:autoSpaceDN w:val="0"/>
        <w:adjustRightInd w:val="0"/>
        <w:spacing w:line="360" w:lineRule="auto"/>
        <w:rPr>
          <w:rFonts w:ascii="MS Sans Serif" w:hAnsi="MS Sans Serif" w:cs="MS Sans Serif"/>
          <w:color w:val="000000"/>
          <w:kern w:val="0"/>
          <w:sz w:val="24"/>
          <w:szCs w:val="24"/>
        </w:rPr>
      </w:pPr>
    </w:p>
    <w:p w:rsidR="00700815"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7</w:t>
      </w:r>
      <w:r w:rsidR="00700815">
        <w:rPr>
          <w:rFonts w:ascii="宋体" w:eastAsia="宋体" w:hAnsi="Arial" w:cs="宋体" w:hint="eastAsia"/>
          <w:b/>
          <w:bCs/>
          <w:color w:val="000000"/>
          <w:kern w:val="0"/>
          <w:sz w:val="24"/>
          <w:szCs w:val="24"/>
        </w:rPr>
        <w:t>基金份额净值公告</w:t>
      </w:r>
      <w:r w:rsidR="00700815">
        <w:rPr>
          <w:rFonts w:ascii="宋体" w:eastAsia="宋体" w:hAnsi="Arial" w:cs="宋体"/>
          <w:b/>
          <w:bCs/>
          <w:color w:val="000000"/>
          <w:kern w:val="0"/>
          <w:sz w:val="24"/>
          <w:szCs w:val="24"/>
        </w:rPr>
        <w:t>/</w:t>
      </w:r>
      <w:r w:rsidR="00700815">
        <w:rPr>
          <w:rFonts w:ascii="宋体" w:eastAsia="宋体" w:hAnsi="Arial" w:cs="宋体" w:hint="eastAsia"/>
          <w:b/>
          <w:bCs/>
          <w:color w:val="000000"/>
          <w:kern w:val="0"/>
          <w:sz w:val="24"/>
          <w:szCs w:val="24"/>
        </w:rPr>
        <w:t>基金收益公告的披露安排</w:t>
      </w:r>
    </w:p>
    <w:p w:rsidR="00700815" w:rsidRDefault="00B07577" w:rsidP="00563455">
      <w:pPr>
        <w:spacing w:line="360" w:lineRule="auto"/>
        <w:ind w:firstLineChars="200" w:firstLine="480"/>
        <w:rPr>
          <w:rFonts w:ascii="MS Sans Serif" w:hAnsi="MS Sans Serif" w:cs="MS Sans Serif"/>
          <w:color w:val="000000"/>
          <w:kern w:val="0"/>
          <w:sz w:val="24"/>
          <w:szCs w:val="24"/>
        </w:rPr>
      </w:pPr>
      <w:r w:rsidRPr="00B7313B">
        <w:rPr>
          <w:bCs/>
          <w:sz w:val="24"/>
        </w:rPr>
        <w:t>在</w:t>
      </w:r>
      <w:r w:rsidRPr="00B7313B">
        <w:rPr>
          <w:rFonts w:hint="eastAsia"/>
          <w:bCs/>
          <w:sz w:val="24"/>
        </w:rPr>
        <w:t>基金开放期内</w:t>
      </w:r>
      <w:r w:rsidRPr="00B7313B">
        <w:rPr>
          <w:bCs/>
          <w:sz w:val="24"/>
        </w:rPr>
        <w:t>，基金管理人应当在每个开放日的次日，通过网站、基金份额发售网点以及其他媒介，披露开放日</w:t>
      </w:r>
      <w:r w:rsidRPr="00B7313B">
        <w:rPr>
          <w:rFonts w:hint="eastAsia"/>
          <w:bCs/>
          <w:sz w:val="24"/>
        </w:rPr>
        <w:t>的</w:t>
      </w:r>
      <w:r w:rsidRPr="00B7313B">
        <w:rPr>
          <w:bCs/>
          <w:sz w:val="24"/>
        </w:rPr>
        <w:t>基金份额净值和基金份额累计净值。</w:t>
      </w:r>
    </w:p>
    <w:p w:rsidR="00700815" w:rsidRDefault="00412398" w:rsidP="00700815">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8</w:t>
      </w:r>
      <w:r w:rsidR="00700815">
        <w:rPr>
          <w:rFonts w:ascii="宋体" w:eastAsia="宋体" w:hAnsi="Arial" w:cs="宋体" w:hint="eastAsia"/>
          <w:b/>
          <w:bCs/>
          <w:color w:val="000000"/>
          <w:kern w:val="0"/>
          <w:sz w:val="24"/>
          <w:szCs w:val="24"/>
        </w:rPr>
        <w:t>其他需要提示的事项</w:t>
      </w:r>
    </w:p>
    <w:p w:rsidR="00700815"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1</w:t>
      </w:r>
      <w:r w:rsidR="00806029">
        <w:rPr>
          <w:rFonts w:ascii="宋体" w:eastAsia="宋体" w:hAnsi="Arial" w:cs="宋体" w:hint="eastAsia"/>
          <w:color w:val="000000"/>
          <w:kern w:val="0"/>
          <w:sz w:val="24"/>
          <w:szCs w:val="24"/>
        </w:rPr>
        <w:t>、</w:t>
      </w:r>
      <w:r>
        <w:rPr>
          <w:rFonts w:ascii="宋体" w:eastAsia="宋体" w:hAnsi="Arial" w:cs="宋体" w:hint="eastAsia"/>
          <w:color w:val="000000"/>
          <w:kern w:val="0"/>
          <w:sz w:val="24"/>
          <w:szCs w:val="24"/>
        </w:rPr>
        <w:t>本公告仅对本基金</w:t>
      </w:r>
      <w:r w:rsidR="00E43932" w:rsidRPr="00412398">
        <w:rPr>
          <w:rFonts w:ascii="宋体" w:eastAsia="宋体" w:hAnsi="Arial" w:cs="宋体" w:hint="eastAsia"/>
          <w:color w:val="000000"/>
          <w:kern w:val="0"/>
          <w:sz w:val="24"/>
          <w:szCs w:val="24"/>
        </w:rPr>
        <w:t>第</w:t>
      </w:r>
      <w:r w:rsidR="009722D4">
        <w:rPr>
          <w:rFonts w:ascii="宋体" w:eastAsia="宋体" w:hAnsi="Arial" w:cs="宋体" w:hint="eastAsia"/>
          <w:color w:val="000000"/>
          <w:kern w:val="0"/>
          <w:sz w:val="24"/>
          <w:szCs w:val="24"/>
        </w:rPr>
        <w:t>三</w:t>
      </w:r>
      <w:r w:rsidR="00806029" w:rsidRPr="00412398">
        <w:rPr>
          <w:rFonts w:ascii="宋体" w:eastAsia="宋体" w:hAnsi="Arial" w:cs="宋体" w:hint="eastAsia"/>
          <w:color w:val="000000"/>
          <w:kern w:val="0"/>
          <w:sz w:val="24"/>
          <w:szCs w:val="24"/>
        </w:rPr>
        <w:t>个开放期</w:t>
      </w:r>
      <w:r>
        <w:rPr>
          <w:rFonts w:ascii="宋体" w:eastAsia="宋体" w:hAnsi="Arial" w:cs="宋体" w:hint="eastAsia"/>
          <w:color w:val="000000"/>
          <w:kern w:val="0"/>
          <w:sz w:val="24"/>
          <w:szCs w:val="24"/>
        </w:rPr>
        <w:t>申购、赎回</w:t>
      </w:r>
      <w:r w:rsidR="00806029">
        <w:rPr>
          <w:rFonts w:ascii="宋体" w:eastAsia="宋体" w:hAnsi="Arial" w:cs="宋体" w:hint="eastAsia"/>
          <w:color w:val="000000"/>
          <w:kern w:val="0"/>
          <w:sz w:val="24"/>
          <w:szCs w:val="24"/>
        </w:rPr>
        <w:t>及转换</w:t>
      </w:r>
      <w:r>
        <w:rPr>
          <w:rFonts w:ascii="宋体" w:eastAsia="宋体" w:hAnsi="Arial" w:cs="宋体" w:hint="eastAsia"/>
          <w:color w:val="000000"/>
          <w:kern w:val="0"/>
          <w:sz w:val="24"/>
          <w:szCs w:val="24"/>
        </w:rPr>
        <w:t>业务事项予以说明。投资人欲了解本基金的详细情况，请详细阅读刊登在</w:t>
      </w:r>
      <w:r w:rsidR="00E96210">
        <w:rPr>
          <w:rFonts w:ascii="宋体" w:eastAsia="宋体" w:hAnsi="Arial" w:cs="宋体"/>
          <w:color w:val="000000"/>
          <w:kern w:val="0"/>
          <w:sz w:val="24"/>
          <w:szCs w:val="24"/>
        </w:rPr>
        <w:t>2015</w:t>
      </w:r>
      <w:r>
        <w:rPr>
          <w:rFonts w:ascii="宋体" w:eastAsia="宋体" w:hAnsi="Arial" w:cs="宋体" w:hint="eastAsia"/>
          <w:color w:val="000000"/>
          <w:kern w:val="0"/>
          <w:sz w:val="24"/>
          <w:szCs w:val="24"/>
        </w:rPr>
        <w:t>年</w:t>
      </w:r>
      <w:r w:rsidR="00E96210">
        <w:rPr>
          <w:rFonts w:ascii="宋体" w:eastAsia="宋体" w:hAnsi="Arial" w:cs="宋体"/>
          <w:color w:val="000000"/>
          <w:kern w:val="0"/>
          <w:sz w:val="24"/>
          <w:szCs w:val="24"/>
        </w:rPr>
        <w:t>10</w:t>
      </w:r>
      <w:r>
        <w:rPr>
          <w:rFonts w:ascii="宋体" w:eastAsia="宋体" w:hAnsi="Arial" w:cs="宋体" w:hint="eastAsia"/>
          <w:color w:val="000000"/>
          <w:kern w:val="0"/>
          <w:sz w:val="24"/>
          <w:szCs w:val="24"/>
        </w:rPr>
        <w:t>月</w:t>
      </w:r>
      <w:r w:rsidR="00E96210">
        <w:rPr>
          <w:rFonts w:ascii="宋体" w:eastAsia="宋体" w:hAnsi="Arial" w:cs="宋体"/>
          <w:color w:val="000000"/>
          <w:kern w:val="0"/>
          <w:sz w:val="24"/>
          <w:szCs w:val="24"/>
        </w:rPr>
        <w:t>10</w:t>
      </w:r>
      <w:r>
        <w:rPr>
          <w:rFonts w:ascii="宋体" w:eastAsia="宋体" w:hAnsi="Arial" w:cs="宋体" w:hint="eastAsia"/>
          <w:color w:val="000000"/>
          <w:kern w:val="0"/>
          <w:sz w:val="24"/>
          <w:szCs w:val="24"/>
        </w:rPr>
        <w:t>日《中国证券报》、《证券时报》和《上海证券报》上的《</w:t>
      </w:r>
      <w:r w:rsidR="00806029">
        <w:rPr>
          <w:rFonts w:ascii="宋体" w:eastAsia="宋体" w:hAnsi="Arial" w:cs="宋体" w:hint="eastAsia"/>
          <w:color w:val="000000"/>
          <w:kern w:val="0"/>
          <w:sz w:val="24"/>
          <w:szCs w:val="24"/>
        </w:rPr>
        <w:t>国寿安保</w:t>
      </w:r>
      <w:r w:rsidR="00F35C1B">
        <w:rPr>
          <w:rFonts w:ascii="宋体" w:eastAsia="宋体" w:hAnsi="Arial" w:cs="宋体" w:hint="eastAsia"/>
          <w:color w:val="000000"/>
          <w:kern w:val="0"/>
          <w:sz w:val="24"/>
          <w:szCs w:val="24"/>
        </w:rPr>
        <w:t>尊盈</w:t>
      </w:r>
      <w:r w:rsidR="00806029">
        <w:rPr>
          <w:rFonts w:ascii="宋体" w:eastAsia="宋体" w:hAnsi="Arial" w:cs="宋体" w:hint="eastAsia"/>
          <w:color w:val="000000"/>
          <w:kern w:val="0"/>
          <w:sz w:val="24"/>
          <w:szCs w:val="24"/>
        </w:rPr>
        <w:t>一年定期开放债券型证券投资</w:t>
      </w:r>
      <w:r>
        <w:rPr>
          <w:rFonts w:ascii="宋体" w:eastAsia="宋体" w:hAnsi="Arial" w:cs="宋体" w:hint="eastAsia"/>
          <w:color w:val="000000"/>
          <w:kern w:val="0"/>
          <w:sz w:val="24"/>
          <w:szCs w:val="24"/>
        </w:rPr>
        <w:t>基金招募说明书》</w:t>
      </w:r>
      <w:r w:rsidR="009722D4">
        <w:rPr>
          <w:rFonts w:ascii="宋体" w:eastAsia="宋体" w:hAnsi="Arial" w:cs="宋体" w:hint="eastAsia"/>
          <w:color w:val="000000"/>
          <w:kern w:val="0"/>
          <w:sz w:val="24"/>
          <w:szCs w:val="24"/>
        </w:rPr>
        <w:t>和刊登在</w:t>
      </w:r>
      <w:r w:rsidR="009722D4">
        <w:rPr>
          <w:rFonts w:ascii="宋体" w:eastAsia="宋体" w:hAnsi="Arial" w:cs="宋体"/>
          <w:color w:val="000000"/>
          <w:kern w:val="0"/>
          <w:sz w:val="24"/>
          <w:szCs w:val="24"/>
        </w:rPr>
        <w:t>2018</w:t>
      </w:r>
      <w:r w:rsidR="009722D4">
        <w:rPr>
          <w:rFonts w:ascii="宋体" w:eastAsia="宋体" w:hAnsi="Arial" w:cs="宋体" w:hint="eastAsia"/>
          <w:color w:val="000000"/>
          <w:kern w:val="0"/>
          <w:sz w:val="24"/>
          <w:szCs w:val="24"/>
        </w:rPr>
        <w:t>年</w:t>
      </w:r>
      <w:r w:rsidR="009722D4">
        <w:rPr>
          <w:rFonts w:ascii="宋体" w:eastAsia="宋体" w:hAnsi="Arial" w:cs="宋体"/>
          <w:color w:val="000000"/>
          <w:kern w:val="0"/>
          <w:sz w:val="24"/>
          <w:szCs w:val="24"/>
        </w:rPr>
        <w:t>6</w:t>
      </w:r>
      <w:r w:rsidR="009722D4">
        <w:rPr>
          <w:rFonts w:ascii="宋体" w:eastAsia="宋体" w:hAnsi="Arial" w:cs="宋体" w:hint="eastAsia"/>
          <w:color w:val="000000"/>
          <w:kern w:val="0"/>
          <w:sz w:val="24"/>
          <w:szCs w:val="24"/>
        </w:rPr>
        <w:t>月</w:t>
      </w:r>
      <w:r w:rsidR="009722D4">
        <w:rPr>
          <w:rFonts w:ascii="宋体" w:eastAsia="宋体" w:hAnsi="Arial" w:cs="宋体"/>
          <w:color w:val="000000"/>
          <w:kern w:val="0"/>
          <w:sz w:val="24"/>
          <w:szCs w:val="24"/>
        </w:rPr>
        <w:t>15</w:t>
      </w:r>
      <w:r w:rsidR="009722D4">
        <w:rPr>
          <w:rFonts w:ascii="宋体" w:eastAsia="宋体" w:hAnsi="Arial" w:cs="宋体" w:hint="eastAsia"/>
          <w:color w:val="000000"/>
          <w:kern w:val="0"/>
          <w:sz w:val="24"/>
          <w:szCs w:val="24"/>
        </w:rPr>
        <w:t>日《中国证券报》、《证券时报》和《上海证券报》上的《国寿安保尊盈一年定期开放债券型证券投资基金更新招募说明书（2018年</w:t>
      </w:r>
      <w:r w:rsidR="009722D4">
        <w:rPr>
          <w:rFonts w:ascii="宋体" w:eastAsia="宋体" w:hAnsi="Arial" w:cs="宋体"/>
          <w:color w:val="000000"/>
          <w:kern w:val="0"/>
          <w:sz w:val="24"/>
          <w:szCs w:val="24"/>
        </w:rPr>
        <w:t>第</w:t>
      </w:r>
      <w:r w:rsidR="009722D4">
        <w:rPr>
          <w:rFonts w:ascii="宋体" w:eastAsia="宋体" w:hAnsi="Arial" w:cs="宋体" w:hint="eastAsia"/>
          <w:color w:val="000000"/>
          <w:kern w:val="0"/>
          <w:sz w:val="24"/>
          <w:szCs w:val="24"/>
        </w:rPr>
        <w:t>1号</w:t>
      </w:r>
      <w:r w:rsidR="009722D4">
        <w:rPr>
          <w:rFonts w:ascii="宋体" w:eastAsia="宋体" w:hAnsi="Arial" w:cs="宋体"/>
          <w:color w:val="000000"/>
          <w:kern w:val="0"/>
          <w:sz w:val="24"/>
          <w:szCs w:val="24"/>
        </w:rPr>
        <w:t>）</w:t>
      </w:r>
      <w:r w:rsidR="009722D4">
        <w:rPr>
          <w:rFonts w:ascii="宋体" w:eastAsia="宋体" w:hAnsi="Arial" w:cs="宋体" w:hint="eastAsia"/>
          <w:color w:val="000000"/>
          <w:kern w:val="0"/>
          <w:sz w:val="24"/>
          <w:szCs w:val="24"/>
        </w:rPr>
        <w:t>》</w:t>
      </w:r>
      <w:r>
        <w:rPr>
          <w:rFonts w:ascii="宋体" w:eastAsia="宋体" w:hAnsi="Arial" w:cs="宋体" w:hint="eastAsia"/>
          <w:color w:val="000000"/>
          <w:kern w:val="0"/>
          <w:sz w:val="24"/>
          <w:szCs w:val="24"/>
        </w:rPr>
        <w:t>，亦可登陆本公司网站（</w:t>
      </w:r>
      <w:r>
        <w:rPr>
          <w:rFonts w:ascii="宋体" w:eastAsia="宋体" w:hAnsi="Arial" w:cs="宋体"/>
          <w:color w:val="000000"/>
          <w:kern w:val="0"/>
          <w:sz w:val="24"/>
          <w:szCs w:val="24"/>
        </w:rPr>
        <w:t>www.gsfunds.com.cn</w:t>
      </w:r>
      <w:r>
        <w:rPr>
          <w:rFonts w:ascii="宋体" w:eastAsia="宋体" w:hAnsi="Arial" w:cs="宋体" w:hint="eastAsia"/>
          <w:color w:val="000000"/>
          <w:kern w:val="0"/>
          <w:sz w:val="24"/>
          <w:szCs w:val="24"/>
        </w:rPr>
        <w:t>）进行查询。</w:t>
      </w:r>
    </w:p>
    <w:p w:rsidR="00700815"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2</w:t>
      </w:r>
      <w:r w:rsidR="00806029">
        <w:rPr>
          <w:rFonts w:ascii="宋体" w:eastAsia="宋体" w:hAnsi="Arial" w:cs="宋体" w:hint="eastAsia"/>
          <w:color w:val="000000"/>
          <w:kern w:val="0"/>
          <w:sz w:val="24"/>
          <w:szCs w:val="24"/>
        </w:rPr>
        <w:t>、</w:t>
      </w:r>
      <w:r>
        <w:rPr>
          <w:rFonts w:ascii="宋体" w:eastAsia="宋体" w:hAnsi="Arial" w:cs="宋体" w:hint="eastAsia"/>
          <w:color w:val="000000"/>
          <w:kern w:val="0"/>
          <w:sz w:val="24"/>
          <w:szCs w:val="24"/>
        </w:rPr>
        <w:t>投资者如有任何问题，可拨打本公司客户服务电话（</w:t>
      </w:r>
      <w:r>
        <w:rPr>
          <w:rFonts w:ascii="宋体" w:eastAsia="宋体" w:hAnsi="Arial" w:cs="宋体"/>
          <w:color w:val="000000"/>
          <w:kern w:val="0"/>
          <w:sz w:val="24"/>
          <w:szCs w:val="24"/>
        </w:rPr>
        <w:t>4009-258-258</w:t>
      </w:r>
      <w:r>
        <w:rPr>
          <w:rFonts w:ascii="宋体" w:eastAsia="宋体" w:hAnsi="Arial" w:cs="宋体" w:hint="eastAsia"/>
          <w:color w:val="000000"/>
          <w:kern w:val="0"/>
          <w:sz w:val="24"/>
          <w:szCs w:val="24"/>
        </w:rPr>
        <w:t>）以及各销售机构客户服务电话。</w:t>
      </w:r>
    </w:p>
    <w:p w:rsidR="00700815"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3</w:t>
      </w:r>
      <w:r w:rsidR="00806029">
        <w:rPr>
          <w:rFonts w:ascii="宋体" w:eastAsia="宋体" w:hAnsi="Arial" w:cs="宋体" w:hint="eastAsia"/>
          <w:color w:val="000000"/>
          <w:kern w:val="0"/>
          <w:sz w:val="24"/>
          <w:szCs w:val="24"/>
        </w:rPr>
        <w:t>、</w:t>
      </w:r>
      <w:r>
        <w:rPr>
          <w:rFonts w:ascii="宋体" w:eastAsia="宋体" w:hAnsi="Arial" w:cs="宋体" w:hint="eastAsia"/>
          <w:color w:val="000000"/>
          <w:kern w:val="0"/>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700815" w:rsidRDefault="00700815" w:rsidP="00700815">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特此公告。</w:t>
      </w:r>
    </w:p>
    <w:p w:rsidR="00700815" w:rsidRDefault="00700815" w:rsidP="00700815">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p w:rsidR="00EA5439" w:rsidRPr="00700815" w:rsidRDefault="009722D4" w:rsidP="003329F8">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sidRPr="003329F8">
        <w:rPr>
          <w:rFonts w:ascii="宋体" w:eastAsia="宋体" w:hAnsi="Arial" w:cs="宋体" w:hint="eastAsia"/>
          <w:color w:val="000000"/>
          <w:kern w:val="0"/>
          <w:sz w:val="24"/>
          <w:szCs w:val="24"/>
        </w:rPr>
        <w:t>二〇一</w:t>
      </w:r>
      <w:r>
        <w:rPr>
          <w:rFonts w:ascii="宋体" w:eastAsia="宋体" w:hAnsi="Arial" w:cs="宋体" w:hint="eastAsia"/>
          <w:color w:val="000000"/>
          <w:kern w:val="0"/>
          <w:sz w:val="24"/>
          <w:szCs w:val="24"/>
        </w:rPr>
        <w:t>八</w:t>
      </w:r>
      <w:r w:rsidRPr="003329F8">
        <w:rPr>
          <w:rFonts w:ascii="宋体" w:eastAsia="宋体" w:hAnsi="Arial" w:cs="宋体" w:hint="eastAsia"/>
          <w:color w:val="000000"/>
          <w:kern w:val="0"/>
          <w:sz w:val="24"/>
          <w:szCs w:val="24"/>
        </w:rPr>
        <w:t>年</w:t>
      </w:r>
      <w:r>
        <w:rPr>
          <w:rFonts w:ascii="宋体" w:eastAsia="宋体" w:hAnsi="Arial" w:cs="宋体" w:hint="eastAsia"/>
          <w:color w:val="000000"/>
          <w:kern w:val="0"/>
          <w:sz w:val="24"/>
          <w:szCs w:val="24"/>
        </w:rPr>
        <w:t>十一</w:t>
      </w:r>
      <w:r w:rsidRPr="003329F8">
        <w:rPr>
          <w:rFonts w:ascii="宋体" w:eastAsia="宋体" w:hAnsi="Arial" w:cs="宋体" w:hint="eastAsia"/>
          <w:color w:val="000000"/>
          <w:kern w:val="0"/>
          <w:sz w:val="24"/>
          <w:szCs w:val="24"/>
        </w:rPr>
        <w:t>月</w:t>
      </w:r>
      <w:r w:rsidR="00F263E7">
        <w:rPr>
          <w:rFonts w:ascii="宋体" w:eastAsia="宋体" w:hAnsi="Arial" w:cs="宋体" w:hint="eastAsia"/>
          <w:color w:val="000000"/>
          <w:kern w:val="0"/>
          <w:sz w:val="24"/>
          <w:szCs w:val="24"/>
        </w:rPr>
        <w:t>三</w:t>
      </w:r>
      <w:r w:rsidRPr="003329F8">
        <w:rPr>
          <w:rFonts w:ascii="宋体" w:eastAsia="宋体" w:hAnsi="Arial" w:cs="宋体" w:hint="eastAsia"/>
          <w:color w:val="000000"/>
          <w:kern w:val="0"/>
          <w:sz w:val="24"/>
          <w:szCs w:val="24"/>
        </w:rPr>
        <w:t>日</w:t>
      </w:r>
    </w:p>
    <w:sectPr w:rsidR="00EA5439" w:rsidRPr="00700815" w:rsidSect="00757F4D">
      <w:headerReference w:type="default" r:id="rId8"/>
      <w:footerReference w:type="default" r:id="rId9"/>
      <w:pgSz w:w="11926" w:h="16867"/>
      <w:pgMar w:top="1420" w:right="1420" w:bottom="852" w:left="142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63" w:rsidRDefault="00BB4863" w:rsidP="00700815">
      <w:r>
        <w:separator/>
      </w:r>
    </w:p>
  </w:endnote>
  <w:endnote w:type="continuationSeparator" w:id="1">
    <w:p w:rsidR="00BB4863" w:rsidRDefault="00BB4863" w:rsidP="007008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5" w:rsidRDefault="006D6415">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63" w:rsidRDefault="00BB4863" w:rsidP="00700815">
      <w:r>
        <w:separator/>
      </w:r>
    </w:p>
  </w:footnote>
  <w:footnote w:type="continuationSeparator" w:id="1">
    <w:p w:rsidR="00BB4863" w:rsidRDefault="00BB4863" w:rsidP="00700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5" w:rsidRDefault="006D6415">
    <w:pPr>
      <w:autoSpaceDE w:val="0"/>
      <w:autoSpaceDN w:val="0"/>
      <w:adjustRightInd w:val="0"/>
      <w:jc w:val="left"/>
      <w:rPr>
        <w:rFonts w:ascii="Arial" w:hAnsi="Arial" w:cs="Arial"/>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CEB"/>
    <w:multiLevelType w:val="hybridMultilevel"/>
    <w:tmpl w:val="2D940C46"/>
    <w:lvl w:ilvl="0" w:tplc="5C7A263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2FB3138"/>
    <w:multiLevelType w:val="hybridMultilevel"/>
    <w:tmpl w:val="C604151C"/>
    <w:lvl w:ilvl="0" w:tplc="522CFAE4">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95E"/>
    <w:rsid w:val="000059A5"/>
    <w:rsid w:val="000332E2"/>
    <w:rsid w:val="00056622"/>
    <w:rsid w:val="00057171"/>
    <w:rsid w:val="00057E27"/>
    <w:rsid w:val="0007369F"/>
    <w:rsid w:val="00080B2B"/>
    <w:rsid w:val="000B09AD"/>
    <w:rsid w:val="000C673D"/>
    <w:rsid w:val="00101E7C"/>
    <w:rsid w:val="001067A9"/>
    <w:rsid w:val="00131B8F"/>
    <w:rsid w:val="00143180"/>
    <w:rsid w:val="001D6C0F"/>
    <w:rsid w:val="001E16EB"/>
    <w:rsid w:val="001F368E"/>
    <w:rsid w:val="00201D04"/>
    <w:rsid w:val="00204A28"/>
    <w:rsid w:val="002066C6"/>
    <w:rsid w:val="00207536"/>
    <w:rsid w:val="00210303"/>
    <w:rsid w:val="002204CB"/>
    <w:rsid w:val="00244C7F"/>
    <w:rsid w:val="002507F5"/>
    <w:rsid w:val="00275843"/>
    <w:rsid w:val="00286ED6"/>
    <w:rsid w:val="002C03DB"/>
    <w:rsid w:val="002C0D78"/>
    <w:rsid w:val="002C6E52"/>
    <w:rsid w:val="002D0375"/>
    <w:rsid w:val="002D2E78"/>
    <w:rsid w:val="002E61A8"/>
    <w:rsid w:val="002F08D6"/>
    <w:rsid w:val="002F136E"/>
    <w:rsid w:val="00320219"/>
    <w:rsid w:val="003329F8"/>
    <w:rsid w:val="00333CB6"/>
    <w:rsid w:val="00371036"/>
    <w:rsid w:val="00380022"/>
    <w:rsid w:val="00384160"/>
    <w:rsid w:val="003B3637"/>
    <w:rsid w:val="003B3DB6"/>
    <w:rsid w:val="003C529F"/>
    <w:rsid w:val="003E38C9"/>
    <w:rsid w:val="00412398"/>
    <w:rsid w:val="004254AF"/>
    <w:rsid w:val="004520E3"/>
    <w:rsid w:val="00460B0E"/>
    <w:rsid w:val="00464F7B"/>
    <w:rsid w:val="0047404A"/>
    <w:rsid w:val="004A07E8"/>
    <w:rsid w:val="004A0D28"/>
    <w:rsid w:val="004A6FC0"/>
    <w:rsid w:val="004E48C0"/>
    <w:rsid w:val="004F475F"/>
    <w:rsid w:val="004F6B3A"/>
    <w:rsid w:val="00513C14"/>
    <w:rsid w:val="00524DB5"/>
    <w:rsid w:val="00563455"/>
    <w:rsid w:val="00563CC9"/>
    <w:rsid w:val="00570C23"/>
    <w:rsid w:val="00572FC7"/>
    <w:rsid w:val="005D2EE0"/>
    <w:rsid w:val="005E2158"/>
    <w:rsid w:val="00605048"/>
    <w:rsid w:val="00607F99"/>
    <w:rsid w:val="00621439"/>
    <w:rsid w:val="0062495E"/>
    <w:rsid w:val="0063171C"/>
    <w:rsid w:val="00667ABA"/>
    <w:rsid w:val="006C45A7"/>
    <w:rsid w:val="006D6415"/>
    <w:rsid w:val="006D6B20"/>
    <w:rsid w:val="006E06D6"/>
    <w:rsid w:val="006F14E2"/>
    <w:rsid w:val="006F1990"/>
    <w:rsid w:val="006F74E8"/>
    <w:rsid w:val="00700815"/>
    <w:rsid w:val="00700F2F"/>
    <w:rsid w:val="00732192"/>
    <w:rsid w:val="0073347B"/>
    <w:rsid w:val="0073514D"/>
    <w:rsid w:val="00757F4D"/>
    <w:rsid w:val="007823BE"/>
    <w:rsid w:val="00796328"/>
    <w:rsid w:val="007B26B7"/>
    <w:rsid w:val="007B46A6"/>
    <w:rsid w:val="007B6AC7"/>
    <w:rsid w:val="007D0B30"/>
    <w:rsid w:val="007D4FF0"/>
    <w:rsid w:val="007F0845"/>
    <w:rsid w:val="007F3080"/>
    <w:rsid w:val="00800A4E"/>
    <w:rsid w:val="00806029"/>
    <w:rsid w:val="00813F08"/>
    <w:rsid w:val="00833226"/>
    <w:rsid w:val="00854FE8"/>
    <w:rsid w:val="0086264B"/>
    <w:rsid w:val="00864FBB"/>
    <w:rsid w:val="00867A6B"/>
    <w:rsid w:val="00882D3C"/>
    <w:rsid w:val="00886C47"/>
    <w:rsid w:val="008B5E1A"/>
    <w:rsid w:val="008F42C0"/>
    <w:rsid w:val="008F69D2"/>
    <w:rsid w:val="00922415"/>
    <w:rsid w:val="009454BD"/>
    <w:rsid w:val="00957B6A"/>
    <w:rsid w:val="00961646"/>
    <w:rsid w:val="00970E49"/>
    <w:rsid w:val="009722D4"/>
    <w:rsid w:val="009773EB"/>
    <w:rsid w:val="00981121"/>
    <w:rsid w:val="009873D5"/>
    <w:rsid w:val="0099167B"/>
    <w:rsid w:val="00993FB7"/>
    <w:rsid w:val="009C6817"/>
    <w:rsid w:val="009D1ABC"/>
    <w:rsid w:val="00A17624"/>
    <w:rsid w:val="00AA6D8A"/>
    <w:rsid w:val="00AB22DC"/>
    <w:rsid w:val="00AD2156"/>
    <w:rsid w:val="00AD4739"/>
    <w:rsid w:val="00AF023D"/>
    <w:rsid w:val="00B013B9"/>
    <w:rsid w:val="00B051A7"/>
    <w:rsid w:val="00B07577"/>
    <w:rsid w:val="00B628CD"/>
    <w:rsid w:val="00B8273C"/>
    <w:rsid w:val="00B83B72"/>
    <w:rsid w:val="00BB4863"/>
    <w:rsid w:val="00BC1035"/>
    <w:rsid w:val="00BC15DF"/>
    <w:rsid w:val="00BC31E4"/>
    <w:rsid w:val="00BE4CD0"/>
    <w:rsid w:val="00BE544D"/>
    <w:rsid w:val="00BF69F2"/>
    <w:rsid w:val="00C13A62"/>
    <w:rsid w:val="00C21BE1"/>
    <w:rsid w:val="00C37391"/>
    <w:rsid w:val="00C420A4"/>
    <w:rsid w:val="00C76947"/>
    <w:rsid w:val="00C81F20"/>
    <w:rsid w:val="00C95755"/>
    <w:rsid w:val="00CB4216"/>
    <w:rsid w:val="00CD14C8"/>
    <w:rsid w:val="00CD14CC"/>
    <w:rsid w:val="00CE4965"/>
    <w:rsid w:val="00CF0BFA"/>
    <w:rsid w:val="00CF64A4"/>
    <w:rsid w:val="00CF725E"/>
    <w:rsid w:val="00D02623"/>
    <w:rsid w:val="00D02907"/>
    <w:rsid w:val="00D0581D"/>
    <w:rsid w:val="00D05B47"/>
    <w:rsid w:val="00D158CB"/>
    <w:rsid w:val="00D1731B"/>
    <w:rsid w:val="00D26B4B"/>
    <w:rsid w:val="00D321C3"/>
    <w:rsid w:val="00D87A01"/>
    <w:rsid w:val="00D94675"/>
    <w:rsid w:val="00DB29DA"/>
    <w:rsid w:val="00E11B15"/>
    <w:rsid w:val="00E267B3"/>
    <w:rsid w:val="00E438B5"/>
    <w:rsid w:val="00E43932"/>
    <w:rsid w:val="00E63AEA"/>
    <w:rsid w:val="00E6785B"/>
    <w:rsid w:val="00E67BE1"/>
    <w:rsid w:val="00E77DA3"/>
    <w:rsid w:val="00E904DA"/>
    <w:rsid w:val="00E90819"/>
    <w:rsid w:val="00E91E9E"/>
    <w:rsid w:val="00E96210"/>
    <w:rsid w:val="00EA5439"/>
    <w:rsid w:val="00EA546B"/>
    <w:rsid w:val="00EC76A5"/>
    <w:rsid w:val="00ED38EC"/>
    <w:rsid w:val="00EF1FDA"/>
    <w:rsid w:val="00EF72D0"/>
    <w:rsid w:val="00F07DCF"/>
    <w:rsid w:val="00F24F1D"/>
    <w:rsid w:val="00F263E7"/>
    <w:rsid w:val="00F35C1B"/>
    <w:rsid w:val="00F423B6"/>
    <w:rsid w:val="00F42740"/>
    <w:rsid w:val="00F45DFD"/>
    <w:rsid w:val="00F50C18"/>
    <w:rsid w:val="00F664B4"/>
    <w:rsid w:val="00F9230F"/>
    <w:rsid w:val="00FA2BB6"/>
    <w:rsid w:val="00FC1134"/>
    <w:rsid w:val="00FD15B1"/>
    <w:rsid w:val="00FE5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1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815"/>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700815"/>
    <w:rPr>
      <w:sz w:val="18"/>
      <w:szCs w:val="18"/>
    </w:rPr>
  </w:style>
  <w:style w:type="paragraph" w:styleId="a4">
    <w:name w:val="footer"/>
    <w:basedOn w:val="a"/>
    <w:link w:val="Char0"/>
    <w:uiPriority w:val="99"/>
    <w:unhideWhenUsed/>
    <w:rsid w:val="00700815"/>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700815"/>
    <w:rPr>
      <w:sz w:val="18"/>
      <w:szCs w:val="18"/>
    </w:rPr>
  </w:style>
  <w:style w:type="paragraph" w:styleId="a5">
    <w:name w:val="Balloon Text"/>
    <w:basedOn w:val="a"/>
    <w:link w:val="Char1"/>
    <w:uiPriority w:val="99"/>
    <w:semiHidden/>
    <w:unhideWhenUsed/>
    <w:rsid w:val="006F14E2"/>
    <w:rPr>
      <w:sz w:val="18"/>
      <w:szCs w:val="18"/>
    </w:rPr>
  </w:style>
  <w:style w:type="character" w:customStyle="1" w:styleId="Char1">
    <w:name w:val="批注框文本 Char"/>
    <w:basedOn w:val="a0"/>
    <w:link w:val="a5"/>
    <w:uiPriority w:val="99"/>
    <w:semiHidden/>
    <w:rsid w:val="006F14E2"/>
    <w:rPr>
      <w:rFonts w:cs="Times New Roman"/>
      <w:sz w:val="18"/>
      <w:szCs w:val="18"/>
    </w:rPr>
  </w:style>
  <w:style w:type="character" w:customStyle="1" w:styleId="CharChar">
    <w:name w:val="正文内容 Char Char"/>
    <w:link w:val="a6"/>
    <w:rsid w:val="002C03DB"/>
    <w:rPr>
      <w:sz w:val="24"/>
    </w:rPr>
  </w:style>
  <w:style w:type="paragraph" w:customStyle="1" w:styleId="a6">
    <w:name w:val="正文内容"/>
    <w:basedOn w:val="a"/>
    <w:link w:val="CharChar"/>
    <w:qFormat/>
    <w:rsid w:val="002C03DB"/>
    <w:pPr>
      <w:spacing w:line="360" w:lineRule="auto"/>
      <w:ind w:firstLineChars="200" w:firstLine="480"/>
    </w:pPr>
    <w:rPr>
      <w:rFonts w:cstheme="minorBidi"/>
      <w:sz w:val="24"/>
    </w:rPr>
  </w:style>
  <w:style w:type="character" w:customStyle="1" w:styleId="Char2">
    <w:name w:val="正文内容 Char"/>
    <w:rsid w:val="00B83B72"/>
    <w:rPr>
      <w:bCs/>
      <w:kern w:val="2"/>
      <w:sz w:val="24"/>
      <w:szCs w:val="24"/>
      <w:lang/>
    </w:rPr>
  </w:style>
  <w:style w:type="paragraph" w:customStyle="1" w:styleId="a7">
    <w:name w:val="正文所"/>
    <w:basedOn w:val="a"/>
    <w:rsid w:val="00CF0BFA"/>
    <w:pPr>
      <w:spacing w:line="360" w:lineRule="auto"/>
      <w:ind w:firstLineChars="200" w:firstLine="420"/>
    </w:pPr>
    <w:rPr>
      <w:rFonts w:ascii="宋体" w:eastAsia="宋体" w:hAnsi="Times New Roman"/>
      <w:szCs w:val="20"/>
    </w:rPr>
  </w:style>
  <w:style w:type="paragraph" w:customStyle="1" w:styleId="Default">
    <w:name w:val="Default"/>
    <w:rsid w:val="00B07577"/>
    <w:pPr>
      <w:widowControl w:val="0"/>
      <w:autoSpaceDE w:val="0"/>
      <w:autoSpaceDN w:val="0"/>
      <w:adjustRightInd w:val="0"/>
    </w:pPr>
    <w:rPr>
      <w:rFonts w:ascii="Arial" w:hAnsi="Arial" w:cs="Arial"/>
      <w:color w:val="000000"/>
      <w:kern w:val="0"/>
      <w:sz w:val="24"/>
      <w:szCs w:val="24"/>
    </w:rPr>
  </w:style>
  <w:style w:type="character" w:styleId="a8">
    <w:name w:val="annotation reference"/>
    <w:basedOn w:val="a0"/>
    <w:uiPriority w:val="99"/>
    <w:semiHidden/>
    <w:unhideWhenUsed/>
    <w:rsid w:val="00B07577"/>
    <w:rPr>
      <w:sz w:val="21"/>
      <w:szCs w:val="21"/>
    </w:rPr>
  </w:style>
  <w:style w:type="paragraph" w:styleId="a9">
    <w:name w:val="annotation text"/>
    <w:basedOn w:val="a"/>
    <w:link w:val="Char3"/>
    <w:uiPriority w:val="99"/>
    <w:semiHidden/>
    <w:unhideWhenUsed/>
    <w:rsid w:val="00B07577"/>
    <w:pPr>
      <w:jc w:val="left"/>
    </w:pPr>
  </w:style>
  <w:style w:type="character" w:customStyle="1" w:styleId="Char3">
    <w:name w:val="批注文字 Char"/>
    <w:basedOn w:val="a0"/>
    <w:link w:val="a9"/>
    <w:uiPriority w:val="99"/>
    <w:semiHidden/>
    <w:rsid w:val="00B07577"/>
    <w:rPr>
      <w:rFonts w:cs="Times New Roman"/>
    </w:rPr>
  </w:style>
  <w:style w:type="paragraph" w:styleId="aa">
    <w:name w:val="annotation subject"/>
    <w:basedOn w:val="a9"/>
    <w:next w:val="a9"/>
    <w:link w:val="Char4"/>
    <w:uiPriority w:val="99"/>
    <w:semiHidden/>
    <w:unhideWhenUsed/>
    <w:rsid w:val="00B07577"/>
    <w:rPr>
      <w:b/>
      <w:bCs/>
    </w:rPr>
  </w:style>
  <w:style w:type="character" w:customStyle="1" w:styleId="Char4">
    <w:name w:val="批注主题 Char"/>
    <w:basedOn w:val="Char3"/>
    <w:link w:val="aa"/>
    <w:uiPriority w:val="99"/>
    <w:semiHidden/>
    <w:rsid w:val="00B07577"/>
    <w:rPr>
      <w:rFonts w:cs="Times New Roman"/>
      <w:b/>
      <w:bCs/>
    </w:rPr>
  </w:style>
  <w:style w:type="character" w:styleId="ab">
    <w:name w:val="Hyperlink"/>
    <w:basedOn w:val="a0"/>
    <w:uiPriority w:val="99"/>
    <w:unhideWhenUsed/>
    <w:rsid w:val="009454BD"/>
    <w:rPr>
      <w:color w:val="0000FF" w:themeColor="hyperlink"/>
      <w:u w:val="single"/>
    </w:rPr>
  </w:style>
  <w:style w:type="paragraph" w:styleId="ac">
    <w:name w:val="List Paragraph"/>
    <w:basedOn w:val="a"/>
    <w:uiPriority w:val="34"/>
    <w:qFormat/>
    <w:rsid w:val="00460B0E"/>
    <w:pPr>
      <w:ind w:firstLineChars="200" w:firstLine="420"/>
    </w:pPr>
  </w:style>
  <w:style w:type="paragraph" w:customStyle="1" w:styleId="ad">
    <w:rsid w:val="00833226"/>
    <w:pPr>
      <w:widowControl w:val="0"/>
      <w:jc w:val="both"/>
    </w:pPr>
    <w:rPr>
      <w:rFonts w:cs="Times New Roman"/>
    </w:rPr>
  </w:style>
  <w:style w:type="character" w:styleId="ae">
    <w:name w:val="FollowedHyperlink"/>
    <w:basedOn w:val="a0"/>
    <w:uiPriority w:val="99"/>
    <w:semiHidden/>
    <w:unhideWhenUsed/>
    <w:rsid w:val="00833226"/>
    <w:rPr>
      <w:color w:val="800080" w:themeColor="followedHyperlink"/>
      <w:u w:val="single"/>
    </w:rPr>
  </w:style>
  <w:style w:type="paragraph" w:styleId="af">
    <w:name w:val="Revision"/>
    <w:hidden/>
    <w:uiPriority w:val="99"/>
    <w:semiHidden/>
    <w:rsid w:val="000C673D"/>
    <w:rPr>
      <w:rFonts w:cs="Times New Roman"/>
    </w:rPr>
  </w:style>
</w:styles>
</file>

<file path=word/webSettings.xml><?xml version="1.0" encoding="utf-8"?>
<w:webSettings xmlns:r="http://schemas.openxmlformats.org/officeDocument/2006/relationships" xmlns:w="http://schemas.openxmlformats.org/wordprocessingml/2006/main">
  <w:divs>
    <w:div w:id="194930260">
      <w:bodyDiv w:val="1"/>
      <w:marLeft w:val="0"/>
      <w:marRight w:val="0"/>
      <w:marTop w:val="0"/>
      <w:marBottom w:val="0"/>
      <w:divBdr>
        <w:top w:val="none" w:sz="0" w:space="0" w:color="auto"/>
        <w:left w:val="none" w:sz="0" w:space="0" w:color="auto"/>
        <w:bottom w:val="none" w:sz="0" w:space="0" w:color="auto"/>
        <w:right w:val="none" w:sz="0" w:space="0" w:color="auto"/>
      </w:divBdr>
      <w:divsChild>
        <w:div w:id="412095009">
          <w:marLeft w:val="0"/>
          <w:marRight w:val="0"/>
          <w:marTop w:val="0"/>
          <w:marBottom w:val="0"/>
          <w:divBdr>
            <w:top w:val="none" w:sz="0" w:space="0" w:color="auto"/>
            <w:left w:val="none" w:sz="0" w:space="0" w:color="auto"/>
            <w:bottom w:val="none" w:sz="0" w:space="0" w:color="auto"/>
            <w:right w:val="none" w:sz="0" w:space="0" w:color="auto"/>
          </w:divBdr>
          <w:divsChild>
            <w:div w:id="212547839">
              <w:marLeft w:val="0"/>
              <w:marRight w:val="0"/>
              <w:marTop w:val="0"/>
              <w:marBottom w:val="0"/>
              <w:divBdr>
                <w:top w:val="none" w:sz="0" w:space="0" w:color="auto"/>
                <w:left w:val="none" w:sz="0" w:space="0" w:color="auto"/>
                <w:bottom w:val="none" w:sz="0" w:space="0" w:color="auto"/>
                <w:right w:val="none" w:sz="0" w:space="0" w:color="auto"/>
              </w:divBdr>
              <w:divsChild>
                <w:div w:id="1995638701">
                  <w:marLeft w:val="0"/>
                  <w:marRight w:val="0"/>
                  <w:marTop w:val="0"/>
                  <w:marBottom w:val="0"/>
                  <w:divBdr>
                    <w:top w:val="none" w:sz="0" w:space="0" w:color="auto"/>
                    <w:left w:val="none" w:sz="0" w:space="0" w:color="auto"/>
                    <w:bottom w:val="none" w:sz="0" w:space="0" w:color="auto"/>
                    <w:right w:val="none" w:sz="0" w:space="0" w:color="auto"/>
                  </w:divBdr>
                  <w:divsChild>
                    <w:div w:id="412507743">
                      <w:marLeft w:val="0"/>
                      <w:marRight w:val="0"/>
                      <w:marTop w:val="0"/>
                      <w:marBottom w:val="0"/>
                      <w:divBdr>
                        <w:top w:val="none" w:sz="0" w:space="0" w:color="auto"/>
                        <w:left w:val="none" w:sz="0" w:space="0" w:color="auto"/>
                        <w:bottom w:val="none" w:sz="0" w:space="0" w:color="auto"/>
                        <w:right w:val="none" w:sz="0" w:space="0" w:color="auto"/>
                      </w:divBdr>
                      <w:divsChild>
                        <w:div w:id="535771491">
                          <w:marLeft w:val="0"/>
                          <w:marRight w:val="0"/>
                          <w:marTop w:val="0"/>
                          <w:marBottom w:val="0"/>
                          <w:divBdr>
                            <w:top w:val="none" w:sz="0" w:space="0" w:color="auto"/>
                            <w:left w:val="none" w:sz="0" w:space="0" w:color="auto"/>
                            <w:bottom w:val="none" w:sz="0" w:space="0" w:color="auto"/>
                            <w:right w:val="none" w:sz="0" w:space="0" w:color="auto"/>
                          </w:divBdr>
                          <w:divsChild>
                            <w:div w:id="1355108472">
                              <w:marLeft w:val="0"/>
                              <w:marRight w:val="0"/>
                              <w:marTop w:val="0"/>
                              <w:marBottom w:val="0"/>
                              <w:divBdr>
                                <w:top w:val="none" w:sz="0" w:space="0" w:color="auto"/>
                                <w:left w:val="none" w:sz="0" w:space="0" w:color="auto"/>
                                <w:bottom w:val="none" w:sz="0" w:space="0" w:color="auto"/>
                                <w:right w:val="none" w:sz="0" w:space="0" w:color="auto"/>
                              </w:divBdr>
                              <w:divsChild>
                                <w:div w:id="1433932913">
                                  <w:marLeft w:val="0"/>
                                  <w:marRight w:val="0"/>
                                  <w:marTop w:val="0"/>
                                  <w:marBottom w:val="0"/>
                                  <w:divBdr>
                                    <w:top w:val="none" w:sz="0" w:space="0" w:color="auto"/>
                                    <w:left w:val="none" w:sz="0" w:space="0" w:color="auto"/>
                                    <w:bottom w:val="none" w:sz="0" w:space="0" w:color="auto"/>
                                    <w:right w:val="none" w:sz="0" w:space="0" w:color="auto"/>
                                  </w:divBdr>
                                  <w:divsChild>
                                    <w:div w:id="332882102">
                                      <w:marLeft w:val="0"/>
                                      <w:marRight w:val="0"/>
                                      <w:marTop w:val="0"/>
                                      <w:marBottom w:val="0"/>
                                      <w:divBdr>
                                        <w:top w:val="none" w:sz="0" w:space="0" w:color="auto"/>
                                        <w:left w:val="none" w:sz="0" w:space="0" w:color="auto"/>
                                        <w:bottom w:val="none" w:sz="0" w:space="0" w:color="auto"/>
                                        <w:right w:val="none" w:sz="0" w:space="0" w:color="auto"/>
                                      </w:divBdr>
                                      <w:divsChild>
                                        <w:div w:id="1875923130">
                                          <w:marLeft w:val="75"/>
                                          <w:marRight w:val="75"/>
                                          <w:marTop w:val="0"/>
                                          <w:marBottom w:val="0"/>
                                          <w:divBdr>
                                            <w:top w:val="none" w:sz="0" w:space="0" w:color="auto"/>
                                            <w:left w:val="none" w:sz="0" w:space="0" w:color="auto"/>
                                            <w:bottom w:val="none" w:sz="0" w:space="0" w:color="auto"/>
                                            <w:right w:val="none" w:sz="0" w:space="0" w:color="auto"/>
                                          </w:divBdr>
                                          <w:divsChild>
                                            <w:div w:id="643781080">
                                              <w:marLeft w:val="0"/>
                                              <w:marRight w:val="0"/>
                                              <w:marTop w:val="60"/>
                                              <w:marBottom w:val="0"/>
                                              <w:divBdr>
                                                <w:top w:val="none" w:sz="0" w:space="0" w:color="auto"/>
                                                <w:left w:val="none" w:sz="0" w:space="0" w:color="auto"/>
                                                <w:bottom w:val="none" w:sz="0" w:space="0" w:color="auto"/>
                                                <w:right w:val="none" w:sz="0" w:space="0" w:color="auto"/>
                                              </w:divBdr>
                                              <w:divsChild>
                                                <w:div w:id="1017735830">
                                                  <w:marLeft w:val="0"/>
                                                  <w:marRight w:val="0"/>
                                                  <w:marTop w:val="0"/>
                                                  <w:marBottom w:val="0"/>
                                                  <w:divBdr>
                                                    <w:top w:val="none" w:sz="0" w:space="0" w:color="auto"/>
                                                    <w:left w:val="none" w:sz="0" w:space="0" w:color="auto"/>
                                                    <w:bottom w:val="none" w:sz="0" w:space="0" w:color="auto"/>
                                                    <w:right w:val="none" w:sz="0" w:space="0" w:color="auto"/>
                                                  </w:divBdr>
                                                  <w:divsChild>
                                                    <w:div w:id="1139348910">
                                                      <w:marLeft w:val="150"/>
                                                      <w:marRight w:val="150"/>
                                                      <w:marTop w:val="0"/>
                                                      <w:marBottom w:val="0"/>
                                                      <w:divBdr>
                                                        <w:top w:val="none" w:sz="0" w:space="0" w:color="auto"/>
                                                        <w:left w:val="none" w:sz="0" w:space="0" w:color="auto"/>
                                                        <w:bottom w:val="none" w:sz="0" w:space="0" w:color="auto"/>
                                                        <w:right w:val="none" w:sz="0" w:space="0" w:color="auto"/>
                                                      </w:divBdr>
                                                      <w:divsChild>
                                                        <w:div w:id="2101949278">
                                                          <w:marLeft w:val="0"/>
                                                          <w:marRight w:val="0"/>
                                                          <w:marTop w:val="0"/>
                                                          <w:marBottom w:val="0"/>
                                                          <w:divBdr>
                                                            <w:top w:val="none" w:sz="0" w:space="0" w:color="auto"/>
                                                            <w:left w:val="none" w:sz="0" w:space="0" w:color="auto"/>
                                                            <w:bottom w:val="none" w:sz="0" w:space="0" w:color="auto"/>
                                                            <w:right w:val="none" w:sz="0" w:space="0" w:color="auto"/>
                                                          </w:divBdr>
                                                          <w:divsChild>
                                                            <w:div w:id="1718386260">
                                                              <w:marLeft w:val="0"/>
                                                              <w:marRight w:val="0"/>
                                                              <w:marTop w:val="0"/>
                                                              <w:marBottom w:val="0"/>
                                                              <w:divBdr>
                                                                <w:top w:val="none" w:sz="0" w:space="0" w:color="auto"/>
                                                                <w:left w:val="none" w:sz="0" w:space="0" w:color="auto"/>
                                                                <w:bottom w:val="none" w:sz="0" w:space="0" w:color="auto"/>
                                                                <w:right w:val="none" w:sz="0" w:space="0" w:color="auto"/>
                                                              </w:divBdr>
                                                              <w:divsChild>
                                                                <w:div w:id="532306763">
                                                                  <w:marLeft w:val="0"/>
                                                                  <w:marRight w:val="0"/>
                                                                  <w:marTop w:val="0"/>
                                                                  <w:marBottom w:val="0"/>
                                                                  <w:divBdr>
                                                                    <w:top w:val="none" w:sz="0" w:space="0" w:color="auto"/>
                                                                    <w:left w:val="none" w:sz="0" w:space="0" w:color="auto"/>
                                                                    <w:bottom w:val="none" w:sz="0" w:space="0" w:color="auto"/>
                                                                    <w:right w:val="none" w:sz="0" w:space="0" w:color="auto"/>
                                                                  </w:divBdr>
                                                                  <w:divsChild>
                                                                    <w:div w:id="559169871">
                                                                      <w:marLeft w:val="0"/>
                                                                      <w:marRight w:val="0"/>
                                                                      <w:marTop w:val="0"/>
                                                                      <w:marBottom w:val="0"/>
                                                                      <w:divBdr>
                                                                        <w:top w:val="none" w:sz="0" w:space="0" w:color="auto"/>
                                                                        <w:left w:val="none" w:sz="0" w:space="0" w:color="auto"/>
                                                                        <w:bottom w:val="none" w:sz="0" w:space="0" w:color="auto"/>
                                                                        <w:right w:val="none" w:sz="0" w:space="0" w:color="auto"/>
                                                                      </w:divBdr>
                                                                      <w:divsChild>
                                                                        <w:div w:id="997465131">
                                                                          <w:marLeft w:val="150"/>
                                                                          <w:marRight w:val="150"/>
                                                                          <w:marTop w:val="150"/>
                                                                          <w:marBottom w:val="150"/>
                                                                          <w:divBdr>
                                                                            <w:top w:val="none" w:sz="0" w:space="0" w:color="auto"/>
                                                                            <w:left w:val="none" w:sz="0" w:space="0" w:color="auto"/>
                                                                            <w:bottom w:val="none" w:sz="0" w:space="0" w:color="auto"/>
                                                                            <w:right w:val="none" w:sz="0" w:space="0" w:color="auto"/>
                                                                          </w:divBdr>
                                                                          <w:divsChild>
                                                                            <w:div w:id="4187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5561">
      <w:bodyDiv w:val="1"/>
      <w:marLeft w:val="0"/>
      <w:marRight w:val="0"/>
      <w:marTop w:val="0"/>
      <w:marBottom w:val="0"/>
      <w:divBdr>
        <w:top w:val="none" w:sz="0" w:space="0" w:color="auto"/>
        <w:left w:val="none" w:sz="0" w:space="0" w:color="auto"/>
        <w:bottom w:val="none" w:sz="0" w:space="0" w:color="auto"/>
        <w:right w:val="none" w:sz="0" w:space="0" w:color="auto"/>
      </w:divBdr>
      <w:divsChild>
        <w:div w:id="1892420777">
          <w:marLeft w:val="0"/>
          <w:marRight w:val="0"/>
          <w:marTop w:val="0"/>
          <w:marBottom w:val="0"/>
          <w:divBdr>
            <w:top w:val="none" w:sz="0" w:space="0" w:color="auto"/>
            <w:left w:val="none" w:sz="0" w:space="0" w:color="auto"/>
            <w:bottom w:val="none" w:sz="0" w:space="0" w:color="auto"/>
            <w:right w:val="none" w:sz="0" w:space="0" w:color="auto"/>
          </w:divBdr>
          <w:divsChild>
            <w:div w:id="1674065990">
              <w:marLeft w:val="0"/>
              <w:marRight w:val="0"/>
              <w:marTop w:val="0"/>
              <w:marBottom w:val="0"/>
              <w:divBdr>
                <w:top w:val="none" w:sz="0" w:space="0" w:color="auto"/>
                <w:left w:val="none" w:sz="0" w:space="0" w:color="auto"/>
                <w:bottom w:val="none" w:sz="0" w:space="0" w:color="auto"/>
                <w:right w:val="none" w:sz="0" w:space="0" w:color="auto"/>
              </w:divBdr>
              <w:divsChild>
                <w:div w:id="710879748">
                  <w:marLeft w:val="0"/>
                  <w:marRight w:val="0"/>
                  <w:marTop w:val="0"/>
                  <w:marBottom w:val="0"/>
                  <w:divBdr>
                    <w:top w:val="none" w:sz="0" w:space="0" w:color="auto"/>
                    <w:left w:val="none" w:sz="0" w:space="0" w:color="auto"/>
                    <w:bottom w:val="none" w:sz="0" w:space="0" w:color="auto"/>
                    <w:right w:val="none" w:sz="0" w:space="0" w:color="auto"/>
                  </w:divBdr>
                  <w:divsChild>
                    <w:div w:id="1934514950">
                      <w:marLeft w:val="0"/>
                      <w:marRight w:val="0"/>
                      <w:marTop w:val="0"/>
                      <w:marBottom w:val="0"/>
                      <w:divBdr>
                        <w:top w:val="none" w:sz="0" w:space="0" w:color="auto"/>
                        <w:left w:val="none" w:sz="0" w:space="0" w:color="auto"/>
                        <w:bottom w:val="none" w:sz="0" w:space="0" w:color="auto"/>
                        <w:right w:val="none" w:sz="0" w:space="0" w:color="auto"/>
                      </w:divBdr>
                      <w:divsChild>
                        <w:div w:id="1311903534">
                          <w:marLeft w:val="0"/>
                          <w:marRight w:val="0"/>
                          <w:marTop w:val="0"/>
                          <w:marBottom w:val="0"/>
                          <w:divBdr>
                            <w:top w:val="none" w:sz="0" w:space="0" w:color="auto"/>
                            <w:left w:val="none" w:sz="0" w:space="0" w:color="auto"/>
                            <w:bottom w:val="none" w:sz="0" w:space="0" w:color="auto"/>
                            <w:right w:val="none" w:sz="0" w:space="0" w:color="auto"/>
                          </w:divBdr>
                          <w:divsChild>
                            <w:div w:id="1959213429">
                              <w:marLeft w:val="0"/>
                              <w:marRight w:val="0"/>
                              <w:marTop w:val="0"/>
                              <w:marBottom w:val="0"/>
                              <w:divBdr>
                                <w:top w:val="none" w:sz="0" w:space="0" w:color="auto"/>
                                <w:left w:val="none" w:sz="0" w:space="0" w:color="auto"/>
                                <w:bottom w:val="none" w:sz="0" w:space="0" w:color="auto"/>
                                <w:right w:val="none" w:sz="0" w:space="0" w:color="auto"/>
                              </w:divBdr>
                              <w:divsChild>
                                <w:div w:id="1645501062">
                                  <w:marLeft w:val="0"/>
                                  <w:marRight w:val="0"/>
                                  <w:marTop w:val="0"/>
                                  <w:marBottom w:val="0"/>
                                  <w:divBdr>
                                    <w:top w:val="none" w:sz="0" w:space="0" w:color="auto"/>
                                    <w:left w:val="none" w:sz="0" w:space="0" w:color="auto"/>
                                    <w:bottom w:val="none" w:sz="0" w:space="0" w:color="auto"/>
                                    <w:right w:val="none" w:sz="0" w:space="0" w:color="auto"/>
                                  </w:divBdr>
                                  <w:divsChild>
                                    <w:div w:id="1517573896">
                                      <w:marLeft w:val="0"/>
                                      <w:marRight w:val="0"/>
                                      <w:marTop w:val="0"/>
                                      <w:marBottom w:val="0"/>
                                      <w:divBdr>
                                        <w:top w:val="none" w:sz="0" w:space="0" w:color="auto"/>
                                        <w:left w:val="none" w:sz="0" w:space="0" w:color="auto"/>
                                        <w:bottom w:val="none" w:sz="0" w:space="0" w:color="auto"/>
                                        <w:right w:val="none" w:sz="0" w:space="0" w:color="auto"/>
                                      </w:divBdr>
                                      <w:divsChild>
                                        <w:div w:id="542668590">
                                          <w:marLeft w:val="75"/>
                                          <w:marRight w:val="75"/>
                                          <w:marTop w:val="0"/>
                                          <w:marBottom w:val="0"/>
                                          <w:divBdr>
                                            <w:top w:val="none" w:sz="0" w:space="0" w:color="auto"/>
                                            <w:left w:val="none" w:sz="0" w:space="0" w:color="auto"/>
                                            <w:bottom w:val="none" w:sz="0" w:space="0" w:color="auto"/>
                                            <w:right w:val="none" w:sz="0" w:space="0" w:color="auto"/>
                                          </w:divBdr>
                                          <w:divsChild>
                                            <w:div w:id="377709329">
                                              <w:marLeft w:val="0"/>
                                              <w:marRight w:val="0"/>
                                              <w:marTop w:val="60"/>
                                              <w:marBottom w:val="0"/>
                                              <w:divBdr>
                                                <w:top w:val="none" w:sz="0" w:space="0" w:color="auto"/>
                                                <w:left w:val="none" w:sz="0" w:space="0" w:color="auto"/>
                                                <w:bottom w:val="none" w:sz="0" w:space="0" w:color="auto"/>
                                                <w:right w:val="none" w:sz="0" w:space="0" w:color="auto"/>
                                              </w:divBdr>
                                              <w:divsChild>
                                                <w:div w:id="789055105">
                                                  <w:marLeft w:val="0"/>
                                                  <w:marRight w:val="0"/>
                                                  <w:marTop w:val="0"/>
                                                  <w:marBottom w:val="0"/>
                                                  <w:divBdr>
                                                    <w:top w:val="none" w:sz="0" w:space="0" w:color="auto"/>
                                                    <w:left w:val="none" w:sz="0" w:space="0" w:color="auto"/>
                                                    <w:bottom w:val="none" w:sz="0" w:space="0" w:color="auto"/>
                                                    <w:right w:val="none" w:sz="0" w:space="0" w:color="auto"/>
                                                  </w:divBdr>
                                                  <w:divsChild>
                                                    <w:div w:id="1642423754">
                                                      <w:marLeft w:val="150"/>
                                                      <w:marRight w:val="150"/>
                                                      <w:marTop w:val="0"/>
                                                      <w:marBottom w:val="0"/>
                                                      <w:divBdr>
                                                        <w:top w:val="none" w:sz="0" w:space="0" w:color="auto"/>
                                                        <w:left w:val="none" w:sz="0" w:space="0" w:color="auto"/>
                                                        <w:bottom w:val="none" w:sz="0" w:space="0" w:color="auto"/>
                                                        <w:right w:val="none" w:sz="0" w:space="0" w:color="auto"/>
                                                      </w:divBdr>
                                                      <w:divsChild>
                                                        <w:div w:id="669648198">
                                                          <w:marLeft w:val="0"/>
                                                          <w:marRight w:val="0"/>
                                                          <w:marTop w:val="0"/>
                                                          <w:marBottom w:val="0"/>
                                                          <w:divBdr>
                                                            <w:top w:val="none" w:sz="0" w:space="0" w:color="auto"/>
                                                            <w:left w:val="none" w:sz="0" w:space="0" w:color="auto"/>
                                                            <w:bottom w:val="none" w:sz="0" w:space="0" w:color="auto"/>
                                                            <w:right w:val="none" w:sz="0" w:space="0" w:color="auto"/>
                                                          </w:divBdr>
                                                          <w:divsChild>
                                                            <w:div w:id="247617500">
                                                              <w:marLeft w:val="0"/>
                                                              <w:marRight w:val="0"/>
                                                              <w:marTop w:val="0"/>
                                                              <w:marBottom w:val="0"/>
                                                              <w:divBdr>
                                                                <w:top w:val="none" w:sz="0" w:space="0" w:color="auto"/>
                                                                <w:left w:val="none" w:sz="0" w:space="0" w:color="auto"/>
                                                                <w:bottom w:val="none" w:sz="0" w:space="0" w:color="auto"/>
                                                                <w:right w:val="none" w:sz="0" w:space="0" w:color="auto"/>
                                                              </w:divBdr>
                                                              <w:divsChild>
                                                                <w:div w:id="1786778068">
                                                                  <w:marLeft w:val="0"/>
                                                                  <w:marRight w:val="0"/>
                                                                  <w:marTop w:val="0"/>
                                                                  <w:marBottom w:val="0"/>
                                                                  <w:divBdr>
                                                                    <w:top w:val="none" w:sz="0" w:space="0" w:color="auto"/>
                                                                    <w:left w:val="none" w:sz="0" w:space="0" w:color="auto"/>
                                                                    <w:bottom w:val="none" w:sz="0" w:space="0" w:color="auto"/>
                                                                    <w:right w:val="none" w:sz="0" w:space="0" w:color="auto"/>
                                                                  </w:divBdr>
                                                                  <w:divsChild>
                                                                    <w:div w:id="210967036">
                                                                      <w:marLeft w:val="0"/>
                                                                      <w:marRight w:val="0"/>
                                                                      <w:marTop w:val="0"/>
                                                                      <w:marBottom w:val="0"/>
                                                                      <w:divBdr>
                                                                        <w:top w:val="none" w:sz="0" w:space="0" w:color="auto"/>
                                                                        <w:left w:val="none" w:sz="0" w:space="0" w:color="auto"/>
                                                                        <w:bottom w:val="none" w:sz="0" w:space="0" w:color="auto"/>
                                                                        <w:right w:val="none" w:sz="0" w:space="0" w:color="auto"/>
                                                                      </w:divBdr>
                                                                      <w:divsChild>
                                                                        <w:div w:id="1836409796">
                                                                          <w:marLeft w:val="150"/>
                                                                          <w:marRight w:val="150"/>
                                                                          <w:marTop w:val="150"/>
                                                                          <w:marBottom w:val="150"/>
                                                                          <w:divBdr>
                                                                            <w:top w:val="none" w:sz="0" w:space="0" w:color="auto"/>
                                                                            <w:left w:val="none" w:sz="0" w:space="0" w:color="auto"/>
                                                                            <w:bottom w:val="none" w:sz="0" w:space="0" w:color="auto"/>
                                                                            <w:right w:val="none" w:sz="0" w:space="0" w:color="auto"/>
                                                                          </w:divBdr>
                                                                          <w:divsChild>
                                                                            <w:div w:id="1641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42142">
      <w:bodyDiv w:val="1"/>
      <w:marLeft w:val="0"/>
      <w:marRight w:val="0"/>
      <w:marTop w:val="0"/>
      <w:marBottom w:val="0"/>
      <w:divBdr>
        <w:top w:val="none" w:sz="0" w:space="0" w:color="auto"/>
        <w:left w:val="none" w:sz="0" w:space="0" w:color="auto"/>
        <w:bottom w:val="none" w:sz="0" w:space="0" w:color="auto"/>
        <w:right w:val="none" w:sz="0" w:space="0" w:color="auto"/>
      </w:divBdr>
      <w:divsChild>
        <w:div w:id="1778600547">
          <w:marLeft w:val="0"/>
          <w:marRight w:val="0"/>
          <w:marTop w:val="0"/>
          <w:marBottom w:val="0"/>
          <w:divBdr>
            <w:top w:val="none" w:sz="0" w:space="0" w:color="auto"/>
            <w:left w:val="none" w:sz="0" w:space="0" w:color="auto"/>
            <w:bottom w:val="none" w:sz="0" w:space="0" w:color="auto"/>
            <w:right w:val="none" w:sz="0" w:space="0" w:color="auto"/>
          </w:divBdr>
          <w:divsChild>
            <w:div w:id="810555937">
              <w:marLeft w:val="0"/>
              <w:marRight w:val="0"/>
              <w:marTop w:val="0"/>
              <w:marBottom w:val="0"/>
              <w:divBdr>
                <w:top w:val="none" w:sz="0" w:space="0" w:color="auto"/>
                <w:left w:val="none" w:sz="0" w:space="0" w:color="auto"/>
                <w:bottom w:val="none" w:sz="0" w:space="0" w:color="auto"/>
                <w:right w:val="none" w:sz="0" w:space="0" w:color="auto"/>
              </w:divBdr>
              <w:divsChild>
                <w:div w:id="1707170630">
                  <w:marLeft w:val="0"/>
                  <w:marRight w:val="0"/>
                  <w:marTop w:val="0"/>
                  <w:marBottom w:val="0"/>
                  <w:divBdr>
                    <w:top w:val="none" w:sz="0" w:space="0" w:color="auto"/>
                    <w:left w:val="none" w:sz="0" w:space="0" w:color="auto"/>
                    <w:bottom w:val="none" w:sz="0" w:space="0" w:color="auto"/>
                    <w:right w:val="none" w:sz="0" w:space="0" w:color="auto"/>
                  </w:divBdr>
                  <w:divsChild>
                    <w:div w:id="1463381850">
                      <w:marLeft w:val="0"/>
                      <w:marRight w:val="0"/>
                      <w:marTop w:val="0"/>
                      <w:marBottom w:val="0"/>
                      <w:divBdr>
                        <w:top w:val="none" w:sz="0" w:space="0" w:color="auto"/>
                        <w:left w:val="none" w:sz="0" w:space="0" w:color="auto"/>
                        <w:bottom w:val="none" w:sz="0" w:space="0" w:color="auto"/>
                        <w:right w:val="none" w:sz="0" w:space="0" w:color="auto"/>
                      </w:divBdr>
                      <w:divsChild>
                        <w:div w:id="1589582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F970-A2D6-4481-A0DF-FBDDBDF6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6041</Characters>
  <Application>Microsoft Office Word</Application>
  <DocSecurity>4</DocSecurity>
  <Lines>50</Lines>
  <Paragraphs>14</Paragraphs>
  <ScaleCrop>false</ScaleCrop>
  <Company>Microsoft</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张小宇</dc:creator>
  <cp:lastModifiedBy>ZHONGM</cp:lastModifiedBy>
  <cp:revision>2</cp:revision>
  <dcterms:created xsi:type="dcterms:W3CDTF">2018-11-02T16:35:00Z</dcterms:created>
  <dcterms:modified xsi:type="dcterms:W3CDTF">2018-11-02T16:35:00Z</dcterms:modified>
</cp:coreProperties>
</file>