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E5" w:rsidRDefault="000F21E5">
      <w:pPr>
        <w:autoSpaceDE w:val="0"/>
        <w:autoSpaceDN w:val="0"/>
        <w:adjustRightInd w:val="0"/>
        <w:spacing w:line="360" w:lineRule="auto"/>
        <w:jc w:val="left"/>
        <w:rPr>
          <w:rFonts w:eastAsiaTheme="minorEastAsia"/>
          <w:color w:val="000000" w:themeColor="text1"/>
          <w:kern w:val="0"/>
          <w:szCs w:val="21"/>
        </w:rPr>
      </w:pPr>
    </w:p>
    <w:p w:rsidR="000F21E5" w:rsidRDefault="000F21E5">
      <w:pPr>
        <w:autoSpaceDE w:val="0"/>
        <w:autoSpaceDN w:val="0"/>
        <w:adjustRightInd w:val="0"/>
        <w:spacing w:line="360" w:lineRule="auto"/>
        <w:jc w:val="left"/>
        <w:rPr>
          <w:rFonts w:eastAsiaTheme="minorEastAsia"/>
          <w:color w:val="000000" w:themeColor="text1"/>
          <w:kern w:val="0"/>
          <w:szCs w:val="21"/>
        </w:rPr>
      </w:pPr>
    </w:p>
    <w:p w:rsidR="000F21E5" w:rsidRDefault="000F21E5">
      <w:pPr>
        <w:autoSpaceDE w:val="0"/>
        <w:autoSpaceDN w:val="0"/>
        <w:adjustRightInd w:val="0"/>
        <w:spacing w:line="360" w:lineRule="auto"/>
        <w:jc w:val="left"/>
        <w:rPr>
          <w:rFonts w:eastAsiaTheme="minorEastAsia"/>
          <w:color w:val="000000" w:themeColor="text1"/>
          <w:kern w:val="0"/>
          <w:szCs w:val="21"/>
        </w:rPr>
      </w:pPr>
    </w:p>
    <w:p w:rsidR="000F21E5" w:rsidRDefault="000F21E5">
      <w:pPr>
        <w:autoSpaceDE w:val="0"/>
        <w:autoSpaceDN w:val="0"/>
        <w:adjustRightInd w:val="0"/>
        <w:spacing w:line="360" w:lineRule="auto"/>
        <w:jc w:val="left"/>
        <w:rPr>
          <w:rFonts w:eastAsiaTheme="minorEastAsia"/>
          <w:color w:val="000000" w:themeColor="text1"/>
          <w:kern w:val="0"/>
          <w:szCs w:val="21"/>
        </w:rPr>
      </w:pPr>
    </w:p>
    <w:p w:rsidR="000F21E5" w:rsidRDefault="000F21E5">
      <w:pPr>
        <w:autoSpaceDE w:val="0"/>
        <w:autoSpaceDN w:val="0"/>
        <w:adjustRightInd w:val="0"/>
        <w:spacing w:line="360" w:lineRule="auto"/>
        <w:jc w:val="left"/>
        <w:rPr>
          <w:rFonts w:eastAsiaTheme="minorEastAsia"/>
          <w:color w:val="000000" w:themeColor="text1"/>
          <w:kern w:val="0"/>
          <w:szCs w:val="21"/>
        </w:rPr>
      </w:pPr>
    </w:p>
    <w:p w:rsidR="000F21E5" w:rsidRDefault="00F77F6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华安新安平灵活配置混合型证券投资基金</w:t>
      </w:r>
    </w:p>
    <w:p w:rsidR="000F21E5" w:rsidRDefault="00F77F6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2018</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0F21E5" w:rsidRDefault="00F77F6B">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hint="eastAsia"/>
          <w:b/>
          <w:color w:val="000000" w:themeColor="text1"/>
          <w:sz w:val="36"/>
          <w:szCs w:val="36"/>
        </w:rPr>
        <w:t>18</w:t>
      </w:r>
      <w:r>
        <w:rPr>
          <w:rFonts w:eastAsiaTheme="minorEastAsia"/>
          <w:b/>
          <w:color w:val="000000" w:themeColor="text1"/>
          <w:sz w:val="36"/>
          <w:szCs w:val="36"/>
        </w:rPr>
        <w:t>日</w:t>
      </w:r>
      <w:r>
        <w:rPr>
          <w:rFonts w:eastAsiaTheme="minorEastAsia" w:hint="eastAsia"/>
          <w:b/>
          <w:color w:val="000000" w:themeColor="text1"/>
          <w:sz w:val="36"/>
          <w:szCs w:val="36"/>
        </w:rPr>
        <w:t>（最后运作日）</w:t>
      </w: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jc w:val="center"/>
        <w:rPr>
          <w:rFonts w:eastAsiaTheme="minorEastAsia"/>
          <w:b/>
          <w:color w:val="000000" w:themeColor="text1"/>
          <w:szCs w:val="21"/>
        </w:rPr>
      </w:pPr>
    </w:p>
    <w:p w:rsidR="000F21E5" w:rsidRDefault="000F21E5">
      <w:pPr>
        <w:spacing w:line="360" w:lineRule="auto"/>
        <w:rPr>
          <w:rFonts w:eastAsiaTheme="minorEastAsia"/>
          <w:b/>
          <w:color w:val="000000" w:themeColor="text1"/>
          <w:szCs w:val="21"/>
        </w:rPr>
      </w:pPr>
    </w:p>
    <w:p w:rsidR="000F21E5" w:rsidRDefault="00F77F6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0F21E5" w:rsidRDefault="00F77F6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基金托管人：平安银行股份有限公司</w:t>
      </w:r>
    </w:p>
    <w:p w:rsidR="000F21E5" w:rsidRDefault="00F77F6B">
      <w:pPr>
        <w:spacing w:line="360" w:lineRule="auto"/>
        <w:ind w:firstLineChars="900" w:firstLine="2168"/>
        <w:rPr>
          <w:rFonts w:eastAsiaTheme="minorEastAsia"/>
          <w:color w:val="000000" w:themeColor="text1"/>
          <w:szCs w:val="21"/>
        </w:rPr>
        <w:sectPr w:rsidR="000F21E5">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报告送出日期：二〇一八年十月二十六日</w:t>
      </w:r>
    </w:p>
    <w:p w:rsidR="000F21E5" w:rsidRDefault="00F77F6B" w:rsidP="009819C5">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sidR="007759F6">
        <w:rPr>
          <w:rFonts w:eastAsiaTheme="minorEastAsia" w:hint="eastAsia"/>
          <w:color w:val="000000" w:themeColor="text1"/>
          <w:szCs w:val="21"/>
        </w:rPr>
        <w:t>18</w:t>
      </w:r>
      <w:r>
        <w:rPr>
          <w:rFonts w:eastAsiaTheme="minorEastAsia"/>
          <w:color w:val="000000" w:themeColor="text1"/>
          <w:szCs w:val="21"/>
        </w:rPr>
        <w:t>日</w:t>
      </w:r>
      <w:r w:rsidR="007759F6">
        <w:rPr>
          <w:rFonts w:eastAsiaTheme="minorEastAsia" w:hint="eastAsia"/>
          <w:color w:val="000000" w:themeColor="text1"/>
          <w:szCs w:val="21"/>
        </w:rPr>
        <w:t>（最后运作日）</w:t>
      </w:r>
      <w:r>
        <w:rPr>
          <w:rFonts w:eastAsiaTheme="minorEastAsia"/>
          <w:color w:val="000000" w:themeColor="text1"/>
          <w:szCs w:val="21"/>
        </w:rPr>
        <w:t>止。</w:t>
      </w: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bookmarkStart w:id="0" w:name="_GoBack"/>
      <w:bookmarkEnd w:id="0"/>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0F21E5">
        <w:tc>
          <w:tcPr>
            <w:tcW w:w="2835"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华安新安平灵活配置混合</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003801</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144,527.57</w:t>
            </w:r>
            <w:r>
              <w:rPr>
                <w:rFonts w:eastAsiaTheme="minorEastAsia"/>
                <w:color w:val="000000" w:themeColor="text1"/>
                <w:kern w:val="0"/>
                <w:szCs w:val="21"/>
              </w:rPr>
              <w:t>份</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w:t>
            </w:r>
            <w:r>
              <w:rPr>
                <w:rFonts w:eastAsiaTheme="minorEastAsia"/>
                <w:color w:val="000000" w:themeColor="text1"/>
                <w:kern w:val="0"/>
                <w:szCs w:val="21"/>
              </w:rPr>
              <w:lastRenderedPageBreak/>
              <w:t>自主研发的多因子动态资产配置模型、基于投资时钟理论的资产配置模型等经济模型，分析和比较股票、债券等市场和不同金融工具的风险收益特征，确定合适的资产配置比例，动态优化投资组合。</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＋中债综合全价指数收益率</w:t>
            </w:r>
            <w:r>
              <w:rPr>
                <w:rFonts w:eastAsiaTheme="minorEastAsia"/>
                <w:color w:val="000000" w:themeColor="text1"/>
                <w:kern w:val="0"/>
                <w:szCs w:val="21"/>
              </w:rPr>
              <w:t>×50%</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平安银行股份有限公司</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0F21E5" w:rsidRDefault="00F77F6B">
            <w:pPr>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A</w:t>
            </w:r>
          </w:p>
        </w:tc>
        <w:tc>
          <w:tcPr>
            <w:tcW w:w="2740" w:type="dxa"/>
            <w:vAlign w:val="center"/>
          </w:tcPr>
          <w:p w:rsidR="000F21E5" w:rsidRDefault="00F77F6B">
            <w:pPr>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C</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0F21E5" w:rsidRDefault="00F77F6B">
            <w:pPr>
              <w:rPr>
                <w:rFonts w:eastAsiaTheme="minorEastAsia"/>
                <w:color w:val="000000" w:themeColor="text1"/>
                <w:szCs w:val="21"/>
              </w:rPr>
            </w:pPr>
            <w:r>
              <w:rPr>
                <w:rFonts w:eastAsiaTheme="minorEastAsia"/>
                <w:color w:val="000000" w:themeColor="text1"/>
                <w:szCs w:val="21"/>
              </w:rPr>
              <w:t>003801</w:t>
            </w:r>
          </w:p>
        </w:tc>
        <w:tc>
          <w:tcPr>
            <w:tcW w:w="2740" w:type="dxa"/>
            <w:vAlign w:val="center"/>
          </w:tcPr>
          <w:p w:rsidR="000F21E5" w:rsidRDefault="00F77F6B">
            <w:pPr>
              <w:rPr>
                <w:rFonts w:eastAsiaTheme="minorEastAsia"/>
                <w:color w:val="000000" w:themeColor="text1"/>
                <w:szCs w:val="21"/>
              </w:rPr>
            </w:pPr>
            <w:r>
              <w:rPr>
                <w:rFonts w:eastAsiaTheme="minorEastAsia"/>
                <w:color w:val="000000" w:themeColor="text1"/>
                <w:szCs w:val="21"/>
              </w:rPr>
              <w:t>003802</w:t>
            </w:r>
          </w:p>
        </w:tc>
      </w:tr>
      <w:tr w:rsidR="000F21E5">
        <w:tc>
          <w:tcPr>
            <w:tcW w:w="2835" w:type="dxa"/>
            <w:vAlign w:val="center"/>
          </w:tcPr>
          <w:p w:rsidR="000F21E5" w:rsidRDefault="00F77F6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0F21E5" w:rsidRDefault="00F77F6B">
            <w:pPr>
              <w:rPr>
                <w:rFonts w:eastAsiaTheme="minorEastAsia"/>
                <w:color w:val="000000" w:themeColor="text1"/>
                <w:szCs w:val="21"/>
              </w:rPr>
            </w:pPr>
            <w:r>
              <w:rPr>
                <w:rFonts w:eastAsiaTheme="minorEastAsia"/>
                <w:color w:val="000000" w:themeColor="text1"/>
                <w:szCs w:val="21"/>
              </w:rPr>
              <w:t>72,439.28</w:t>
            </w:r>
            <w:r>
              <w:rPr>
                <w:rFonts w:eastAsiaTheme="minorEastAsia"/>
                <w:color w:val="000000" w:themeColor="text1"/>
                <w:kern w:val="0"/>
                <w:szCs w:val="21"/>
              </w:rPr>
              <w:t>份</w:t>
            </w:r>
          </w:p>
        </w:tc>
        <w:tc>
          <w:tcPr>
            <w:tcW w:w="2740" w:type="dxa"/>
            <w:vAlign w:val="center"/>
          </w:tcPr>
          <w:p w:rsidR="000F21E5" w:rsidRDefault="00F77F6B">
            <w:pPr>
              <w:rPr>
                <w:rFonts w:eastAsiaTheme="minorEastAsia"/>
                <w:color w:val="000000" w:themeColor="text1"/>
                <w:szCs w:val="21"/>
              </w:rPr>
            </w:pPr>
            <w:r>
              <w:rPr>
                <w:rFonts w:eastAsiaTheme="minorEastAsia"/>
                <w:color w:val="000000" w:themeColor="text1"/>
                <w:szCs w:val="21"/>
              </w:rPr>
              <w:t>72,088.29</w:t>
            </w:r>
            <w:r>
              <w:rPr>
                <w:rFonts w:eastAsiaTheme="minorEastAsia"/>
                <w:color w:val="000000" w:themeColor="text1"/>
                <w:kern w:val="0"/>
                <w:szCs w:val="21"/>
              </w:rPr>
              <w:t>份</w:t>
            </w:r>
          </w:p>
        </w:tc>
      </w:tr>
    </w:tbl>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0F21E5" w:rsidRDefault="00F77F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0F21E5" w:rsidRDefault="00F77F6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0F21E5">
        <w:tc>
          <w:tcPr>
            <w:tcW w:w="3402" w:type="dxa"/>
            <w:vMerge w:val="restart"/>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0F21E5" w:rsidRDefault="00F77F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0F21E5" w:rsidRDefault="00F77F6B" w:rsidP="00F77F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hint="eastAsia"/>
                <w:color w:val="000000" w:themeColor="text1"/>
                <w:szCs w:val="21"/>
              </w:rPr>
              <w:t>18</w:t>
            </w:r>
            <w:r>
              <w:rPr>
                <w:rFonts w:eastAsiaTheme="minorEastAsia"/>
                <w:color w:val="000000" w:themeColor="text1"/>
                <w:szCs w:val="21"/>
              </w:rPr>
              <w:t>日</w:t>
            </w:r>
            <w:r>
              <w:rPr>
                <w:rFonts w:eastAsiaTheme="minorEastAsia"/>
                <w:color w:val="000000" w:themeColor="text1"/>
                <w:szCs w:val="21"/>
              </w:rPr>
              <w:t>)</w:t>
            </w:r>
          </w:p>
        </w:tc>
      </w:tr>
      <w:tr w:rsidR="000F21E5">
        <w:tc>
          <w:tcPr>
            <w:tcW w:w="3402" w:type="dxa"/>
            <w:vMerge/>
            <w:vAlign w:val="center"/>
          </w:tcPr>
          <w:p w:rsidR="000F21E5" w:rsidRDefault="000F21E5">
            <w:pPr>
              <w:adjustRightInd w:val="0"/>
              <w:spacing w:before="29" w:line="360" w:lineRule="auto"/>
              <w:ind w:left="17"/>
              <w:rPr>
                <w:rFonts w:eastAsiaTheme="minorEastAsia"/>
                <w:color w:val="000000" w:themeColor="text1"/>
                <w:kern w:val="0"/>
                <w:szCs w:val="21"/>
              </w:rPr>
            </w:pPr>
          </w:p>
        </w:tc>
        <w:tc>
          <w:tcPr>
            <w:tcW w:w="2481" w:type="dxa"/>
            <w:vAlign w:val="center"/>
          </w:tcPr>
          <w:p w:rsidR="000F21E5" w:rsidRDefault="00F77F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A</w:t>
            </w:r>
          </w:p>
        </w:tc>
        <w:tc>
          <w:tcPr>
            <w:tcW w:w="2481" w:type="dxa"/>
            <w:vAlign w:val="center"/>
          </w:tcPr>
          <w:p w:rsidR="000F21E5" w:rsidRDefault="00F77F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C</w:t>
            </w:r>
          </w:p>
        </w:tc>
      </w:tr>
      <w:tr w:rsidR="000F21E5">
        <w:tc>
          <w:tcPr>
            <w:tcW w:w="3402"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-467,440.74</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687.75</w:t>
            </w:r>
          </w:p>
        </w:tc>
      </w:tr>
      <w:tr w:rsidR="000F21E5">
        <w:tc>
          <w:tcPr>
            <w:tcW w:w="3402"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-73,038.18</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707.33</w:t>
            </w:r>
          </w:p>
        </w:tc>
      </w:tr>
      <w:tr w:rsidR="000F21E5">
        <w:tc>
          <w:tcPr>
            <w:tcW w:w="3402"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-0.0051</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0.0231</w:t>
            </w:r>
          </w:p>
        </w:tc>
      </w:tr>
      <w:tr w:rsidR="000F21E5">
        <w:tc>
          <w:tcPr>
            <w:tcW w:w="3402"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94,107.87</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83,227.96</w:t>
            </w:r>
          </w:p>
        </w:tc>
      </w:tr>
      <w:tr w:rsidR="000F21E5">
        <w:trPr>
          <w:trHeight w:val="158"/>
        </w:trPr>
        <w:tc>
          <w:tcPr>
            <w:tcW w:w="3402" w:type="dxa"/>
            <w:vAlign w:val="center"/>
          </w:tcPr>
          <w:p w:rsidR="000F21E5" w:rsidRDefault="00F77F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1.2991</w:t>
            </w:r>
          </w:p>
        </w:tc>
        <w:tc>
          <w:tcPr>
            <w:tcW w:w="2481" w:type="dxa"/>
            <w:vAlign w:val="center"/>
          </w:tcPr>
          <w:p w:rsidR="000F21E5" w:rsidRDefault="00F77F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1.1545</w:t>
            </w:r>
          </w:p>
        </w:tc>
      </w:tr>
    </w:tbl>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、所述基金业绩指标不包括持有人认购或交易基金的各项费用（例如：封闭式基金交易佣金，开放式基金的申购赎回费、红利再投资费、基金转换费等），计入费用后实际收益水平要低于所列数字。</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0F21E5" w:rsidRDefault="00F77F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0F21E5" w:rsidRDefault="00F77F6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华安新安平混合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0F21E5">
        <w:tc>
          <w:tcPr>
            <w:tcW w:w="1290"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0F21E5">
        <w:tc>
          <w:tcPr>
            <w:tcW w:w="1290" w:type="dxa"/>
            <w:vAlign w:val="center"/>
          </w:tcPr>
          <w:p w:rsidR="000F21E5" w:rsidRDefault="00F77F6B">
            <w:pPr>
              <w:jc w:val="left"/>
            </w:pPr>
            <w:r>
              <w:rPr>
                <w:rFonts w:eastAsiaTheme="minorEastAsia"/>
                <w:color w:val="000000" w:themeColor="text1"/>
                <w:szCs w:val="21"/>
              </w:rPr>
              <w:t>过去三个月</w:t>
            </w:r>
          </w:p>
        </w:tc>
        <w:tc>
          <w:tcPr>
            <w:tcW w:w="1291" w:type="dxa"/>
            <w:vAlign w:val="center"/>
          </w:tcPr>
          <w:p w:rsidR="000F21E5" w:rsidRDefault="00F77F6B">
            <w:pPr>
              <w:jc w:val="right"/>
            </w:pPr>
            <w:r>
              <w:rPr>
                <w:rFonts w:eastAsiaTheme="minorEastAsia"/>
                <w:color w:val="000000" w:themeColor="text1"/>
                <w:szCs w:val="21"/>
              </w:rPr>
              <w:t>19.33%</w:t>
            </w:r>
          </w:p>
        </w:tc>
        <w:tc>
          <w:tcPr>
            <w:tcW w:w="1291" w:type="dxa"/>
            <w:vAlign w:val="center"/>
          </w:tcPr>
          <w:p w:rsidR="000F21E5" w:rsidRDefault="00F77F6B">
            <w:pPr>
              <w:jc w:val="right"/>
            </w:pPr>
            <w:r>
              <w:rPr>
                <w:rFonts w:eastAsiaTheme="minorEastAsia"/>
                <w:color w:val="000000" w:themeColor="text1"/>
                <w:szCs w:val="21"/>
              </w:rPr>
              <w:t>1.63%</w:t>
            </w:r>
          </w:p>
        </w:tc>
        <w:tc>
          <w:tcPr>
            <w:tcW w:w="1291" w:type="dxa"/>
            <w:vAlign w:val="center"/>
          </w:tcPr>
          <w:p w:rsidR="000F21E5" w:rsidRDefault="00F77F6B">
            <w:pPr>
              <w:jc w:val="right"/>
            </w:pPr>
            <w:r>
              <w:rPr>
                <w:rFonts w:eastAsiaTheme="minorEastAsia"/>
                <w:color w:val="000000" w:themeColor="text1"/>
                <w:szCs w:val="21"/>
              </w:rPr>
              <w:t>-3.92%</w:t>
            </w:r>
          </w:p>
        </w:tc>
        <w:tc>
          <w:tcPr>
            <w:tcW w:w="1291" w:type="dxa"/>
            <w:vAlign w:val="center"/>
          </w:tcPr>
          <w:p w:rsidR="000F21E5" w:rsidRDefault="00F77F6B">
            <w:pPr>
              <w:jc w:val="right"/>
            </w:pPr>
            <w:r>
              <w:rPr>
                <w:rFonts w:eastAsiaTheme="minorEastAsia"/>
                <w:color w:val="000000" w:themeColor="text1"/>
                <w:szCs w:val="21"/>
              </w:rPr>
              <w:t>0.65%</w:t>
            </w:r>
          </w:p>
        </w:tc>
        <w:tc>
          <w:tcPr>
            <w:tcW w:w="1291" w:type="dxa"/>
            <w:vAlign w:val="center"/>
          </w:tcPr>
          <w:p w:rsidR="000F21E5" w:rsidRDefault="00F77F6B">
            <w:pPr>
              <w:jc w:val="right"/>
            </w:pPr>
            <w:r>
              <w:rPr>
                <w:rFonts w:eastAsiaTheme="minorEastAsia"/>
                <w:color w:val="000000" w:themeColor="text1"/>
                <w:szCs w:val="21"/>
              </w:rPr>
              <w:t>23.25%</w:t>
            </w:r>
          </w:p>
        </w:tc>
        <w:tc>
          <w:tcPr>
            <w:tcW w:w="1291" w:type="dxa"/>
            <w:vAlign w:val="center"/>
          </w:tcPr>
          <w:p w:rsidR="000F21E5" w:rsidRDefault="00F77F6B">
            <w:pPr>
              <w:jc w:val="right"/>
            </w:pPr>
            <w:r>
              <w:rPr>
                <w:rFonts w:eastAsiaTheme="minorEastAsia"/>
                <w:color w:val="000000" w:themeColor="text1"/>
                <w:szCs w:val="21"/>
              </w:rPr>
              <w:t>0.98%</w:t>
            </w:r>
          </w:p>
        </w:tc>
      </w:tr>
    </w:tbl>
    <w:p w:rsidR="000F21E5" w:rsidRDefault="00F77F6B" w:rsidP="009819C5">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华安新安平混合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0F21E5">
        <w:tc>
          <w:tcPr>
            <w:tcW w:w="1290"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0F21E5" w:rsidRDefault="00F77F6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0F21E5" w:rsidRDefault="00F77F6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0F21E5" w:rsidRDefault="00F77F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0F21E5">
        <w:tc>
          <w:tcPr>
            <w:tcW w:w="1290" w:type="dxa"/>
            <w:vAlign w:val="center"/>
          </w:tcPr>
          <w:p w:rsidR="000F21E5" w:rsidRDefault="00F77F6B">
            <w:pPr>
              <w:jc w:val="left"/>
            </w:pPr>
            <w:r>
              <w:rPr>
                <w:rFonts w:eastAsiaTheme="minorEastAsia"/>
                <w:color w:val="000000" w:themeColor="text1"/>
                <w:szCs w:val="21"/>
              </w:rPr>
              <w:t>过去三个月</w:t>
            </w:r>
          </w:p>
        </w:tc>
        <w:tc>
          <w:tcPr>
            <w:tcW w:w="1291" w:type="dxa"/>
            <w:vAlign w:val="center"/>
          </w:tcPr>
          <w:p w:rsidR="000F21E5" w:rsidRDefault="00F77F6B">
            <w:pPr>
              <w:jc w:val="right"/>
            </w:pPr>
            <w:r>
              <w:rPr>
                <w:rFonts w:eastAsiaTheme="minorEastAsia"/>
                <w:color w:val="000000" w:themeColor="text1"/>
                <w:szCs w:val="21"/>
              </w:rPr>
              <w:t>6.79%</w:t>
            </w:r>
          </w:p>
        </w:tc>
        <w:tc>
          <w:tcPr>
            <w:tcW w:w="1291" w:type="dxa"/>
            <w:vAlign w:val="center"/>
          </w:tcPr>
          <w:p w:rsidR="000F21E5" w:rsidRDefault="00F77F6B">
            <w:pPr>
              <w:jc w:val="right"/>
            </w:pPr>
            <w:r>
              <w:rPr>
                <w:rFonts w:eastAsiaTheme="minorEastAsia"/>
                <w:color w:val="000000" w:themeColor="text1"/>
                <w:szCs w:val="21"/>
              </w:rPr>
              <w:t>0.76%</w:t>
            </w:r>
          </w:p>
        </w:tc>
        <w:tc>
          <w:tcPr>
            <w:tcW w:w="1291" w:type="dxa"/>
            <w:vAlign w:val="center"/>
          </w:tcPr>
          <w:p w:rsidR="000F21E5" w:rsidRDefault="00F77F6B">
            <w:pPr>
              <w:jc w:val="right"/>
            </w:pPr>
            <w:r>
              <w:rPr>
                <w:rFonts w:eastAsiaTheme="minorEastAsia"/>
                <w:color w:val="000000" w:themeColor="text1"/>
                <w:szCs w:val="21"/>
              </w:rPr>
              <w:t>-3.92%</w:t>
            </w:r>
          </w:p>
        </w:tc>
        <w:tc>
          <w:tcPr>
            <w:tcW w:w="1291" w:type="dxa"/>
            <w:vAlign w:val="center"/>
          </w:tcPr>
          <w:p w:rsidR="000F21E5" w:rsidRDefault="00F77F6B">
            <w:pPr>
              <w:jc w:val="right"/>
            </w:pPr>
            <w:r>
              <w:rPr>
                <w:rFonts w:eastAsiaTheme="minorEastAsia"/>
                <w:color w:val="000000" w:themeColor="text1"/>
                <w:szCs w:val="21"/>
              </w:rPr>
              <w:t>0.65%</w:t>
            </w:r>
          </w:p>
        </w:tc>
        <w:tc>
          <w:tcPr>
            <w:tcW w:w="1291" w:type="dxa"/>
            <w:vAlign w:val="center"/>
          </w:tcPr>
          <w:p w:rsidR="000F21E5" w:rsidRDefault="00F77F6B">
            <w:pPr>
              <w:jc w:val="right"/>
            </w:pPr>
            <w:r>
              <w:rPr>
                <w:rFonts w:eastAsiaTheme="minorEastAsia"/>
                <w:color w:val="000000" w:themeColor="text1"/>
                <w:szCs w:val="21"/>
              </w:rPr>
              <w:t>10.71%</w:t>
            </w:r>
          </w:p>
        </w:tc>
        <w:tc>
          <w:tcPr>
            <w:tcW w:w="1291" w:type="dxa"/>
            <w:vAlign w:val="center"/>
          </w:tcPr>
          <w:p w:rsidR="000F21E5" w:rsidRDefault="00F77F6B">
            <w:pPr>
              <w:jc w:val="right"/>
            </w:pPr>
            <w:r>
              <w:rPr>
                <w:rFonts w:eastAsiaTheme="minorEastAsia"/>
                <w:color w:val="000000" w:themeColor="text1"/>
                <w:szCs w:val="21"/>
              </w:rPr>
              <w:t>0.11%</w:t>
            </w:r>
          </w:p>
        </w:tc>
      </w:tr>
    </w:tbl>
    <w:p w:rsidR="000F21E5" w:rsidRDefault="00F77F6B" w:rsidP="009819C5">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0F21E5" w:rsidRDefault="00F77F6B">
      <w:pPr>
        <w:spacing w:line="360" w:lineRule="auto"/>
        <w:jc w:val="center"/>
        <w:rPr>
          <w:rFonts w:eastAsiaTheme="minorEastAsia"/>
          <w:color w:val="000000" w:themeColor="text1"/>
          <w:szCs w:val="21"/>
        </w:rPr>
      </w:pPr>
      <w:r>
        <w:rPr>
          <w:rFonts w:eastAsiaTheme="minorEastAsia"/>
          <w:color w:val="000000" w:themeColor="text1"/>
          <w:szCs w:val="21"/>
        </w:rPr>
        <w:t>华安新安平灵活配置混合型证券投资基金</w:t>
      </w:r>
    </w:p>
    <w:p w:rsidR="000F21E5" w:rsidRDefault="00F77F6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0F21E5" w:rsidRDefault="00F77F6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hint="eastAsia"/>
          <w:color w:val="000000" w:themeColor="text1"/>
        </w:rPr>
        <w:t>18</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0F21E5" w:rsidRDefault="00F77F6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．华安新安平混合</w:t>
      </w:r>
      <w:r>
        <w:rPr>
          <w:rFonts w:eastAsiaTheme="minorEastAsia"/>
          <w:color w:val="000000" w:themeColor="text1"/>
          <w:szCs w:val="21"/>
        </w:rPr>
        <w:t>A</w:t>
      </w:r>
      <w:r>
        <w:rPr>
          <w:rFonts w:eastAsiaTheme="minorEastAsia"/>
          <w:color w:val="000000" w:themeColor="text1"/>
          <w:szCs w:val="21"/>
        </w:rPr>
        <w:t>：</w:t>
      </w:r>
    </w:p>
    <w:p w:rsidR="000F21E5" w:rsidRDefault="00F77F6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0F21E5" w:rsidRDefault="00F77F6B" w:rsidP="009819C5">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．华安新安平混合</w:t>
      </w:r>
      <w:r>
        <w:rPr>
          <w:rFonts w:eastAsiaTheme="minorEastAsia"/>
          <w:color w:val="000000" w:themeColor="text1"/>
          <w:szCs w:val="21"/>
        </w:rPr>
        <w:t>C</w:t>
      </w:r>
      <w:r>
        <w:rPr>
          <w:rFonts w:eastAsiaTheme="minorEastAsia"/>
          <w:color w:val="000000" w:themeColor="text1"/>
          <w:szCs w:val="21"/>
        </w:rPr>
        <w:t>：</w:t>
      </w:r>
    </w:p>
    <w:p w:rsidR="000F21E5" w:rsidRDefault="00F77F6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0F21E5" w:rsidRDefault="000F21E5">
      <w:pPr>
        <w:spacing w:line="360" w:lineRule="auto"/>
        <w:ind w:firstLineChars="200" w:firstLine="420"/>
        <w:rPr>
          <w:rFonts w:eastAsiaTheme="minorEastAsia"/>
          <w:color w:val="000000" w:themeColor="text1"/>
          <w:szCs w:val="21"/>
        </w:rPr>
      </w:pPr>
    </w:p>
    <w:p w:rsidR="000F21E5" w:rsidRDefault="000F21E5">
      <w:pPr>
        <w:tabs>
          <w:tab w:val="left" w:pos="1800"/>
        </w:tabs>
        <w:spacing w:line="288" w:lineRule="auto"/>
        <w:rPr>
          <w:rFonts w:eastAsiaTheme="minorEastAsia"/>
          <w:color w:val="000000" w:themeColor="text1"/>
          <w:szCs w:val="21"/>
        </w:rPr>
      </w:pP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0F21E5" w:rsidRDefault="00F77F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0F21E5">
        <w:tc>
          <w:tcPr>
            <w:tcW w:w="952" w:type="dxa"/>
            <w:vMerge w:val="restart"/>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0F21E5">
        <w:tc>
          <w:tcPr>
            <w:tcW w:w="952" w:type="dxa"/>
            <w:vMerge/>
            <w:vAlign w:val="center"/>
          </w:tcPr>
          <w:p w:rsidR="000F21E5" w:rsidRDefault="000F21E5">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0F21E5" w:rsidRDefault="000F21E5">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0F21E5" w:rsidRDefault="00F77F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0F21E5" w:rsidRDefault="000F21E5">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0F21E5" w:rsidRDefault="000F21E5">
            <w:pPr>
              <w:autoSpaceDE w:val="0"/>
              <w:autoSpaceDN w:val="0"/>
              <w:adjustRightInd w:val="0"/>
              <w:spacing w:before="29" w:line="288" w:lineRule="auto"/>
              <w:ind w:left="15"/>
              <w:jc w:val="center"/>
              <w:rPr>
                <w:rFonts w:eastAsiaTheme="minorEastAsia"/>
                <w:color w:val="000000" w:themeColor="text1"/>
                <w:kern w:val="0"/>
                <w:szCs w:val="21"/>
              </w:rPr>
            </w:pPr>
          </w:p>
        </w:tc>
      </w:tr>
      <w:tr w:rsidR="000F21E5">
        <w:tc>
          <w:tcPr>
            <w:tcW w:w="952" w:type="dxa"/>
            <w:vAlign w:val="center"/>
          </w:tcPr>
          <w:p w:rsidR="000F21E5" w:rsidRDefault="00F77F6B">
            <w:pPr>
              <w:jc w:val="center"/>
            </w:pPr>
            <w:r>
              <w:rPr>
                <w:rFonts w:eastAsiaTheme="minorEastAsia"/>
                <w:color w:val="000000" w:themeColor="text1"/>
                <w:szCs w:val="21"/>
              </w:rPr>
              <w:t>石雨欣</w:t>
            </w:r>
          </w:p>
        </w:tc>
        <w:tc>
          <w:tcPr>
            <w:tcW w:w="930" w:type="dxa"/>
            <w:vAlign w:val="center"/>
          </w:tcPr>
          <w:p w:rsidR="000F21E5" w:rsidRDefault="00F77F6B">
            <w:pPr>
              <w:jc w:val="center"/>
            </w:pPr>
            <w:r>
              <w:rPr>
                <w:rFonts w:eastAsiaTheme="minorEastAsia"/>
                <w:color w:val="000000" w:themeColor="text1"/>
                <w:szCs w:val="21"/>
              </w:rPr>
              <w:t>本基金的基金经理</w:t>
            </w:r>
          </w:p>
        </w:tc>
        <w:tc>
          <w:tcPr>
            <w:tcW w:w="1210" w:type="dxa"/>
            <w:vAlign w:val="center"/>
          </w:tcPr>
          <w:p w:rsidR="000F21E5" w:rsidRDefault="00F77F6B">
            <w:pPr>
              <w:jc w:val="center"/>
            </w:pPr>
            <w:r>
              <w:rPr>
                <w:rFonts w:eastAsiaTheme="minorEastAsia"/>
                <w:color w:val="000000" w:themeColor="text1"/>
                <w:szCs w:val="21"/>
              </w:rPr>
              <w:t>2017-01-10</w:t>
            </w:r>
          </w:p>
        </w:tc>
        <w:tc>
          <w:tcPr>
            <w:tcW w:w="1309" w:type="dxa"/>
            <w:vAlign w:val="center"/>
          </w:tcPr>
          <w:p w:rsidR="000F21E5" w:rsidRDefault="00F77F6B">
            <w:pPr>
              <w:jc w:val="center"/>
            </w:pPr>
            <w:r>
              <w:rPr>
                <w:rFonts w:eastAsiaTheme="minorEastAsia"/>
                <w:color w:val="000000" w:themeColor="text1"/>
                <w:szCs w:val="21"/>
              </w:rPr>
              <w:t>-</w:t>
            </w:r>
          </w:p>
        </w:tc>
        <w:tc>
          <w:tcPr>
            <w:tcW w:w="1254" w:type="dxa"/>
            <w:vAlign w:val="center"/>
          </w:tcPr>
          <w:p w:rsidR="000F21E5" w:rsidRDefault="00F77F6B">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0F21E5" w:rsidRDefault="00F77F6B">
            <w:r>
              <w:rPr>
                <w:rFonts w:eastAsiaTheme="minorEastAsia"/>
                <w:color w:val="000000" w:themeColor="text1"/>
                <w:szCs w:val="21"/>
              </w:rPr>
              <w:t>硕士研究生，</w:t>
            </w:r>
            <w:r>
              <w:rPr>
                <w:rFonts w:eastAsiaTheme="minorEastAsia"/>
                <w:color w:val="000000" w:themeColor="text1"/>
                <w:szCs w:val="21"/>
              </w:rPr>
              <w:t>12</w:t>
            </w:r>
            <w:r>
              <w:rPr>
                <w:rFonts w:eastAsiaTheme="minorEastAsia"/>
                <w:color w:val="000000" w:themeColor="text1"/>
                <w:szCs w:val="21"/>
              </w:rPr>
              <w:t>年相关行业从业经验，曾任联合资信评估有限公司高级分析师。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月加入华安基金管理有限公司，任固定收益部信用分析师。</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月担任华安信用四季红债券型证券投资基金的基金经理。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月起，担任华安稳固收益债券型证券投资基金的基金经理。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月起担任华安安康保本混合型证券投资基金的基金经理。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月起同时担任华安聚利</w:t>
            </w:r>
            <w:r>
              <w:rPr>
                <w:rFonts w:eastAsiaTheme="minorEastAsia"/>
                <w:color w:val="000000" w:themeColor="text1"/>
                <w:szCs w:val="21"/>
              </w:rPr>
              <w:t>18</w:t>
            </w:r>
            <w:r>
              <w:rPr>
                <w:rFonts w:eastAsiaTheme="minorEastAsia"/>
                <w:color w:val="000000" w:themeColor="text1"/>
                <w:szCs w:val="21"/>
              </w:rPr>
              <w:t>个月定期开放债券型证券投资基金的基金经理。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月起，同时担任华安新恒利灵活配置混合型证券投资基金、华安新瑞利灵活配置混合型证券投资基金的基金经理。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月起，同时担任本基金的基金经理。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月起，同时担任华安丰利</w:t>
            </w:r>
            <w:r>
              <w:rPr>
                <w:rFonts w:eastAsiaTheme="minorEastAsia"/>
                <w:color w:val="000000" w:themeColor="text1"/>
                <w:szCs w:val="21"/>
              </w:rPr>
              <w:t>18</w:t>
            </w:r>
            <w:r>
              <w:rPr>
                <w:rFonts w:eastAsiaTheme="minorEastAsia"/>
                <w:color w:val="000000" w:themeColor="text1"/>
                <w:szCs w:val="21"/>
              </w:rPr>
              <w:t>个月定期开放债券型证券投资基金的基金经理。</w:t>
            </w:r>
          </w:p>
        </w:tc>
      </w:tr>
      <w:tr w:rsidR="000F21E5">
        <w:tc>
          <w:tcPr>
            <w:tcW w:w="952" w:type="dxa"/>
            <w:vAlign w:val="center"/>
          </w:tcPr>
          <w:p w:rsidR="000F21E5" w:rsidRDefault="00F77F6B">
            <w:pPr>
              <w:jc w:val="center"/>
            </w:pPr>
            <w:r>
              <w:rPr>
                <w:rFonts w:eastAsiaTheme="minorEastAsia"/>
                <w:color w:val="000000" w:themeColor="text1"/>
                <w:szCs w:val="21"/>
              </w:rPr>
              <w:t>孙晨进</w:t>
            </w:r>
          </w:p>
        </w:tc>
        <w:tc>
          <w:tcPr>
            <w:tcW w:w="930" w:type="dxa"/>
            <w:vAlign w:val="center"/>
          </w:tcPr>
          <w:p w:rsidR="000F21E5" w:rsidRDefault="00F77F6B">
            <w:pPr>
              <w:jc w:val="center"/>
            </w:pPr>
            <w:r>
              <w:rPr>
                <w:rFonts w:eastAsiaTheme="minorEastAsia"/>
                <w:color w:val="000000" w:themeColor="text1"/>
                <w:szCs w:val="21"/>
              </w:rPr>
              <w:t>本基金的基金经理</w:t>
            </w:r>
          </w:p>
        </w:tc>
        <w:tc>
          <w:tcPr>
            <w:tcW w:w="1210" w:type="dxa"/>
            <w:vAlign w:val="center"/>
          </w:tcPr>
          <w:p w:rsidR="000F21E5" w:rsidRDefault="00F77F6B">
            <w:pPr>
              <w:jc w:val="center"/>
            </w:pPr>
            <w:r>
              <w:rPr>
                <w:rFonts w:eastAsiaTheme="minorEastAsia"/>
                <w:color w:val="000000" w:themeColor="text1"/>
                <w:szCs w:val="21"/>
              </w:rPr>
              <w:t>2017-01-26</w:t>
            </w:r>
          </w:p>
        </w:tc>
        <w:tc>
          <w:tcPr>
            <w:tcW w:w="1309" w:type="dxa"/>
            <w:vAlign w:val="center"/>
          </w:tcPr>
          <w:p w:rsidR="000F21E5" w:rsidRDefault="00F77F6B">
            <w:pPr>
              <w:jc w:val="center"/>
            </w:pPr>
            <w:r>
              <w:rPr>
                <w:rFonts w:eastAsiaTheme="minorEastAsia"/>
                <w:color w:val="000000" w:themeColor="text1"/>
                <w:szCs w:val="21"/>
              </w:rPr>
              <w:t>-</w:t>
            </w:r>
          </w:p>
        </w:tc>
        <w:tc>
          <w:tcPr>
            <w:tcW w:w="1254" w:type="dxa"/>
            <w:vAlign w:val="center"/>
          </w:tcPr>
          <w:p w:rsidR="000F21E5" w:rsidRDefault="00F77F6B">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0F21E5" w:rsidRDefault="00F77F6B">
            <w:r>
              <w:rPr>
                <w:rFonts w:eastAsiaTheme="minorEastAsia"/>
                <w:color w:val="000000" w:themeColor="text1"/>
                <w:szCs w:val="21"/>
              </w:rPr>
              <w:t>硕士研究生，</w:t>
            </w:r>
            <w:r>
              <w:rPr>
                <w:rFonts w:eastAsiaTheme="minorEastAsia"/>
                <w:color w:val="000000" w:themeColor="text1"/>
                <w:szCs w:val="21"/>
              </w:rPr>
              <w:t>8</w:t>
            </w:r>
            <w:r>
              <w:rPr>
                <w:rFonts w:eastAsiaTheme="minorEastAsia"/>
                <w:color w:val="000000" w:themeColor="text1"/>
                <w:szCs w:val="21"/>
              </w:rPr>
              <w:t>年基金行业从业经验，具有基金从业资格证书。</w:t>
            </w:r>
            <w:r>
              <w:rPr>
                <w:rFonts w:eastAsiaTheme="minorEastAsia"/>
                <w:color w:val="000000" w:themeColor="text1"/>
                <w:szCs w:val="21"/>
              </w:rPr>
              <w:t>2010</w:t>
            </w:r>
            <w:r>
              <w:rPr>
                <w:rFonts w:eastAsiaTheme="minorEastAsia"/>
                <w:color w:val="000000" w:themeColor="text1"/>
                <w:szCs w:val="21"/>
              </w:rPr>
              <w:t>年应届毕业进入华安基金，先后担任指数投资部数量分析师、投资经理、基金经理助理。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月起担任华安深证</w:t>
            </w:r>
            <w:r>
              <w:rPr>
                <w:rFonts w:eastAsiaTheme="minorEastAsia"/>
                <w:color w:val="000000" w:themeColor="text1"/>
                <w:szCs w:val="21"/>
              </w:rPr>
              <w:t>300</w:t>
            </w:r>
            <w:r>
              <w:rPr>
                <w:rFonts w:eastAsiaTheme="minorEastAsia"/>
                <w:color w:val="000000" w:themeColor="text1"/>
                <w:szCs w:val="21"/>
              </w:rPr>
              <w:t>指数证券投资基金（</w:t>
            </w:r>
            <w:r>
              <w:rPr>
                <w:rFonts w:eastAsiaTheme="minorEastAsia"/>
                <w:color w:val="000000" w:themeColor="text1"/>
                <w:szCs w:val="21"/>
              </w:rPr>
              <w:t>LOF</w:t>
            </w:r>
            <w:r>
              <w:rPr>
                <w:rFonts w:eastAsiaTheme="minorEastAsia"/>
                <w:color w:val="000000" w:themeColor="text1"/>
                <w:szCs w:val="21"/>
              </w:rPr>
              <w:t>）的基金经理。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月，同时担任华安中证高分红指数增强型证券投资基金的基金经理。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月起，同时担任华安事件驱动量化策略混合型证券投资基金的基金经理。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月起，同时担任本基金、华安新泰利灵活配置混合型证券投资基金的基金经理。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月起，同时担任华安沪深</w:t>
            </w:r>
            <w:r>
              <w:rPr>
                <w:rFonts w:eastAsiaTheme="minorEastAsia"/>
                <w:color w:val="000000" w:themeColor="text1"/>
                <w:szCs w:val="21"/>
              </w:rPr>
              <w:t>300</w:t>
            </w:r>
            <w:r>
              <w:rPr>
                <w:rFonts w:eastAsiaTheme="minorEastAsia"/>
                <w:color w:val="000000" w:themeColor="text1"/>
                <w:szCs w:val="21"/>
              </w:rPr>
              <w:t>量化增强型指数证券投资基金的基金经理。</w:t>
            </w:r>
          </w:p>
        </w:tc>
      </w:tr>
    </w:tbl>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0F21E5" w:rsidRDefault="00F77F6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本报告期内，公司公平交易制度总体执行情况良好。</w:t>
      </w:r>
    </w:p>
    <w:p w:rsidR="000F21E5" w:rsidRDefault="00F77F6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0F21E5" w:rsidRDefault="00F77F6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年三季度国内经济在基建拖累下增速进一步放缓，房地产投资继续保持稳定增长，制造业投资继续小幅回升，消费增速继续放缓，加上贸易战继续升级，经济增长压力进一步加大。三季度</w:t>
      </w:r>
      <w:r>
        <w:rPr>
          <w:rFonts w:eastAsiaTheme="minorEastAsia"/>
          <w:color w:val="000000" w:themeColor="text1"/>
          <w:szCs w:val="21"/>
        </w:rPr>
        <w:t>CPI</w:t>
      </w:r>
      <w:r>
        <w:rPr>
          <w:rFonts w:eastAsiaTheme="minorEastAsia"/>
          <w:color w:val="000000" w:themeColor="text1"/>
          <w:szCs w:val="21"/>
        </w:rPr>
        <w:t>小幅上升，</w:t>
      </w:r>
      <w:r>
        <w:rPr>
          <w:rFonts w:eastAsiaTheme="minorEastAsia"/>
          <w:color w:val="000000" w:themeColor="text1"/>
          <w:szCs w:val="21"/>
        </w:rPr>
        <w:t>PPI</w:t>
      </w:r>
      <w:r>
        <w:rPr>
          <w:rFonts w:eastAsiaTheme="minorEastAsia"/>
          <w:color w:val="000000" w:themeColor="text1"/>
          <w:szCs w:val="21"/>
        </w:rPr>
        <w:t>高位回落，通胀压力相对可控。央行货币政策继续保持稳健中性，银行体系货币保持充足，资金利率显著回落，政策重心从宽货币向宽信用转变，紧信用状态有所缓解，城投债利差被显著压缩。三季度债券市场总体以中短端小幅下行，长端震荡为主，收益率曲线有所陡峭，中债综合全价（总值）指数上涨</w:t>
      </w:r>
      <w:r>
        <w:rPr>
          <w:rFonts w:eastAsiaTheme="minorEastAsia"/>
          <w:color w:val="000000" w:themeColor="text1"/>
          <w:szCs w:val="21"/>
        </w:rPr>
        <w:t>0.57%</w:t>
      </w:r>
      <w:r>
        <w:rPr>
          <w:rFonts w:eastAsiaTheme="minorEastAsia"/>
          <w:color w:val="000000" w:themeColor="text1"/>
          <w:szCs w:val="21"/>
        </w:rPr>
        <w:t>。权益市场继续保持震荡行情。</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本基金期内结束运作，组合以保持流动性为主，由于巨额赎回，净值波动较大。</w:t>
      </w:r>
    </w:p>
    <w:p w:rsidR="000F21E5" w:rsidRDefault="00F77F6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最后运作日</w:t>
      </w:r>
      <w:r>
        <w:rPr>
          <w:rFonts w:eastAsiaTheme="minorEastAsia"/>
          <w:color w:val="000000" w:themeColor="text1"/>
          <w:szCs w:val="21"/>
        </w:rPr>
        <w:t>)</w:t>
      </w:r>
      <w:r>
        <w:rPr>
          <w:rFonts w:eastAsiaTheme="minorEastAsia"/>
          <w:color w:val="000000" w:themeColor="text1"/>
          <w:szCs w:val="21"/>
        </w:rPr>
        <w:t>，华安新安平</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1.2991</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1.1545</w:t>
      </w:r>
      <w:r>
        <w:rPr>
          <w:rFonts w:eastAsiaTheme="minorEastAsia"/>
          <w:color w:val="000000" w:themeColor="text1"/>
          <w:szCs w:val="21"/>
        </w:rPr>
        <w:t>元；华安新安平</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19.33%</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6.79%</w:t>
      </w:r>
      <w:r>
        <w:rPr>
          <w:rFonts w:eastAsiaTheme="minorEastAsia"/>
          <w:color w:val="000000" w:themeColor="text1"/>
          <w:szCs w:val="21"/>
        </w:rPr>
        <w:t>，同期业绩比较基准增长率为</w:t>
      </w:r>
      <w:r>
        <w:rPr>
          <w:rFonts w:eastAsiaTheme="minorEastAsia"/>
          <w:color w:val="000000" w:themeColor="text1"/>
          <w:szCs w:val="21"/>
        </w:rPr>
        <w:t>-3.92%</w:t>
      </w:r>
      <w:r>
        <w:rPr>
          <w:rFonts w:eastAsiaTheme="minorEastAsia"/>
          <w:color w:val="000000" w:themeColor="text1"/>
          <w:szCs w:val="21"/>
        </w:rPr>
        <w:t>。</w:t>
      </w:r>
    </w:p>
    <w:p w:rsidR="000F21E5" w:rsidRDefault="000F21E5">
      <w:pPr>
        <w:spacing w:line="360" w:lineRule="auto"/>
        <w:ind w:firstLineChars="200" w:firstLine="420"/>
        <w:rPr>
          <w:rFonts w:eastAsiaTheme="minorEastAsia"/>
          <w:color w:val="000000" w:themeColor="text1"/>
          <w:szCs w:val="21"/>
        </w:rPr>
      </w:pPr>
    </w:p>
    <w:p w:rsidR="000F21E5" w:rsidRDefault="00F77F6B">
      <w:pPr>
        <w:autoSpaceDE w:val="0"/>
        <w:autoSpaceDN w:val="0"/>
        <w:adjustRightInd w:val="0"/>
        <w:spacing w:line="360" w:lineRule="auto"/>
        <w:jc w:val="left"/>
        <w:rPr>
          <w:rFonts w:eastAsiaTheme="minorEastAsia"/>
          <w:b/>
          <w:color w:val="000000" w:themeColor="text1"/>
          <w:kern w:val="0"/>
          <w:szCs w:val="21"/>
        </w:rPr>
      </w:pPr>
      <w:bookmarkStart w:id="1" w:name="_Toc245193825"/>
      <w:bookmarkStart w:id="2"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1"/>
      <w:bookmarkEnd w:id="2"/>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虽然经济下行的压力依然较大，但宽财政、稳经济政策短期内对经济悲观预期可能有所修正。但由于通胀预期仍在上升，美债收益率大幅上行，对国内长端利率仍有一定压制。短端由于中性偏宽松的货币政策使得资金利率将继续维持相对低位，中短端利率仍有一定下行空间。</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本基金将秉承稳健、专业的投资理念，勤勉尽责地维护持有人的利益。</w:t>
      </w:r>
    </w:p>
    <w:p w:rsidR="000F21E5" w:rsidRDefault="000F21E5">
      <w:pPr>
        <w:spacing w:line="360" w:lineRule="auto"/>
        <w:ind w:firstLineChars="200" w:firstLine="420"/>
        <w:rPr>
          <w:rFonts w:eastAsiaTheme="minorEastAsia"/>
          <w:color w:val="000000" w:themeColor="text1"/>
          <w:szCs w:val="21"/>
        </w:rPr>
      </w:pPr>
    </w:p>
    <w:p w:rsidR="000F21E5" w:rsidRDefault="00F77F6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0F21E5" w:rsidRDefault="00F77F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本基金报告期内基金持有人数不低于</w:t>
      </w:r>
      <w:r>
        <w:rPr>
          <w:rFonts w:eastAsiaTheme="minorEastAsia"/>
          <w:color w:val="000000" w:themeColor="text1"/>
          <w:kern w:val="0"/>
          <w:szCs w:val="21"/>
        </w:rPr>
        <w:t>200</w:t>
      </w:r>
      <w:r>
        <w:rPr>
          <w:rFonts w:eastAsiaTheme="minorEastAsia"/>
          <w:color w:val="000000" w:themeColor="text1"/>
          <w:kern w:val="0"/>
          <w:szCs w:val="21"/>
        </w:rPr>
        <w:t>人；基金资产净值连续超过</w:t>
      </w:r>
      <w:r>
        <w:rPr>
          <w:rFonts w:eastAsiaTheme="minorEastAsia"/>
          <w:color w:val="000000" w:themeColor="text1"/>
          <w:kern w:val="0"/>
          <w:szCs w:val="21"/>
        </w:rPr>
        <w:t>20</w:t>
      </w:r>
      <w:r>
        <w:rPr>
          <w:rFonts w:eastAsiaTheme="minorEastAsia"/>
          <w:color w:val="000000" w:themeColor="text1"/>
          <w:kern w:val="0"/>
          <w:szCs w:val="21"/>
        </w:rPr>
        <w:t>个工作日低于</w:t>
      </w:r>
      <w:r>
        <w:rPr>
          <w:rFonts w:eastAsiaTheme="minorEastAsia"/>
          <w:color w:val="000000" w:themeColor="text1"/>
          <w:kern w:val="0"/>
          <w:szCs w:val="21"/>
        </w:rPr>
        <w:t>5000</w:t>
      </w:r>
      <w:r>
        <w:rPr>
          <w:rFonts w:eastAsiaTheme="minorEastAsia"/>
          <w:color w:val="000000" w:themeColor="text1"/>
          <w:kern w:val="0"/>
          <w:szCs w:val="21"/>
        </w:rPr>
        <w:t>万元。</w:t>
      </w:r>
    </w:p>
    <w:p w:rsidR="000F21E5" w:rsidRDefault="000F21E5">
      <w:pPr>
        <w:spacing w:line="360" w:lineRule="auto"/>
        <w:ind w:firstLineChars="200" w:firstLine="420"/>
        <w:rPr>
          <w:rFonts w:asciiTheme="minorEastAsia" w:eastAsiaTheme="minorEastAsia" w:hAnsiTheme="minorEastAsia"/>
          <w:color w:val="000000" w:themeColor="text1"/>
          <w:szCs w:val="21"/>
        </w:rPr>
      </w:pP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0F21E5" w:rsidRDefault="00F77F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0F21E5">
            <w:pPr>
              <w:spacing w:before="29" w:line="360" w:lineRule="auto"/>
              <w:ind w:left="17"/>
              <w:jc w:val="center"/>
              <w:rPr>
                <w:rFonts w:eastAsiaTheme="minorEastAsia"/>
                <w:color w:val="000000" w:themeColor="text1"/>
                <w:szCs w:val="21"/>
              </w:rPr>
            </w:pP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0F21E5">
            <w:pPr>
              <w:spacing w:before="29" w:line="360" w:lineRule="auto"/>
              <w:ind w:left="17"/>
              <w:jc w:val="center"/>
              <w:rPr>
                <w:rFonts w:eastAsiaTheme="minorEastAsia"/>
                <w:color w:val="000000" w:themeColor="text1"/>
                <w:szCs w:val="21"/>
              </w:rPr>
            </w:pP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0F21E5">
            <w:pPr>
              <w:spacing w:before="29" w:line="360" w:lineRule="auto"/>
              <w:ind w:left="17"/>
              <w:jc w:val="center"/>
              <w:rPr>
                <w:rFonts w:eastAsiaTheme="minorEastAsia"/>
                <w:color w:val="000000" w:themeColor="text1"/>
                <w:szCs w:val="21"/>
              </w:rPr>
            </w:pPr>
          </w:p>
        </w:tc>
        <w:tc>
          <w:tcPr>
            <w:tcW w:w="3357" w:type="dxa"/>
            <w:vAlign w:val="center"/>
          </w:tcPr>
          <w:p w:rsidR="000F21E5" w:rsidRDefault="00F77F6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0F21E5" w:rsidRDefault="00F77F6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0F21E5">
            <w:pPr>
              <w:spacing w:before="29" w:line="360" w:lineRule="auto"/>
              <w:ind w:left="17"/>
              <w:jc w:val="center"/>
              <w:rPr>
                <w:rFonts w:eastAsiaTheme="minorEastAsia"/>
                <w:color w:val="000000" w:themeColor="text1"/>
                <w:szCs w:val="21"/>
              </w:rPr>
            </w:pP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0F21E5" w:rsidRDefault="00F77F6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196,307.68</w:t>
            </w:r>
          </w:p>
        </w:tc>
        <w:tc>
          <w:tcPr>
            <w:tcW w:w="1843" w:type="dxa"/>
            <w:vAlign w:val="center"/>
          </w:tcPr>
          <w:p w:rsidR="000F21E5" w:rsidRDefault="00F77F6B">
            <w:pPr>
              <w:spacing w:before="29" w:line="360" w:lineRule="auto"/>
              <w:ind w:left="17"/>
              <w:jc w:val="right"/>
              <w:rPr>
                <w:rFonts w:eastAsiaTheme="minorEastAsia"/>
                <w:color w:val="000000" w:themeColor="text1"/>
                <w:szCs w:val="21"/>
              </w:rPr>
            </w:pPr>
            <w:r>
              <w:rPr>
                <w:rFonts w:eastAsiaTheme="minorEastAsia"/>
                <w:color w:val="000000" w:themeColor="text1"/>
                <w:szCs w:val="21"/>
              </w:rPr>
              <w:t>88.46</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0F21E5" w:rsidRDefault="00F77F6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0F21E5" w:rsidRDefault="00F77F6B">
            <w:pPr>
              <w:jc w:val="right"/>
              <w:rPr>
                <w:rFonts w:eastAsiaTheme="minorEastAsia"/>
                <w:color w:val="000000" w:themeColor="text1"/>
                <w:szCs w:val="21"/>
              </w:rPr>
            </w:pPr>
            <w:r>
              <w:rPr>
                <w:rFonts w:eastAsiaTheme="minorEastAsia"/>
                <w:color w:val="000000" w:themeColor="text1"/>
                <w:szCs w:val="21"/>
              </w:rPr>
              <w:t>25,619.16</w:t>
            </w:r>
          </w:p>
        </w:tc>
        <w:tc>
          <w:tcPr>
            <w:tcW w:w="1843" w:type="dxa"/>
            <w:vAlign w:val="center"/>
          </w:tcPr>
          <w:p w:rsidR="000F21E5" w:rsidRDefault="00F77F6B">
            <w:pPr>
              <w:jc w:val="right"/>
              <w:rPr>
                <w:rFonts w:eastAsiaTheme="minorEastAsia"/>
                <w:color w:val="000000" w:themeColor="text1"/>
                <w:szCs w:val="21"/>
              </w:rPr>
            </w:pPr>
            <w:r>
              <w:rPr>
                <w:rFonts w:eastAsiaTheme="minorEastAsia"/>
                <w:color w:val="000000" w:themeColor="text1"/>
                <w:szCs w:val="21"/>
              </w:rPr>
              <w:t>11.54</w:t>
            </w:r>
          </w:p>
        </w:tc>
      </w:tr>
      <w:tr w:rsidR="000F21E5">
        <w:tc>
          <w:tcPr>
            <w:tcW w:w="720" w:type="dxa"/>
            <w:vAlign w:val="center"/>
          </w:tcPr>
          <w:p w:rsidR="000F21E5" w:rsidRDefault="00F77F6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0F21E5" w:rsidRDefault="00F77F6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0F21E5" w:rsidRDefault="00F77F6B">
            <w:pPr>
              <w:jc w:val="right"/>
              <w:rPr>
                <w:rFonts w:eastAsiaTheme="minorEastAsia"/>
                <w:color w:val="000000" w:themeColor="text1"/>
                <w:szCs w:val="21"/>
              </w:rPr>
            </w:pPr>
            <w:r>
              <w:rPr>
                <w:rFonts w:eastAsiaTheme="minorEastAsia"/>
                <w:color w:val="000000" w:themeColor="text1"/>
                <w:szCs w:val="21"/>
              </w:rPr>
              <w:t>221,926.84</w:t>
            </w:r>
          </w:p>
        </w:tc>
        <w:tc>
          <w:tcPr>
            <w:tcW w:w="1843" w:type="dxa"/>
            <w:vAlign w:val="center"/>
          </w:tcPr>
          <w:p w:rsidR="000F21E5" w:rsidRDefault="00F77F6B">
            <w:pPr>
              <w:jc w:val="right"/>
              <w:rPr>
                <w:rFonts w:eastAsiaTheme="minorEastAsia"/>
                <w:color w:val="000000" w:themeColor="text1"/>
                <w:szCs w:val="21"/>
              </w:rPr>
            </w:pPr>
            <w:r>
              <w:rPr>
                <w:rFonts w:eastAsiaTheme="minorEastAsia"/>
                <w:color w:val="000000" w:themeColor="text1"/>
                <w:szCs w:val="21"/>
              </w:rPr>
              <w:t>100.00</w:t>
            </w:r>
          </w:p>
        </w:tc>
      </w:tr>
    </w:tbl>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0F21E5" w:rsidRDefault="00F77F6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本基金本报告期末未持有股票投资。</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0F21E5" w:rsidRDefault="00F77F6B" w:rsidP="009819C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0F21E5" w:rsidRDefault="00F77F6B">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0F21E5" w:rsidRDefault="00F77F6B" w:rsidP="009819C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0F21E5" w:rsidRDefault="00F77F6B">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0F21E5" w:rsidRDefault="00F77F6B" w:rsidP="009819C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本基金将根据风险管理的原则，以套期保值为目的，有选择地投资于流动性好、交易活跃的股指期货合约。</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进行股指期货投资时，首先将基于对证券市场总体行情的判断和组合风险收益的分析确定投资时机以及套期保值的类型（多头套期保值或空头套期保值），并根据权益类资产投资（或拟投资）的总体规模和风险系数决定股指期货的投资比例；其次，本基金将在综合考虑证券市场和期货市场运行趋势以及股指期货流动性、收益性、风险特征和估值水平的基础上进行投资品种选择，以对冲权益类资产组合的系统性风险和流动性风险。</w:t>
      </w:r>
    </w:p>
    <w:p w:rsidR="000F21E5" w:rsidRDefault="00F77F6B" w:rsidP="009819C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0F21E5" w:rsidRDefault="00F77F6B">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根据本基金基金合同，本基金不能投资于国债期货。</w:t>
      </w:r>
    </w:p>
    <w:p w:rsidR="000F21E5" w:rsidRDefault="00F77F6B">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报告期末本基金投资的国债期货持仓和损益明细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0F21E5" w:rsidRDefault="00F77F6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0F21E5" w:rsidRDefault="00F77F6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0F21E5" w:rsidRDefault="00F77F6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0F21E5">
        <w:tc>
          <w:tcPr>
            <w:tcW w:w="1110" w:type="dxa"/>
            <w:vAlign w:val="center"/>
          </w:tcPr>
          <w:p w:rsidR="000F21E5" w:rsidRDefault="00F77F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0F21E5" w:rsidRDefault="00F77F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0F21E5" w:rsidRDefault="00F77F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4,147.45</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11,784.39</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9,687.32</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0F21E5">
        <w:tc>
          <w:tcPr>
            <w:tcW w:w="1110" w:type="dxa"/>
            <w:vAlign w:val="center"/>
          </w:tcPr>
          <w:p w:rsidR="000F21E5" w:rsidRDefault="00F77F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0F21E5" w:rsidRDefault="00F77F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0F21E5" w:rsidRDefault="00F77F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25,619.16</w:t>
            </w:r>
          </w:p>
        </w:tc>
      </w:tr>
    </w:tbl>
    <w:p w:rsidR="000F21E5" w:rsidRDefault="00F77F6B" w:rsidP="009819C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0F21E5" w:rsidRDefault="00F77F6B" w:rsidP="009819C5">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本基金本报告期末未持有存在流通受限情况的股票。</w:t>
      </w: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0F21E5" w:rsidRDefault="00F77F6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华安新安平混合</w:t>
            </w:r>
            <w:r>
              <w:rPr>
                <w:rFonts w:eastAsiaTheme="minorEastAsia"/>
                <w:color w:val="000000" w:themeColor="text1"/>
                <w:szCs w:val="21"/>
              </w:rPr>
              <w:t>C</w:t>
            </w:r>
          </w:p>
        </w:tc>
      </w:tr>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47,510,786.67</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2,373.70</w:t>
            </w:r>
          </w:p>
        </w:tc>
      </w:tr>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88,223.77</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78,416.59</w:t>
            </w:r>
          </w:p>
        </w:tc>
      </w:tr>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47,526,571.16</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8,702.00</w:t>
            </w:r>
          </w:p>
        </w:tc>
      </w:tr>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0F21E5">
        <w:tc>
          <w:tcPr>
            <w:tcW w:w="3900"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72,439.28</w:t>
            </w:r>
          </w:p>
        </w:tc>
        <w:tc>
          <w:tcPr>
            <w:tcW w:w="2367" w:type="dxa"/>
            <w:tcBorders>
              <w:top w:val="single" w:sz="8" w:space="0" w:color="000000"/>
              <w:left w:val="single" w:sz="8" w:space="0" w:color="000000"/>
              <w:bottom w:val="single" w:sz="8" w:space="0" w:color="000000"/>
              <w:right w:val="single" w:sz="8" w:space="0" w:color="000000"/>
            </w:tcBorders>
            <w:vAlign w:val="center"/>
          </w:tcPr>
          <w:p w:rsidR="000F21E5" w:rsidRDefault="00F77F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72,088.29</w:t>
            </w:r>
          </w:p>
        </w:tc>
      </w:tr>
    </w:tbl>
    <w:p w:rsidR="000F21E5" w:rsidRDefault="00F77F6B" w:rsidP="009819C5">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0F21E5" w:rsidRDefault="00F77F6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0F21E5" w:rsidRDefault="00F77F6B" w:rsidP="009819C5">
      <w:pPr>
        <w:spacing w:beforeLines="100" w:line="360" w:lineRule="auto"/>
        <w:jc w:val="left"/>
        <w:rPr>
          <w:color w:val="000000" w:themeColor="text1"/>
          <w:szCs w:val="21"/>
        </w:rPr>
      </w:pPr>
      <w:r>
        <w:rPr>
          <w:b/>
          <w:color w:val="000000" w:themeColor="text1"/>
          <w:szCs w:val="21"/>
        </w:rPr>
        <w:t>7.2</w:t>
      </w:r>
      <w:r>
        <w:rPr>
          <w:rFonts w:hint="eastAsia"/>
          <w:b/>
          <w:color w:val="000000"/>
          <w:szCs w:val="21"/>
          <w:shd w:val="clear" w:color="auto" w:fill="FFFFFF"/>
        </w:rPr>
        <w:t>基金管理人运用固有资金投资本基金交易明细</w:t>
      </w:r>
    </w:p>
    <w:p w:rsidR="000F21E5" w:rsidRDefault="00F77F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0F21E5" w:rsidRDefault="00F77F6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0F21E5">
        <w:tc>
          <w:tcPr>
            <w:tcW w:w="993" w:type="dxa"/>
            <w:vMerge w:val="restart"/>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F21E5">
        <w:tc>
          <w:tcPr>
            <w:tcW w:w="993" w:type="dxa"/>
            <w:vMerge/>
            <w:vAlign w:val="center"/>
          </w:tcPr>
          <w:p w:rsidR="000F21E5" w:rsidRDefault="000F21E5">
            <w:pPr>
              <w:autoSpaceDE w:val="0"/>
              <w:autoSpaceDN w:val="0"/>
              <w:adjustRightInd w:val="0"/>
              <w:jc w:val="center"/>
              <w:rPr>
                <w:rFonts w:ascii="宋体" w:hAnsi="宋体"/>
                <w:b/>
                <w:bCs/>
                <w:color w:val="000000"/>
                <w:kern w:val="0"/>
                <w:szCs w:val="21"/>
              </w:rPr>
            </w:pPr>
          </w:p>
        </w:tc>
        <w:tc>
          <w:tcPr>
            <w:tcW w:w="992" w:type="dxa"/>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F21E5" w:rsidRDefault="00F77F6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F21E5" w:rsidRDefault="00F77F6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F21E5" w:rsidRDefault="00F77F6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F21E5" w:rsidRDefault="00F77F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0F21E5">
        <w:tc>
          <w:tcPr>
            <w:tcW w:w="993" w:type="dxa"/>
            <w:vMerge w:val="restart"/>
          </w:tcPr>
          <w:p w:rsidR="000F21E5" w:rsidRDefault="000F21E5"/>
          <w:p w:rsidR="000F21E5" w:rsidRDefault="00F77F6B">
            <w:r>
              <w:rPr>
                <w:rFonts w:ascii="宋体" w:hAnsi="宋体" w:hint="eastAsia"/>
                <w:bCs/>
                <w:color w:val="000000"/>
                <w:kern w:val="0"/>
                <w:szCs w:val="21"/>
              </w:rPr>
              <w:t>机构</w:t>
            </w:r>
          </w:p>
        </w:tc>
        <w:tc>
          <w:tcPr>
            <w:tcW w:w="992" w:type="dxa"/>
            <w:vAlign w:val="center"/>
          </w:tcPr>
          <w:p w:rsidR="000F21E5" w:rsidRDefault="00F77F6B">
            <w:pPr>
              <w:jc w:val="center"/>
            </w:pPr>
            <w:r>
              <w:rPr>
                <w:rFonts w:ascii="宋体" w:hAnsi="宋体"/>
                <w:color w:val="000000"/>
                <w:kern w:val="0"/>
                <w:szCs w:val="21"/>
              </w:rPr>
              <w:t>1</w:t>
            </w:r>
          </w:p>
        </w:tc>
        <w:tc>
          <w:tcPr>
            <w:tcW w:w="1843" w:type="dxa"/>
            <w:vAlign w:val="center"/>
          </w:tcPr>
          <w:p w:rsidR="000F21E5" w:rsidRDefault="00F77F6B">
            <w:pPr>
              <w:jc w:val="center"/>
            </w:pPr>
            <w:r>
              <w:rPr>
                <w:rFonts w:ascii="宋体" w:hAnsi="宋体"/>
                <w:color w:val="000000"/>
                <w:kern w:val="0"/>
                <w:szCs w:val="21"/>
              </w:rPr>
              <w:t>20180701-20180723</w:t>
            </w:r>
          </w:p>
        </w:tc>
        <w:tc>
          <w:tcPr>
            <w:tcW w:w="851" w:type="dxa"/>
            <w:vAlign w:val="center"/>
          </w:tcPr>
          <w:p w:rsidR="000F21E5" w:rsidRDefault="00F77F6B">
            <w:pPr>
              <w:jc w:val="center"/>
            </w:pPr>
            <w:r>
              <w:rPr>
                <w:rFonts w:ascii="宋体" w:hAnsi="宋体"/>
                <w:color w:val="000000"/>
                <w:kern w:val="0"/>
                <w:szCs w:val="21"/>
              </w:rPr>
              <w:t>47,499,000.00</w:t>
            </w:r>
          </w:p>
        </w:tc>
        <w:tc>
          <w:tcPr>
            <w:tcW w:w="850" w:type="dxa"/>
            <w:vAlign w:val="center"/>
          </w:tcPr>
          <w:p w:rsidR="000F21E5" w:rsidRDefault="00F77F6B">
            <w:pPr>
              <w:jc w:val="center"/>
            </w:pPr>
            <w:r>
              <w:rPr>
                <w:rFonts w:ascii="宋体" w:hAnsi="宋体"/>
                <w:color w:val="000000"/>
                <w:kern w:val="0"/>
                <w:szCs w:val="21"/>
              </w:rPr>
              <w:t>0.00</w:t>
            </w:r>
          </w:p>
        </w:tc>
        <w:tc>
          <w:tcPr>
            <w:tcW w:w="1134" w:type="dxa"/>
            <w:vAlign w:val="center"/>
          </w:tcPr>
          <w:p w:rsidR="000F21E5" w:rsidRDefault="00F77F6B">
            <w:pPr>
              <w:jc w:val="center"/>
            </w:pPr>
            <w:r>
              <w:rPr>
                <w:rFonts w:ascii="宋体" w:hAnsi="宋体"/>
                <w:color w:val="000000"/>
                <w:kern w:val="0"/>
                <w:szCs w:val="21"/>
              </w:rPr>
              <w:t>47,499,000.00</w:t>
            </w:r>
          </w:p>
        </w:tc>
        <w:tc>
          <w:tcPr>
            <w:tcW w:w="1419" w:type="dxa"/>
            <w:vAlign w:val="center"/>
          </w:tcPr>
          <w:p w:rsidR="000F21E5" w:rsidRDefault="00F77F6B">
            <w:pPr>
              <w:jc w:val="center"/>
            </w:pPr>
            <w:r>
              <w:rPr>
                <w:rFonts w:ascii="宋体" w:hAnsi="宋体"/>
                <w:color w:val="000000"/>
                <w:kern w:val="0"/>
                <w:szCs w:val="21"/>
              </w:rPr>
              <w:t>0.00</w:t>
            </w:r>
          </w:p>
        </w:tc>
        <w:tc>
          <w:tcPr>
            <w:tcW w:w="1130" w:type="dxa"/>
            <w:vAlign w:val="center"/>
          </w:tcPr>
          <w:p w:rsidR="000F21E5" w:rsidRDefault="00F77F6B">
            <w:pPr>
              <w:jc w:val="center"/>
            </w:pPr>
            <w:r>
              <w:rPr>
                <w:rFonts w:ascii="宋体" w:hAnsi="宋体"/>
                <w:color w:val="000000"/>
                <w:kern w:val="0"/>
                <w:szCs w:val="21"/>
              </w:rPr>
              <w:t>0.00%</w:t>
            </w:r>
          </w:p>
        </w:tc>
      </w:tr>
      <w:tr w:rsidR="000F21E5">
        <w:tc>
          <w:tcPr>
            <w:tcW w:w="993" w:type="dxa"/>
            <w:vMerge w:val="restart"/>
          </w:tcPr>
          <w:p w:rsidR="000F21E5" w:rsidRDefault="000F21E5"/>
          <w:p w:rsidR="000F21E5" w:rsidRDefault="00F77F6B">
            <w:r>
              <w:rPr>
                <w:rFonts w:ascii="宋体" w:hAnsi="宋体" w:hint="eastAsia"/>
                <w:bCs/>
                <w:color w:val="000000"/>
                <w:kern w:val="0"/>
                <w:szCs w:val="21"/>
              </w:rPr>
              <w:t>个人</w:t>
            </w:r>
          </w:p>
        </w:tc>
        <w:tc>
          <w:tcPr>
            <w:tcW w:w="992" w:type="dxa"/>
            <w:vAlign w:val="center"/>
          </w:tcPr>
          <w:p w:rsidR="000F21E5" w:rsidRDefault="00F77F6B">
            <w:pPr>
              <w:jc w:val="center"/>
            </w:pPr>
            <w:r>
              <w:rPr>
                <w:rFonts w:ascii="宋体" w:hAnsi="宋体"/>
                <w:kern w:val="0"/>
                <w:szCs w:val="21"/>
              </w:rPr>
              <w:t>1</w:t>
            </w:r>
          </w:p>
        </w:tc>
        <w:tc>
          <w:tcPr>
            <w:tcW w:w="1843" w:type="dxa"/>
            <w:vAlign w:val="center"/>
          </w:tcPr>
          <w:p w:rsidR="000F21E5" w:rsidRDefault="00F77F6B">
            <w:pPr>
              <w:jc w:val="center"/>
            </w:pPr>
            <w:r>
              <w:rPr>
                <w:rFonts w:ascii="宋体" w:hAnsi="宋体"/>
                <w:kern w:val="0"/>
                <w:szCs w:val="21"/>
              </w:rPr>
              <w:t>20180724-20180726</w:t>
            </w:r>
          </w:p>
        </w:tc>
        <w:tc>
          <w:tcPr>
            <w:tcW w:w="851" w:type="dxa"/>
            <w:vAlign w:val="center"/>
          </w:tcPr>
          <w:p w:rsidR="000F21E5" w:rsidRDefault="00F77F6B">
            <w:pPr>
              <w:jc w:val="center"/>
            </w:pPr>
            <w:r>
              <w:rPr>
                <w:rFonts w:ascii="宋体" w:hAnsi="宋体"/>
                <w:kern w:val="0"/>
                <w:szCs w:val="21"/>
              </w:rPr>
              <w:t>0.00</w:t>
            </w:r>
          </w:p>
        </w:tc>
        <w:tc>
          <w:tcPr>
            <w:tcW w:w="850" w:type="dxa"/>
            <w:vAlign w:val="center"/>
          </w:tcPr>
          <w:p w:rsidR="000F21E5" w:rsidRDefault="00F77F6B">
            <w:pPr>
              <w:jc w:val="center"/>
            </w:pPr>
            <w:r>
              <w:rPr>
                <w:rFonts w:ascii="宋体" w:hAnsi="宋体"/>
                <w:kern w:val="0"/>
                <w:szCs w:val="21"/>
              </w:rPr>
              <w:t>27,570.24</w:t>
            </w:r>
          </w:p>
        </w:tc>
        <w:tc>
          <w:tcPr>
            <w:tcW w:w="1134" w:type="dxa"/>
            <w:vAlign w:val="center"/>
          </w:tcPr>
          <w:p w:rsidR="000F21E5" w:rsidRDefault="00F77F6B">
            <w:pPr>
              <w:jc w:val="center"/>
            </w:pPr>
            <w:r>
              <w:rPr>
                <w:rFonts w:ascii="宋体" w:hAnsi="宋体"/>
                <w:kern w:val="0"/>
                <w:szCs w:val="21"/>
              </w:rPr>
              <w:t>27,570.24</w:t>
            </w:r>
          </w:p>
        </w:tc>
        <w:tc>
          <w:tcPr>
            <w:tcW w:w="1419" w:type="dxa"/>
            <w:vAlign w:val="center"/>
          </w:tcPr>
          <w:p w:rsidR="000F21E5" w:rsidRDefault="00F77F6B">
            <w:pPr>
              <w:jc w:val="center"/>
            </w:pPr>
            <w:r>
              <w:rPr>
                <w:rFonts w:ascii="宋体" w:hAnsi="宋体"/>
                <w:kern w:val="0"/>
                <w:szCs w:val="21"/>
              </w:rPr>
              <w:t>0.00</w:t>
            </w:r>
          </w:p>
        </w:tc>
        <w:tc>
          <w:tcPr>
            <w:tcW w:w="1130" w:type="dxa"/>
            <w:vAlign w:val="center"/>
          </w:tcPr>
          <w:p w:rsidR="000F21E5" w:rsidRDefault="00F77F6B">
            <w:pPr>
              <w:jc w:val="center"/>
            </w:pPr>
            <w:r>
              <w:rPr>
                <w:rFonts w:ascii="宋体" w:hAnsi="宋体"/>
                <w:kern w:val="0"/>
                <w:szCs w:val="21"/>
              </w:rPr>
              <w:t>0.00%</w:t>
            </w:r>
          </w:p>
        </w:tc>
      </w:tr>
      <w:tr w:rsidR="000F21E5">
        <w:tc>
          <w:tcPr>
            <w:tcW w:w="993" w:type="dxa"/>
            <w:vMerge/>
          </w:tcPr>
          <w:p w:rsidR="000F21E5" w:rsidRDefault="000F21E5"/>
        </w:tc>
        <w:tc>
          <w:tcPr>
            <w:tcW w:w="992" w:type="dxa"/>
            <w:vAlign w:val="center"/>
          </w:tcPr>
          <w:p w:rsidR="000F21E5" w:rsidRDefault="00F77F6B">
            <w:pPr>
              <w:jc w:val="center"/>
            </w:pPr>
            <w:r>
              <w:rPr>
                <w:rFonts w:ascii="宋体" w:hAnsi="宋体"/>
                <w:kern w:val="0"/>
                <w:szCs w:val="21"/>
              </w:rPr>
              <w:t>2</w:t>
            </w:r>
          </w:p>
        </w:tc>
        <w:tc>
          <w:tcPr>
            <w:tcW w:w="1843" w:type="dxa"/>
            <w:vAlign w:val="center"/>
          </w:tcPr>
          <w:p w:rsidR="000F21E5" w:rsidRDefault="00F77F6B">
            <w:pPr>
              <w:jc w:val="center"/>
            </w:pPr>
            <w:r>
              <w:rPr>
                <w:rFonts w:ascii="宋体" w:hAnsi="宋体"/>
                <w:kern w:val="0"/>
                <w:szCs w:val="21"/>
              </w:rPr>
              <w:t>20180727-20180814</w:t>
            </w:r>
          </w:p>
        </w:tc>
        <w:tc>
          <w:tcPr>
            <w:tcW w:w="851" w:type="dxa"/>
            <w:vAlign w:val="center"/>
          </w:tcPr>
          <w:p w:rsidR="000F21E5" w:rsidRDefault="00F77F6B">
            <w:pPr>
              <w:jc w:val="center"/>
            </w:pPr>
            <w:r>
              <w:rPr>
                <w:rFonts w:ascii="宋体" w:hAnsi="宋体"/>
                <w:kern w:val="0"/>
                <w:szCs w:val="21"/>
              </w:rPr>
              <w:t>7,288.32</w:t>
            </w:r>
          </w:p>
        </w:tc>
        <w:tc>
          <w:tcPr>
            <w:tcW w:w="850" w:type="dxa"/>
            <w:vAlign w:val="center"/>
          </w:tcPr>
          <w:p w:rsidR="000F21E5" w:rsidRDefault="00F77F6B">
            <w:pPr>
              <w:jc w:val="center"/>
            </w:pPr>
            <w:r>
              <w:rPr>
                <w:rFonts w:ascii="宋体" w:hAnsi="宋体"/>
                <w:kern w:val="0"/>
                <w:szCs w:val="21"/>
              </w:rPr>
              <w:t>0.00</w:t>
            </w:r>
          </w:p>
        </w:tc>
        <w:tc>
          <w:tcPr>
            <w:tcW w:w="1134" w:type="dxa"/>
            <w:vAlign w:val="center"/>
          </w:tcPr>
          <w:p w:rsidR="000F21E5" w:rsidRDefault="00F77F6B">
            <w:pPr>
              <w:jc w:val="center"/>
            </w:pPr>
            <w:r>
              <w:rPr>
                <w:rFonts w:ascii="宋体" w:hAnsi="宋体"/>
                <w:kern w:val="0"/>
                <w:szCs w:val="21"/>
              </w:rPr>
              <w:t>0.00</w:t>
            </w:r>
          </w:p>
        </w:tc>
        <w:tc>
          <w:tcPr>
            <w:tcW w:w="1419" w:type="dxa"/>
            <w:vAlign w:val="center"/>
          </w:tcPr>
          <w:p w:rsidR="000F21E5" w:rsidRDefault="00F77F6B">
            <w:pPr>
              <w:jc w:val="center"/>
            </w:pPr>
            <w:r>
              <w:rPr>
                <w:rFonts w:ascii="宋体" w:hAnsi="宋体"/>
                <w:kern w:val="0"/>
                <w:szCs w:val="21"/>
              </w:rPr>
              <w:t>7,288.32</w:t>
            </w:r>
          </w:p>
        </w:tc>
        <w:tc>
          <w:tcPr>
            <w:tcW w:w="1130" w:type="dxa"/>
            <w:vAlign w:val="center"/>
          </w:tcPr>
          <w:p w:rsidR="000F21E5" w:rsidRDefault="00F77F6B">
            <w:pPr>
              <w:jc w:val="center"/>
            </w:pPr>
            <w:r>
              <w:rPr>
                <w:rFonts w:ascii="宋体" w:hAnsi="宋体"/>
                <w:kern w:val="0"/>
                <w:szCs w:val="21"/>
              </w:rPr>
              <w:t>5.04%</w:t>
            </w:r>
          </w:p>
        </w:tc>
      </w:tr>
      <w:tr w:rsidR="000F21E5">
        <w:tc>
          <w:tcPr>
            <w:tcW w:w="993" w:type="dxa"/>
            <w:vMerge/>
          </w:tcPr>
          <w:p w:rsidR="000F21E5" w:rsidRDefault="000F21E5"/>
        </w:tc>
        <w:tc>
          <w:tcPr>
            <w:tcW w:w="992" w:type="dxa"/>
            <w:vAlign w:val="center"/>
          </w:tcPr>
          <w:p w:rsidR="000F21E5" w:rsidRDefault="00F77F6B">
            <w:pPr>
              <w:jc w:val="center"/>
            </w:pPr>
            <w:r>
              <w:rPr>
                <w:rFonts w:ascii="宋体" w:hAnsi="宋体"/>
                <w:kern w:val="0"/>
                <w:szCs w:val="21"/>
              </w:rPr>
              <w:t>3</w:t>
            </w:r>
          </w:p>
        </w:tc>
        <w:tc>
          <w:tcPr>
            <w:tcW w:w="1843" w:type="dxa"/>
            <w:vAlign w:val="center"/>
          </w:tcPr>
          <w:p w:rsidR="000F21E5" w:rsidRDefault="00F77F6B">
            <w:pPr>
              <w:jc w:val="center"/>
            </w:pPr>
            <w:r>
              <w:rPr>
                <w:rFonts w:ascii="宋体" w:hAnsi="宋体"/>
                <w:kern w:val="0"/>
                <w:szCs w:val="21"/>
              </w:rPr>
              <w:t>20180808-20180808</w:t>
            </w:r>
          </w:p>
        </w:tc>
        <w:tc>
          <w:tcPr>
            <w:tcW w:w="851" w:type="dxa"/>
            <w:vAlign w:val="center"/>
          </w:tcPr>
          <w:p w:rsidR="000F21E5" w:rsidRDefault="00F77F6B">
            <w:pPr>
              <w:jc w:val="center"/>
            </w:pPr>
            <w:r>
              <w:rPr>
                <w:rFonts w:ascii="宋体" w:hAnsi="宋体"/>
                <w:kern w:val="0"/>
                <w:szCs w:val="21"/>
              </w:rPr>
              <w:t>0.00</w:t>
            </w:r>
          </w:p>
        </w:tc>
        <w:tc>
          <w:tcPr>
            <w:tcW w:w="850" w:type="dxa"/>
            <w:vAlign w:val="center"/>
          </w:tcPr>
          <w:p w:rsidR="000F21E5" w:rsidRDefault="00F77F6B">
            <w:pPr>
              <w:jc w:val="center"/>
            </w:pPr>
            <w:r>
              <w:rPr>
                <w:rFonts w:ascii="宋体" w:hAnsi="宋体"/>
                <w:kern w:val="0"/>
                <w:szCs w:val="21"/>
              </w:rPr>
              <w:t>4,270.18</w:t>
            </w:r>
          </w:p>
        </w:tc>
        <w:tc>
          <w:tcPr>
            <w:tcW w:w="1134" w:type="dxa"/>
            <w:vAlign w:val="center"/>
          </w:tcPr>
          <w:p w:rsidR="000F21E5" w:rsidRDefault="00F77F6B">
            <w:pPr>
              <w:jc w:val="center"/>
            </w:pPr>
            <w:r>
              <w:rPr>
                <w:rFonts w:ascii="宋体" w:hAnsi="宋体"/>
                <w:kern w:val="0"/>
                <w:szCs w:val="21"/>
              </w:rPr>
              <w:t>0.00</w:t>
            </w:r>
          </w:p>
        </w:tc>
        <w:tc>
          <w:tcPr>
            <w:tcW w:w="1419" w:type="dxa"/>
            <w:vAlign w:val="center"/>
          </w:tcPr>
          <w:p w:rsidR="000F21E5" w:rsidRDefault="00F77F6B">
            <w:pPr>
              <w:jc w:val="center"/>
            </w:pPr>
            <w:r>
              <w:rPr>
                <w:rFonts w:ascii="宋体" w:hAnsi="宋体"/>
                <w:kern w:val="0"/>
                <w:szCs w:val="21"/>
              </w:rPr>
              <w:t>4,270.18</w:t>
            </w:r>
          </w:p>
        </w:tc>
        <w:tc>
          <w:tcPr>
            <w:tcW w:w="1130" w:type="dxa"/>
            <w:vAlign w:val="center"/>
          </w:tcPr>
          <w:p w:rsidR="000F21E5" w:rsidRDefault="00F77F6B">
            <w:pPr>
              <w:jc w:val="center"/>
            </w:pPr>
            <w:r>
              <w:rPr>
                <w:rFonts w:ascii="宋体" w:hAnsi="宋体"/>
                <w:kern w:val="0"/>
                <w:szCs w:val="21"/>
              </w:rPr>
              <w:t>2.95%</w:t>
            </w:r>
          </w:p>
        </w:tc>
      </w:tr>
      <w:tr w:rsidR="000F21E5">
        <w:tc>
          <w:tcPr>
            <w:tcW w:w="993" w:type="dxa"/>
            <w:vMerge/>
          </w:tcPr>
          <w:p w:rsidR="000F21E5" w:rsidRDefault="000F21E5"/>
        </w:tc>
        <w:tc>
          <w:tcPr>
            <w:tcW w:w="992" w:type="dxa"/>
            <w:vAlign w:val="center"/>
          </w:tcPr>
          <w:p w:rsidR="000F21E5" w:rsidRDefault="00F77F6B">
            <w:pPr>
              <w:jc w:val="center"/>
            </w:pPr>
            <w:r>
              <w:rPr>
                <w:rFonts w:ascii="宋体" w:hAnsi="宋体"/>
                <w:kern w:val="0"/>
                <w:szCs w:val="21"/>
              </w:rPr>
              <w:t>4</w:t>
            </w:r>
          </w:p>
        </w:tc>
        <w:tc>
          <w:tcPr>
            <w:tcW w:w="1843" w:type="dxa"/>
            <w:vAlign w:val="center"/>
          </w:tcPr>
          <w:p w:rsidR="000F21E5" w:rsidRDefault="00F77F6B">
            <w:pPr>
              <w:jc w:val="center"/>
            </w:pPr>
            <w:r>
              <w:rPr>
                <w:rFonts w:ascii="宋体" w:hAnsi="宋体"/>
                <w:kern w:val="0"/>
                <w:szCs w:val="21"/>
              </w:rPr>
              <w:t>20180809-20180814</w:t>
            </w:r>
          </w:p>
        </w:tc>
        <w:tc>
          <w:tcPr>
            <w:tcW w:w="851" w:type="dxa"/>
            <w:vAlign w:val="center"/>
          </w:tcPr>
          <w:p w:rsidR="000F21E5" w:rsidRDefault="00F77F6B">
            <w:pPr>
              <w:jc w:val="center"/>
            </w:pPr>
            <w:r>
              <w:rPr>
                <w:rFonts w:ascii="宋体" w:hAnsi="宋体"/>
                <w:kern w:val="0"/>
                <w:szCs w:val="21"/>
              </w:rPr>
              <w:t>0.00</w:t>
            </w:r>
          </w:p>
        </w:tc>
        <w:tc>
          <w:tcPr>
            <w:tcW w:w="850" w:type="dxa"/>
            <w:vAlign w:val="center"/>
          </w:tcPr>
          <w:p w:rsidR="000F21E5" w:rsidRDefault="00F77F6B">
            <w:pPr>
              <w:jc w:val="center"/>
            </w:pPr>
            <w:r>
              <w:rPr>
                <w:rFonts w:ascii="宋体" w:hAnsi="宋体"/>
                <w:kern w:val="0"/>
                <w:szCs w:val="21"/>
              </w:rPr>
              <w:t>18,994.31</w:t>
            </w:r>
          </w:p>
        </w:tc>
        <w:tc>
          <w:tcPr>
            <w:tcW w:w="1134" w:type="dxa"/>
            <w:vAlign w:val="center"/>
          </w:tcPr>
          <w:p w:rsidR="000F21E5" w:rsidRDefault="00F77F6B">
            <w:pPr>
              <w:jc w:val="center"/>
            </w:pPr>
            <w:r>
              <w:rPr>
                <w:rFonts w:ascii="宋体" w:hAnsi="宋体"/>
                <w:kern w:val="0"/>
                <w:szCs w:val="21"/>
              </w:rPr>
              <w:t>8,700.00</w:t>
            </w:r>
          </w:p>
        </w:tc>
        <w:tc>
          <w:tcPr>
            <w:tcW w:w="1419" w:type="dxa"/>
            <w:vAlign w:val="center"/>
          </w:tcPr>
          <w:p w:rsidR="000F21E5" w:rsidRDefault="00F77F6B">
            <w:pPr>
              <w:jc w:val="center"/>
            </w:pPr>
            <w:r>
              <w:rPr>
                <w:rFonts w:ascii="宋体" w:hAnsi="宋体"/>
                <w:kern w:val="0"/>
                <w:szCs w:val="21"/>
              </w:rPr>
              <w:t>10,294.31</w:t>
            </w:r>
          </w:p>
        </w:tc>
        <w:tc>
          <w:tcPr>
            <w:tcW w:w="1130" w:type="dxa"/>
            <w:vAlign w:val="center"/>
          </w:tcPr>
          <w:p w:rsidR="000F21E5" w:rsidRDefault="00F77F6B">
            <w:pPr>
              <w:jc w:val="center"/>
            </w:pPr>
            <w:r>
              <w:rPr>
                <w:rFonts w:ascii="宋体" w:hAnsi="宋体"/>
                <w:kern w:val="0"/>
                <w:szCs w:val="21"/>
              </w:rPr>
              <w:t>7.12%</w:t>
            </w:r>
          </w:p>
        </w:tc>
      </w:tr>
      <w:tr w:rsidR="000F21E5">
        <w:tc>
          <w:tcPr>
            <w:tcW w:w="993" w:type="dxa"/>
            <w:vMerge/>
          </w:tcPr>
          <w:p w:rsidR="000F21E5" w:rsidRDefault="000F21E5"/>
        </w:tc>
        <w:tc>
          <w:tcPr>
            <w:tcW w:w="992" w:type="dxa"/>
            <w:vAlign w:val="center"/>
          </w:tcPr>
          <w:p w:rsidR="000F21E5" w:rsidRDefault="00F77F6B">
            <w:pPr>
              <w:jc w:val="center"/>
            </w:pPr>
            <w:r>
              <w:rPr>
                <w:rFonts w:ascii="宋体" w:hAnsi="宋体"/>
                <w:kern w:val="0"/>
                <w:szCs w:val="21"/>
              </w:rPr>
              <w:t>5</w:t>
            </w:r>
          </w:p>
        </w:tc>
        <w:tc>
          <w:tcPr>
            <w:tcW w:w="1843" w:type="dxa"/>
            <w:vAlign w:val="center"/>
          </w:tcPr>
          <w:p w:rsidR="000F21E5" w:rsidRDefault="00F77F6B">
            <w:pPr>
              <w:jc w:val="center"/>
            </w:pPr>
            <w:r>
              <w:rPr>
                <w:rFonts w:ascii="宋体" w:hAnsi="宋体"/>
                <w:kern w:val="0"/>
                <w:szCs w:val="21"/>
              </w:rPr>
              <w:t>20180816-20180918</w:t>
            </w:r>
          </w:p>
        </w:tc>
        <w:tc>
          <w:tcPr>
            <w:tcW w:w="851" w:type="dxa"/>
            <w:vAlign w:val="center"/>
          </w:tcPr>
          <w:p w:rsidR="000F21E5" w:rsidRDefault="00F77F6B">
            <w:pPr>
              <w:jc w:val="center"/>
            </w:pPr>
            <w:r>
              <w:rPr>
                <w:rFonts w:ascii="宋体" w:hAnsi="宋体"/>
                <w:kern w:val="0"/>
                <w:szCs w:val="21"/>
              </w:rPr>
              <w:t>0.92</w:t>
            </w:r>
          </w:p>
        </w:tc>
        <w:tc>
          <w:tcPr>
            <w:tcW w:w="850" w:type="dxa"/>
            <w:vAlign w:val="center"/>
          </w:tcPr>
          <w:p w:rsidR="000F21E5" w:rsidRDefault="00F77F6B">
            <w:pPr>
              <w:jc w:val="center"/>
            </w:pPr>
            <w:r>
              <w:rPr>
                <w:rFonts w:ascii="宋体" w:hAnsi="宋体"/>
                <w:kern w:val="0"/>
                <w:szCs w:val="21"/>
              </w:rPr>
              <w:t>42,636.82</w:t>
            </w:r>
          </w:p>
        </w:tc>
        <w:tc>
          <w:tcPr>
            <w:tcW w:w="1134" w:type="dxa"/>
            <w:vAlign w:val="center"/>
          </w:tcPr>
          <w:p w:rsidR="000F21E5" w:rsidRDefault="00F77F6B">
            <w:pPr>
              <w:jc w:val="center"/>
            </w:pPr>
            <w:r>
              <w:rPr>
                <w:rFonts w:ascii="宋体" w:hAnsi="宋体"/>
                <w:kern w:val="0"/>
                <w:szCs w:val="21"/>
              </w:rPr>
              <w:t>0.00</w:t>
            </w:r>
          </w:p>
        </w:tc>
        <w:tc>
          <w:tcPr>
            <w:tcW w:w="1419" w:type="dxa"/>
            <w:vAlign w:val="center"/>
          </w:tcPr>
          <w:p w:rsidR="000F21E5" w:rsidRDefault="00F77F6B">
            <w:pPr>
              <w:jc w:val="center"/>
            </w:pPr>
            <w:r>
              <w:rPr>
                <w:rFonts w:ascii="宋体" w:hAnsi="宋体"/>
                <w:kern w:val="0"/>
                <w:szCs w:val="21"/>
              </w:rPr>
              <w:t>42,637.74</w:t>
            </w:r>
          </w:p>
        </w:tc>
        <w:tc>
          <w:tcPr>
            <w:tcW w:w="1130" w:type="dxa"/>
            <w:vAlign w:val="center"/>
          </w:tcPr>
          <w:p w:rsidR="000F21E5" w:rsidRDefault="00F77F6B">
            <w:pPr>
              <w:jc w:val="center"/>
            </w:pPr>
            <w:r>
              <w:rPr>
                <w:rFonts w:ascii="宋体" w:hAnsi="宋体"/>
                <w:kern w:val="0"/>
                <w:szCs w:val="21"/>
              </w:rPr>
              <w:t>29.50%</w:t>
            </w:r>
          </w:p>
        </w:tc>
      </w:tr>
      <w:tr w:rsidR="000F21E5">
        <w:tc>
          <w:tcPr>
            <w:tcW w:w="9212" w:type="dxa"/>
            <w:gridSpan w:val="8"/>
            <w:vAlign w:val="center"/>
          </w:tcPr>
          <w:p w:rsidR="000F21E5" w:rsidRDefault="00F77F6B">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F21E5">
        <w:tc>
          <w:tcPr>
            <w:tcW w:w="9212" w:type="dxa"/>
            <w:gridSpan w:val="8"/>
            <w:vAlign w:val="center"/>
          </w:tcPr>
          <w:p w:rsidR="000F21E5" w:rsidRDefault="00F77F6B">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0F21E5" w:rsidRDefault="00F77F6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0F21E5" w:rsidRDefault="00F77F6B">
      <w:pPr>
        <w:spacing w:line="360" w:lineRule="auto"/>
        <w:ind w:firstLineChars="200" w:firstLine="420"/>
        <w:rPr>
          <w:rFonts w:ascii="宋体" w:hAnsi="宋体"/>
          <w:color w:val="000000"/>
          <w:szCs w:val="21"/>
        </w:rPr>
      </w:pPr>
      <w:r>
        <w:rPr>
          <w:rFonts w:ascii="宋体" w:hAnsi="宋体"/>
          <w:color w:val="000000"/>
          <w:szCs w:val="21"/>
        </w:rPr>
        <w:t>无。</w:t>
      </w:r>
    </w:p>
    <w:p w:rsidR="000F21E5" w:rsidRDefault="00F77F6B" w:rsidP="009819C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0F21E5" w:rsidRDefault="00F77F6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、《华安新安平灵活配置混合型证券投资基金基金合同》</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、《华安新安平灵活配置混合型证券投资基金招募说明书》</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、《华安新安平灵活配置混合型证券投资基金托管协议》</w:t>
      </w:r>
    </w:p>
    <w:p w:rsidR="000F21E5" w:rsidRDefault="00F77F6B" w:rsidP="009819C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0F21E5" w:rsidRDefault="00F77F6B" w:rsidP="009819C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0F21E5" w:rsidRDefault="00F77F6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0F21E5" w:rsidRDefault="000F21E5">
      <w:pPr>
        <w:spacing w:line="360" w:lineRule="auto"/>
        <w:ind w:left="840"/>
        <w:jc w:val="right"/>
        <w:rPr>
          <w:rFonts w:eastAsiaTheme="minorEastAsia"/>
          <w:color w:val="000000" w:themeColor="text1"/>
          <w:szCs w:val="21"/>
        </w:rPr>
      </w:pPr>
    </w:p>
    <w:p w:rsidR="000F21E5" w:rsidRDefault="000F21E5">
      <w:pPr>
        <w:spacing w:line="360" w:lineRule="auto"/>
        <w:ind w:left="840"/>
        <w:jc w:val="center"/>
        <w:rPr>
          <w:rFonts w:eastAsiaTheme="minorEastAsia"/>
          <w:b/>
          <w:color w:val="000000" w:themeColor="text1"/>
          <w:szCs w:val="21"/>
        </w:rPr>
      </w:pPr>
    </w:p>
    <w:p w:rsidR="000F21E5" w:rsidRDefault="00F77F6B">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0F21E5" w:rsidRDefault="00F77F6B">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二〇一八年十月二十六日</w:t>
      </w:r>
    </w:p>
    <w:sectPr w:rsidR="000F21E5" w:rsidSect="008D53A8">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CC" w:rsidRDefault="004502CC">
      <w:r>
        <w:separator/>
      </w:r>
    </w:p>
  </w:endnote>
  <w:endnote w:type="continuationSeparator" w:id="1">
    <w:p w:rsidR="004502CC" w:rsidRDefault="00450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C" w:rsidRDefault="004502CC">
    <w:pPr>
      <w:pStyle w:val="ac"/>
      <w:jc w:val="center"/>
    </w:pPr>
    <w:r>
      <w:rPr>
        <w:rFonts w:hint="eastAsia"/>
        <w:kern w:val="0"/>
        <w:szCs w:val="21"/>
      </w:rPr>
      <w:t>第</w:t>
    </w:r>
    <w:r w:rsidR="0027518F">
      <w:rPr>
        <w:kern w:val="0"/>
        <w:szCs w:val="21"/>
      </w:rPr>
      <w:fldChar w:fldCharType="begin"/>
    </w:r>
    <w:r>
      <w:rPr>
        <w:kern w:val="0"/>
        <w:szCs w:val="21"/>
      </w:rPr>
      <w:instrText xml:space="preserve"> PAGE </w:instrText>
    </w:r>
    <w:r w:rsidR="0027518F">
      <w:rPr>
        <w:kern w:val="0"/>
        <w:szCs w:val="21"/>
      </w:rPr>
      <w:fldChar w:fldCharType="separate"/>
    </w:r>
    <w:r w:rsidR="009819C5">
      <w:rPr>
        <w:noProof/>
        <w:kern w:val="0"/>
        <w:szCs w:val="21"/>
      </w:rPr>
      <w:t>1</w:t>
    </w:r>
    <w:r w:rsidR="0027518F">
      <w:rPr>
        <w:kern w:val="0"/>
        <w:szCs w:val="21"/>
      </w:rPr>
      <w:fldChar w:fldCharType="end"/>
    </w:r>
    <w:r>
      <w:rPr>
        <w:rFonts w:hint="eastAsia"/>
        <w:kern w:val="0"/>
        <w:szCs w:val="21"/>
      </w:rPr>
      <w:t>页共</w:t>
    </w:r>
    <w:r w:rsidR="0027518F">
      <w:rPr>
        <w:kern w:val="0"/>
        <w:szCs w:val="21"/>
      </w:rPr>
      <w:fldChar w:fldCharType="begin"/>
    </w:r>
    <w:r>
      <w:rPr>
        <w:kern w:val="0"/>
        <w:szCs w:val="21"/>
      </w:rPr>
      <w:instrText xml:space="preserve"> NUMPAGES </w:instrText>
    </w:r>
    <w:r w:rsidR="0027518F">
      <w:rPr>
        <w:kern w:val="0"/>
        <w:szCs w:val="21"/>
      </w:rPr>
      <w:fldChar w:fldCharType="separate"/>
    </w:r>
    <w:r w:rsidR="009819C5">
      <w:rPr>
        <w:noProof/>
        <w:kern w:val="0"/>
        <w:szCs w:val="21"/>
      </w:rPr>
      <w:t>3</w:t>
    </w:r>
    <w:r w:rsidR="0027518F">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C" w:rsidRDefault="0027518F">
    <w:pPr>
      <w:pStyle w:val="ac"/>
      <w:framePr w:wrap="around" w:vAnchor="text" w:hAnchor="margin" w:xAlign="center" w:y="1"/>
      <w:rPr>
        <w:rStyle w:val="af2"/>
      </w:rPr>
    </w:pPr>
    <w:r>
      <w:rPr>
        <w:rStyle w:val="af2"/>
      </w:rPr>
      <w:fldChar w:fldCharType="begin"/>
    </w:r>
    <w:r w:rsidR="004502CC">
      <w:rPr>
        <w:rStyle w:val="af2"/>
      </w:rPr>
      <w:instrText xml:space="preserve">PAGE  </w:instrText>
    </w:r>
    <w:r>
      <w:rPr>
        <w:rStyle w:val="af2"/>
      </w:rPr>
      <w:fldChar w:fldCharType="end"/>
    </w:r>
  </w:p>
  <w:p w:rsidR="004502CC" w:rsidRDefault="004502C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C" w:rsidRDefault="0027518F">
    <w:pPr>
      <w:pStyle w:val="ac"/>
      <w:framePr w:wrap="around" w:vAnchor="text" w:hAnchor="margin" w:xAlign="center" w:y="1"/>
      <w:rPr>
        <w:rStyle w:val="af2"/>
      </w:rPr>
    </w:pPr>
    <w:r>
      <w:rPr>
        <w:rStyle w:val="af2"/>
      </w:rPr>
      <w:fldChar w:fldCharType="begin"/>
    </w:r>
    <w:r w:rsidR="004502CC">
      <w:rPr>
        <w:rStyle w:val="af2"/>
      </w:rPr>
      <w:instrText xml:space="preserve">PAGE  </w:instrText>
    </w:r>
    <w:r>
      <w:rPr>
        <w:rStyle w:val="af2"/>
      </w:rPr>
      <w:fldChar w:fldCharType="separate"/>
    </w:r>
    <w:r w:rsidR="009819C5">
      <w:rPr>
        <w:rStyle w:val="af2"/>
        <w:noProof/>
      </w:rPr>
      <w:t>2</w:t>
    </w:r>
    <w:r>
      <w:rPr>
        <w:rStyle w:val="af2"/>
      </w:rPr>
      <w:fldChar w:fldCharType="end"/>
    </w:r>
  </w:p>
  <w:p w:rsidR="004502CC" w:rsidRDefault="004502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CC" w:rsidRDefault="004502CC">
      <w:r>
        <w:separator/>
      </w:r>
    </w:p>
  </w:footnote>
  <w:footnote w:type="continuationSeparator" w:id="1">
    <w:p w:rsidR="004502CC" w:rsidRDefault="00450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C" w:rsidRDefault="004502CC">
    <w:pPr>
      <w:pStyle w:val="ad"/>
      <w:pBdr>
        <w:bottom w:val="single" w:sz="6" w:space="0" w:color="auto"/>
      </w:pBdr>
      <w:jc w:val="right"/>
    </w:pPr>
    <w:r>
      <w:t>华安新安平灵活配置混合型证券投资基金</w:t>
    </w:r>
    <w:r>
      <w:t>2018</w:t>
    </w:r>
    <w:r>
      <w:t>年第</w:t>
    </w:r>
    <w:r>
      <w:t>3</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9766D"/>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21E5"/>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18F"/>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02CC"/>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59F6"/>
    <w:rsid w:val="007763A5"/>
    <w:rsid w:val="0078105B"/>
    <w:rsid w:val="00782B50"/>
    <w:rsid w:val="00784FE0"/>
    <w:rsid w:val="007858B1"/>
    <w:rsid w:val="0078648E"/>
    <w:rsid w:val="00791A3A"/>
    <w:rsid w:val="00791D9C"/>
    <w:rsid w:val="007A3076"/>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A7174"/>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53A8"/>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19C5"/>
    <w:rsid w:val="00982E47"/>
    <w:rsid w:val="00982EAE"/>
    <w:rsid w:val="00983E7D"/>
    <w:rsid w:val="00991642"/>
    <w:rsid w:val="0099260C"/>
    <w:rsid w:val="009942F4"/>
    <w:rsid w:val="009958F1"/>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7F6B"/>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3A8"/>
    <w:pPr>
      <w:widowControl w:val="0"/>
      <w:jc w:val="both"/>
    </w:pPr>
    <w:rPr>
      <w:kern w:val="2"/>
      <w:sz w:val="21"/>
      <w:szCs w:val="24"/>
    </w:rPr>
  </w:style>
  <w:style w:type="paragraph" w:styleId="1">
    <w:name w:val="heading 1"/>
    <w:basedOn w:val="a"/>
    <w:next w:val="a"/>
    <w:link w:val="1Char"/>
    <w:qFormat/>
    <w:rsid w:val="008D53A8"/>
    <w:pPr>
      <w:keepNext/>
      <w:keepLines/>
      <w:spacing w:before="340" w:after="330" w:line="578" w:lineRule="auto"/>
      <w:outlineLvl w:val="0"/>
    </w:pPr>
    <w:rPr>
      <w:b/>
      <w:bCs/>
      <w:kern w:val="44"/>
      <w:sz w:val="44"/>
      <w:szCs w:val="44"/>
    </w:rPr>
  </w:style>
  <w:style w:type="paragraph" w:styleId="2">
    <w:name w:val="heading 2"/>
    <w:basedOn w:val="a"/>
    <w:next w:val="a0"/>
    <w:qFormat/>
    <w:rsid w:val="008D53A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8D53A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8D53A8"/>
    <w:pPr>
      <w:ind w:firstLineChars="200" w:firstLine="420"/>
    </w:pPr>
  </w:style>
  <w:style w:type="paragraph" w:styleId="a4">
    <w:name w:val="annotation subject"/>
    <w:basedOn w:val="a5"/>
    <w:next w:val="a5"/>
    <w:semiHidden/>
    <w:qFormat/>
    <w:rsid w:val="008D53A8"/>
    <w:rPr>
      <w:b/>
      <w:bCs/>
    </w:rPr>
  </w:style>
  <w:style w:type="paragraph" w:styleId="a5">
    <w:name w:val="annotation text"/>
    <w:basedOn w:val="a"/>
    <w:semiHidden/>
    <w:qFormat/>
    <w:rsid w:val="008D53A8"/>
    <w:pPr>
      <w:jc w:val="left"/>
    </w:pPr>
  </w:style>
  <w:style w:type="paragraph" w:styleId="a6">
    <w:name w:val="Document Map"/>
    <w:basedOn w:val="a"/>
    <w:semiHidden/>
    <w:qFormat/>
    <w:rsid w:val="008D53A8"/>
    <w:pPr>
      <w:shd w:val="clear" w:color="auto" w:fill="000080"/>
    </w:pPr>
  </w:style>
  <w:style w:type="paragraph" w:styleId="a7">
    <w:name w:val="Body Text"/>
    <w:basedOn w:val="a"/>
    <w:qFormat/>
    <w:rsid w:val="008D53A8"/>
    <w:pPr>
      <w:spacing w:after="120"/>
    </w:pPr>
  </w:style>
  <w:style w:type="paragraph" w:styleId="a8">
    <w:name w:val="Body Text Indent"/>
    <w:basedOn w:val="a"/>
    <w:qFormat/>
    <w:rsid w:val="008D53A8"/>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8D53A8"/>
    <w:rPr>
      <w:rFonts w:ascii="宋体" w:hAnsi="Courier New"/>
      <w:szCs w:val="21"/>
    </w:rPr>
  </w:style>
  <w:style w:type="paragraph" w:styleId="aa">
    <w:name w:val="Date"/>
    <w:basedOn w:val="a"/>
    <w:next w:val="a"/>
    <w:link w:val="Char0"/>
    <w:qFormat/>
    <w:rsid w:val="008D53A8"/>
    <w:rPr>
      <w:sz w:val="24"/>
      <w:szCs w:val="20"/>
    </w:rPr>
  </w:style>
  <w:style w:type="paragraph" w:styleId="20">
    <w:name w:val="Body Text Indent 2"/>
    <w:basedOn w:val="a"/>
    <w:qFormat/>
    <w:rsid w:val="008D53A8"/>
    <w:pPr>
      <w:spacing w:line="560" w:lineRule="exact"/>
      <w:ind w:firstLineChars="200" w:firstLine="480"/>
    </w:pPr>
    <w:rPr>
      <w:rFonts w:ascii="宋体" w:hAnsi="宋体"/>
      <w:color w:val="FF0000"/>
      <w:sz w:val="24"/>
    </w:rPr>
  </w:style>
  <w:style w:type="paragraph" w:styleId="ab">
    <w:name w:val="Balloon Text"/>
    <w:basedOn w:val="a"/>
    <w:semiHidden/>
    <w:qFormat/>
    <w:rsid w:val="008D53A8"/>
    <w:rPr>
      <w:sz w:val="18"/>
      <w:szCs w:val="18"/>
    </w:rPr>
  </w:style>
  <w:style w:type="paragraph" w:styleId="ac">
    <w:name w:val="footer"/>
    <w:basedOn w:val="a"/>
    <w:qFormat/>
    <w:rsid w:val="008D53A8"/>
    <w:pPr>
      <w:tabs>
        <w:tab w:val="center" w:pos="4153"/>
        <w:tab w:val="right" w:pos="8306"/>
      </w:tabs>
      <w:snapToGrid w:val="0"/>
      <w:jc w:val="left"/>
    </w:pPr>
    <w:rPr>
      <w:sz w:val="18"/>
      <w:szCs w:val="18"/>
    </w:rPr>
  </w:style>
  <w:style w:type="paragraph" w:styleId="ad">
    <w:name w:val="header"/>
    <w:basedOn w:val="a"/>
    <w:link w:val="Char1"/>
    <w:uiPriority w:val="99"/>
    <w:qFormat/>
    <w:rsid w:val="008D53A8"/>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8D53A8"/>
    <w:pPr>
      <w:spacing w:after="220" w:line="220" w:lineRule="atLeast"/>
      <w:ind w:left="1440" w:hanging="360"/>
    </w:pPr>
    <w:rPr>
      <w:szCs w:val="20"/>
    </w:rPr>
  </w:style>
  <w:style w:type="paragraph" w:styleId="af">
    <w:name w:val="footnote text"/>
    <w:basedOn w:val="a"/>
    <w:link w:val="Char2"/>
    <w:qFormat/>
    <w:rsid w:val="008D53A8"/>
    <w:pPr>
      <w:snapToGrid w:val="0"/>
      <w:jc w:val="left"/>
    </w:pPr>
    <w:rPr>
      <w:sz w:val="18"/>
      <w:szCs w:val="18"/>
    </w:rPr>
  </w:style>
  <w:style w:type="paragraph" w:styleId="30">
    <w:name w:val="Body Text Indent 3"/>
    <w:basedOn w:val="a"/>
    <w:qFormat/>
    <w:rsid w:val="008D53A8"/>
    <w:pPr>
      <w:spacing w:line="560" w:lineRule="exact"/>
      <w:ind w:firstLineChars="200" w:firstLine="420"/>
    </w:pPr>
    <w:rPr>
      <w:rFonts w:ascii="Arial" w:hAnsi="Arial" w:cs="Arial"/>
      <w:color w:val="FF0000"/>
    </w:rPr>
  </w:style>
  <w:style w:type="paragraph" w:styleId="af0">
    <w:name w:val="Normal (Web)"/>
    <w:basedOn w:val="a"/>
    <w:qFormat/>
    <w:rsid w:val="008D53A8"/>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8D53A8"/>
    <w:pPr>
      <w:jc w:val="right"/>
    </w:pPr>
    <w:rPr>
      <w:color w:val="008000"/>
    </w:rPr>
  </w:style>
  <w:style w:type="character" w:styleId="af1">
    <w:name w:val="Strong"/>
    <w:basedOn w:val="a1"/>
    <w:uiPriority w:val="22"/>
    <w:qFormat/>
    <w:rsid w:val="008D53A8"/>
    <w:rPr>
      <w:b/>
      <w:bCs/>
    </w:rPr>
  </w:style>
  <w:style w:type="character" w:styleId="af2">
    <w:name w:val="page number"/>
    <w:basedOn w:val="a1"/>
    <w:qFormat/>
    <w:rsid w:val="008D53A8"/>
  </w:style>
  <w:style w:type="character" w:styleId="af3">
    <w:name w:val="Hyperlink"/>
    <w:basedOn w:val="a1"/>
    <w:qFormat/>
    <w:rsid w:val="008D53A8"/>
    <w:rPr>
      <w:color w:val="0000FF"/>
      <w:u w:val="single"/>
    </w:rPr>
  </w:style>
  <w:style w:type="character" w:styleId="af4">
    <w:name w:val="annotation reference"/>
    <w:basedOn w:val="a1"/>
    <w:semiHidden/>
    <w:qFormat/>
    <w:rsid w:val="008D53A8"/>
    <w:rPr>
      <w:sz w:val="21"/>
      <w:szCs w:val="21"/>
    </w:rPr>
  </w:style>
  <w:style w:type="character" w:styleId="af5">
    <w:name w:val="footnote reference"/>
    <w:basedOn w:val="a1"/>
    <w:qFormat/>
    <w:rsid w:val="008D53A8"/>
    <w:rPr>
      <w:vertAlign w:val="superscript"/>
    </w:rPr>
  </w:style>
  <w:style w:type="table" w:styleId="af6">
    <w:name w:val="Table Grid"/>
    <w:basedOn w:val="a2"/>
    <w:qFormat/>
    <w:rsid w:val="008D53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8D53A8"/>
    <w:rPr>
      <w:color w:val="800080"/>
      <w:u w:val="single"/>
    </w:rPr>
  </w:style>
  <w:style w:type="character" w:customStyle="1" w:styleId="c1">
    <w:name w:val="c1"/>
    <w:basedOn w:val="a1"/>
    <w:qFormat/>
    <w:rsid w:val="008D53A8"/>
    <w:rPr>
      <w:color w:val="000000"/>
      <w:sz w:val="18"/>
      <w:szCs w:val="18"/>
    </w:rPr>
  </w:style>
  <w:style w:type="paragraph" w:customStyle="1" w:styleId="font5">
    <w:name w:val="font5"/>
    <w:basedOn w:val="a"/>
    <w:qFormat/>
    <w:rsid w:val="008D53A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8D53A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8D53A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8D53A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8D53A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8D53A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8D53A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8D53A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8D53A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8D53A8"/>
  </w:style>
  <w:style w:type="paragraph" w:customStyle="1" w:styleId="Char10">
    <w:name w:val="Char1"/>
    <w:basedOn w:val="a"/>
    <w:qFormat/>
    <w:rsid w:val="008D53A8"/>
  </w:style>
  <w:style w:type="character" w:customStyle="1" w:styleId="t1">
    <w:name w:val="t1"/>
    <w:basedOn w:val="a1"/>
    <w:qFormat/>
    <w:rsid w:val="008D53A8"/>
    <w:rPr>
      <w:color w:val="990000"/>
    </w:rPr>
  </w:style>
  <w:style w:type="character" w:customStyle="1" w:styleId="Char">
    <w:name w:val="纯文本 Char"/>
    <w:basedOn w:val="a1"/>
    <w:link w:val="a9"/>
    <w:uiPriority w:val="99"/>
    <w:rsid w:val="008D53A8"/>
    <w:rPr>
      <w:rFonts w:ascii="宋体" w:hAnsi="Courier New"/>
      <w:kern w:val="2"/>
      <w:sz w:val="21"/>
      <w:szCs w:val="21"/>
    </w:rPr>
  </w:style>
  <w:style w:type="character" w:customStyle="1" w:styleId="Char2">
    <w:name w:val="脚注文本 Char"/>
    <w:basedOn w:val="a1"/>
    <w:link w:val="af"/>
    <w:qFormat/>
    <w:rsid w:val="008D53A8"/>
    <w:rPr>
      <w:kern w:val="2"/>
      <w:sz w:val="18"/>
      <w:szCs w:val="18"/>
    </w:rPr>
  </w:style>
  <w:style w:type="paragraph" w:customStyle="1" w:styleId="Default">
    <w:name w:val="Default"/>
    <w:qFormat/>
    <w:rsid w:val="008D53A8"/>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8D53A8"/>
    <w:rPr>
      <w:kern w:val="2"/>
      <w:sz w:val="18"/>
      <w:szCs w:val="18"/>
    </w:rPr>
  </w:style>
  <w:style w:type="character" w:customStyle="1" w:styleId="1Char">
    <w:name w:val="标题 1 Char"/>
    <w:basedOn w:val="a1"/>
    <w:link w:val="1"/>
    <w:qFormat/>
    <w:rsid w:val="008D53A8"/>
    <w:rPr>
      <w:b/>
      <w:bCs/>
      <w:kern w:val="44"/>
      <w:sz w:val="44"/>
      <w:szCs w:val="44"/>
    </w:rPr>
  </w:style>
  <w:style w:type="character" w:customStyle="1" w:styleId="Char0">
    <w:name w:val="日期 Char"/>
    <w:basedOn w:val="a1"/>
    <w:link w:val="aa"/>
    <w:qFormat/>
    <w:rsid w:val="008D53A8"/>
    <w:rPr>
      <w:kern w:val="2"/>
      <w:sz w:val="24"/>
    </w:rPr>
  </w:style>
  <w:style w:type="character" w:customStyle="1" w:styleId="3Char">
    <w:name w:val="标题 3 Char"/>
    <w:basedOn w:val="a1"/>
    <w:link w:val="3"/>
    <w:uiPriority w:val="9"/>
    <w:qFormat/>
    <w:rsid w:val="008D53A8"/>
    <w:rPr>
      <w:rFonts w:asciiTheme="minorHAnsi" w:eastAsiaTheme="minorEastAsia" w:hAnsiTheme="minorHAnsi" w:cstheme="minorBidi"/>
      <w:b/>
      <w:bCs/>
      <w:kern w:val="2"/>
      <w:sz w:val="32"/>
      <w:szCs w:val="32"/>
    </w:rPr>
  </w:style>
  <w:style w:type="table" w:customStyle="1" w:styleId="12">
    <w:name w:val="网格型1"/>
    <w:basedOn w:val="a2"/>
    <w:qFormat/>
    <w:rsid w:val="008D53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8D53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366D4C0-39E0-4662-B40F-759E7BCFFF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1129</Words>
  <Characters>6437</Characters>
  <Application>Microsoft Office Word</Application>
  <DocSecurity>4</DocSecurity>
  <Lines>53</Lines>
  <Paragraphs>15</Paragraphs>
  <ScaleCrop>false</ScaleCrop>
  <Company>TRT. Ltd. Co.</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2018-10-23T06:10:00Z</cp:lastPrinted>
  <dcterms:created xsi:type="dcterms:W3CDTF">2018-10-25T16:43:00Z</dcterms:created>
  <dcterms:modified xsi:type="dcterms:W3CDTF">2018-10-25T16:43:00Z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