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广发量化稳健混合型证券投资基金</w:t>
      </w: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2018年第3季度报告</w:t>
      </w:r>
    </w:p>
    <w:p w:rsidR="004061AC" w:rsidRPr="00BF6314" w:rsidRDefault="00655CD8" w:rsidP="00542546">
      <w:pPr>
        <w:spacing w:line="360" w:lineRule="auto"/>
        <w:jc w:val="center"/>
        <w:rPr>
          <w:rFonts w:asciiTheme="minorEastAsia" w:eastAsiaTheme="minorEastAsia" w:hAnsiTheme="minorEastAsia"/>
          <w:b/>
          <w:sz w:val="24"/>
          <w:szCs w:val="24"/>
        </w:rPr>
      </w:pPr>
      <w:r w:rsidRPr="00BF6314">
        <w:rPr>
          <w:rFonts w:asciiTheme="minorEastAsia" w:eastAsiaTheme="minorEastAsia" w:hAnsiTheme="minorEastAsia"/>
          <w:b/>
          <w:sz w:val="24"/>
          <w:szCs w:val="24"/>
        </w:rPr>
        <w:t>2018年9月30日</w:t>
      </w: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rPr>
          <w:rFonts w:asciiTheme="minorEastAsia" w:eastAsiaTheme="minorEastAsia" w:hAnsiTheme="minorEastAsia"/>
          <w:b/>
          <w:bCs/>
          <w:color w:val="000000"/>
          <w:sz w:val="24"/>
          <w:szCs w:val="24"/>
        </w:rPr>
      </w:pP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基金管理人：</w:t>
      </w:r>
      <w:r w:rsidRPr="00264E55">
        <w:rPr>
          <w:rFonts w:asciiTheme="minorEastAsia" w:eastAsiaTheme="minorEastAsia" w:hAnsiTheme="minorEastAsia"/>
          <w:b/>
          <w:color w:val="000000"/>
          <w:sz w:val="24"/>
          <w:szCs w:val="24"/>
        </w:rPr>
        <w:t>广发基金管理有限公司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基金托管人：</w:t>
      </w:r>
      <w:r w:rsidRPr="00264E55">
        <w:rPr>
          <w:rFonts w:asciiTheme="minorEastAsia" w:eastAsiaTheme="minorEastAsia" w:hAnsiTheme="minorEastAsia"/>
          <w:b/>
          <w:color w:val="000000"/>
          <w:sz w:val="24"/>
          <w:szCs w:val="24"/>
        </w:rPr>
        <w:t>招商银行股份有限公司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sectPr w:rsidR="004061AC"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Theme="minorEastAsia" w:eastAsiaTheme="minorEastAsia" w:hAnsiTheme="minorEastAsia" w:hint="eastAsia"/>
          <w:b/>
          <w:color w:val="000000"/>
          <w:sz w:val="24"/>
          <w:szCs w:val="24"/>
        </w:rPr>
        <w:t>报告送出日期：</w:t>
      </w:r>
      <w:r w:rsidR="00F16E3F" w:rsidRPr="00264E55">
        <w:rPr>
          <w:rFonts w:asciiTheme="minorEastAsia" w:eastAsiaTheme="minorEastAsia" w:hAnsiTheme="minorEastAsia"/>
          <w:b/>
          <w:color w:val="000000"/>
          <w:sz w:val="24"/>
          <w:szCs w:val="24"/>
        </w:rPr>
        <w:t>二〇一八年十月二十五日</w:t>
      </w:r>
    </w:p>
    <w:p w:rsidR="004061AC" w:rsidRPr="001611C5" w:rsidRDefault="004061AC" w:rsidP="007F4E08">
      <w:pPr>
        <w:pStyle w:val="1"/>
        <w:spacing w:beforeLines="100" w:afterLines="100" w:line="360" w:lineRule="auto"/>
        <w:jc w:val="center"/>
        <w:rPr>
          <w:rFonts w:asciiTheme="minorEastAsia" w:eastAsiaTheme="minorEastAsia" w:hAnsiTheme="minorEastAsia"/>
          <w:b w:val="0"/>
          <w:bCs w:val="0"/>
          <w:color w:val="000000"/>
          <w:kern w:val="0"/>
          <w:sz w:val="24"/>
          <w:szCs w:val="24"/>
        </w:rPr>
      </w:pPr>
      <w:r w:rsidRPr="001611C5">
        <w:rPr>
          <w:rFonts w:asciiTheme="minorEastAsia" w:eastAsiaTheme="minorEastAsia" w:hAnsiTheme="minorEastAsia" w:hint="eastAsia"/>
          <w:color w:val="000000"/>
          <w:kern w:val="0"/>
          <w:sz w:val="24"/>
          <w:szCs w:val="24"/>
        </w:rPr>
        <w:lastRenderedPageBreak/>
        <w:t>§</w:t>
      </w:r>
      <w:r w:rsidRPr="001611C5">
        <w:rPr>
          <w:rFonts w:asciiTheme="minorEastAsia" w:eastAsiaTheme="minorEastAsia" w:hAnsiTheme="minorEastAsia"/>
          <w:color w:val="000000"/>
          <w:kern w:val="0"/>
          <w:sz w:val="24"/>
          <w:szCs w:val="24"/>
        </w:rPr>
        <w:t xml:space="preserve">1  </w:t>
      </w:r>
      <w:r w:rsidRPr="001611C5">
        <w:rPr>
          <w:rFonts w:asciiTheme="minorEastAsia" w:eastAsiaTheme="minorEastAsia" w:hAnsiTheme="minorEastAsia" w:hint="eastAsia"/>
          <w:color w:val="000000"/>
          <w:kern w:val="0"/>
          <w:sz w:val="24"/>
          <w:szCs w:val="24"/>
        </w:rPr>
        <w:t>重要提示</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szCs w:val="24"/>
        </w:rPr>
        <w:t xml:space="preserve"> </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基金托管人招商银行股份有限公司根据本基金合同规定，于</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24</w:t>
      </w:r>
      <w:r>
        <w:rPr>
          <w:rFonts w:eastAsiaTheme="minorEastAsia"/>
          <w:color w:val="000000"/>
          <w:sz w:val="24"/>
          <w:szCs w:val="24"/>
        </w:rPr>
        <w:t>日复核了本报告中的财务指标、净值表现和投资组合报告等内容，保证复核内容不存在虚假记载、误导性陈述或者重大遗漏。</w:t>
      </w:r>
      <w:r>
        <w:rPr>
          <w:rFonts w:eastAsiaTheme="minorEastAsia"/>
          <w:color w:val="000000"/>
          <w:sz w:val="24"/>
          <w:szCs w:val="24"/>
        </w:rPr>
        <w:t xml:space="preserve"> </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基金管理人承诺以诚实信用、勤勉尽责的原则管理和运用基金资产，但不保证基金一定盈利。</w:t>
      </w:r>
      <w:r>
        <w:rPr>
          <w:rFonts w:eastAsiaTheme="minorEastAsia"/>
          <w:color w:val="000000"/>
          <w:sz w:val="24"/>
          <w:szCs w:val="24"/>
        </w:rPr>
        <w:t xml:space="preserve"> </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基金的过往业绩并不代表其未来表现。投资有风险，投资者在作出投资决策前应仔细阅读本基金的招募说明书。</w:t>
      </w:r>
      <w:r>
        <w:rPr>
          <w:rFonts w:eastAsiaTheme="minorEastAsia"/>
          <w:color w:val="000000"/>
          <w:sz w:val="24"/>
          <w:szCs w:val="24"/>
        </w:rPr>
        <w:t xml:space="preserve"> </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本报告中财务资料未经审计。</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本报告期自</w:t>
      </w:r>
      <w:r w:rsidRPr="00CD2DB1">
        <w:rPr>
          <w:rFonts w:eastAsiaTheme="minorEastAsia"/>
          <w:color w:val="000000"/>
          <w:sz w:val="24"/>
          <w:szCs w:val="24"/>
        </w:rPr>
        <w:t>2018</w:t>
      </w:r>
      <w:r w:rsidRPr="00CD2DB1">
        <w:rPr>
          <w:rFonts w:eastAsiaTheme="minorEastAsia"/>
          <w:color w:val="000000"/>
          <w:sz w:val="24"/>
          <w:szCs w:val="24"/>
        </w:rPr>
        <w:t>年</w:t>
      </w:r>
      <w:r w:rsidRPr="00CD2DB1">
        <w:rPr>
          <w:rFonts w:eastAsiaTheme="minorEastAsia"/>
          <w:color w:val="000000"/>
          <w:sz w:val="24"/>
          <w:szCs w:val="24"/>
        </w:rPr>
        <w:t>7</w:t>
      </w:r>
      <w:r w:rsidRPr="00CD2DB1">
        <w:rPr>
          <w:rFonts w:eastAsiaTheme="minorEastAsia"/>
          <w:color w:val="000000"/>
          <w:sz w:val="24"/>
          <w:szCs w:val="24"/>
        </w:rPr>
        <w:t>月</w:t>
      </w:r>
      <w:r w:rsidRPr="00CD2DB1">
        <w:rPr>
          <w:rFonts w:eastAsiaTheme="minorEastAsia"/>
          <w:color w:val="000000"/>
          <w:sz w:val="24"/>
          <w:szCs w:val="24"/>
        </w:rPr>
        <w:t>1</w:t>
      </w:r>
      <w:r w:rsidRPr="00CD2DB1">
        <w:rPr>
          <w:rFonts w:eastAsiaTheme="minorEastAsia"/>
          <w:color w:val="000000"/>
          <w:sz w:val="24"/>
          <w:szCs w:val="24"/>
        </w:rPr>
        <w:t>日起至</w:t>
      </w:r>
      <w:r w:rsidRPr="00CD2DB1">
        <w:rPr>
          <w:rFonts w:eastAsiaTheme="minorEastAsia"/>
          <w:color w:val="000000"/>
          <w:sz w:val="24"/>
          <w:szCs w:val="24"/>
        </w:rPr>
        <w:t>9</w:t>
      </w:r>
      <w:r w:rsidRPr="00CD2DB1">
        <w:rPr>
          <w:rFonts w:eastAsiaTheme="minorEastAsia"/>
          <w:color w:val="000000"/>
          <w:sz w:val="24"/>
          <w:szCs w:val="24"/>
        </w:rPr>
        <w:t>月</w:t>
      </w:r>
      <w:r w:rsidRPr="00CD2DB1">
        <w:rPr>
          <w:rFonts w:eastAsiaTheme="minorEastAsia"/>
          <w:color w:val="000000"/>
          <w:sz w:val="24"/>
          <w:szCs w:val="24"/>
        </w:rPr>
        <w:t>30</w:t>
      </w:r>
      <w:r w:rsidRPr="00CD2DB1">
        <w:rPr>
          <w:rFonts w:eastAsiaTheme="minorEastAsia"/>
          <w:color w:val="000000"/>
          <w:sz w:val="24"/>
          <w:szCs w:val="24"/>
        </w:rPr>
        <w:t>日止。</w:t>
      </w:r>
    </w:p>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2  </w:t>
      </w:r>
      <w:r w:rsidRPr="001611C5">
        <w:rPr>
          <w:rFonts w:asciiTheme="minorEastAsia" w:eastAsiaTheme="minorEastAsia" w:hAnsiTheme="minorEastAsia"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4061AC" w:rsidRPr="001611C5" w:rsidTr="00BF6314">
        <w:tc>
          <w:tcPr>
            <w:tcW w:w="2835" w:type="dxa"/>
            <w:vAlign w:val="center"/>
          </w:tcPr>
          <w:p w:rsidR="004061AC" w:rsidRPr="006B72F7" w:rsidRDefault="004061AC"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基金简称</w:t>
            </w:r>
          </w:p>
        </w:tc>
        <w:tc>
          <w:tcPr>
            <w:tcW w:w="5479" w:type="dxa"/>
            <w:vAlign w:val="center"/>
          </w:tcPr>
          <w:p w:rsidR="004061AC" w:rsidRPr="006B72F7" w:rsidRDefault="004061AC"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广发量化稳健混合</w:t>
            </w:r>
          </w:p>
        </w:tc>
      </w:tr>
      <w:tr w:rsidR="00D94B8D" w:rsidRPr="001611C5"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004023</w:t>
            </w:r>
          </w:p>
        </w:tc>
      </w:tr>
      <w:tr w:rsidR="001B2F35" w:rsidRPr="001611C5"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6B72F7" w:rsidRDefault="001B2F35"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6B72F7" w:rsidRDefault="00C5218C" w:rsidP="00BF6314">
            <w:pPr>
              <w:adjustRightInd w:val="0"/>
              <w:spacing w:before="29" w:line="360" w:lineRule="auto"/>
              <w:ind w:left="17"/>
              <w:rPr>
                <w:rFonts w:eastAsiaTheme="minorEastAsia"/>
                <w:color w:val="000000"/>
                <w:kern w:val="0"/>
                <w:sz w:val="24"/>
                <w:szCs w:val="24"/>
              </w:rPr>
            </w:pPr>
            <w:r w:rsidRPr="006B72F7">
              <w:rPr>
                <w:rFonts w:eastAsiaTheme="minorEastAsia"/>
                <w:kern w:val="0"/>
                <w:sz w:val="24"/>
                <w:szCs w:val="24"/>
              </w:rPr>
              <w:t>004023</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基金运作方式</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契约型开放式</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基金合同生效日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2017</w:t>
            </w:r>
            <w:r w:rsidRPr="006B72F7">
              <w:rPr>
                <w:rFonts w:eastAsiaTheme="minorEastAsia"/>
                <w:color w:val="000000"/>
                <w:kern w:val="0"/>
                <w:sz w:val="24"/>
                <w:szCs w:val="24"/>
              </w:rPr>
              <w:t>年</w:t>
            </w:r>
            <w:r w:rsidRPr="006B72F7">
              <w:rPr>
                <w:rFonts w:eastAsiaTheme="minorEastAsia"/>
                <w:color w:val="000000"/>
                <w:kern w:val="0"/>
                <w:sz w:val="24"/>
                <w:szCs w:val="24"/>
              </w:rPr>
              <w:t>8</w:t>
            </w:r>
            <w:r w:rsidRPr="006B72F7">
              <w:rPr>
                <w:rFonts w:eastAsiaTheme="minorEastAsia"/>
                <w:color w:val="000000"/>
                <w:kern w:val="0"/>
                <w:sz w:val="24"/>
                <w:szCs w:val="24"/>
              </w:rPr>
              <w:t>月</w:t>
            </w:r>
            <w:r w:rsidRPr="006B72F7">
              <w:rPr>
                <w:rFonts w:eastAsiaTheme="minorEastAsia"/>
                <w:color w:val="000000"/>
                <w:kern w:val="0"/>
                <w:sz w:val="24"/>
                <w:szCs w:val="24"/>
              </w:rPr>
              <w:t>4</w:t>
            </w:r>
            <w:r w:rsidRPr="006B72F7">
              <w:rPr>
                <w:rFonts w:eastAsiaTheme="minorEastAsia"/>
                <w:color w:val="000000"/>
                <w:kern w:val="0"/>
                <w:sz w:val="24"/>
                <w:szCs w:val="24"/>
              </w:rPr>
              <w:t>日</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报告期末基金份额总额</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5,886,660.77</w:t>
            </w:r>
            <w:r w:rsidRPr="006B72F7">
              <w:rPr>
                <w:rFonts w:eastAsiaTheme="minorEastAsia"/>
                <w:color w:val="000000"/>
                <w:kern w:val="0"/>
                <w:sz w:val="24"/>
                <w:szCs w:val="24"/>
              </w:rPr>
              <w:t>份</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投资目标</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本基金在严格控制风险和保持资产流动性的基础上，通过对不同资产类别的优化配置，充分挖掘市场潜在的投资机会，力求实现基金资产的长期稳健增值。</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投资策略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本基金主要投资于债券等固定收益类资产，在严格控制风险和保持资产流动性的基础上，本基金通过智能量化模型选择股票并进行择时配置，力争实现</w:t>
            </w:r>
            <w:r w:rsidRPr="006B72F7">
              <w:rPr>
                <w:rFonts w:eastAsiaTheme="minorEastAsia"/>
                <w:color w:val="000000"/>
                <w:kern w:val="0"/>
                <w:sz w:val="24"/>
                <w:szCs w:val="24"/>
              </w:rPr>
              <w:lastRenderedPageBreak/>
              <w:t>基金资产的长期稳健增值。</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lastRenderedPageBreak/>
              <w:t>业绩比较基准</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沪深</w:t>
            </w:r>
            <w:r w:rsidRPr="006B72F7">
              <w:rPr>
                <w:rFonts w:eastAsiaTheme="minorEastAsia"/>
                <w:color w:val="000000"/>
                <w:kern w:val="0"/>
                <w:sz w:val="24"/>
                <w:szCs w:val="24"/>
              </w:rPr>
              <w:t xml:space="preserve">300 </w:t>
            </w:r>
            <w:r w:rsidRPr="006B72F7">
              <w:rPr>
                <w:rFonts w:eastAsiaTheme="minorEastAsia"/>
                <w:color w:val="000000"/>
                <w:kern w:val="0"/>
                <w:sz w:val="24"/>
                <w:szCs w:val="24"/>
              </w:rPr>
              <w:t>指数收益率</w:t>
            </w:r>
            <w:r w:rsidRPr="006B72F7">
              <w:rPr>
                <w:rFonts w:eastAsiaTheme="minorEastAsia"/>
                <w:color w:val="000000"/>
                <w:kern w:val="0"/>
                <w:sz w:val="24"/>
                <w:szCs w:val="24"/>
              </w:rPr>
              <w:t>×30%+</w:t>
            </w:r>
            <w:r w:rsidRPr="006B72F7">
              <w:rPr>
                <w:rFonts w:eastAsiaTheme="minorEastAsia"/>
                <w:color w:val="000000"/>
                <w:kern w:val="0"/>
                <w:sz w:val="24"/>
                <w:szCs w:val="24"/>
              </w:rPr>
              <w:t>中证全债指数收益率</w:t>
            </w:r>
            <w:r w:rsidRPr="006B72F7">
              <w:rPr>
                <w:rFonts w:eastAsiaTheme="minorEastAsia"/>
                <w:color w:val="000000"/>
                <w:kern w:val="0"/>
                <w:sz w:val="24"/>
                <w:szCs w:val="24"/>
              </w:rPr>
              <w:t>×70%</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风险收益特征</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本基金是混合型基金，其预期收益及风险水平高于货币市场基金和债券型基金，低于股票型基金，属于中等收益风险特征的基金。</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基金管理人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广发基金管理有限公司</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基金托管人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招商银行股份有限公司</w:t>
            </w:r>
          </w:p>
        </w:tc>
      </w:tr>
    </w:tbl>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3  </w:t>
      </w:r>
      <w:r w:rsidRPr="001611C5">
        <w:rPr>
          <w:rFonts w:asciiTheme="minorEastAsia" w:eastAsiaTheme="minorEastAsia" w:hAnsiTheme="minorEastAsia" w:hint="eastAsia"/>
          <w:color w:val="000000"/>
          <w:kern w:val="0"/>
          <w:sz w:val="24"/>
          <w:szCs w:val="24"/>
        </w:rPr>
        <w:t>主要财务指标和基金净值表现</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3.1 </w:t>
      </w:r>
      <w:r w:rsidRPr="001611C5">
        <w:rPr>
          <w:rFonts w:asciiTheme="minorEastAsia" w:eastAsiaTheme="minorEastAsia" w:hAnsiTheme="minorEastAsia" w:hint="eastAsia"/>
          <w:b/>
          <w:bCs/>
          <w:color w:val="000000"/>
          <w:kern w:val="0"/>
          <w:sz w:val="24"/>
          <w:szCs w:val="24"/>
        </w:rPr>
        <w:t>主要财务指标</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C21520" w:rsidRPr="001611C5" w:rsidTr="00237F09">
        <w:tc>
          <w:tcPr>
            <w:tcW w:w="3402" w:type="dxa"/>
            <w:vAlign w:val="center"/>
          </w:tcPr>
          <w:p w:rsidR="00C21520" w:rsidRPr="006B72F7" w:rsidRDefault="00C21520" w:rsidP="00237F09">
            <w:pPr>
              <w:adjustRightInd w:val="0"/>
              <w:spacing w:before="29" w:line="360" w:lineRule="auto"/>
              <w:ind w:left="17"/>
              <w:jc w:val="center"/>
              <w:rPr>
                <w:rFonts w:eastAsiaTheme="minorEastAsia"/>
                <w:kern w:val="0"/>
                <w:sz w:val="24"/>
                <w:szCs w:val="24"/>
              </w:rPr>
            </w:pPr>
            <w:r w:rsidRPr="006B72F7">
              <w:rPr>
                <w:rFonts w:eastAsiaTheme="minorEastAsia"/>
                <w:kern w:val="0"/>
                <w:sz w:val="24"/>
                <w:szCs w:val="24"/>
              </w:rPr>
              <w:t>主要财务指标</w:t>
            </w:r>
          </w:p>
        </w:tc>
        <w:tc>
          <w:tcPr>
            <w:tcW w:w="4962" w:type="dxa"/>
            <w:hMerge w:val="restart"/>
            <w:vAlign w:val="center"/>
          </w:tcPr>
          <w:p w:rsidR="009C60F7"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报告期</w:t>
            </w:r>
          </w:p>
          <w:p w:rsidR="00C21520"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7</w:t>
            </w:r>
            <w:r w:rsidRPr="006B72F7">
              <w:rPr>
                <w:rFonts w:eastAsiaTheme="minorEastAsia"/>
                <w:color w:val="000000"/>
                <w:sz w:val="24"/>
                <w:szCs w:val="24"/>
              </w:rPr>
              <w:t>月</w:t>
            </w:r>
            <w:r w:rsidRPr="006B72F7">
              <w:rPr>
                <w:rFonts w:eastAsiaTheme="minorEastAsia"/>
                <w:color w:val="000000"/>
                <w:sz w:val="24"/>
                <w:szCs w:val="24"/>
              </w:rPr>
              <w:t>1</w:t>
            </w:r>
            <w:r w:rsidRPr="006B72F7">
              <w:rPr>
                <w:rFonts w:eastAsiaTheme="minorEastAsia"/>
                <w:color w:val="000000"/>
                <w:sz w:val="24"/>
                <w:szCs w:val="24"/>
              </w:rPr>
              <w:t>日</w:t>
            </w: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9</w:t>
            </w:r>
            <w:r w:rsidRPr="006B72F7">
              <w:rPr>
                <w:rFonts w:eastAsiaTheme="minorEastAsia"/>
                <w:color w:val="000000"/>
                <w:sz w:val="24"/>
                <w:szCs w:val="24"/>
              </w:rPr>
              <w:t>月</w:t>
            </w:r>
            <w:r w:rsidRPr="006B72F7">
              <w:rPr>
                <w:rFonts w:eastAsiaTheme="minorEastAsia"/>
                <w:color w:val="000000"/>
                <w:sz w:val="24"/>
                <w:szCs w:val="24"/>
              </w:rPr>
              <w:t>30</w:t>
            </w:r>
            <w:r w:rsidRPr="006B72F7">
              <w:rPr>
                <w:rFonts w:eastAsiaTheme="minorEastAsia"/>
                <w:color w:val="000000"/>
                <w:sz w:val="24"/>
                <w:szCs w:val="24"/>
              </w:rPr>
              <w:t>日</w:t>
            </w:r>
            <w:r w:rsidRPr="006B72F7">
              <w:rPr>
                <w:rFonts w:eastAsiaTheme="minorEastAsia"/>
                <w:color w:val="000000"/>
                <w:sz w:val="24"/>
                <w:szCs w:val="24"/>
              </w:rPr>
              <w:t>)</w:t>
            </w:r>
          </w:p>
        </w:tc>
        <w:tc>
          <w:tcPr>
            <w:tcW w:w="2410" w:type="dxa"/>
            <w:hMerge/>
            <w:vAlign w:val="center"/>
          </w:tcPr>
          <w:p w:rsidR="00C21520" w:rsidRPr="006B72F7" w:rsidRDefault="00C21520"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上期金额</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1.</w:t>
            </w:r>
            <w:r w:rsidRPr="006B72F7">
              <w:rPr>
                <w:rFonts w:eastAsiaTheme="minorEastAsia"/>
                <w:kern w:val="0"/>
                <w:sz w:val="24"/>
                <w:szCs w:val="24"/>
              </w:rPr>
              <w:t>本期已实现收益</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330,451.43</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2.</w:t>
            </w:r>
            <w:r w:rsidRPr="006B72F7">
              <w:rPr>
                <w:rFonts w:eastAsiaTheme="minorEastAsia"/>
                <w:kern w:val="0"/>
                <w:sz w:val="24"/>
                <w:szCs w:val="24"/>
              </w:rPr>
              <w:t>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317,832.40</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3.</w:t>
            </w:r>
            <w:r w:rsidRPr="006B72F7">
              <w:rPr>
                <w:rFonts w:eastAsiaTheme="minorEastAsia"/>
                <w:kern w:val="0"/>
                <w:sz w:val="24"/>
                <w:szCs w:val="24"/>
              </w:rPr>
              <w:t>加权平均基金份额本期利润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0.0213</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4.</w:t>
            </w:r>
            <w:r w:rsidRPr="006B72F7">
              <w:rPr>
                <w:rFonts w:eastAsiaTheme="minorEastAsia"/>
                <w:kern w:val="0"/>
                <w:sz w:val="24"/>
                <w:szCs w:val="24"/>
              </w:rPr>
              <w:t>期末基金资产净值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6,047,039.50</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rPr>
          <w:trHeight w:val="158"/>
        </w:trPr>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5.</w:t>
            </w:r>
            <w:r w:rsidRPr="006B72F7">
              <w:rPr>
                <w:rFonts w:eastAsiaTheme="minorEastAsia"/>
                <w:kern w:val="0"/>
                <w:sz w:val="24"/>
                <w:szCs w:val="24"/>
              </w:rPr>
              <w:t>期末基金份额净值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1.0272</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bl>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）所述基金业绩指标不包括持有人认购或交易基金的各项费用，计入费用后实际收益水平要低于所列数字。</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3.2 </w:t>
      </w:r>
      <w:r w:rsidRPr="001611C5">
        <w:rPr>
          <w:rFonts w:asciiTheme="minorEastAsia" w:eastAsiaTheme="minorEastAsia" w:hAnsiTheme="minorEastAsia" w:hint="eastAsia"/>
          <w:b/>
          <w:bCs/>
          <w:color w:val="000000"/>
          <w:kern w:val="0"/>
          <w:sz w:val="24"/>
          <w:szCs w:val="24"/>
        </w:rPr>
        <w:t>基金净值表现</w:t>
      </w:r>
    </w:p>
    <w:p w:rsidR="00CF6572" w:rsidRPr="001611C5" w:rsidRDefault="004061AC" w:rsidP="009E7C6A">
      <w:pPr>
        <w:autoSpaceDE w:val="0"/>
        <w:autoSpaceDN w:val="0"/>
        <w:adjustRightInd w:val="0"/>
        <w:spacing w:line="360" w:lineRule="auto"/>
        <w:jc w:val="left"/>
        <w:rPr>
          <w:rFonts w:asciiTheme="minorEastAsia" w:eastAsiaTheme="minorEastAsia" w:hAnsiTheme="minorEastAsia" w:cs="宋体"/>
          <w:b/>
          <w:bCs/>
          <w:color w:val="000000"/>
          <w:kern w:val="0"/>
          <w:sz w:val="24"/>
          <w:szCs w:val="24"/>
        </w:rPr>
      </w:pPr>
      <w:r w:rsidRPr="001611C5">
        <w:rPr>
          <w:rFonts w:asciiTheme="minorEastAsia" w:eastAsiaTheme="minorEastAsia" w:hAnsiTheme="minorEastAsia"/>
          <w:b/>
          <w:bCs/>
          <w:color w:val="000000"/>
          <w:kern w:val="0"/>
          <w:sz w:val="24"/>
          <w:szCs w:val="24"/>
        </w:rPr>
        <w:t xml:space="preserve">3.2.1 </w:t>
      </w:r>
      <w:r w:rsidRPr="001611C5">
        <w:rPr>
          <w:rFonts w:asciiTheme="minorEastAsia" w:eastAsiaTheme="minorEastAsia" w:hAnsiTheme="minorEastAsia" w:cs="宋体" w:hint="eastAsia"/>
          <w:b/>
          <w:bCs/>
          <w:color w:val="000000"/>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EF6FA5" w:rsidRPr="001611C5" w:rsidTr="00BD7703">
        <w:tc>
          <w:tcPr>
            <w:tcW w:w="1395"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阶段</w:t>
            </w:r>
          </w:p>
        </w:tc>
        <w:tc>
          <w:tcPr>
            <w:tcW w:w="1092"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w:t>
            </w:r>
            <w:r w:rsidRPr="006B72F7">
              <w:rPr>
                <w:rFonts w:ascii="宋体" w:hAnsi="宋体" w:cs="宋体" w:hint="eastAsia"/>
                <w:color w:val="000000"/>
                <w:sz w:val="24"/>
                <w:szCs w:val="24"/>
              </w:rPr>
              <w:t>①</w:t>
            </w:r>
          </w:p>
        </w:tc>
        <w:tc>
          <w:tcPr>
            <w:tcW w:w="116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净值增长率标准差</w:t>
            </w:r>
            <w:r w:rsidRPr="006B72F7">
              <w:rPr>
                <w:rFonts w:ascii="宋体" w:hAnsi="宋体" w:cs="宋体" w:hint="eastAsia"/>
                <w:color w:val="000000"/>
                <w:sz w:val="24"/>
                <w:szCs w:val="24"/>
              </w:rPr>
              <w:t>②</w:t>
            </w:r>
          </w:p>
        </w:tc>
        <w:tc>
          <w:tcPr>
            <w:tcW w:w="118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w:t>
            </w:r>
            <w:r w:rsidRPr="006B72F7">
              <w:rPr>
                <w:rFonts w:ascii="宋体" w:hAnsi="宋体" w:cs="宋体" w:hint="eastAsia"/>
                <w:color w:val="000000"/>
                <w:sz w:val="24"/>
                <w:szCs w:val="24"/>
              </w:rPr>
              <w:t>③</w:t>
            </w:r>
          </w:p>
        </w:tc>
        <w:tc>
          <w:tcPr>
            <w:tcW w:w="1188"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业绩比较基准收益率标准差</w:t>
            </w:r>
            <w:r w:rsidRPr="006B72F7">
              <w:rPr>
                <w:rFonts w:ascii="宋体" w:hAnsi="宋体" w:cs="宋体" w:hint="eastAsia"/>
                <w:color w:val="000000"/>
                <w:sz w:val="24"/>
                <w:szCs w:val="24"/>
              </w:rPr>
              <w:t>④</w:t>
            </w:r>
          </w:p>
        </w:tc>
        <w:tc>
          <w:tcPr>
            <w:tcW w:w="1199"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①</w:t>
            </w:r>
            <w:r w:rsidRPr="006B72F7">
              <w:rPr>
                <w:rFonts w:eastAsiaTheme="minorEastAsia"/>
                <w:color w:val="000000"/>
                <w:sz w:val="24"/>
                <w:szCs w:val="24"/>
              </w:rPr>
              <w:t>-</w:t>
            </w:r>
            <w:r w:rsidRPr="006B72F7">
              <w:rPr>
                <w:rFonts w:ascii="宋体" w:hAnsi="宋体" w:cs="宋体" w:hint="eastAsia"/>
                <w:color w:val="000000"/>
                <w:sz w:val="24"/>
                <w:szCs w:val="24"/>
              </w:rPr>
              <w:t>③</w:t>
            </w:r>
          </w:p>
        </w:tc>
        <w:tc>
          <w:tcPr>
            <w:tcW w:w="1204"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②</w:t>
            </w:r>
            <w:r w:rsidRPr="006B72F7">
              <w:rPr>
                <w:rFonts w:eastAsiaTheme="minorEastAsia"/>
                <w:color w:val="000000"/>
                <w:sz w:val="24"/>
                <w:szCs w:val="24"/>
              </w:rPr>
              <w:t>-</w:t>
            </w:r>
            <w:r w:rsidRPr="006B72F7">
              <w:rPr>
                <w:rFonts w:ascii="宋体" w:hAnsi="宋体" w:cs="宋体" w:hint="eastAsia"/>
                <w:color w:val="000000"/>
                <w:sz w:val="24"/>
                <w:szCs w:val="24"/>
              </w:rPr>
              <w:t>④</w:t>
            </w:r>
          </w:p>
        </w:tc>
      </w:tr>
      <w:tr w:rsidR="009A62F4">
        <w:tc>
          <w:tcPr>
            <w:tcW w:w="1395" w:type="dxa"/>
            <w:vAlign w:val="center"/>
          </w:tcPr>
          <w:p w:rsidR="009A62F4" w:rsidRDefault="007F4E08">
            <w:pPr>
              <w:jc w:val="left"/>
            </w:pPr>
            <w:r>
              <w:rPr>
                <w:rFonts w:eastAsiaTheme="minorEastAsia"/>
                <w:color w:val="000000"/>
                <w:sz w:val="24"/>
                <w:szCs w:val="24"/>
              </w:rPr>
              <w:t>过去三个月</w:t>
            </w:r>
          </w:p>
        </w:tc>
        <w:tc>
          <w:tcPr>
            <w:tcW w:w="1092" w:type="dxa"/>
            <w:vAlign w:val="center"/>
          </w:tcPr>
          <w:p w:rsidR="009A62F4" w:rsidRDefault="007F4E08">
            <w:pPr>
              <w:jc w:val="center"/>
            </w:pPr>
            <w:r>
              <w:rPr>
                <w:rFonts w:eastAsiaTheme="minorEastAsia"/>
                <w:color w:val="000000"/>
                <w:sz w:val="24"/>
                <w:szCs w:val="24"/>
              </w:rPr>
              <w:t>1.10%</w:t>
            </w:r>
          </w:p>
        </w:tc>
        <w:tc>
          <w:tcPr>
            <w:tcW w:w="1161" w:type="dxa"/>
            <w:vAlign w:val="center"/>
          </w:tcPr>
          <w:p w:rsidR="009A62F4" w:rsidRDefault="007F4E08">
            <w:pPr>
              <w:jc w:val="center"/>
            </w:pPr>
            <w:r>
              <w:rPr>
                <w:rFonts w:eastAsiaTheme="minorEastAsia"/>
                <w:color w:val="000000"/>
                <w:sz w:val="24"/>
                <w:szCs w:val="24"/>
              </w:rPr>
              <w:t>0.08%</w:t>
            </w:r>
          </w:p>
        </w:tc>
        <w:tc>
          <w:tcPr>
            <w:tcW w:w="1181" w:type="dxa"/>
            <w:vAlign w:val="center"/>
          </w:tcPr>
          <w:p w:rsidR="009A62F4" w:rsidRDefault="007F4E08">
            <w:pPr>
              <w:jc w:val="center"/>
            </w:pPr>
            <w:r>
              <w:rPr>
                <w:rFonts w:eastAsiaTheme="minorEastAsia"/>
                <w:color w:val="000000"/>
                <w:sz w:val="24"/>
                <w:szCs w:val="24"/>
              </w:rPr>
              <w:t>0.33%</w:t>
            </w:r>
          </w:p>
        </w:tc>
        <w:tc>
          <w:tcPr>
            <w:tcW w:w="1188" w:type="dxa"/>
            <w:vAlign w:val="center"/>
          </w:tcPr>
          <w:p w:rsidR="009A62F4" w:rsidRDefault="007F4E08">
            <w:pPr>
              <w:jc w:val="center"/>
            </w:pPr>
            <w:r>
              <w:rPr>
                <w:rFonts w:eastAsiaTheme="minorEastAsia"/>
                <w:color w:val="000000"/>
                <w:sz w:val="24"/>
                <w:szCs w:val="24"/>
              </w:rPr>
              <w:t>0.40%</w:t>
            </w:r>
          </w:p>
        </w:tc>
        <w:tc>
          <w:tcPr>
            <w:tcW w:w="1199" w:type="dxa"/>
            <w:vAlign w:val="center"/>
          </w:tcPr>
          <w:p w:rsidR="009A62F4" w:rsidRDefault="007F4E08">
            <w:pPr>
              <w:jc w:val="center"/>
            </w:pPr>
            <w:r>
              <w:rPr>
                <w:rFonts w:eastAsiaTheme="minorEastAsia"/>
                <w:color w:val="000000"/>
                <w:sz w:val="24"/>
                <w:szCs w:val="24"/>
              </w:rPr>
              <w:t>0.77%</w:t>
            </w:r>
          </w:p>
        </w:tc>
        <w:tc>
          <w:tcPr>
            <w:tcW w:w="1204" w:type="dxa"/>
            <w:vAlign w:val="center"/>
          </w:tcPr>
          <w:p w:rsidR="009A62F4" w:rsidRDefault="007F4E08">
            <w:pPr>
              <w:jc w:val="center"/>
            </w:pPr>
            <w:r>
              <w:rPr>
                <w:rFonts w:eastAsiaTheme="minorEastAsia"/>
                <w:color w:val="000000"/>
                <w:sz w:val="24"/>
                <w:szCs w:val="24"/>
              </w:rPr>
              <w:t>-0.32%</w:t>
            </w:r>
          </w:p>
        </w:tc>
      </w:tr>
    </w:tbl>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3.2.2</w:t>
      </w:r>
      <w:r w:rsidR="00BF48B1" w:rsidRPr="00550FEB">
        <w:rPr>
          <w:rFonts w:asciiTheme="minorEastAsia" w:eastAsiaTheme="minorEastAsia" w:hAnsiTheme="minorEastAsia"/>
          <w:b/>
          <w:bCs/>
          <w:color w:val="000000"/>
          <w:sz w:val="24"/>
        </w:rPr>
        <w:t>自基金合同生效以来</w:t>
      </w:r>
      <w:r w:rsidR="00FB0BC9" w:rsidRPr="001611C5">
        <w:rPr>
          <w:rFonts w:asciiTheme="minorEastAsia" w:eastAsiaTheme="minorEastAsia" w:hAnsiTheme="minorEastAsia" w:hint="eastAsia"/>
          <w:b/>
          <w:bCs/>
          <w:color w:val="000000"/>
          <w:kern w:val="0"/>
          <w:sz w:val="24"/>
          <w:szCs w:val="24"/>
        </w:rPr>
        <w:t>基金累计</w:t>
      </w:r>
      <w:r w:rsidRPr="001611C5">
        <w:rPr>
          <w:rFonts w:asciiTheme="minorEastAsia" w:eastAsiaTheme="minorEastAsia" w:hAnsiTheme="minorEastAsia" w:hint="eastAsia"/>
          <w:b/>
          <w:bCs/>
          <w:color w:val="000000"/>
          <w:kern w:val="0"/>
          <w:sz w:val="24"/>
          <w:szCs w:val="24"/>
        </w:rPr>
        <w:t>净值增长率变动及其与同期业绩比较基准收益率变动的比较</w:t>
      </w:r>
    </w:p>
    <w:p w:rsidR="008606B6" w:rsidRPr="006B72F7" w:rsidRDefault="008606B6" w:rsidP="009E7C6A">
      <w:pPr>
        <w:spacing w:line="360" w:lineRule="auto"/>
        <w:jc w:val="center"/>
        <w:rPr>
          <w:rFonts w:eastAsiaTheme="minorEastAsia"/>
          <w:color w:val="000000"/>
          <w:sz w:val="24"/>
          <w:szCs w:val="24"/>
        </w:rPr>
      </w:pPr>
      <w:r w:rsidRPr="006B72F7">
        <w:rPr>
          <w:rFonts w:eastAsiaTheme="minorEastAsia"/>
          <w:color w:val="000000"/>
          <w:sz w:val="24"/>
          <w:szCs w:val="24"/>
        </w:rPr>
        <w:t>广发量化稳健混合型证券投资基金</w:t>
      </w:r>
    </w:p>
    <w:p w:rsidR="004061AC" w:rsidRPr="006B72F7" w:rsidRDefault="00FB0BC9" w:rsidP="009E7C6A">
      <w:pPr>
        <w:pStyle w:val="a5"/>
        <w:snapToGrid w:val="0"/>
        <w:spacing w:line="360" w:lineRule="auto"/>
        <w:jc w:val="center"/>
        <w:rPr>
          <w:rFonts w:ascii="Times New Roman" w:eastAsiaTheme="minorEastAsia" w:hAnsi="Times New Roman" w:cs="Times New Roman"/>
          <w:color w:val="000000"/>
          <w:sz w:val="24"/>
          <w:szCs w:val="24"/>
        </w:rPr>
      </w:pPr>
      <w:r w:rsidRPr="006B72F7">
        <w:rPr>
          <w:rFonts w:ascii="Times New Roman" w:eastAsiaTheme="minorEastAsia" w:hAnsi="Times New Roman" w:cs="Times New Roman"/>
          <w:color w:val="000000"/>
          <w:sz w:val="24"/>
          <w:szCs w:val="24"/>
        </w:rPr>
        <w:t>累计净值增长率与业绩比较基准收益率</w:t>
      </w:r>
      <w:r w:rsidR="004061AC" w:rsidRPr="006B72F7">
        <w:rPr>
          <w:rFonts w:ascii="Times New Roman" w:eastAsiaTheme="minorEastAsia" w:hAnsi="Times New Roman" w:cs="Times New Roman"/>
          <w:color w:val="000000"/>
          <w:sz w:val="24"/>
          <w:szCs w:val="24"/>
        </w:rPr>
        <w:t>历史走势对比图</w:t>
      </w:r>
    </w:p>
    <w:p w:rsidR="00AE7962" w:rsidRPr="006B72F7" w:rsidRDefault="00AE7962" w:rsidP="009E7C6A">
      <w:pPr>
        <w:pStyle w:val="a5"/>
        <w:snapToGrid w:val="0"/>
        <w:spacing w:line="360" w:lineRule="auto"/>
        <w:ind w:firstLine="480"/>
        <w:jc w:val="center"/>
        <w:rPr>
          <w:rFonts w:ascii="Times New Roman" w:eastAsiaTheme="minorEastAsia" w:hAnsi="Times New Roman" w:cs="Times New Roman"/>
          <w:sz w:val="24"/>
          <w:szCs w:val="24"/>
        </w:rPr>
      </w:pPr>
      <w:r w:rsidRPr="006B72F7">
        <w:rPr>
          <w:rFonts w:ascii="Times New Roman" w:eastAsiaTheme="minorEastAsia" w:hAnsi="Times New Roman" w:cs="Times New Roman"/>
          <w:sz w:val="24"/>
          <w:szCs w:val="24"/>
        </w:rPr>
        <w:t>(</w:t>
      </w:r>
      <w:r w:rsidR="0042009D" w:rsidRPr="006B72F7">
        <w:rPr>
          <w:rFonts w:ascii="Times New Roman" w:eastAsiaTheme="minorEastAsia" w:hAnsi="Times New Roman" w:cs="Times New Roman"/>
          <w:sz w:val="24"/>
          <w:szCs w:val="24"/>
        </w:rPr>
        <w:t>2017</w:t>
      </w:r>
      <w:r w:rsidR="0042009D" w:rsidRPr="006B72F7">
        <w:rPr>
          <w:rFonts w:ascii="Times New Roman" w:eastAsiaTheme="minorEastAsia" w:hAnsi="Times New Roman" w:cs="Times New Roman"/>
          <w:sz w:val="24"/>
          <w:szCs w:val="24"/>
        </w:rPr>
        <w:t>年</w:t>
      </w:r>
      <w:r w:rsidR="0042009D" w:rsidRPr="006B72F7">
        <w:rPr>
          <w:rFonts w:ascii="Times New Roman" w:eastAsiaTheme="minorEastAsia" w:hAnsi="Times New Roman" w:cs="Times New Roman"/>
          <w:sz w:val="24"/>
          <w:szCs w:val="24"/>
        </w:rPr>
        <w:t>8</w:t>
      </w:r>
      <w:r w:rsidR="0042009D" w:rsidRPr="006B72F7">
        <w:rPr>
          <w:rFonts w:ascii="Times New Roman" w:eastAsiaTheme="minorEastAsia" w:hAnsi="Times New Roman" w:cs="Times New Roman"/>
          <w:sz w:val="24"/>
          <w:szCs w:val="24"/>
        </w:rPr>
        <w:t>月</w:t>
      </w:r>
      <w:r w:rsidR="0042009D" w:rsidRPr="006B72F7">
        <w:rPr>
          <w:rFonts w:ascii="Times New Roman" w:eastAsiaTheme="minorEastAsia" w:hAnsi="Times New Roman" w:cs="Times New Roman"/>
          <w:sz w:val="24"/>
          <w:szCs w:val="24"/>
        </w:rPr>
        <w:t>4</w:t>
      </w:r>
      <w:r w:rsidR="0042009D"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至</w:t>
      </w:r>
      <w:r w:rsidRPr="006B72F7">
        <w:rPr>
          <w:rFonts w:ascii="Times New Roman" w:eastAsiaTheme="minorEastAsia" w:hAnsi="Times New Roman" w:cs="Times New Roman"/>
          <w:sz w:val="24"/>
          <w:szCs w:val="24"/>
        </w:rPr>
        <w:t>2018</w:t>
      </w:r>
      <w:r w:rsidRPr="006B72F7">
        <w:rPr>
          <w:rFonts w:ascii="Times New Roman" w:eastAsiaTheme="minorEastAsia" w:hAnsi="Times New Roman" w:cs="Times New Roman"/>
          <w:sz w:val="24"/>
          <w:szCs w:val="24"/>
        </w:rPr>
        <w:t>年</w:t>
      </w:r>
      <w:r w:rsidRPr="006B72F7">
        <w:rPr>
          <w:rFonts w:ascii="Times New Roman" w:eastAsiaTheme="minorEastAsia" w:hAnsi="Times New Roman" w:cs="Times New Roman"/>
          <w:sz w:val="24"/>
          <w:szCs w:val="24"/>
        </w:rPr>
        <w:t>9</w:t>
      </w:r>
      <w:r w:rsidRPr="006B72F7">
        <w:rPr>
          <w:rFonts w:ascii="Times New Roman" w:eastAsiaTheme="minorEastAsia" w:hAnsi="Times New Roman" w:cs="Times New Roman"/>
          <w:sz w:val="24"/>
          <w:szCs w:val="24"/>
        </w:rPr>
        <w:t>月</w:t>
      </w:r>
      <w:r w:rsidRPr="006B72F7">
        <w:rPr>
          <w:rFonts w:ascii="Times New Roman" w:eastAsiaTheme="minorEastAsia" w:hAnsi="Times New Roman" w:cs="Times New Roman"/>
          <w:sz w:val="24"/>
          <w:szCs w:val="24"/>
        </w:rPr>
        <w:t>30</w:t>
      </w:r>
      <w:r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w:t>
      </w:r>
    </w:p>
    <w:p w:rsidR="004061AC" w:rsidRPr="001611C5" w:rsidRDefault="00866CF2" w:rsidP="004061AC">
      <w:pPr>
        <w:pStyle w:val="a5"/>
        <w:snapToGrid w:val="0"/>
        <w:spacing w:before="120" w:line="360" w:lineRule="auto"/>
        <w:jc w:val="center"/>
        <w:rPr>
          <w:rFonts w:asciiTheme="minorEastAsia" w:eastAsiaTheme="minorEastAsia" w:hAnsiTheme="minorEastAsia"/>
          <w:color w:val="000000"/>
          <w:sz w:val="24"/>
          <w:szCs w:val="24"/>
        </w:rPr>
      </w:pPr>
      <w:r w:rsidRPr="001611C5">
        <w:rPr>
          <w:rFonts w:asciiTheme="minorEastAsia" w:eastAsiaTheme="minorEastAsia" w:hAnsiTheme="minorEastAsia"/>
          <w:noProof/>
          <w:color w:val="000000"/>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276850" cy="3086100"/>
                    </a:xfrm>
                    <a:prstGeom prst="rect">
                      <a:avLst/>
                    </a:prstGeom>
                    <a:noFill/>
                    <a:ln>
                      <a:noFill/>
                    </a:ln>
                  </pic:spPr>
                </pic:pic>
              </a:graphicData>
            </a:graphic>
          </wp:inline>
        </w:drawing>
      </w:r>
    </w:p>
    <w:p w:rsidR="00957594"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注：本基金建仓期为基金合同生效后</w:t>
      </w:r>
      <w:r w:rsidRPr="00CD2DB1">
        <w:rPr>
          <w:rFonts w:eastAsiaTheme="minorEastAsia"/>
          <w:color w:val="000000"/>
          <w:sz w:val="24"/>
          <w:szCs w:val="24"/>
        </w:rPr>
        <w:t>6</w:t>
      </w:r>
      <w:r w:rsidRPr="00CD2DB1">
        <w:rPr>
          <w:rFonts w:eastAsiaTheme="minorEastAsia"/>
          <w:color w:val="000000"/>
          <w:sz w:val="24"/>
          <w:szCs w:val="24"/>
        </w:rPr>
        <w:t>个月，建仓期结束时各项资产配置比例符合本基金合同有关规定。</w:t>
      </w:r>
    </w:p>
    <w:p w:rsidR="00693843" w:rsidRPr="006B72F7" w:rsidRDefault="00693843" w:rsidP="00693843">
      <w:pPr>
        <w:tabs>
          <w:tab w:val="left" w:pos="1800"/>
        </w:tabs>
        <w:spacing w:line="288" w:lineRule="auto"/>
        <w:rPr>
          <w:rFonts w:eastAsiaTheme="minorEastAsia"/>
          <w:color w:val="000000"/>
          <w:sz w:val="24"/>
          <w:szCs w:val="24"/>
        </w:rPr>
      </w:pPr>
    </w:p>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4  </w:t>
      </w:r>
      <w:r w:rsidRPr="001611C5">
        <w:rPr>
          <w:rFonts w:asciiTheme="minorEastAsia" w:eastAsiaTheme="minorEastAsia" w:hAnsiTheme="minorEastAsia" w:hint="eastAsia"/>
          <w:color w:val="000000"/>
          <w:kern w:val="0"/>
          <w:sz w:val="24"/>
          <w:szCs w:val="24"/>
        </w:rPr>
        <w:t>管理人报告</w:t>
      </w:r>
    </w:p>
    <w:p w:rsidR="00B12B7D"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4.1 </w:t>
      </w:r>
      <w:r w:rsidRPr="001611C5">
        <w:rPr>
          <w:rFonts w:asciiTheme="minorEastAsia" w:eastAsiaTheme="minorEastAsia" w:hAnsiTheme="minorEastAsia" w:hint="eastAsia"/>
          <w:b/>
          <w:bCs/>
          <w:color w:val="000000"/>
          <w:kern w:val="0"/>
          <w:sz w:val="24"/>
          <w:szCs w:val="24"/>
        </w:rPr>
        <w:t>基金经理</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或基金经理小组</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134"/>
        <w:gridCol w:w="1134"/>
        <w:gridCol w:w="1417"/>
        <w:gridCol w:w="2694"/>
      </w:tblGrid>
      <w:tr w:rsidR="00286BEF" w:rsidRPr="001611C5" w:rsidTr="00091D41">
        <w:trPr>
          <w:cantSplit/>
          <w:trHeight w:val="292"/>
        </w:trPr>
        <w:tc>
          <w:tcPr>
            <w:tcW w:w="85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姓名</w:t>
            </w:r>
          </w:p>
        </w:tc>
        <w:tc>
          <w:tcPr>
            <w:tcW w:w="170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职务</w:t>
            </w:r>
          </w:p>
        </w:tc>
        <w:tc>
          <w:tcPr>
            <w:tcW w:w="2268" w:type="dxa"/>
            <w:gridSpan w:val="2"/>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任本基金的基金经理期限</w:t>
            </w:r>
          </w:p>
        </w:tc>
        <w:tc>
          <w:tcPr>
            <w:tcW w:w="1417" w:type="dxa"/>
            <w:vMerge w:val="restart"/>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证券从业年限</w:t>
            </w:r>
          </w:p>
        </w:tc>
        <w:tc>
          <w:tcPr>
            <w:tcW w:w="2694"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说明</w:t>
            </w:r>
          </w:p>
        </w:tc>
      </w:tr>
      <w:tr w:rsidR="00D13737" w:rsidRPr="001611C5" w:rsidTr="00091D41">
        <w:trPr>
          <w:cantSplit/>
        </w:trPr>
        <w:tc>
          <w:tcPr>
            <w:tcW w:w="85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70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任职日期</w:t>
            </w: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离任日期</w:t>
            </w:r>
          </w:p>
        </w:tc>
        <w:tc>
          <w:tcPr>
            <w:tcW w:w="1417"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2694"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r>
      <w:tr w:rsidR="009A62F4">
        <w:tc>
          <w:tcPr>
            <w:tcW w:w="851" w:type="dxa"/>
            <w:vAlign w:val="center"/>
          </w:tcPr>
          <w:p w:rsidR="009A62F4" w:rsidRDefault="007F4E08">
            <w:pPr>
              <w:jc w:val="center"/>
            </w:pPr>
            <w:r>
              <w:rPr>
                <w:rFonts w:eastAsiaTheme="minorEastAsia"/>
                <w:color w:val="000000"/>
                <w:sz w:val="24"/>
                <w:szCs w:val="24"/>
              </w:rPr>
              <w:t>代宇</w:t>
            </w:r>
          </w:p>
        </w:tc>
        <w:tc>
          <w:tcPr>
            <w:tcW w:w="1701" w:type="dxa"/>
            <w:vAlign w:val="center"/>
          </w:tcPr>
          <w:p w:rsidR="009A62F4" w:rsidRDefault="007F4E08">
            <w:pPr>
              <w:jc w:val="center"/>
            </w:pPr>
            <w:r>
              <w:rPr>
                <w:rFonts w:eastAsiaTheme="minorEastAsia"/>
                <w:color w:val="000000"/>
                <w:sz w:val="24"/>
                <w:szCs w:val="24"/>
              </w:rPr>
              <w:t>本基金的基金经理；广发聚利债券基金的基金经理；广发聚财信用债券基金的基金经理；广发集利一年定期开放债券基金的基金经理；广发成长优选混合基金的基金经理；广发安泰回报基金的基金经理；广发双债添利债券基金的基金经理；广发安瑞回报混合基金的基金经理；广发安祥回报混合基金的基金经理；广发集丰债券基金的基金经理；广发汇瑞</w:t>
            </w:r>
            <w:r>
              <w:rPr>
                <w:rFonts w:eastAsiaTheme="minorEastAsia"/>
                <w:color w:val="000000"/>
                <w:sz w:val="24"/>
                <w:szCs w:val="24"/>
              </w:rPr>
              <w:t>3</w:t>
            </w:r>
            <w:r>
              <w:rPr>
                <w:rFonts w:eastAsiaTheme="minorEastAsia"/>
                <w:color w:val="000000"/>
                <w:sz w:val="24"/>
                <w:szCs w:val="24"/>
              </w:rPr>
              <w:t>个月定期开放债券基金的基金经理；广发汇平一年定期债券基金的基金经理；广发安泽回报纯债基金的基金经理；广发汇富一年定期债券基金的基金经理；广发汇安</w:t>
            </w:r>
            <w:r>
              <w:rPr>
                <w:rFonts w:eastAsiaTheme="minorEastAsia"/>
                <w:color w:val="000000"/>
                <w:sz w:val="24"/>
                <w:szCs w:val="24"/>
              </w:rPr>
              <w:t>18</w:t>
            </w:r>
            <w:r>
              <w:rPr>
                <w:rFonts w:eastAsiaTheme="minorEastAsia"/>
                <w:color w:val="000000"/>
                <w:sz w:val="24"/>
                <w:szCs w:val="24"/>
              </w:rPr>
              <w:t>个月定期债券基金的基金经理；广发汇祥一年定期债券基金</w:t>
            </w:r>
            <w:r>
              <w:rPr>
                <w:rFonts w:eastAsiaTheme="minorEastAsia"/>
                <w:color w:val="000000"/>
                <w:sz w:val="24"/>
                <w:szCs w:val="24"/>
              </w:rPr>
              <w:t>的基金经理；广发上证</w:t>
            </w:r>
            <w:r>
              <w:rPr>
                <w:rFonts w:eastAsiaTheme="minorEastAsia"/>
                <w:color w:val="000000"/>
                <w:sz w:val="24"/>
                <w:szCs w:val="24"/>
              </w:rPr>
              <w:t>10</w:t>
            </w:r>
            <w:r>
              <w:rPr>
                <w:rFonts w:eastAsiaTheme="minorEastAsia"/>
                <w:color w:val="000000"/>
                <w:sz w:val="24"/>
                <w:szCs w:val="24"/>
              </w:rPr>
              <w:t>期国债</w:t>
            </w:r>
            <w:r>
              <w:rPr>
                <w:rFonts w:eastAsiaTheme="minorEastAsia"/>
                <w:color w:val="000000"/>
                <w:sz w:val="24"/>
                <w:szCs w:val="24"/>
              </w:rPr>
              <w:t>ETF</w:t>
            </w:r>
            <w:r>
              <w:rPr>
                <w:rFonts w:eastAsiaTheme="minorEastAsia"/>
                <w:color w:val="000000"/>
                <w:sz w:val="24"/>
                <w:szCs w:val="24"/>
              </w:rPr>
              <w:t>基金的基金经理；广发汇誉</w:t>
            </w:r>
            <w:r>
              <w:rPr>
                <w:rFonts w:eastAsiaTheme="minorEastAsia"/>
                <w:color w:val="000000"/>
                <w:sz w:val="24"/>
                <w:szCs w:val="24"/>
              </w:rPr>
              <w:t>3</w:t>
            </w:r>
            <w:r>
              <w:rPr>
                <w:rFonts w:eastAsiaTheme="minorEastAsia"/>
                <w:color w:val="000000"/>
                <w:sz w:val="24"/>
                <w:szCs w:val="24"/>
              </w:rPr>
              <w:t>个月定期开放债券基金的基金经理；债券投资部副总经理</w:t>
            </w:r>
          </w:p>
        </w:tc>
        <w:tc>
          <w:tcPr>
            <w:tcW w:w="1134" w:type="dxa"/>
            <w:vAlign w:val="center"/>
          </w:tcPr>
          <w:p w:rsidR="009A62F4" w:rsidRDefault="007F4E08">
            <w:pPr>
              <w:jc w:val="center"/>
            </w:pPr>
            <w:r>
              <w:rPr>
                <w:rFonts w:eastAsiaTheme="minorEastAsia"/>
                <w:color w:val="000000"/>
                <w:sz w:val="24"/>
                <w:szCs w:val="24"/>
              </w:rPr>
              <w:t>2017-08-04</w:t>
            </w:r>
          </w:p>
        </w:tc>
        <w:tc>
          <w:tcPr>
            <w:tcW w:w="1134" w:type="dxa"/>
            <w:vAlign w:val="center"/>
          </w:tcPr>
          <w:p w:rsidR="009A62F4" w:rsidRDefault="007F4E08">
            <w:pPr>
              <w:jc w:val="center"/>
            </w:pPr>
            <w:r>
              <w:rPr>
                <w:rFonts w:eastAsiaTheme="minorEastAsia"/>
                <w:color w:val="000000"/>
                <w:sz w:val="24"/>
                <w:szCs w:val="24"/>
              </w:rPr>
              <w:t>-</w:t>
            </w:r>
          </w:p>
        </w:tc>
        <w:tc>
          <w:tcPr>
            <w:tcW w:w="1417" w:type="dxa"/>
            <w:vAlign w:val="center"/>
          </w:tcPr>
          <w:p w:rsidR="009A62F4" w:rsidRDefault="007F4E08">
            <w:pPr>
              <w:jc w:val="center"/>
            </w:pPr>
            <w:r>
              <w:rPr>
                <w:rFonts w:eastAsiaTheme="minorEastAsia"/>
                <w:color w:val="000000"/>
                <w:sz w:val="24"/>
                <w:szCs w:val="24"/>
              </w:rPr>
              <w:t>13</w:t>
            </w:r>
            <w:r>
              <w:rPr>
                <w:rFonts w:eastAsiaTheme="minorEastAsia"/>
                <w:color w:val="000000"/>
                <w:sz w:val="24"/>
                <w:szCs w:val="24"/>
              </w:rPr>
              <w:t>年</w:t>
            </w:r>
          </w:p>
        </w:tc>
        <w:tc>
          <w:tcPr>
            <w:tcW w:w="2694" w:type="dxa"/>
            <w:vAlign w:val="center"/>
          </w:tcPr>
          <w:p w:rsidR="009A62F4" w:rsidRDefault="007F4E08">
            <w:r>
              <w:rPr>
                <w:rFonts w:eastAsiaTheme="minorEastAsia"/>
                <w:color w:val="000000"/>
                <w:sz w:val="24"/>
                <w:szCs w:val="24"/>
              </w:rPr>
              <w:t>代宇女士，金融学硕士，持有中国证券投资基金业从业证书。曾任广发基金管理有限公司固定收益部研究员、投资经理、固定收益部副总经理、广发聚鑫债券型证券投资基金基金经理（自</w:t>
            </w:r>
            <w:r>
              <w:rPr>
                <w:rFonts w:eastAsiaTheme="minorEastAsia"/>
                <w:color w:val="000000"/>
                <w:sz w:val="24"/>
                <w:szCs w:val="24"/>
              </w:rPr>
              <w:t>2013</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5</w:t>
            </w:r>
            <w:r>
              <w:rPr>
                <w:rFonts w:eastAsiaTheme="minorEastAsia"/>
                <w:color w:val="000000"/>
                <w:sz w:val="24"/>
                <w:szCs w:val="24"/>
              </w:rPr>
              <w:t>日至</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23</w:t>
            </w:r>
            <w:r>
              <w:rPr>
                <w:rFonts w:eastAsiaTheme="minorEastAsia"/>
                <w:color w:val="000000"/>
                <w:sz w:val="24"/>
                <w:szCs w:val="24"/>
              </w:rPr>
              <w:t>日）、广发新常态灵活配置混合型证券投资基金基金经理（自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11</w:t>
            </w:r>
            <w:r>
              <w:rPr>
                <w:rFonts w:eastAsiaTheme="minorEastAsia"/>
                <w:color w:val="000000"/>
                <w:sz w:val="24"/>
                <w:szCs w:val="24"/>
              </w:rPr>
              <w:t>日）、广发安心回报混合型证券投资基金基金经理（自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5</w:t>
            </w:r>
            <w:r>
              <w:rPr>
                <w:rFonts w:eastAsiaTheme="minorEastAsia"/>
                <w:color w:val="000000"/>
                <w:sz w:val="24"/>
                <w:szCs w:val="24"/>
              </w:rPr>
              <w:t>月</w:t>
            </w:r>
            <w:r>
              <w:rPr>
                <w:rFonts w:eastAsiaTheme="minorEastAsia"/>
                <w:color w:val="000000"/>
                <w:sz w:val="24"/>
                <w:szCs w:val="24"/>
              </w:rPr>
              <w:t>14</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日）、广发聚惠灵活配置混合型证券投资基金基金经理（自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15</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14</w:t>
            </w:r>
            <w:r>
              <w:rPr>
                <w:rFonts w:eastAsiaTheme="minorEastAsia"/>
                <w:color w:val="000000"/>
                <w:sz w:val="24"/>
                <w:szCs w:val="24"/>
              </w:rPr>
              <w:t>日）、广发汇瑞一年定期开放债券型证券投资基金基金经理（自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28</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日）。现任广发基金管理有限公司债券投资部副总经理、广发聚利债券型证券投资基金基金经理（自</w:t>
            </w:r>
            <w:r>
              <w:rPr>
                <w:rFonts w:eastAsiaTheme="minorEastAsia"/>
                <w:color w:val="000000"/>
                <w:sz w:val="24"/>
                <w:szCs w:val="24"/>
              </w:rPr>
              <w:t>2011</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5</w:t>
            </w:r>
            <w:r>
              <w:rPr>
                <w:rFonts w:eastAsiaTheme="minorEastAsia"/>
                <w:color w:val="000000"/>
                <w:sz w:val="24"/>
                <w:szCs w:val="24"/>
              </w:rPr>
              <w:t>日起任职）、广发聚财信用债券型证券投资基金基金经理（自</w:t>
            </w:r>
            <w:r>
              <w:rPr>
                <w:rFonts w:eastAsiaTheme="minorEastAsia"/>
                <w:color w:val="000000"/>
                <w:sz w:val="24"/>
                <w:szCs w:val="24"/>
              </w:rPr>
              <w:t>2012</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日起任职）、广发集利一年定期开放债券型证券投资基金基金经理（自</w:t>
            </w:r>
            <w:r>
              <w:rPr>
                <w:rFonts w:eastAsiaTheme="minorEastAsia"/>
                <w:color w:val="000000"/>
                <w:sz w:val="24"/>
                <w:szCs w:val="24"/>
              </w:rPr>
              <w:t>2013</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21</w:t>
            </w:r>
            <w:r>
              <w:rPr>
                <w:rFonts w:eastAsiaTheme="minorEastAsia"/>
                <w:color w:val="000000"/>
                <w:sz w:val="24"/>
                <w:szCs w:val="24"/>
              </w:rPr>
              <w:t>日起任职）、广发成长优选灵活配置混合型证券投</w:t>
            </w:r>
            <w:r>
              <w:rPr>
                <w:rFonts w:eastAsiaTheme="minorEastAsia"/>
                <w:color w:val="000000"/>
                <w:sz w:val="24"/>
                <w:szCs w:val="24"/>
              </w:rPr>
              <w:t>资基金基金经理（自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2</w:t>
            </w:r>
            <w:r>
              <w:rPr>
                <w:rFonts w:eastAsiaTheme="minorEastAsia"/>
                <w:color w:val="000000"/>
                <w:sz w:val="24"/>
                <w:szCs w:val="24"/>
              </w:rPr>
              <w:t>月</w:t>
            </w:r>
            <w:r>
              <w:rPr>
                <w:rFonts w:eastAsiaTheme="minorEastAsia"/>
                <w:color w:val="000000"/>
                <w:sz w:val="24"/>
                <w:szCs w:val="24"/>
              </w:rPr>
              <w:t>17</w:t>
            </w:r>
            <w:r>
              <w:rPr>
                <w:rFonts w:eastAsiaTheme="minorEastAsia"/>
                <w:color w:val="000000"/>
                <w:sz w:val="24"/>
                <w:szCs w:val="24"/>
              </w:rPr>
              <w:t>日起任职）、广发安泰回报混合型证券投资基金（自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5</w:t>
            </w:r>
            <w:r>
              <w:rPr>
                <w:rFonts w:eastAsiaTheme="minorEastAsia"/>
                <w:color w:val="000000"/>
                <w:sz w:val="24"/>
                <w:szCs w:val="24"/>
              </w:rPr>
              <w:t>月</w:t>
            </w:r>
            <w:r>
              <w:rPr>
                <w:rFonts w:eastAsiaTheme="minorEastAsia"/>
                <w:color w:val="000000"/>
                <w:sz w:val="24"/>
                <w:szCs w:val="24"/>
              </w:rPr>
              <w:t>14</w:t>
            </w:r>
            <w:r>
              <w:rPr>
                <w:rFonts w:eastAsiaTheme="minorEastAsia"/>
                <w:color w:val="000000"/>
                <w:sz w:val="24"/>
                <w:szCs w:val="24"/>
              </w:rPr>
              <w:t>日起任职）、广发双债添利债券型证券投资基金基金经理（自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5</w:t>
            </w:r>
            <w:r>
              <w:rPr>
                <w:rFonts w:eastAsiaTheme="minorEastAsia"/>
                <w:color w:val="000000"/>
                <w:sz w:val="24"/>
                <w:szCs w:val="24"/>
              </w:rPr>
              <w:t>月</w:t>
            </w:r>
            <w:r>
              <w:rPr>
                <w:rFonts w:eastAsiaTheme="minorEastAsia"/>
                <w:color w:val="000000"/>
                <w:sz w:val="24"/>
                <w:szCs w:val="24"/>
              </w:rPr>
              <w:t>27</w:t>
            </w:r>
            <w:r>
              <w:rPr>
                <w:rFonts w:eastAsiaTheme="minorEastAsia"/>
                <w:color w:val="000000"/>
                <w:sz w:val="24"/>
                <w:szCs w:val="24"/>
              </w:rPr>
              <w:t>日起任职）、广发安瑞回报灵活配置混合型证券投资基金基金经理（自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26</w:t>
            </w:r>
            <w:r>
              <w:rPr>
                <w:rFonts w:eastAsiaTheme="minorEastAsia"/>
                <w:color w:val="000000"/>
                <w:sz w:val="24"/>
                <w:szCs w:val="24"/>
              </w:rPr>
              <w:t>日起任职）、广发安祥回报灵活配置混合型证券投资基金基金经理（自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19</w:t>
            </w:r>
            <w:r>
              <w:rPr>
                <w:rFonts w:eastAsiaTheme="minorEastAsia"/>
                <w:color w:val="000000"/>
                <w:sz w:val="24"/>
                <w:szCs w:val="24"/>
              </w:rPr>
              <w:t>日起任职）、广发集丰债券型证券投资基金基金经理（自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9</w:t>
            </w:r>
            <w:r>
              <w:rPr>
                <w:rFonts w:eastAsiaTheme="minorEastAsia"/>
                <w:color w:val="000000"/>
                <w:sz w:val="24"/>
                <w:szCs w:val="24"/>
              </w:rPr>
              <w:t>日起任职）、广发汇平一年定期开放债券型证券投资基金基金经理（自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日起任职）、广发安泽回报纯债债券型</w:t>
            </w:r>
            <w:r>
              <w:rPr>
                <w:rFonts w:eastAsiaTheme="minorEastAsia"/>
                <w:color w:val="000000"/>
                <w:sz w:val="24"/>
                <w:szCs w:val="24"/>
              </w:rPr>
              <w:t>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2</w:t>
            </w:r>
            <w:r>
              <w:rPr>
                <w:rFonts w:eastAsiaTheme="minorEastAsia"/>
                <w:color w:val="000000"/>
                <w:sz w:val="24"/>
                <w:szCs w:val="24"/>
              </w:rPr>
              <w:t>月</w:t>
            </w:r>
            <w:r>
              <w:rPr>
                <w:rFonts w:eastAsiaTheme="minorEastAsia"/>
                <w:color w:val="000000"/>
                <w:sz w:val="24"/>
                <w:szCs w:val="24"/>
              </w:rPr>
              <w:t>8</w:t>
            </w:r>
            <w:r>
              <w:rPr>
                <w:rFonts w:eastAsiaTheme="minorEastAsia"/>
                <w:color w:val="000000"/>
                <w:sz w:val="24"/>
                <w:szCs w:val="24"/>
              </w:rPr>
              <w:t>日起任职）、广发汇富一年定期开放债券型证券投资基金基金经理（自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2</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日起任职）、广发汇安</w:t>
            </w:r>
            <w:r>
              <w:rPr>
                <w:rFonts w:eastAsiaTheme="minorEastAsia"/>
                <w:color w:val="000000"/>
                <w:sz w:val="24"/>
                <w:szCs w:val="24"/>
              </w:rPr>
              <w:t>18</w:t>
            </w:r>
            <w:r>
              <w:rPr>
                <w:rFonts w:eastAsiaTheme="minorEastAsia"/>
                <w:color w:val="000000"/>
                <w:sz w:val="24"/>
                <w:szCs w:val="24"/>
              </w:rPr>
              <w:t>个月定期开放债券型证券投资基金基金经理（自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日起任职）、广发汇祥一年定期开放债券型证券投资基金基金经理（自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27</w:t>
            </w:r>
            <w:r>
              <w:rPr>
                <w:rFonts w:eastAsiaTheme="minorEastAsia"/>
                <w:color w:val="000000"/>
                <w:sz w:val="24"/>
                <w:szCs w:val="24"/>
              </w:rPr>
              <w:t>日起任职）、广发量化稳健混合型证券投资基金基金经理（自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4</w:t>
            </w:r>
            <w:r>
              <w:rPr>
                <w:rFonts w:eastAsiaTheme="minorEastAsia"/>
                <w:color w:val="000000"/>
                <w:sz w:val="24"/>
                <w:szCs w:val="24"/>
              </w:rPr>
              <w:t>日起任职）、广发上证</w:t>
            </w:r>
            <w:r>
              <w:rPr>
                <w:rFonts w:eastAsiaTheme="minorEastAsia"/>
                <w:color w:val="000000"/>
                <w:sz w:val="24"/>
                <w:szCs w:val="24"/>
              </w:rPr>
              <w:t>10</w:t>
            </w:r>
            <w:r>
              <w:rPr>
                <w:rFonts w:eastAsiaTheme="minorEastAsia"/>
                <w:color w:val="000000"/>
                <w:sz w:val="24"/>
                <w:szCs w:val="24"/>
              </w:rPr>
              <w:t>年期国债交易型开放式指数证券投资基金（自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26</w:t>
            </w:r>
            <w:r>
              <w:rPr>
                <w:rFonts w:eastAsiaTheme="minorEastAsia"/>
                <w:color w:val="000000"/>
                <w:sz w:val="24"/>
                <w:szCs w:val="24"/>
              </w:rPr>
              <w:t>日起任职）、广发汇瑞</w:t>
            </w:r>
            <w:r>
              <w:rPr>
                <w:rFonts w:eastAsiaTheme="minorEastAsia"/>
                <w:color w:val="000000"/>
                <w:sz w:val="24"/>
                <w:szCs w:val="24"/>
              </w:rPr>
              <w:t>3</w:t>
            </w:r>
            <w:r>
              <w:rPr>
                <w:rFonts w:eastAsiaTheme="minorEastAsia"/>
                <w:color w:val="000000"/>
                <w:sz w:val="24"/>
                <w:szCs w:val="24"/>
              </w:rPr>
              <w:t>个月定期开放债券型证券投资基金基金经理（自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日起任职）、广发汇誉</w:t>
            </w:r>
            <w:r>
              <w:rPr>
                <w:rFonts w:eastAsiaTheme="minorEastAsia"/>
                <w:color w:val="000000"/>
                <w:sz w:val="24"/>
                <w:szCs w:val="24"/>
              </w:rPr>
              <w:t>3</w:t>
            </w:r>
            <w:r>
              <w:rPr>
                <w:rFonts w:eastAsiaTheme="minorEastAsia"/>
                <w:color w:val="000000"/>
                <w:sz w:val="24"/>
                <w:szCs w:val="24"/>
              </w:rPr>
              <w:t>个月定期开放债券型发起式证券投资基金（自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20</w:t>
            </w:r>
            <w:r>
              <w:rPr>
                <w:rFonts w:eastAsiaTheme="minorEastAsia"/>
                <w:color w:val="000000"/>
                <w:sz w:val="24"/>
                <w:szCs w:val="24"/>
              </w:rPr>
              <w:t>日起任职）。</w:t>
            </w:r>
          </w:p>
        </w:tc>
      </w:tr>
      <w:tr w:rsidR="009A62F4">
        <w:tc>
          <w:tcPr>
            <w:tcW w:w="851" w:type="dxa"/>
            <w:vAlign w:val="center"/>
          </w:tcPr>
          <w:p w:rsidR="009A62F4" w:rsidRDefault="007F4E08">
            <w:pPr>
              <w:jc w:val="center"/>
            </w:pPr>
            <w:r>
              <w:rPr>
                <w:rFonts w:eastAsiaTheme="minorEastAsia"/>
                <w:color w:val="000000"/>
                <w:sz w:val="24"/>
                <w:szCs w:val="24"/>
              </w:rPr>
              <w:t>刘杰</w:t>
            </w:r>
          </w:p>
        </w:tc>
        <w:tc>
          <w:tcPr>
            <w:tcW w:w="1701" w:type="dxa"/>
            <w:vAlign w:val="center"/>
          </w:tcPr>
          <w:p w:rsidR="009A62F4" w:rsidRDefault="007F4E08">
            <w:pPr>
              <w:jc w:val="center"/>
            </w:pPr>
            <w:r>
              <w:rPr>
                <w:rFonts w:eastAsiaTheme="minorEastAsia"/>
                <w:color w:val="000000"/>
                <w:sz w:val="24"/>
                <w:szCs w:val="24"/>
              </w:rPr>
              <w:t>本基金的基金经理；广发沪深</w:t>
            </w:r>
            <w:r>
              <w:rPr>
                <w:rFonts w:eastAsiaTheme="minorEastAsia"/>
                <w:color w:val="000000"/>
                <w:sz w:val="24"/>
                <w:szCs w:val="24"/>
              </w:rPr>
              <w:t>300ETF</w:t>
            </w:r>
            <w:r>
              <w:rPr>
                <w:rFonts w:eastAsiaTheme="minorEastAsia"/>
                <w:color w:val="000000"/>
                <w:sz w:val="24"/>
                <w:szCs w:val="24"/>
              </w:rPr>
              <w:t>联接基金的基金经理；广发中证</w:t>
            </w:r>
            <w:r>
              <w:rPr>
                <w:rFonts w:eastAsiaTheme="minorEastAsia"/>
                <w:color w:val="000000"/>
                <w:sz w:val="24"/>
                <w:szCs w:val="24"/>
              </w:rPr>
              <w:t>500ETF</w:t>
            </w:r>
            <w:r>
              <w:rPr>
                <w:rFonts w:eastAsiaTheme="minorEastAsia"/>
                <w:color w:val="000000"/>
                <w:sz w:val="24"/>
                <w:szCs w:val="24"/>
              </w:rPr>
              <w:t>基金的基金经理；广发中证</w:t>
            </w:r>
            <w:r>
              <w:rPr>
                <w:rFonts w:eastAsiaTheme="minorEastAsia"/>
                <w:color w:val="000000"/>
                <w:sz w:val="24"/>
                <w:szCs w:val="24"/>
              </w:rPr>
              <w:t>500ETF</w:t>
            </w:r>
            <w:r>
              <w:rPr>
                <w:rFonts w:eastAsiaTheme="minorEastAsia"/>
                <w:color w:val="000000"/>
                <w:sz w:val="24"/>
                <w:szCs w:val="24"/>
              </w:rPr>
              <w:t>联接</w:t>
            </w:r>
            <w:r>
              <w:rPr>
                <w:rFonts w:eastAsiaTheme="minorEastAsia"/>
                <w:color w:val="000000"/>
                <w:sz w:val="24"/>
                <w:szCs w:val="24"/>
              </w:rPr>
              <w:t>(LOF)</w:t>
            </w:r>
            <w:r>
              <w:rPr>
                <w:rFonts w:eastAsiaTheme="minorEastAsia"/>
                <w:color w:val="000000"/>
                <w:sz w:val="24"/>
                <w:szCs w:val="24"/>
              </w:rPr>
              <w:t>基金的基金经理；广发沪深</w:t>
            </w:r>
            <w:r>
              <w:rPr>
                <w:rFonts w:eastAsiaTheme="minorEastAsia"/>
                <w:color w:val="000000"/>
                <w:sz w:val="24"/>
                <w:szCs w:val="24"/>
              </w:rPr>
              <w:t>300ETF</w:t>
            </w:r>
            <w:r>
              <w:rPr>
                <w:rFonts w:eastAsiaTheme="minorEastAsia"/>
                <w:color w:val="000000"/>
                <w:sz w:val="24"/>
                <w:szCs w:val="24"/>
              </w:rPr>
              <w:t>基金的基金经理；广发养老指数基金的基金经理；广发中小板</w:t>
            </w:r>
            <w:r>
              <w:rPr>
                <w:rFonts w:eastAsiaTheme="minorEastAsia"/>
                <w:color w:val="000000"/>
                <w:sz w:val="24"/>
                <w:szCs w:val="24"/>
              </w:rPr>
              <w:t>300ETF</w:t>
            </w:r>
            <w:r>
              <w:rPr>
                <w:rFonts w:eastAsiaTheme="minorEastAsia"/>
                <w:color w:val="000000"/>
                <w:sz w:val="24"/>
                <w:szCs w:val="24"/>
              </w:rPr>
              <w:t>基金的基金经理；广发中小板</w:t>
            </w:r>
            <w:r>
              <w:rPr>
                <w:rFonts w:eastAsiaTheme="minorEastAsia"/>
                <w:color w:val="000000"/>
                <w:sz w:val="24"/>
                <w:szCs w:val="24"/>
              </w:rPr>
              <w:t>300</w:t>
            </w:r>
            <w:r>
              <w:rPr>
                <w:rFonts w:eastAsiaTheme="minorEastAsia"/>
                <w:color w:val="000000"/>
                <w:sz w:val="24"/>
                <w:szCs w:val="24"/>
              </w:rPr>
              <w:t>联接基金的基金经理；广发中证环保</w:t>
            </w:r>
            <w:r>
              <w:rPr>
                <w:rFonts w:eastAsiaTheme="minorEastAsia"/>
                <w:color w:val="000000"/>
                <w:sz w:val="24"/>
                <w:szCs w:val="24"/>
              </w:rPr>
              <w:t>ETF</w:t>
            </w:r>
            <w:r>
              <w:rPr>
                <w:rFonts w:eastAsiaTheme="minorEastAsia"/>
                <w:color w:val="000000"/>
                <w:sz w:val="24"/>
                <w:szCs w:val="24"/>
              </w:rPr>
              <w:t>联接基金的基金经理；广发军工</w:t>
            </w:r>
            <w:r>
              <w:rPr>
                <w:rFonts w:eastAsiaTheme="minorEastAsia"/>
                <w:color w:val="000000"/>
                <w:sz w:val="24"/>
                <w:szCs w:val="24"/>
              </w:rPr>
              <w:t>ETF</w:t>
            </w:r>
            <w:r>
              <w:rPr>
                <w:rFonts w:eastAsiaTheme="minorEastAsia"/>
                <w:color w:val="000000"/>
                <w:sz w:val="24"/>
                <w:szCs w:val="24"/>
              </w:rPr>
              <w:t>基金的基金经理；广发中证军工</w:t>
            </w:r>
            <w:r>
              <w:rPr>
                <w:rFonts w:eastAsiaTheme="minorEastAsia"/>
                <w:color w:val="000000"/>
                <w:sz w:val="24"/>
                <w:szCs w:val="24"/>
              </w:rPr>
              <w:t>ETF</w:t>
            </w:r>
            <w:r>
              <w:rPr>
                <w:rFonts w:eastAsiaTheme="minorEastAsia"/>
                <w:color w:val="000000"/>
                <w:sz w:val="24"/>
                <w:szCs w:val="24"/>
              </w:rPr>
              <w:t>联接基金的基金经理；广发中证环保</w:t>
            </w:r>
            <w:r>
              <w:rPr>
                <w:rFonts w:eastAsiaTheme="minorEastAsia"/>
                <w:color w:val="000000"/>
                <w:sz w:val="24"/>
                <w:szCs w:val="24"/>
              </w:rPr>
              <w:t>ETF</w:t>
            </w:r>
            <w:r>
              <w:rPr>
                <w:rFonts w:eastAsiaTheme="minorEastAsia"/>
                <w:color w:val="000000"/>
                <w:sz w:val="24"/>
                <w:szCs w:val="24"/>
              </w:rPr>
              <w:t>基金的基金经理；广发创业板</w:t>
            </w:r>
            <w:r>
              <w:rPr>
                <w:rFonts w:eastAsiaTheme="minorEastAsia"/>
                <w:color w:val="000000"/>
                <w:sz w:val="24"/>
                <w:szCs w:val="24"/>
              </w:rPr>
              <w:t>ETF</w:t>
            </w:r>
            <w:r>
              <w:rPr>
                <w:rFonts w:eastAsiaTheme="minorEastAsia"/>
                <w:color w:val="000000"/>
                <w:sz w:val="24"/>
                <w:szCs w:val="24"/>
              </w:rPr>
              <w:t>基金的基金经理；广发创业板</w:t>
            </w:r>
            <w:r>
              <w:rPr>
                <w:rFonts w:eastAsiaTheme="minorEastAsia"/>
                <w:color w:val="000000"/>
                <w:sz w:val="24"/>
                <w:szCs w:val="24"/>
              </w:rPr>
              <w:t>ETF</w:t>
            </w:r>
            <w:r>
              <w:rPr>
                <w:rFonts w:eastAsiaTheme="minorEastAsia"/>
                <w:color w:val="000000"/>
                <w:sz w:val="24"/>
                <w:szCs w:val="24"/>
              </w:rPr>
              <w:t>联接基金的基金经理；广发道琼斯石油指数（</w:t>
            </w:r>
            <w:r>
              <w:rPr>
                <w:rFonts w:eastAsiaTheme="minorEastAsia"/>
                <w:color w:val="000000"/>
                <w:sz w:val="24"/>
                <w:szCs w:val="24"/>
              </w:rPr>
              <w:t>Q</w:t>
            </w:r>
            <w:r>
              <w:rPr>
                <w:rFonts w:eastAsiaTheme="minorEastAsia"/>
                <w:color w:val="000000"/>
                <w:sz w:val="24"/>
                <w:szCs w:val="24"/>
              </w:rPr>
              <w:t>DII-LOF</w:t>
            </w:r>
            <w:r>
              <w:rPr>
                <w:rFonts w:eastAsiaTheme="minorEastAsia"/>
                <w:color w:val="000000"/>
                <w:sz w:val="24"/>
                <w:szCs w:val="24"/>
              </w:rPr>
              <w:t>）基金的基金经理；广发港股通恒生综合中型股指数基金的基金经理；广发美国房地产指数</w:t>
            </w:r>
            <w:r>
              <w:rPr>
                <w:rFonts w:eastAsiaTheme="minorEastAsia"/>
                <w:color w:val="000000"/>
                <w:sz w:val="24"/>
                <w:szCs w:val="24"/>
              </w:rPr>
              <w:t>(QDII)</w:t>
            </w:r>
            <w:r>
              <w:rPr>
                <w:rFonts w:eastAsiaTheme="minorEastAsia"/>
                <w:color w:val="000000"/>
                <w:sz w:val="24"/>
                <w:szCs w:val="24"/>
              </w:rPr>
              <w:t>基金的基金经理；广发纳斯达克</w:t>
            </w:r>
            <w:r>
              <w:rPr>
                <w:rFonts w:eastAsiaTheme="minorEastAsia"/>
                <w:color w:val="000000"/>
                <w:sz w:val="24"/>
                <w:szCs w:val="24"/>
              </w:rPr>
              <w:t>100</w:t>
            </w:r>
            <w:r>
              <w:rPr>
                <w:rFonts w:eastAsiaTheme="minorEastAsia"/>
                <w:color w:val="000000"/>
                <w:sz w:val="24"/>
                <w:szCs w:val="24"/>
              </w:rPr>
              <w:t>指数（</w:t>
            </w:r>
            <w:r>
              <w:rPr>
                <w:rFonts w:eastAsiaTheme="minorEastAsia"/>
                <w:color w:val="000000"/>
                <w:sz w:val="24"/>
                <w:szCs w:val="24"/>
              </w:rPr>
              <w:t>QDII</w:t>
            </w:r>
            <w:r>
              <w:rPr>
                <w:rFonts w:eastAsiaTheme="minorEastAsia"/>
                <w:color w:val="000000"/>
                <w:sz w:val="24"/>
                <w:szCs w:val="24"/>
              </w:rPr>
              <w:t>）基金的基金经理；广发纳指</w:t>
            </w:r>
            <w:r>
              <w:rPr>
                <w:rFonts w:eastAsiaTheme="minorEastAsia"/>
                <w:color w:val="000000"/>
                <w:sz w:val="24"/>
                <w:szCs w:val="24"/>
              </w:rPr>
              <w:t>100ETF</w:t>
            </w:r>
            <w:r>
              <w:rPr>
                <w:rFonts w:eastAsiaTheme="minorEastAsia"/>
                <w:color w:val="000000"/>
                <w:sz w:val="24"/>
                <w:szCs w:val="24"/>
              </w:rPr>
              <w:t>基金的基金经理；广发全球农业指数（</w:t>
            </w:r>
            <w:r>
              <w:rPr>
                <w:rFonts w:eastAsiaTheme="minorEastAsia"/>
                <w:color w:val="000000"/>
                <w:sz w:val="24"/>
                <w:szCs w:val="24"/>
              </w:rPr>
              <w:t>QDII</w:t>
            </w:r>
            <w:r>
              <w:rPr>
                <w:rFonts w:eastAsiaTheme="minorEastAsia"/>
                <w:color w:val="000000"/>
                <w:sz w:val="24"/>
                <w:szCs w:val="24"/>
              </w:rPr>
              <w:t>）基金的基金经理；广发全球医疗保健（</w:t>
            </w:r>
            <w:r>
              <w:rPr>
                <w:rFonts w:eastAsiaTheme="minorEastAsia"/>
                <w:color w:val="000000"/>
                <w:sz w:val="24"/>
                <w:szCs w:val="24"/>
              </w:rPr>
              <w:t>QDII</w:t>
            </w:r>
            <w:r>
              <w:rPr>
                <w:rFonts w:eastAsiaTheme="minorEastAsia"/>
                <w:color w:val="000000"/>
                <w:sz w:val="24"/>
                <w:szCs w:val="24"/>
              </w:rPr>
              <w:t>）基金的基金经理；广发生物科技指数（</w:t>
            </w:r>
            <w:r>
              <w:rPr>
                <w:rFonts w:eastAsiaTheme="minorEastAsia"/>
                <w:color w:val="000000"/>
                <w:sz w:val="24"/>
                <w:szCs w:val="24"/>
              </w:rPr>
              <w:t>QDII</w:t>
            </w:r>
            <w:r>
              <w:rPr>
                <w:rFonts w:eastAsiaTheme="minorEastAsia"/>
                <w:color w:val="000000"/>
                <w:sz w:val="24"/>
                <w:szCs w:val="24"/>
              </w:rPr>
              <w:t>）基金的基金经理；指数投资部总经理助理</w:t>
            </w:r>
          </w:p>
        </w:tc>
        <w:tc>
          <w:tcPr>
            <w:tcW w:w="1134" w:type="dxa"/>
            <w:vAlign w:val="center"/>
          </w:tcPr>
          <w:p w:rsidR="009A62F4" w:rsidRDefault="007F4E08">
            <w:pPr>
              <w:jc w:val="center"/>
            </w:pPr>
            <w:r>
              <w:rPr>
                <w:rFonts w:eastAsiaTheme="minorEastAsia"/>
                <w:color w:val="000000"/>
                <w:sz w:val="24"/>
                <w:szCs w:val="24"/>
              </w:rPr>
              <w:t>2017-08-04</w:t>
            </w:r>
          </w:p>
        </w:tc>
        <w:tc>
          <w:tcPr>
            <w:tcW w:w="1134" w:type="dxa"/>
            <w:vAlign w:val="center"/>
          </w:tcPr>
          <w:p w:rsidR="009A62F4" w:rsidRDefault="007F4E08">
            <w:pPr>
              <w:jc w:val="center"/>
            </w:pPr>
            <w:r>
              <w:rPr>
                <w:rFonts w:eastAsiaTheme="minorEastAsia"/>
                <w:color w:val="000000"/>
                <w:sz w:val="24"/>
                <w:szCs w:val="24"/>
              </w:rPr>
              <w:t>-</w:t>
            </w:r>
          </w:p>
        </w:tc>
        <w:tc>
          <w:tcPr>
            <w:tcW w:w="1417" w:type="dxa"/>
            <w:vAlign w:val="center"/>
          </w:tcPr>
          <w:p w:rsidR="009A62F4" w:rsidRDefault="007F4E08">
            <w:pPr>
              <w:jc w:val="center"/>
            </w:pPr>
            <w:r>
              <w:rPr>
                <w:rFonts w:eastAsiaTheme="minorEastAsia"/>
                <w:color w:val="000000"/>
                <w:sz w:val="24"/>
                <w:szCs w:val="24"/>
              </w:rPr>
              <w:t>14</w:t>
            </w:r>
            <w:r>
              <w:rPr>
                <w:rFonts w:eastAsiaTheme="minorEastAsia"/>
                <w:color w:val="000000"/>
                <w:sz w:val="24"/>
                <w:szCs w:val="24"/>
              </w:rPr>
              <w:t>年</w:t>
            </w:r>
          </w:p>
        </w:tc>
        <w:tc>
          <w:tcPr>
            <w:tcW w:w="2694" w:type="dxa"/>
            <w:vAlign w:val="center"/>
          </w:tcPr>
          <w:p w:rsidR="009A62F4" w:rsidRDefault="007F4E08">
            <w:r>
              <w:rPr>
                <w:rFonts w:eastAsiaTheme="minorEastAsia"/>
                <w:color w:val="000000"/>
                <w:sz w:val="24"/>
                <w:szCs w:val="24"/>
              </w:rPr>
              <w:t>刘杰先生，工学学士，持有中国证券投资基金业从业证书。曾任广发基金管理有限公司信息技术部系统开发专员、数量投资部研究员</w:t>
            </w:r>
            <w:r>
              <w:rPr>
                <w:rFonts w:eastAsiaTheme="minorEastAsia"/>
                <w:color w:val="000000"/>
                <w:sz w:val="24"/>
                <w:szCs w:val="24"/>
              </w:rPr>
              <w:t>、广发沪深</w:t>
            </w:r>
            <w:r>
              <w:rPr>
                <w:rFonts w:eastAsiaTheme="minorEastAsia"/>
                <w:color w:val="000000"/>
                <w:sz w:val="24"/>
                <w:szCs w:val="24"/>
              </w:rPr>
              <w:t>300</w:t>
            </w:r>
            <w:r>
              <w:rPr>
                <w:rFonts w:eastAsiaTheme="minorEastAsia"/>
                <w:color w:val="000000"/>
                <w:sz w:val="24"/>
                <w:szCs w:val="24"/>
              </w:rPr>
              <w:t>指数证券投资基金基金经理（自</w:t>
            </w:r>
            <w:r>
              <w:rPr>
                <w:rFonts w:eastAsiaTheme="minorEastAsia"/>
                <w:color w:val="000000"/>
                <w:sz w:val="24"/>
                <w:szCs w:val="24"/>
              </w:rPr>
              <w:t>2014</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1</w:t>
            </w:r>
            <w:r>
              <w:rPr>
                <w:rFonts w:eastAsiaTheme="minorEastAsia"/>
                <w:color w:val="000000"/>
                <w:sz w:val="24"/>
                <w:szCs w:val="24"/>
              </w:rPr>
              <w:t>日至</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17</w:t>
            </w:r>
            <w:r>
              <w:rPr>
                <w:rFonts w:eastAsiaTheme="minorEastAsia"/>
                <w:color w:val="000000"/>
                <w:sz w:val="24"/>
                <w:szCs w:val="24"/>
              </w:rPr>
              <w:t>日）、广发中证环保产业指数型发起式证券投资基金基金经理（自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日）。现任广发基金管理有限公司指数投资部总经理助理、广发中证</w:t>
            </w:r>
            <w:r>
              <w:rPr>
                <w:rFonts w:eastAsiaTheme="minorEastAsia"/>
                <w:color w:val="000000"/>
                <w:sz w:val="24"/>
                <w:szCs w:val="24"/>
              </w:rPr>
              <w:t>500</w:t>
            </w:r>
            <w:r>
              <w:rPr>
                <w:rFonts w:eastAsiaTheme="minorEastAsia"/>
                <w:color w:val="000000"/>
                <w:sz w:val="24"/>
                <w:szCs w:val="24"/>
              </w:rPr>
              <w:t>交易型开放式指数证券投资基金基金经理（自</w:t>
            </w:r>
            <w:r>
              <w:rPr>
                <w:rFonts w:eastAsiaTheme="minorEastAsia"/>
                <w:color w:val="000000"/>
                <w:sz w:val="24"/>
                <w:szCs w:val="24"/>
              </w:rPr>
              <w:t>2014</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1</w:t>
            </w:r>
            <w:r>
              <w:rPr>
                <w:rFonts w:eastAsiaTheme="minorEastAsia"/>
                <w:color w:val="000000"/>
                <w:sz w:val="24"/>
                <w:szCs w:val="24"/>
              </w:rPr>
              <w:t>日起任职）、广发中证</w:t>
            </w:r>
            <w:r>
              <w:rPr>
                <w:rFonts w:eastAsiaTheme="minorEastAsia"/>
                <w:color w:val="000000"/>
                <w:sz w:val="24"/>
                <w:szCs w:val="24"/>
              </w:rPr>
              <w:t>500</w:t>
            </w:r>
            <w:r>
              <w:rPr>
                <w:rFonts w:eastAsiaTheme="minorEastAsia"/>
                <w:color w:val="000000"/>
                <w:sz w:val="24"/>
                <w:szCs w:val="24"/>
              </w:rPr>
              <w:t>交易型开放式指数证券投资基金联接基金</w:t>
            </w:r>
            <w:r>
              <w:rPr>
                <w:rFonts w:eastAsiaTheme="minorEastAsia"/>
                <w:color w:val="000000"/>
                <w:sz w:val="24"/>
                <w:szCs w:val="24"/>
              </w:rPr>
              <w:t>(LOF)</w:t>
            </w:r>
            <w:r>
              <w:rPr>
                <w:rFonts w:eastAsiaTheme="minorEastAsia"/>
                <w:color w:val="000000"/>
                <w:sz w:val="24"/>
                <w:szCs w:val="24"/>
              </w:rPr>
              <w:t>基金经理（自</w:t>
            </w:r>
            <w:r>
              <w:rPr>
                <w:rFonts w:eastAsiaTheme="minorEastAsia"/>
                <w:color w:val="000000"/>
                <w:sz w:val="24"/>
                <w:szCs w:val="24"/>
              </w:rPr>
              <w:t>2014</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1</w:t>
            </w:r>
            <w:r>
              <w:rPr>
                <w:rFonts w:eastAsiaTheme="minorEastAsia"/>
                <w:color w:val="000000"/>
                <w:sz w:val="24"/>
                <w:szCs w:val="24"/>
              </w:rPr>
              <w:t>日起任职）、广发沪深</w:t>
            </w:r>
            <w:r>
              <w:rPr>
                <w:rFonts w:eastAsiaTheme="minorEastAsia"/>
                <w:color w:val="000000"/>
                <w:sz w:val="24"/>
                <w:szCs w:val="24"/>
              </w:rPr>
              <w:t>300</w:t>
            </w:r>
            <w:r>
              <w:rPr>
                <w:rFonts w:eastAsiaTheme="minorEastAsia"/>
                <w:color w:val="000000"/>
                <w:sz w:val="24"/>
                <w:szCs w:val="24"/>
              </w:rPr>
              <w:t>交易型开放式指数证券投资基金基金经理（自</w:t>
            </w:r>
            <w:r>
              <w:rPr>
                <w:rFonts w:eastAsiaTheme="minorEastAsia"/>
                <w:color w:val="000000"/>
                <w:sz w:val="24"/>
                <w:szCs w:val="24"/>
              </w:rPr>
              <w:t>2015</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20</w:t>
            </w:r>
            <w:r>
              <w:rPr>
                <w:rFonts w:eastAsiaTheme="minorEastAsia"/>
                <w:color w:val="000000"/>
                <w:sz w:val="24"/>
                <w:szCs w:val="24"/>
              </w:rPr>
              <w:t>日起任职）、广发沪深</w:t>
            </w:r>
            <w:r>
              <w:rPr>
                <w:rFonts w:eastAsiaTheme="minorEastAsia"/>
                <w:color w:val="000000"/>
                <w:sz w:val="24"/>
                <w:szCs w:val="24"/>
              </w:rPr>
              <w:t>300</w:t>
            </w:r>
            <w:r>
              <w:rPr>
                <w:rFonts w:eastAsiaTheme="minorEastAsia"/>
                <w:color w:val="000000"/>
                <w:sz w:val="24"/>
                <w:szCs w:val="24"/>
              </w:rPr>
              <w:t>交易型开放式指数证券投资基金联接基金基金经理（自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18</w:t>
            </w:r>
            <w:r>
              <w:rPr>
                <w:rFonts w:eastAsiaTheme="minorEastAsia"/>
                <w:color w:val="000000"/>
                <w:sz w:val="24"/>
                <w:szCs w:val="24"/>
              </w:rPr>
              <w:t>日起任职）、广发中小板</w:t>
            </w:r>
            <w:r>
              <w:rPr>
                <w:rFonts w:eastAsiaTheme="minorEastAsia"/>
                <w:color w:val="000000"/>
                <w:sz w:val="24"/>
                <w:szCs w:val="24"/>
              </w:rPr>
              <w:t>300</w:t>
            </w:r>
            <w:r>
              <w:rPr>
                <w:rFonts w:eastAsiaTheme="minorEastAsia"/>
                <w:color w:val="000000"/>
                <w:sz w:val="24"/>
                <w:szCs w:val="24"/>
              </w:rPr>
              <w:t>交易型开放式指数证券投资基金基金经理（自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日起任职）、广发中小板</w:t>
            </w:r>
            <w:r>
              <w:rPr>
                <w:rFonts w:eastAsiaTheme="minorEastAsia"/>
                <w:color w:val="000000"/>
                <w:sz w:val="24"/>
                <w:szCs w:val="24"/>
              </w:rPr>
              <w:t>300</w:t>
            </w:r>
            <w:r>
              <w:rPr>
                <w:rFonts w:eastAsiaTheme="minorEastAsia"/>
                <w:color w:val="000000"/>
                <w:sz w:val="24"/>
                <w:szCs w:val="24"/>
              </w:rPr>
              <w:t>交易型开放式指数证券投资基金联接基金基金经理（自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日起任职）、广发中证养老产业指数型发起式证券投资基金基金经理（自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日起任职）、广发中证军工交易型开放式指数证券投资基金基金经理（自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30</w:t>
            </w:r>
            <w:r>
              <w:rPr>
                <w:rFonts w:eastAsiaTheme="minorEastAsia"/>
                <w:color w:val="000000"/>
                <w:sz w:val="24"/>
                <w:szCs w:val="24"/>
              </w:rPr>
              <w:t>日起任职）、广发中证军工交易型开放式指数证券投资基金发起式联接基金基金经理（自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9</w:t>
            </w:r>
            <w:r>
              <w:rPr>
                <w:rFonts w:eastAsiaTheme="minorEastAsia"/>
                <w:color w:val="000000"/>
                <w:sz w:val="24"/>
                <w:szCs w:val="24"/>
              </w:rPr>
              <w:t>月</w:t>
            </w:r>
            <w:r>
              <w:rPr>
                <w:rFonts w:eastAsiaTheme="minorEastAsia"/>
                <w:color w:val="000000"/>
                <w:sz w:val="24"/>
                <w:szCs w:val="24"/>
              </w:rPr>
              <w:t>26</w:t>
            </w:r>
            <w:r>
              <w:rPr>
                <w:rFonts w:eastAsiaTheme="minorEastAsia"/>
                <w:color w:val="000000"/>
                <w:sz w:val="24"/>
                <w:szCs w:val="24"/>
              </w:rPr>
              <w:t>日起任</w:t>
            </w:r>
            <w:r>
              <w:rPr>
                <w:rFonts w:eastAsiaTheme="minorEastAsia"/>
                <w:color w:val="000000"/>
                <w:sz w:val="24"/>
                <w:szCs w:val="24"/>
              </w:rPr>
              <w:t>职）、广发中证环保产业交易型开放式指数证券投资基金基金经理（自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日起任职）、广发创业板交易型开放式指数证券投资基金基金经理（自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日起任职）、广发创业板交易型开放式指数证券投资基金发起式联接基金基金经理（自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5</w:t>
            </w:r>
            <w:r>
              <w:rPr>
                <w:rFonts w:eastAsiaTheme="minorEastAsia"/>
                <w:color w:val="000000"/>
                <w:sz w:val="24"/>
                <w:szCs w:val="24"/>
              </w:rPr>
              <w:t>月</w:t>
            </w:r>
            <w:r>
              <w:rPr>
                <w:rFonts w:eastAsiaTheme="minorEastAsia"/>
                <w:color w:val="000000"/>
                <w:sz w:val="24"/>
                <w:szCs w:val="24"/>
              </w:rPr>
              <w:t>25</w:t>
            </w:r>
            <w:r>
              <w:rPr>
                <w:rFonts w:eastAsiaTheme="minorEastAsia"/>
                <w:color w:val="000000"/>
                <w:sz w:val="24"/>
                <w:szCs w:val="24"/>
              </w:rPr>
              <w:t>日起任职）、广发量化稳健混合型证券投资基金基金经理（自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4</w:t>
            </w:r>
            <w:r>
              <w:rPr>
                <w:rFonts w:eastAsiaTheme="minorEastAsia"/>
                <w:color w:val="000000"/>
                <w:sz w:val="24"/>
                <w:szCs w:val="24"/>
              </w:rPr>
              <w:t>日起任职）、广发中证环保产业交易型开放式指数证券投资基金发起式联接基金基金经理（自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26</w:t>
            </w:r>
            <w:r>
              <w:rPr>
                <w:rFonts w:eastAsiaTheme="minorEastAsia"/>
                <w:color w:val="000000"/>
                <w:sz w:val="24"/>
                <w:szCs w:val="24"/>
              </w:rPr>
              <w:t>日起任职）、广发纳斯达克</w:t>
            </w:r>
            <w:r>
              <w:rPr>
                <w:rFonts w:eastAsiaTheme="minorEastAsia"/>
                <w:color w:val="000000"/>
                <w:sz w:val="24"/>
                <w:szCs w:val="24"/>
              </w:rPr>
              <w:t>100</w:t>
            </w:r>
            <w:r>
              <w:rPr>
                <w:rFonts w:eastAsiaTheme="minorEastAsia"/>
                <w:color w:val="000000"/>
                <w:sz w:val="24"/>
                <w:szCs w:val="24"/>
              </w:rPr>
              <w:t>指数证券投资基金基金经理（自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w:t>
            </w:r>
            <w:r>
              <w:rPr>
                <w:rFonts w:eastAsiaTheme="minorEastAsia"/>
                <w:color w:val="000000"/>
                <w:sz w:val="24"/>
                <w:szCs w:val="24"/>
              </w:rPr>
              <w:t>发纳斯达克</w:t>
            </w:r>
            <w:r>
              <w:rPr>
                <w:rFonts w:eastAsiaTheme="minorEastAsia"/>
                <w:color w:val="000000"/>
                <w:sz w:val="24"/>
                <w:szCs w:val="24"/>
              </w:rPr>
              <w:t>100</w:t>
            </w:r>
            <w:r>
              <w:rPr>
                <w:rFonts w:eastAsiaTheme="minorEastAsia"/>
                <w:color w:val="000000"/>
                <w:sz w:val="24"/>
                <w:szCs w:val="24"/>
              </w:rPr>
              <w:t>交易型开放式指数证券投资基金基金经理（自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日起任职）、广发标普全球农业指数证券投资基金基金经理（自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日起任职）、广发道琼斯美国石油开发与生产指数证券投资基金（</w:t>
            </w:r>
            <w:r>
              <w:rPr>
                <w:rFonts w:eastAsiaTheme="minorEastAsia"/>
                <w:color w:val="000000"/>
                <w:sz w:val="24"/>
                <w:szCs w:val="24"/>
              </w:rPr>
              <w:t>QDII-LOF</w:t>
            </w:r>
            <w:r>
              <w:rPr>
                <w:rFonts w:eastAsiaTheme="minorEastAsia"/>
                <w:color w:val="000000"/>
                <w:sz w:val="24"/>
                <w:szCs w:val="24"/>
              </w:rPr>
              <w:t>）基金经理（自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日起任职）、广发港股通恒生综合中型股指数证券投资基金</w:t>
            </w:r>
            <w:r>
              <w:rPr>
                <w:rFonts w:eastAsiaTheme="minorEastAsia"/>
                <w:color w:val="000000"/>
                <w:sz w:val="24"/>
                <w:szCs w:val="24"/>
              </w:rPr>
              <w:t>(LOF)</w:t>
            </w:r>
            <w:r>
              <w:rPr>
                <w:rFonts w:eastAsiaTheme="minorEastAsia"/>
                <w:color w:val="000000"/>
                <w:sz w:val="24"/>
                <w:szCs w:val="24"/>
              </w:rPr>
              <w:t>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日起任职）、广发纳斯达克生物科技指数型发起式证券投资基金基金经理（自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日起任职）、广发美国房地产指数证券投资基金基金经理（自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日起任职）、广发全球</w:t>
            </w:r>
            <w:r>
              <w:rPr>
                <w:rFonts w:eastAsiaTheme="minorEastAsia"/>
                <w:color w:val="000000"/>
                <w:sz w:val="24"/>
                <w:szCs w:val="24"/>
              </w:rPr>
              <w:t>医疗保健指数证券投资基金基金经理（自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8</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日起任职）。</w:t>
            </w:r>
          </w:p>
        </w:tc>
      </w:tr>
    </w:tbl>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任职日期</w:t>
      </w:r>
      <w:r>
        <w:rPr>
          <w:rFonts w:eastAsiaTheme="minorEastAsia"/>
          <w:color w:val="000000"/>
          <w:sz w:val="24"/>
          <w:szCs w:val="24"/>
        </w:rPr>
        <w:t>”</w:t>
      </w:r>
      <w:r>
        <w:rPr>
          <w:rFonts w:eastAsiaTheme="minorEastAsia"/>
          <w:color w:val="000000"/>
          <w:sz w:val="24"/>
          <w:szCs w:val="24"/>
        </w:rPr>
        <w:t>和</w:t>
      </w:r>
      <w:r>
        <w:rPr>
          <w:rFonts w:eastAsiaTheme="minorEastAsia"/>
          <w:color w:val="000000"/>
          <w:sz w:val="24"/>
          <w:szCs w:val="24"/>
        </w:rPr>
        <w:t>“</w:t>
      </w:r>
      <w:r>
        <w:rPr>
          <w:rFonts w:eastAsiaTheme="minorEastAsia"/>
          <w:color w:val="000000"/>
          <w:sz w:val="24"/>
          <w:szCs w:val="24"/>
        </w:rPr>
        <w:t>离职日期</w:t>
      </w:r>
      <w:r>
        <w:rPr>
          <w:rFonts w:eastAsiaTheme="minorEastAsia"/>
          <w:color w:val="000000"/>
          <w:sz w:val="24"/>
          <w:szCs w:val="24"/>
        </w:rPr>
        <w:t>”</w:t>
      </w:r>
      <w:r>
        <w:rPr>
          <w:rFonts w:eastAsiaTheme="minorEastAsia"/>
          <w:color w:val="000000"/>
          <w:sz w:val="24"/>
          <w:szCs w:val="24"/>
        </w:rPr>
        <w:t>指公司公告聘任或解聘日期。</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2.</w:t>
      </w:r>
      <w:r w:rsidRPr="00CD2DB1">
        <w:rPr>
          <w:rFonts w:eastAsiaTheme="minorEastAsia"/>
          <w:color w:val="000000"/>
          <w:sz w:val="24"/>
          <w:szCs w:val="24"/>
        </w:rPr>
        <w:t>证券从业的含义遵从行业协会《证券业从业人员资格管理办法》的相关规定。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4.2 </w:t>
      </w:r>
      <w:r w:rsidRPr="001611C5">
        <w:rPr>
          <w:rFonts w:asciiTheme="minorEastAsia" w:eastAsiaTheme="minorEastAsia" w:hAnsiTheme="minorEastAsia" w:hint="eastAsia"/>
          <w:b/>
          <w:bCs/>
          <w:color w:val="000000"/>
          <w:kern w:val="0"/>
          <w:sz w:val="24"/>
          <w:szCs w:val="24"/>
        </w:rPr>
        <w:t>管理人对报告期内本基金运作遵规守信情况的说明</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本基金管理人严格遵守《中华人民共和国证券投资基金法》及其配套法规、《广发量化稳健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4.3 </w:t>
      </w:r>
      <w:r w:rsidRPr="001611C5">
        <w:rPr>
          <w:rFonts w:asciiTheme="minorEastAsia" w:eastAsiaTheme="minorEastAsia" w:hAnsiTheme="minorEastAsia" w:hint="eastAsia"/>
          <w:b/>
          <w:bCs/>
          <w:color w:val="000000"/>
          <w:kern w:val="0"/>
          <w:sz w:val="24"/>
          <w:szCs w:val="24"/>
        </w:rPr>
        <w:t>公平交易专项说明</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4.3.1 </w:t>
      </w:r>
      <w:r w:rsidRPr="001611C5">
        <w:rPr>
          <w:rFonts w:asciiTheme="minorEastAsia" w:eastAsiaTheme="minorEastAsia" w:hAnsiTheme="minorEastAsia" w:hint="eastAsia"/>
          <w:color w:val="000000"/>
          <w:sz w:val="24"/>
          <w:szCs w:val="24"/>
        </w:rPr>
        <w:t>公平交易制度的执行情况</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公司通过建立科学、制衡的投资决策体系，加强交易分配环节的内部控制，并通过实时的行为监控与及时的分析评</w:t>
      </w:r>
      <w:r>
        <w:rPr>
          <w:rFonts w:eastAsiaTheme="minorEastAsia"/>
          <w:color w:val="000000"/>
          <w:sz w:val="24"/>
          <w:szCs w:val="24"/>
        </w:rPr>
        <w:t>估，保证公平交易原则的实现。</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在投资决策的内部控制方面，公司制度规定投资组合投资的股票必须来源于备选股票库，重点投资的股票必须来源于核心股票库，投资的债券必须来自公司债券库。公司建立了严格的投资授权制度，投资组合经理在授权范围内可以自主决策，超过投资权限的操作需要经过严格的审批程序。在交易过程中，中央交易部按照</w:t>
      </w:r>
      <w:r>
        <w:rPr>
          <w:rFonts w:eastAsiaTheme="minorEastAsia"/>
          <w:color w:val="000000"/>
          <w:sz w:val="24"/>
          <w:szCs w:val="24"/>
        </w:rPr>
        <w:t>“</w:t>
      </w:r>
      <w:r>
        <w:rPr>
          <w:rFonts w:eastAsiaTheme="minorEastAsia"/>
          <w:color w:val="000000"/>
          <w:sz w:val="24"/>
          <w:szCs w:val="24"/>
        </w:rPr>
        <w:t>时间优先、价格优先、比例分配、综合平衡</w:t>
      </w:r>
      <w:r>
        <w:rPr>
          <w:rFonts w:eastAsiaTheme="minorEastAsia"/>
          <w:color w:val="000000"/>
          <w:sz w:val="24"/>
          <w:szCs w:val="24"/>
        </w:rPr>
        <w:t>”</w:t>
      </w:r>
      <w:r>
        <w:rPr>
          <w:rFonts w:eastAsiaTheme="minorEastAsia"/>
          <w:color w:val="000000"/>
          <w:sz w:val="24"/>
          <w:szCs w:val="24"/>
        </w:rPr>
        <w:t>的原则，公平分配投资指令。金融工程与风险管理部风险控制岗通过投资交易系统对投资交易过程进行实时监控及预警，实现投资风险的事中风险控制；稽核岗通过对投资、研究及</w:t>
      </w:r>
      <w:r>
        <w:rPr>
          <w:rFonts w:eastAsiaTheme="minorEastAsia"/>
          <w:color w:val="000000"/>
          <w:sz w:val="24"/>
          <w:szCs w:val="24"/>
        </w:rPr>
        <w:t>交易等全流程的独立监察稽核，实现投资风险的事后控制。</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本报告期内，上述公平交易制度总体执行情况良好，不同的投资组合受到了公平对待，未发生任何不公平的交易事项。</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4.3.2 </w:t>
      </w:r>
      <w:r w:rsidRPr="001611C5">
        <w:rPr>
          <w:rFonts w:asciiTheme="minorEastAsia" w:eastAsiaTheme="minorEastAsia" w:hAnsiTheme="minorEastAsia" w:hint="eastAsia"/>
          <w:color w:val="000000"/>
          <w:sz w:val="24"/>
          <w:szCs w:val="24"/>
        </w:rPr>
        <w:t>异常交易行为的专项说明</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4061AC" w:rsidRPr="006B72F7" w:rsidRDefault="0095759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w:t>
      </w:r>
      <w:r w:rsidRPr="00CD2DB1">
        <w:rPr>
          <w:rFonts w:eastAsiaTheme="minorEastAsia" w:hint="eastAsia"/>
          <w:color w:val="000000"/>
          <w:sz w:val="24"/>
          <w:szCs w:val="24"/>
        </w:rPr>
        <w:t>5%</w:t>
      </w:r>
      <w:r w:rsidRPr="00CD2DB1">
        <w:rPr>
          <w:rFonts w:eastAsiaTheme="minorEastAsia" w:hint="eastAsia"/>
          <w:color w:val="000000"/>
          <w:sz w:val="24"/>
          <w:szCs w:val="24"/>
        </w:rPr>
        <w:t>。这些交易不存在任何利益输送的嫌疑。</w:t>
      </w:r>
    </w:p>
    <w:p w:rsidR="00091D41" w:rsidRPr="00B75DF8"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Pr>
          <w:rFonts w:ascii="宋体" w:hAnsi="宋体" w:hint="eastAsia"/>
          <w:b/>
          <w:color w:val="000000"/>
          <w:sz w:val="24"/>
        </w:rPr>
        <w:t>报告期内基金的投资策略和运作分析</w:t>
      </w:r>
    </w:p>
    <w:p w:rsidR="00091D41" w:rsidRPr="00B75DF8" w:rsidRDefault="00091D41" w:rsidP="00091D41">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2018</w:t>
      </w:r>
      <w:r w:rsidRPr="00264591">
        <w:rPr>
          <w:rFonts w:eastAsiaTheme="minorEastAsia"/>
          <w:color w:val="000000"/>
          <w:sz w:val="24"/>
        </w:rPr>
        <w:t>年第三季度，利率债收益率先下后上，整体维持震荡。其中</w:t>
      </w:r>
      <w:r w:rsidRPr="00264591">
        <w:rPr>
          <w:rFonts w:eastAsiaTheme="minorEastAsia"/>
          <w:color w:val="000000"/>
          <w:sz w:val="24"/>
        </w:rPr>
        <w:t>7</w:t>
      </w:r>
      <w:r w:rsidRPr="00264591">
        <w:rPr>
          <w:rFonts w:eastAsiaTheme="minorEastAsia"/>
          <w:color w:val="000000"/>
          <w:sz w:val="24"/>
        </w:rPr>
        <w:t>月债市收益率整体区间震荡，</w:t>
      </w:r>
      <w:r w:rsidRPr="00264591">
        <w:rPr>
          <w:rFonts w:eastAsiaTheme="minorEastAsia"/>
          <w:color w:val="000000"/>
          <w:sz w:val="24"/>
        </w:rPr>
        <w:t>8</w:t>
      </w:r>
      <w:r w:rsidRPr="00264591">
        <w:rPr>
          <w:rFonts w:eastAsiaTheme="minorEastAsia"/>
          <w:color w:val="000000"/>
          <w:sz w:val="24"/>
        </w:rPr>
        <w:t>月中旬，资金利率创新低后，央行开始暂停公开市场操作，叠加地方债的巨量供给，引发资金利率和长端利率的连续调整，</w:t>
      </w:r>
      <w:r w:rsidRPr="00264591">
        <w:rPr>
          <w:rFonts w:eastAsiaTheme="minorEastAsia"/>
          <w:color w:val="000000"/>
          <w:sz w:val="24"/>
        </w:rPr>
        <w:t>9</w:t>
      </w:r>
      <w:r w:rsidRPr="00264591">
        <w:rPr>
          <w:rFonts w:eastAsiaTheme="minorEastAsia"/>
          <w:color w:val="000000"/>
          <w:sz w:val="24"/>
        </w:rPr>
        <w:t>月下旬地方债供给放缓、美联储加息国内未跟随带来市场情绪好转，收益率小幅下行。但是信用债方面，违约事件仍然层出不穷，低等级信用利差继续分化。宏观数据来看，经济下行压力逐渐显现。外贸方面，中美贸易战目前仍未呈现全局性的影响，但是预期普遍悲观；消费方面，国内数据明显偏弱，居民可支配收入增速和预期下行，生产指标三季度开始显露疲态，向需求数据回归；投资方面，基建投资大幅滑坡，房地产投资较去年明显上行超预期，不过主要由土地购置驱动，除土地购置外其他增速已经下行转负。另外，金融数据方面，表外融资的低迷拉动社融增速不断走低，暂时来看稳信用政策收效有限。同时，市场通胀预期不断增强。截至</w:t>
      </w:r>
      <w:r w:rsidRPr="00264591">
        <w:rPr>
          <w:rFonts w:eastAsiaTheme="minorEastAsia"/>
          <w:color w:val="000000"/>
          <w:sz w:val="24"/>
        </w:rPr>
        <w:t>9</w:t>
      </w:r>
      <w:r w:rsidRPr="00264591">
        <w:rPr>
          <w:rFonts w:eastAsiaTheme="minorEastAsia"/>
          <w:color w:val="000000"/>
          <w:sz w:val="24"/>
        </w:rPr>
        <w:t>月</w:t>
      </w:r>
      <w:r w:rsidRPr="00264591">
        <w:rPr>
          <w:rFonts w:eastAsiaTheme="minorEastAsia"/>
          <w:color w:val="000000"/>
          <w:sz w:val="24"/>
        </w:rPr>
        <w:t>28</w:t>
      </w:r>
      <w:r w:rsidRPr="00264591">
        <w:rPr>
          <w:rFonts w:eastAsiaTheme="minorEastAsia"/>
          <w:color w:val="000000"/>
          <w:sz w:val="24"/>
        </w:rPr>
        <w:t>日，中债综合净价指数上涨</w:t>
      </w:r>
      <w:r w:rsidRPr="00264591">
        <w:rPr>
          <w:rFonts w:eastAsiaTheme="minorEastAsia"/>
          <w:color w:val="000000"/>
          <w:sz w:val="24"/>
        </w:rPr>
        <w:t>0.46%</w:t>
      </w:r>
      <w:r w:rsidRPr="00264591">
        <w:rPr>
          <w:rFonts w:eastAsiaTheme="minorEastAsia"/>
          <w:color w:val="000000"/>
          <w:sz w:val="24"/>
        </w:rPr>
        <w:t>。分品种看，中债国债总净价指数下跌</w:t>
      </w:r>
      <w:r w:rsidRPr="00264591">
        <w:rPr>
          <w:rFonts w:eastAsiaTheme="minorEastAsia"/>
          <w:color w:val="000000"/>
          <w:sz w:val="24"/>
        </w:rPr>
        <w:t>0.71%</w:t>
      </w:r>
      <w:r w:rsidRPr="00264591">
        <w:rPr>
          <w:rFonts w:eastAsiaTheme="minorEastAsia"/>
          <w:color w:val="000000"/>
          <w:sz w:val="24"/>
        </w:rPr>
        <w:t>；中证金融债净价指数上涨</w:t>
      </w:r>
      <w:r w:rsidRPr="00264591">
        <w:rPr>
          <w:rFonts w:eastAsiaTheme="minorEastAsia"/>
          <w:color w:val="000000"/>
          <w:sz w:val="24"/>
        </w:rPr>
        <w:t>0.77%</w:t>
      </w:r>
      <w:r w:rsidRPr="00264591">
        <w:rPr>
          <w:rFonts w:eastAsiaTheme="minorEastAsia"/>
          <w:color w:val="000000"/>
          <w:sz w:val="24"/>
        </w:rPr>
        <w:t>；中证企业债净价指数上涨</w:t>
      </w:r>
      <w:r w:rsidRPr="00264591">
        <w:rPr>
          <w:rFonts w:eastAsiaTheme="minorEastAsia"/>
          <w:color w:val="000000"/>
          <w:sz w:val="24"/>
        </w:rPr>
        <w:t>0.69%</w:t>
      </w:r>
      <w:r w:rsidRPr="00264591">
        <w:rPr>
          <w:rFonts w:eastAsiaTheme="minorEastAsia"/>
          <w:color w:val="000000"/>
          <w:sz w:val="24"/>
        </w:rPr>
        <w:t>。组合在上个季度密切跟踪市场动向，灵活调整持仓券种结构、组合杠杆和久期分布。下季度，债市将受益于基本面弱化与货币政策宽松，但通胀预期、中美利差以及汇率压力将不利于债市表现，组合将继续跟踪经济基本面、货币政策等方面变化，增强操作的灵活性，同时注意做好持仓券种梳理，优化持仓结构。</w:t>
      </w:r>
    </w:p>
    <w:p w:rsidR="00091D41" w:rsidRPr="000A6C57"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091D41" w:rsidRPr="00264591" w:rsidRDefault="00091D41" w:rsidP="00091D41">
      <w:pPr>
        <w:spacing w:line="360" w:lineRule="auto"/>
        <w:ind w:firstLineChars="200" w:firstLine="480"/>
        <w:rPr>
          <w:rFonts w:eastAsiaTheme="minorEastAsia"/>
          <w:color w:val="000000"/>
          <w:sz w:val="24"/>
        </w:rPr>
      </w:pPr>
      <w:r w:rsidRPr="00264591">
        <w:rPr>
          <w:rFonts w:eastAsiaTheme="minorEastAsia"/>
          <w:color w:val="000000"/>
          <w:sz w:val="24"/>
        </w:rPr>
        <w:t>本报告期内</w:t>
      </w:r>
      <w:r w:rsidRPr="00264591">
        <w:rPr>
          <w:rFonts w:eastAsiaTheme="minorEastAsia"/>
          <w:color w:val="000000"/>
          <w:sz w:val="24"/>
        </w:rPr>
        <w:t>,</w:t>
      </w:r>
      <w:r w:rsidRPr="00264591">
        <w:rPr>
          <w:rFonts w:eastAsiaTheme="minorEastAsia"/>
          <w:color w:val="000000"/>
          <w:sz w:val="24"/>
        </w:rPr>
        <w:t>广发量化稳健混合净值增长率为</w:t>
      </w:r>
      <w:r w:rsidRPr="00264591">
        <w:rPr>
          <w:rFonts w:eastAsiaTheme="minorEastAsia"/>
          <w:color w:val="000000"/>
          <w:sz w:val="24"/>
        </w:rPr>
        <w:t>1.10%,</w:t>
      </w:r>
      <w:r w:rsidRPr="00264591">
        <w:rPr>
          <w:rFonts w:eastAsiaTheme="minorEastAsia"/>
          <w:color w:val="000000"/>
          <w:sz w:val="24"/>
        </w:rPr>
        <w:t>同期业绩比较基准收益率为</w:t>
      </w:r>
      <w:r w:rsidRPr="00264591">
        <w:rPr>
          <w:rFonts w:eastAsiaTheme="minorEastAsia"/>
          <w:color w:val="000000"/>
          <w:sz w:val="24"/>
        </w:rPr>
        <w:t>0.33%</w:t>
      </w:r>
    </w:p>
    <w:p w:rsidR="00091D41" w:rsidRPr="00C61B41"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091D41" w:rsidRPr="00CB1AA0" w:rsidRDefault="00091D41" w:rsidP="00091D41">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本报告期内，本基金于</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7</w:t>
      </w:r>
      <w:r w:rsidRPr="00C61B41">
        <w:rPr>
          <w:rFonts w:eastAsiaTheme="minorEastAsia"/>
          <w:color w:val="000000" w:themeColor="text1"/>
          <w:kern w:val="0"/>
          <w:sz w:val="24"/>
        </w:rPr>
        <w:t>月</w:t>
      </w:r>
      <w:r w:rsidRPr="00C61B41">
        <w:rPr>
          <w:rFonts w:eastAsiaTheme="minorEastAsia"/>
          <w:color w:val="000000" w:themeColor="text1"/>
          <w:kern w:val="0"/>
          <w:sz w:val="24"/>
        </w:rPr>
        <w:t>13</w:t>
      </w:r>
      <w:r w:rsidRPr="00C61B41">
        <w:rPr>
          <w:rFonts w:eastAsiaTheme="minorEastAsia"/>
          <w:color w:val="000000" w:themeColor="text1"/>
          <w:kern w:val="0"/>
          <w:sz w:val="24"/>
        </w:rPr>
        <w:t>日至</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9</w:t>
      </w:r>
      <w:r w:rsidRPr="00C61B41">
        <w:rPr>
          <w:rFonts w:eastAsiaTheme="minorEastAsia"/>
          <w:color w:val="000000" w:themeColor="text1"/>
          <w:kern w:val="0"/>
          <w:sz w:val="24"/>
        </w:rPr>
        <w:t>月</w:t>
      </w:r>
      <w:r w:rsidRPr="00C61B41">
        <w:rPr>
          <w:rFonts w:eastAsiaTheme="minorEastAsia"/>
          <w:color w:val="000000" w:themeColor="text1"/>
          <w:kern w:val="0"/>
          <w:sz w:val="24"/>
        </w:rPr>
        <w:t>28</w:t>
      </w:r>
      <w:r w:rsidRPr="00C61B41">
        <w:rPr>
          <w:rFonts w:eastAsiaTheme="minorEastAsia"/>
          <w:color w:val="000000" w:themeColor="text1"/>
          <w:kern w:val="0"/>
          <w:sz w:val="24"/>
        </w:rPr>
        <w:t>日连续</w:t>
      </w:r>
      <w:r w:rsidRPr="00C61B41">
        <w:rPr>
          <w:rFonts w:eastAsiaTheme="minorEastAsia"/>
          <w:color w:val="000000" w:themeColor="text1"/>
          <w:kern w:val="0"/>
          <w:sz w:val="24"/>
        </w:rPr>
        <w:t>55</w:t>
      </w:r>
      <w:r w:rsidRPr="00C61B41">
        <w:rPr>
          <w:rFonts w:eastAsiaTheme="minorEastAsia"/>
          <w:color w:val="000000" w:themeColor="text1"/>
          <w:kern w:val="0"/>
          <w:sz w:val="24"/>
        </w:rPr>
        <w:t>个工作日出现了基金资产净值低于五千万的情形。</w:t>
      </w:r>
    </w:p>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1C0993" w:rsidRPr="001611C5">
        <w:rPr>
          <w:rFonts w:asciiTheme="minorEastAsia" w:eastAsiaTheme="minorEastAsia" w:hAnsiTheme="minorEastAsia" w:hint="eastAsia"/>
          <w:color w:val="000000"/>
          <w:kern w:val="0"/>
          <w:sz w:val="24"/>
          <w:szCs w:val="24"/>
        </w:rPr>
        <w:t>5</w:t>
      </w:r>
      <w:r w:rsidRPr="001611C5">
        <w:rPr>
          <w:rFonts w:asciiTheme="minorEastAsia" w:eastAsiaTheme="minorEastAsia" w:hAnsiTheme="minorEastAsia" w:hint="eastAsia"/>
          <w:color w:val="000000"/>
          <w:kern w:val="0"/>
          <w:sz w:val="24"/>
          <w:szCs w:val="24"/>
        </w:rPr>
        <w:t>投资组合报告</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5.1 </w:t>
      </w:r>
      <w:r w:rsidRPr="001611C5">
        <w:rPr>
          <w:rFonts w:asciiTheme="minorEastAsia" w:eastAsiaTheme="minorEastAsia" w:hAnsiTheme="minorEastAsia" w:hint="eastAsia"/>
          <w:b/>
          <w:bCs/>
          <w:color w:val="000000"/>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C91E1B" w:rsidRPr="001611C5" w:rsidTr="0069426C">
        <w:trPr>
          <w:jc w:val="center"/>
        </w:trPr>
        <w:tc>
          <w:tcPr>
            <w:tcW w:w="720"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3357"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项目</w:t>
            </w:r>
          </w:p>
        </w:tc>
        <w:tc>
          <w:tcPr>
            <w:tcW w:w="2977"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00D57B7C" w:rsidRPr="006B72F7">
              <w:rPr>
                <w:rFonts w:eastAsiaTheme="minorEastAsia"/>
                <w:color w:val="000000"/>
                <w:sz w:val="24"/>
                <w:szCs w:val="24"/>
              </w:rPr>
              <w:t>(</w:t>
            </w:r>
            <w:r w:rsidRPr="006B72F7">
              <w:rPr>
                <w:rFonts w:eastAsiaTheme="minorEastAsia"/>
                <w:color w:val="000000"/>
                <w:sz w:val="24"/>
                <w:szCs w:val="24"/>
              </w:rPr>
              <w:t>元</w:t>
            </w:r>
            <w:r w:rsidR="00D57B7C" w:rsidRPr="006B72F7">
              <w:rPr>
                <w:rFonts w:eastAsiaTheme="minorEastAsia"/>
                <w:color w:val="000000"/>
                <w:sz w:val="24"/>
                <w:szCs w:val="24"/>
              </w:rPr>
              <w:t>)</w:t>
            </w:r>
          </w:p>
        </w:tc>
        <w:tc>
          <w:tcPr>
            <w:tcW w:w="1843"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占基金总资产的比例</w:t>
            </w:r>
            <w:r w:rsidR="00D57B7C" w:rsidRPr="006B72F7">
              <w:rPr>
                <w:rFonts w:eastAsiaTheme="minorEastAsia"/>
                <w:color w:val="000000"/>
                <w:sz w:val="24"/>
                <w:szCs w:val="24"/>
              </w:rPr>
              <w:t>(</w:t>
            </w:r>
            <w:r w:rsidRPr="006B72F7">
              <w:rPr>
                <w:rFonts w:eastAsiaTheme="minorEastAsia"/>
                <w:color w:val="000000"/>
                <w:sz w:val="24"/>
                <w:szCs w:val="24"/>
              </w:rPr>
              <w:t>%</w:t>
            </w:r>
            <w:r w:rsidR="00D57B7C"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1</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权益投资</w:t>
            </w:r>
          </w:p>
        </w:tc>
        <w:tc>
          <w:tcPr>
            <w:tcW w:w="2977" w:type="dxa"/>
            <w:vAlign w:val="center"/>
          </w:tcPr>
          <w:p w:rsidR="00853140" w:rsidRPr="006B72F7" w:rsidRDefault="00C77AEF" w:rsidP="00C77AE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其中：股票</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2</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固定收益投资</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其中：债券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1611C5">
            <w:pPr>
              <w:autoSpaceDE w:val="0"/>
              <w:autoSpaceDN w:val="0"/>
              <w:adjustRightInd w:val="0"/>
              <w:spacing w:before="29" w:line="360" w:lineRule="auto"/>
              <w:ind w:left="17" w:firstLineChars="250" w:firstLine="600"/>
              <w:jc w:val="left"/>
              <w:rPr>
                <w:rFonts w:eastAsiaTheme="minorEastAsia"/>
                <w:color w:val="000000"/>
                <w:sz w:val="24"/>
                <w:szCs w:val="24"/>
              </w:rPr>
            </w:pPr>
            <w:r w:rsidRPr="006B72F7">
              <w:rPr>
                <w:rFonts w:eastAsiaTheme="minorEastAsia"/>
                <w:color w:val="000000"/>
                <w:sz w:val="24"/>
                <w:szCs w:val="24"/>
              </w:rPr>
              <w:t>资产支持证券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195020">
        <w:trPr>
          <w:jc w:val="center"/>
        </w:trPr>
        <w:tc>
          <w:tcPr>
            <w:tcW w:w="720" w:type="dxa"/>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3</w:t>
            </w:r>
          </w:p>
        </w:tc>
        <w:tc>
          <w:tcPr>
            <w:tcW w:w="3357" w:type="dxa"/>
          </w:tcPr>
          <w:p w:rsidR="001D63BB" w:rsidRPr="006B72F7" w:rsidRDefault="001D63BB" w:rsidP="001D63BB">
            <w:pPr>
              <w:spacing w:before="29" w:line="360" w:lineRule="auto"/>
              <w:ind w:leftChars="50" w:left="105"/>
              <w:rPr>
                <w:rFonts w:eastAsiaTheme="minorEastAsia"/>
                <w:color w:val="000000"/>
                <w:sz w:val="24"/>
                <w:szCs w:val="24"/>
              </w:rPr>
            </w:pPr>
            <w:r w:rsidRPr="006B72F7">
              <w:rPr>
                <w:rFonts w:eastAsiaTheme="minorEastAsia"/>
                <w:color w:val="000000"/>
                <w:sz w:val="24"/>
                <w:szCs w:val="24"/>
              </w:rPr>
              <w:t>贵金属投资</w:t>
            </w:r>
          </w:p>
        </w:tc>
        <w:tc>
          <w:tcPr>
            <w:tcW w:w="2977"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4</w:t>
            </w:r>
          </w:p>
        </w:tc>
        <w:tc>
          <w:tcPr>
            <w:tcW w:w="3357" w:type="dxa"/>
            <w:vAlign w:val="center"/>
          </w:tcPr>
          <w:p w:rsidR="001D63BB" w:rsidRPr="006B72F7" w:rsidRDefault="001D63BB" w:rsidP="00EA70F1">
            <w:pPr>
              <w:spacing w:before="29" w:line="360" w:lineRule="auto"/>
              <w:ind w:left="17"/>
              <w:jc w:val="left"/>
              <w:rPr>
                <w:rFonts w:eastAsiaTheme="minorEastAsia"/>
                <w:color w:val="000000"/>
                <w:sz w:val="24"/>
                <w:szCs w:val="24"/>
              </w:rPr>
            </w:pPr>
            <w:r w:rsidRPr="006B72F7">
              <w:rPr>
                <w:rFonts w:eastAsiaTheme="minorEastAsia"/>
                <w:color w:val="000000"/>
                <w:sz w:val="24"/>
                <w:szCs w:val="24"/>
              </w:rPr>
              <w:t>金融衍生品投资</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5</w:t>
            </w: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其中：买断式回购的买入返售金融资产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6</w:t>
            </w:r>
          </w:p>
        </w:tc>
        <w:tc>
          <w:tcPr>
            <w:tcW w:w="3357" w:type="dxa"/>
            <w:vAlign w:val="center"/>
          </w:tcPr>
          <w:p w:rsidR="001D63BB" w:rsidRPr="006B72F7" w:rsidRDefault="001D63BB" w:rsidP="00A03AAC">
            <w:pPr>
              <w:spacing w:before="29" w:line="360" w:lineRule="auto"/>
              <w:ind w:left="17"/>
              <w:jc w:val="left"/>
              <w:rPr>
                <w:rFonts w:eastAsiaTheme="minorEastAsia"/>
                <w:sz w:val="24"/>
                <w:szCs w:val="24"/>
              </w:rPr>
            </w:pPr>
            <w:r w:rsidRPr="006B72F7">
              <w:rPr>
                <w:rFonts w:eastAsiaTheme="minorEastAsia"/>
                <w:color w:val="000000"/>
                <w:sz w:val="24"/>
                <w:szCs w:val="24"/>
              </w:rPr>
              <w:t>银行存款和结算备付金合计</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6,042,984.11</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99.93</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7</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其他各项资产</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4,088.41</w:t>
            </w:r>
          </w:p>
        </w:tc>
        <w:tc>
          <w:tcPr>
            <w:tcW w:w="1843"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0.07</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8</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合计</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6,047,072.52</w:t>
            </w:r>
          </w:p>
        </w:tc>
        <w:tc>
          <w:tcPr>
            <w:tcW w:w="1843" w:type="dxa"/>
            <w:vAlign w:val="center"/>
          </w:tcPr>
          <w:p w:rsidR="001D63BB" w:rsidRPr="006B72F7" w:rsidRDefault="001D63BB" w:rsidP="001675CD">
            <w:pPr>
              <w:jc w:val="right"/>
              <w:rPr>
                <w:rFonts w:eastAsiaTheme="minorEastAsia"/>
                <w:color w:val="000000"/>
                <w:sz w:val="24"/>
                <w:szCs w:val="24"/>
              </w:rPr>
            </w:pPr>
            <w:r w:rsidRPr="006B72F7">
              <w:rPr>
                <w:rFonts w:eastAsiaTheme="minorEastAsia"/>
                <w:color w:val="000000"/>
                <w:sz w:val="24"/>
                <w:szCs w:val="24"/>
              </w:rPr>
              <w:t>100.00</w:t>
            </w:r>
          </w:p>
        </w:tc>
      </w:tr>
    </w:tbl>
    <w:p w:rsidR="001043C1" w:rsidRPr="00220C32" w:rsidRDefault="001043C1" w:rsidP="00D065B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1043C1" w:rsidRPr="00791180"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hint="eastAsia"/>
          <w:b/>
          <w:bCs/>
          <w:color w:val="000000" w:themeColor="text1"/>
          <w:kern w:val="0"/>
          <w:sz w:val="24"/>
          <w:szCs w:val="24"/>
        </w:rPr>
        <w:t>5.2.1报告期末按行业分类的境内股票投资组合</w:t>
      </w:r>
    </w:p>
    <w:p w:rsidR="004061AC"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1043C1" w:rsidRPr="008A409E"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b/>
          <w:bCs/>
          <w:color w:val="000000" w:themeColor="text1"/>
          <w:kern w:val="0"/>
          <w:sz w:val="24"/>
          <w:szCs w:val="24"/>
        </w:rPr>
        <w:t>5.2.2</w:t>
      </w:r>
      <w:r w:rsidR="00374488">
        <w:rPr>
          <w:rFonts w:asciiTheme="minorEastAsia" w:eastAsiaTheme="minorEastAsia" w:hAnsiTheme="minorEastAsia" w:hint="eastAsia"/>
          <w:b/>
          <w:bCs/>
          <w:color w:val="000000" w:themeColor="text1"/>
          <w:kern w:val="0"/>
          <w:sz w:val="24"/>
          <w:szCs w:val="24"/>
        </w:rPr>
        <w:t>报告期末按行业分类的港股通</w:t>
      </w:r>
      <w:r w:rsidRPr="00791180">
        <w:rPr>
          <w:rFonts w:asciiTheme="minorEastAsia" w:eastAsiaTheme="minorEastAsia" w:hAnsiTheme="minorEastAsia" w:hint="eastAsia"/>
          <w:b/>
          <w:bCs/>
          <w:color w:val="000000" w:themeColor="text1"/>
          <w:kern w:val="0"/>
          <w:sz w:val="24"/>
          <w:szCs w:val="24"/>
        </w:rPr>
        <w:t>投资股票投资组合</w:t>
      </w:r>
    </w:p>
    <w:p w:rsidR="001043C1" w:rsidRPr="00FE5D8B" w:rsidRDefault="001043C1"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本基金本报告期末未持有通过港股通投资的股票。</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5.3 </w:t>
      </w:r>
      <w:r w:rsidRPr="001611C5">
        <w:rPr>
          <w:rFonts w:asciiTheme="minorEastAsia" w:eastAsiaTheme="minorEastAsia" w:hAnsiTheme="minorEastAsia" w:hint="eastAsia"/>
          <w:b/>
          <w:bCs/>
          <w:color w:val="000000"/>
          <w:kern w:val="0"/>
          <w:sz w:val="24"/>
          <w:szCs w:val="24"/>
        </w:rPr>
        <w:t>报告期末按公允价值占基金资产净值比例大小排序的前十名股票投资明细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C073E9" w:rsidRPr="00C073E9" w:rsidRDefault="004061AC" w:rsidP="00C073E9">
      <w:pPr>
        <w:autoSpaceDE w:val="0"/>
        <w:autoSpaceDN w:val="0"/>
        <w:adjustRightInd w:val="0"/>
        <w:spacing w:line="360" w:lineRule="auto"/>
        <w:jc w:val="left"/>
        <w:rPr>
          <w:rFonts w:eastAsiaTheme="minorEastAsia"/>
          <w:b/>
          <w:bCs/>
          <w:color w:val="000000" w:themeColor="text1"/>
          <w:kern w:val="0"/>
          <w:sz w:val="24"/>
          <w:szCs w:val="24"/>
        </w:rPr>
      </w:pPr>
      <w:r w:rsidRPr="001611C5">
        <w:rPr>
          <w:rFonts w:asciiTheme="minorEastAsia" w:eastAsiaTheme="minorEastAsia" w:hAnsiTheme="minorEastAsia"/>
          <w:b/>
          <w:bCs/>
          <w:color w:val="000000"/>
          <w:kern w:val="0"/>
          <w:sz w:val="24"/>
          <w:szCs w:val="24"/>
        </w:rPr>
        <w:t xml:space="preserve">5.4 </w:t>
      </w:r>
      <w:r w:rsidRPr="001611C5">
        <w:rPr>
          <w:rFonts w:asciiTheme="minorEastAsia" w:eastAsiaTheme="minorEastAsia" w:hAnsiTheme="minorEastAsia" w:hint="eastAsia"/>
          <w:b/>
          <w:bCs/>
          <w:color w:val="000000"/>
          <w:kern w:val="0"/>
          <w:sz w:val="24"/>
          <w:szCs w:val="24"/>
        </w:rPr>
        <w:t>报告期末按债券品种分类的债券投资组合</w:t>
      </w:r>
    </w:p>
    <w:p w:rsidR="004061AC" w:rsidRPr="00FE5D8B" w:rsidRDefault="00C073E9"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5.5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的前五名债券投资明细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5.6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的前十名资产支持证券投资明细</w:t>
      </w:r>
    </w:p>
    <w:p w:rsidR="001D63BB"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本基金本报告期末未持有资产支持证券。</w:t>
      </w:r>
    </w:p>
    <w:p w:rsidR="001D63BB" w:rsidRPr="001611C5" w:rsidRDefault="001D63BB" w:rsidP="001D63BB">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5.7 报告期末按公允价值占基金资产净值比例大小排序的前五名贵金属投资明细</w:t>
      </w:r>
    </w:p>
    <w:p w:rsidR="004061AC" w:rsidRPr="006B72F7" w:rsidRDefault="001D63BB"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本基金本报告期末未持有贵金属。</w:t>
      </w:r>
    </w:p>
    <w:p w:rsidR="004061AC" w:rsidRPr="001611C5" w:rsidRDefault="00A917B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5.8</w:t>
      </w:r>
      <w:r w:rsidR="004061AC"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004061AC" w:rsidRPr="001611C5">
        <w:rPr>
          <w:rFonts w:asciiTheme="minorEastAsia" w:eastAsiaTheme="minorEastAsia" w:hAnsiTheme="minorEastAsia" w:hint="eastAsia"/>
          <w:b/>
          <w:bCs/>
          <w:color w:val="000000"/>
          <w:kern w:val="0"/>
          <w:sz w:val="24"/>
          <w:szCs w:val="24"/>
        </w:rPr>
        <w:t>的前五名权证投资明细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本基金本报告期末未持有权证。</w:t>
      </w:r>
    </w:p>
    <w:p w:rsidR="00275745"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A917BF" w:rsidRPr="001611C5">
        <w:rPr>
          <w:rFonts w:asciiTheme="minorEastAsia" w:eastAsiaTheme="minorEastAsia" w:hAnsiTheme="minorEastAsia" w:hint="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9</w:t>
      </w:r>
      <w:r w:rsidR="00275745" w:rsidRPr="001611C5">
        <w:rPr>
          <w:rFonts w:asciiTheme="minorEastAsia" w:eastAsiaTheme="minorEastAsia" w:hAnsiTheme="minorEastAsia" w:hint="eastAsia"/>
          <w:b/>
          <w:bCs/>
          <w:color w:val="000000"/>
          <w:kern w:val="0"/>
          <w:sz w:val="24"/>
          <w:szCs w:val="24"/>
        </w:rPr>
        <w:t xml:space="preserve"> 报告期末本基金投资的股指期货交易情况说明</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）本基金本报告期末未持有股指期货。</w:t>
      </w:r>
      <w:r>
        <w:rPr>
          <w:rFonts w:eastAsiaTheme="minorEastAsia"/>
          <w:color w:val="000000"/>
          <w:sz w:val="24"/>
          <w:szCs w:val="24"/>
        </w:rPr>
        <w:t xml:space="preserve"> </w:t>
      </w:r>
    </w:p>
    <w:p w:rsidR="00AA3A38" w:rsidRPr="006B72F7" w:rsidRDefault="00AA3A38"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）本基金本报告期内未进行股指期货交易。</w:t>
      </w:r>
    </w:p>
    <w:p w:rsidR="00312A9F" w:rsidRPr="001611C5" w:rsidRDefault="00312A9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5.10报告期末本基金投资的国债期货交易情况说明</w:t>
      </w:r>
    </w:p>
    <w:p w:rsidR="009A62F4" w:rsidRDefault="007F4E08">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）本基金本报告期末未持有国债期货。</w:t>
      </w:r>
      <w:r>
        <w:rPr>
          <w:rFonts w:eastAsiaTheme="minorEastAsia"/>
          <w:color w:val="000000"/>
          <w:sz w:val="24"/>
          <w:szCs w:val="24"/>
        </w:rPr>
        <w:t xml:space="preserve"> </w:t>
      </w:r>
    </w:p>
    <w:p w:rsidR="00312A9F" w:rsidRPr="00CD2DB1" w:rsidRDefault="00312A9F" w:rsidP="00CD2DB1">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）本基金本报告期内未进行国债期货交易。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4061AC" w:rsidRPr="001611C5">
        <w:rPr>
          <w:rFonts w:asciiTheme="minorEastAsia" w:eastAsiaTheme="minorEastAsia" w:hAnsiTheme="minorEastAsia" w:hint="eastAsia"/>
          <w:b/>
          <w:bCs/>
          <w:color w:val="000000"/>
          <w:kern w:val="0"/>
          <w:sz w:val="24"/>
          <w:szCs w:val="24"/>
        </w:rPr>
        <w:t>投资组合报告附注</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w:t>
      </w:r>
      <w:r w:rsidR="004061AC" w:rsidRPr="006B72F7">
        <w:rPr>
          <w:rFonts w:eastAsiaTheme="minorEastAsia"/>
          <w:color w:val="000000"/>
          <w:sz w:val="24"/>
          <w:szCs w:val="24"/>
        </w:rPr>
        <w:t>本基金投资的前十名证券的发行主体在本报告期内没有出现被监管部门立案调查，或在报告编制日前一年内受到公开谴责、处罚的情形。</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275745"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2</w:t>
      </w:r>
      <w:r w:rsidR="004061AC" w:rsidRPr="006B72F7">
        <w:rPr>
          <w:rFonts w:eastAsiaTheme="minorEastAsia"/>
          <w:color w:val="000000"/>
          <w:sz w:val="24"/>
          <w:szCs w:val="24"/>
        </w:rPr>
        <w:t>报告期内本基金投资的前十名股票未超出基金合同规定的备选股票库。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其他各项资产构成</w:t>
      </w:r>
    </w:p>
    <w:tbl>
      <w:tblPr>
        <w:tblStyle w:val="af7"/>
        <w:tblW w:w="0" w:type="auto"/>
        <w:tblInd w:w="15" w:type="dxa"/>
        <w:tblLook w:val="04A0"/>
      </w:tblPr>
      <w:tblGrid>
        <w:gridCol w:w="1235"/>
        <w:gridCol w:w="2470"/>
        <w:gridCol w:w="4808"/>
      </w:tblGrid>
      <w:tr w:rsidR="00F31F6E" w:rsidRPr="001611C5" w:rsidTr="00F31F6E">
        <w:tc>
          <w:tcPr>
            <w:tcW w:w="1235"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2470"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名称</w:t>
            </w:r>
          </w:p>
        </w:tc>
        <w:tc>
          <w:tcPr>
            <w:tcW w:w="4808"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1</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存出保证金</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2,871.61</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2</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应收证券清算款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3</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应收股利</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4</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应收利息</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1,216.80</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5</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应收申购款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6</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其他应收款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EB2C07" w:rsidRPr="001611C5" w:rsidTr="00175D4F">
        <w:tc>
          <w:tcPr>
            <w:tcW w:w="1235" w:type="dxa"/>
            <w:vAlign w:val="center"/>
          </w:tcPr>
          <w:p w:rsidR="00EB2C07" w:rsidRPr="006B72F7" w:rsidRDefault="00EB2C07"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7</w:t>
            </w:r>
          </w:p>
        </w:tc>
        <w:tc>
          <w:tcPr>
            <w:tcW w:w="2470" w:type="dxa"/>
            <w:vAlign w:val="center"/>
          </w:tcPr>
          <w:p w:rsidR="00EB2C07" w:rsidRPr="006B72F7" w:rsidRDefault="00EB2C07"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待摊费用</w:t>
            </w:r>
          </w:p>
        </w:tc>
        <w:tc>
          <w:tcPr>
            <w:tcW w:w="4808" w:type="dxa"/>
            <w:vAlign w:val="center"/>
          </w:tcPr>
          <w:p w:rsidR="00EB2C07" w:rsidRPr="006B72F7" w:rsidRDefault="00EB2C07"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8</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9</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合计</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4,088.41</w:t>
            </w:r>
          </w:p>
        </w:tc>
      </w:tr>
    </w:tbl>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4</w:t>
      </w:r>
      <w:r w:rsidR="004061AC" w:rsidRPr="001611C5">
        <w:rPr>
          <w:rFonts w:asciiTheme="minorEastAsia" w:eastAsiaTheme="minorEastAsia" w:hAnsiTheme="minorEastAsia" w:hint="eastAsia"/>
          <w:b/>
          <w:bCs/>
          <w:color w:val="000000"/>
          <w:kern w:val="0"/>
          <w:sz w:val="24"/>
          <w:szCs w:val="24"/>
        </w:rPr>
        <w:t>报告期末持有的处于转股期的可转换债券明细</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本基金本报告期末未持有处于转股期的可转换债券。</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hint="eastAsia"/>
          <w:b/>
          <w:bCs/>
          <w:color w:val="000000"/>
          <w:kern w:val="0"/>
          <w:sz w:val="24"/>
          <w:szCs w:val="24"/>
        </w:rPr>
        <w:t>报告期末前十名股票中存在流通受限情况的说明</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本基金本报告期末前十名股票中不存在流通受限情况。</w:t>
      </w:r>
    </w:p>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6  </w:t>
      </w:r>
      <w:r w:rsidRPr="001611C5">
        <w:rPr>
          <w:rFonts w:asciiTheme="minorEastAsia" w:eastAsiaTheme="minorEastAsia" w:hAnsiTheme="minorEastAsia" w:hint="eastAsia"/>
          <w:color w:val="000000"/>
          <w:kern w:val="0"/>
          <w:sz w:val="24"/>
          <w:szCs w:val="24"/>
        </w:rPr>
        <w:t>开放式基金份额变动</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单位：份</w:t>
      </w:r>
    </w:p>
    <w:tbl>
      <w:tblPr>
        <w:tblW w:w="0" w:type="auto"/>
        <w:tblInd w:w="-106" w:type="dxa"/>
        <w:tblLayout w:type="fixed"/>
        <w:tblLook w:val="0000"/>
      </w:tblPr>
      <w:tblGrid>
        <w:gridCol w:w="4609"/>
        <w:gridCol w:w="4025"/>
      </w:tblGrid>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6D7FF8"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27,176,784.09</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29,460,715.85</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减：</w:t>
            </w:r>
            <w:r w:rsidR="00FE179F" w:rsidRPr="006B72F7">
              <w:rPr>
                <w:rFonts w:eastAsiaTheme="minorEastAsia"/>
                <w:color w:val="000000"/>
                <w:kern w:val="0"/>
                <w:sz w:val="24"/>
                <w:szCs w:val="24"/>
              </w:rPr>
              <w:t>本报告期</w:t>
            </w:r>
            <w:r w:rsidRPr="006B72F7">
              <w:rPr>
                <w:rFonts w:eastAsiaTheme="minorEastAsia"/>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50,750,839.17</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6D7FF8"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0A2B53">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5,886,660.77</w:t>
            </w:r>
          </w:p>
        </w:tc>
      </w:tr>
    </w:tbl>
    <w:p w:rsidR="00EB374A" w:rsidRPr="001611C5" w:rsidRDefault="00EB374A" w:rsidP="007F4E08">
      <w:pPr>
        <w:pStyle w:val="1"/>
        <w:tabs>
          <w:tab w:val="center" w:pos="4156"/>
          <w:tab w:val="right" w:pos="8312"/>
        </w:tabs>
        <w:spacing w:beforeLines="100" w:afterLines="100" w:line="360" w:lineRule="auto"/>
        <w:jc w:val="center"/>
        <w:rPr>
          <w:rFonts w:ascii="方正仿宋简体"/>
          <w:sz w:val="24"/>
          <w:szCs w:val="24"/>
        </w:rPr>
      </w:pPr>
      <w:r w:rsidRPr="001611C5">
        <w:rPr>
          <w:rFonts w:asciiTheme="minorEastAsia" w:eastAsiaTheme="minorEastAsia" w:hAnsiTheme="minorEastAsia" w:cs="Arial" w:hint="eastAsia"/>
          <w:color w:val="000000"/>
          <w:kern w:val="0"/>
          <w:sz w:val="24"/>
          <w:szCs w:val="24"/>
        </w:rPr>
        <w:t xml:space="preserve">§7  </w:t>
      </w:r>
      <w:r w:rsidRPr="001611C5">
        <w:rPr>
          <w:rFonts w:ascii="方正仿宋简体" w:hint="eastAsia"/>
          <w:sz w:val="24"/>
          <w:szCs w:val="24"/>
        </w:rPr>
        <w:t>基金管理人运用固有资金投资本基金情况</w:t>
      </w:r>
    </w:p>
    <w:p w:rsidR="00EB374A" w:rsidRPr="00CD2DB1" w:rsidRDefault="00EB374A" w:rsidP="00CD2DB1">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本报告期内，基金管理人不存在运用固有资金（认）申购、赎回或买卖本基金的情况。</w:t>
      </w:r>
    </w:p>
    <w:p w:rsidR="0079131B" w:rsidRPr="0079131B" w:rsidRDefault="0079131B" w:rsidP="007F4E08">
      <w:pPr>
        <w:pStyle w:val="1"/>
        <w:spacing w:beforeLines="100" w:afterLines="100" w:line="360" w:lineRule="auto"/>
        <w:jc w:val="center"/>
        <w:rPr>
          <w:rFonts w:eastAsiaTheme="minorEastAsia"/>
          <w:color w:val="000000" w:themeColor="text1"/>
          <w:kern w:val="0"/>
          <w:sz w:val="24"/>
          <w:szCs w:val="24"/>
        </w:rPr>
      </w:pPr>
      <w:r w:rsidRPr="0079131B">
        <w:rPr>
          <w:rFonts w:eastAsiaTheme="minorEastAsia"/>
          <w:color w:val="000000" w:themeColor="text1"/>
          <w:kern w:val="0"/>
          <w:sz w:val="24"/>
          <w:szCs w:val="24"/>
        </w:rPr>
        <w:t>§8</w:t>
      </w:r>
      <w:r w:rsidRPr="0079131B">
        <w:rPr>
          <w:rFonts w:eastAsiaTheme="minorEastAsia"/>
          <w:color w:val="000000" w:themeColor="text1"/>
          <w:kern w:val="0"/>
          <w:sz w:val="24"/>
          <w:szCs w:val="24"/>
        </w:rPr>
        <w:t>影响投资者决策的其他重要信息</w:t>
      </w:r>
    </w:p>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b/>
          <w:bCs/>
          <w:color w:val="000000" w:themeColor="text1"/>
          <w:kern w:val="0"/>
          <w:sz w:val="24"/>
          <w:szCs w:val="24"/>
        </w:rPr>
        <w:t>8.</w:t>
      </w:r>
      <w:r w:rsidRPr="00636531">
        <w:rPr>
          <w:rFonts w:eastAsiaTheme="minorEastAsia" w:hint="eastAsia"/>
          <w:b/>
          <w:bCs/>
          <w:color w:val="000000" w:themeColor="text1"/>
          <w:kern w:val="0"/>
          <w:sz w:val="24"/>
          <w:szCs w:val="24"/>
        </w:rPr>
        <w:t xml:space="preserve">1 </w:t>
      </w:r>
      <w:r w:rsidRPr="00636531">
        <w:rPr>
          <w:rFonts w:eastAsiaTheme="minorEastAsia" w:hint="eastAsia"/>
          <w:b/>
          <w:bCs/>
          <w:color w:val="000000" w:themeColor="text1"/>
          <w:kern w:val="0"/>
          <w:sz w:val="24"/>
          <w:szCs w:val="24"/>
        </w:rPr>
        <w:t>报告期内单一投资者持有基金份额比例达到或超过</w:t>
      </w:r>
      <w:r w:rsidRPr="00636531">
        <w:rPr>
          <w:rFonts w:eastAsiaTheme="minorEastAsia" w:hint="eastAsia"/>
          <w:b/>
          <w:bCs/>
          <w:color w:val="000000" w:themeColor="text1"/>
          <w:kern w:val="0"/>
          <w:sz w:val="24"/>
          <w:szCs w:val="24"/>
        </w:rPr>
        <w:t>20%</w:t>
      </w:r>
      <w:r w:rsidRPr="00636531">
        <w:rPr>
          <w:rFonts w:eastAsiaTheme="minorEastAsia" w:hint="eastAsia"/>
          <w:b/>
          <w:bCs/>
          <w:color w:val="000000" w:themeColor="text1"/>
          <w:kern w:val="0"/>
          <w:sz w:val="24"/>
          <w:szCs w:val="24"/>
        </w:rPr>
        <w:t>的情况</w:t>
      </w:r>
    </w:p>
    <w:tbl>
      <w:tblPr>
        <w:tblStyle w:val="af7"/>
        <w:tblW w:w="9212" w:type="dxa"/>
        <w:tblInd w:w="-176" w:type="dxa"/>
        <w:tblLayout w:type="fixed"/>
        <w:tblLook w:val="04A0"/>
      </w:tblPr>
      <w:tblGrid>
        <w:gridCol w:w="993"/>
        <w:gridCol w:w="992"/>
        <w:gridCol w:w="1843"/>
        <w:gridCol w:w="851"/>
        <w:gridCol w:w="992"/>
        <w:gridCol w:w="850"/>
        <w:gridCol w:w="1418"/>
        <w:gridCol w:w="1273"/>
      </w:tblGrid>
      <w:tr w:rsidR="00F21783" w:rsidRPr="003131FD" w:rsidTr="00C10F10">
        <w:tc>
          <w:tcPr>
            <w:tcW w:w="993" w:type="dxa"/>
            <w:vMerge w:val="restart"/>
            <w:vAlign w:val="center"/>
          </w:tcPr>
          <w:p w:rsidR="00F21783" w:rsidRPr="003131FD" w:rsidRDefault="00F21783" w:rsidP="00C10F10">
            <w:pPr>
              <w:jc w:val="center"/>
              <w:rPr>
                <w:sz w:val="24"/>
                <w:szCs w:val="24"/>
              </w:rPr>
            </w:pPr>
            <w:r w:rsidRPr="003131FD">
              <w:rPr>
                <w:sz w:val="24"/>
                <w:szCs w:val="24"/>
              </w:rPr>
              <w:t>投资者类别</w:t>
            </w:r>
          </w:p>
        </w:tc>
        <w:tc>
          <w:tcPr>
            <w:tcW w:w="5528" w:type="dxa"/>
            <w:gridSpan w:val="5"/>
            <w:vAlign w:val="center"/>
          </w:tcPr>
          <w:p w:rsidR="00F21783" w:rsidRPr="003131FD" w:rsidRDefault="00F21783" w:rsidP="00C10F10">
            <w:pPr>
              <w:jc w:val="center"/>
              <w:rPr>
                <w:sz w:val="24"/>
                <w:szCs w:val="24"/>
              </w:rPr>
            </w:pPr>
            <w:r w:rsidRPr="003131FD">
              <w:rPr>
                <w:sz w:val="24"/>
                <w:szCs w:val="24"/>
              </w:rPr>
              <w:t>报告期内持有基金份额变化情况</w:t>
            </w:r>
          </w:p>
        </w:tc>
        <w:tc>
          <w:tcPr>
            <w:tcW w:w="2691" w:type="dxa"/>
            <w:gridSpan w:val="2"/>
            <w:vAlign w:val="center"/>
          </w:tcPr>
          <w:p w:rsidR="00F21783" w:rsidRPr="003131FD" w:rsidRDefault="00F21783" w:rsidP="00C10F10">
            <w:pPr>
              <w:jc w:val="center"/>
              <w:rPr>
                <w:sz w:val="24"/>
                <w:szCs w:val="24"/>
              </w:rPr>
            </w:pPr>
            <w:r w:rsidRPr="003131FD">
              <w:rPr>
                <w:sz w:val="24"/>
                <w:szCs w:val="24"/>
              </w:rPr>
              <w:t>报告期末持有基金情况</w:t>
            </w:r>
          </w:p>
        </w:tc>
      </w:tr>
      <w:tr w:rsidR="00F21783" w:rsidRPr="003131FD" w:rsidTr="00C10F10">
        <w:tc>
          <w:tcPr>
            <w:tcW w:w="993" w:type="dxa"/>
            <w:vMerge/>
            <w:vAlign w:val="center"/>
          </w:tcPr>
          <w:p w:rsidR="00F21783" w:rsidRPr="003131FD" w:rsidRDefault="00F21783" w:rsidP="00C10F10">
            <w:pPr>
              <w:jc w:val="center"/>
              <w:rPr>
                <w:sz w:val="24"/>
                <w:szCs w:val="24"/>
              </w:rPr>
            </w:pPr>
          </w:p>
        </w:tc>
        <w:tc>
          <w:tcPr>
            <w:tcW w:w="992" w:type="dxa"/>
            <w:vAlign w:val="center"/>
          </w:tcPr>
          <w:p w:rsidR="00F21783" w:rsidRPr="003131FD" w:rsidRDefault="00F21783" w:rsidP="00C10F10">
            <w:pPr>
              <w:jc w:val="center"/>
              <w:rPr>
                <w:sz w:val="24"/>
                <w:szCs w:val="24"/>
              </w:rPr>
            </w:pPr>
            <w:r w:rsidRPr="003131FD">
              <w:rPr>
                <w:sz w:val="24"/>
                <w:szCs w:val="24"/>
              </w:rPr>
              <w:t>序号</w:t>
            </w:r>
          </w:p>
        </w:tc>
        <w:tc>
          <w:tcPr>
            <w:tcW w:w="1843" w:type="dxa"/>
            <w:vAlign w:val="center"/>
          </w:tcPr>
          <w:p w:rsidR="00F21783" w:rsidRPr="003131FD" w:rsidRDefault="00F21783" w:rsidP="00C10F10">
            <w:pPr>
              <w:jc w:val="center"/>
              <w:rPr>
                <w:sz w:val="24"/>
                <w:szCs w:val="24"/>
              </w:rPr>
            </w:pPr>
            <w:r w:rsidRPr="003131FD">
              <w:rPr>
                <w:sz w:val="24"/>
                <w:szCs w:val="24"/>
              </w:rPr>
              <w:t>持有基金份额比例达到或者超过</w:t>
            </w:r>
            <w:r w:rsidRPr="003131FD">
              <w:rPr>
                <w:sz w:val="24"/>
                <w:szCs w:val="24"/>
              </w:rPr>
              <w:t>20%</w:t>
            </w:r>
            <w:r w:rsidRPr="003131FD">
              <w:rPr>
                <w:sz w:val="24"/>
                <w:szCs w:val="24"/>
              </w:rPr>
              <w:t>的时间区间</w:t>
            </w:r>
          </w:p>
        </w:tc>
        <w:tc>
          <w:tcPr>
            <w:tcW w:w="851" w:type="dxa"/>
            <w:vAlign w:val="center"/>
          </w:tcPr>
          <w:p w:rsidR="00F21783" w:rsidRPr="003131FD" w:rsidRDefault="00F21783" w:rsidP="00C10F10">
            <w:pPr>
              <w:jc w:val="center"/>
              <w:rPr>
                <w:sz w:val="24"/>
                <w:szCs w:val="24"/>
              </w:rPr>
            </w:pPr>
            <w:r w:rsidRPr="003131FD">
              <w:rPr>
                <w:sz w:val="24"/>
                <w:szCs w:val="24"/>
              </w:rPr>
              <w:t>期初份额</w:t>
            </w:r>
          </w:p>
        </w:tc>
        <w:tc>
          <w:tcPr>
            <w:tcW w:w="992" w:type="dxa"/>
            <w:vAlign w:val="center"/>
          </w:tcPr>
          <w:p w:rsidR="00F21783" w:rsidRPr="003131FD" w:rsidRDefault="00F21783" w:rsidP="00C10F10">
            <w:pPr>
              <w:jc w:val="center"/>
              <w:rPr>
                <w:sz w:val="24"/>
                <w:szCs w:val="24"/>
              </w:rPr>
            </w:pPr>
            <w:r w:rsidRPr="003131FD">
              <w:rPr>
                <w:sz w:val="24"/>
                <w:szCs w:val="24"/>
              </w:rPr>
              <w:t>申购份额</w:t>
            </w:r>
          </w:p>
        </w:tc>
        <w:tc>
          <w:tcPr>
            <w:tcW w:w="850" w:type="dxa"/>
            <w:vAlign w:val="center"/>
          </w:tcPr>
          <w:p w:rsidR="00F21783" w:rsidRPr="003131FD" w:rsidRDefault="00F21783" w:rsidP="00C10F10">
            <w:pPr>
              <w:jc w:val="center"/>
              <w:rPr>
                <w:sz w:val="24"/>
                <w:szCs w:val="24"/>
              </w:rPr>
            </w:pPr>
            <w:r w:rsidRPr="003131FD">
              <w:rPr>
                <w:sz w:val="24"/>
                <w:szCs w:val="24"/>
              </w:rPr>
              <w:t>赎回份额</w:t>
            </w:r>
          </w:p>
        </w:tc>
        <w:tc>
          <w:tcPr>
            <w:tcW w:w="1418" w:type="dxa"/>
            <w:vAlign w:val="center"/>
          </w:tcPr>
          <w:p w:rsidR="00F21783" w:rsidRPr="003131FD" w:rsidRDefault="00F21783" w:rsidP="00C10F10">
            <w:pPr>
              <w:jc w:val="center"/>
              <w:rPr>
                <w:sz w:val="24"/>
                <w:szCs w:val="24"/>
              </w:rPr>
            </w:pPr>
            <w:r w:rsidRPr="003131FD">
              <w:rPr>
                <w:sz w:val="24"/>
                <w:szCs w:val="24"/>
              </w:rPr>
              <w:t>持有份额</w:t>
            </w:r>
          </w:p>
        </w:tc>
        <w:tc>
          <w:tcPr>
            <w:tcW w:w="1273" w:type="dxa"/>
            <w:vAlign w:val="center"/>
          </w:tcPr>
          <w:p w:rsidR="00F21783" w:rsidRPr="003131FD" w:rsidRDefault="00F21783" w:rsidP="00C10F10">
            <w:pPr>
              <w:jc w:val="center"/>
              <w:rPr>
                <w:sz w:val="24"/>
                <w:szCs w:val="24"/>
              </w:rPr>
            </w:pPr>
            <w:r w:rsidRPr="003131FD">
              <w:rPr>
                <w:sz w:val="24"/>
                <w:szCs w:val="24"/>
              </w:rPr>
              <w:t>份额占比</w:t>
            </w:r>
          </w:p>
        </w:tc>
      </w:tr>
      <w:tr w:rsidR="009A62F4">
        <w:tc>
          <w:tcPr>
            <w:tcW w:w="993" w:type="dxa"/>
            <w:vMerge w:val="restart"/>
          </w:tcPr>
          <w:p w:rsidR="009A62F4" w:rsidRDefault="009A62F4"/>
          <w:p w:rsidR="009A62F4" w:rsidRDefault="007F4E08">
            <w:r>
              <w:rPr>
                <w:sz w:val="24"/>
                <w:szCs w:val="24"/>
              </w:rPr>
              <w:t>个人</w:t>
            </w:r>
          </w:p>
        </w:tc>
        <w:tc>
          <w:tcPr>
            <w:tcW w:w="992" w:type="dxa"/>
            <w:vAlign w:val="center"/>
          </w:tcPr>
          <w:p w:rsidR="009A62F4" w:rsidRDefault="007F4E08">
            <w:pPr>
              <w:jc w:val="center"/>
            </w:pPr>
            <w:r>
              <w:rPr>
                <w:sz w:val="24"/>
                <w:szCs w:val="24"/>
              </w:rPr>
              <w:t>1</w:t>
            </w:r>
          </w:p>
        </w:tc>
        <w:tc>
          <w:tcPr>
            <w:tcW w:w="1843" w:type="dxa"/>
            <w:vAlign w:val="center"/>
          </w:tcPr>
          <w:p w:rsidR="009A62F4" w:rsidRDefault="007F4E08">
            <w:pPr>
              <w:jc w:val="center"/>
            </w:pPr>
            <w:r>
              <w:rPr>
                <w:sz w:val="24"/>
                <w:szCs w:val="24"/>
              </w:rPr>
              <w:t>20180713-20180717</w:t>
            </w:r>
          </w:p>
        </w:tc>
        <w:tc>
          <w:tcPr>
            <w:tcW w:w="851" w:type="dxa"/>
            <w:vAlign w:val="center"/>
          </w:tcPr>
          <w:p w:rsidR="009A62F4" w:rsidRDefault="007F4E08">
            <w:pPr>
              <w:jc w:val="center"/>
            </w:pPr>
            <w:r>
              <w:rPr>
                <w:sz w:val="24"/>
                <w:szCs w:val="24"/>
              </w:rPr>
              <w:t>-</w:t>
            </w:r>
          </w:p>
        </w:tc>
        <w:tc>
          <w:tcPr>
            <w:tcW w:w="992" w:type="dxa"/>
            <w:vAlign w:val="center"/>
          </w:tcPr>
          <w:p w:rsidR="009A62F4" w:rsidRDefault="007F4E08">
            <w:pPr>
              <w:jc w:val="center"/>
            </w:pPr>
            <w:r>
              <w:rPr>
                <w:sz w:val="24"/>
                <w:szCs w:val="24"/>
              </w:rPr>
              <w:t>9,823,165.34</w:t>
            </w:r>
          </w:p>
        </w:tc>
        <w:tc>
          <w:tcPr>
            <w:tcW w:w="850" w:type="dxa"/>
            <w:vAlign w:val="center"/>
          </w:tcPr>
          <w:p w:rsidR="009A62F4" w:rsidRDefault="007F4E08">
            <w:pPr>
              <w:jc w:val="center"/>
            </w:pPr>
            <w:r>
              <w:rPr>
                <w:sz w:val="24"/>
                <w:szCs w:val="24"/>
              </w:rPr>
              <w:t>9,823,165.34</w:t>
            </w:r>
          </w:p>
        </w:tc>
        <w:tc>
          <w:tcPr>
            <w:tcW w:w="1418" w:type="dxa"/>
            <w:vAlign w:val="center"/>
          </w:tcPr>
          <w:p w:rsidR="009A62F4" w:rsidRDefault="007F4E08">
            <w:pPr>
              <w:jc w:val="center"/>
            </w:pPr>
            <w:r>
              <w:rPr>
                <w:sz w:val="24"/>
                <w:szCs w:val="24"/>
              </w:rPr>
              <w:t>0.00</w:t>
            </w:r>
          </w:p>
        </w:tc>
        <w:tc>
          <w:tcPr>
            <w:tcW w:w="1273" w:type="dxa"/>
            <w:vAlign w:val="center"/>
          </w:tcPr>
          <w:p w:rsidR="009A62F4" w:rsidRDefault="007F4E08">
            <w:pPr>
              <w:jc w:val="center"/>
            </w:pPr>
            <w:r>
              <w:rPr>
                <w:sz w:val="24"/>
                <w:szCs w:val="24"/>
              </w:rPr>
              <w:t>0.00%</w:t>
            </w:r>
          </w:p>
        </w:tc>
      </w:tr>
      <w:tr w:rsidR="009A62F4">
        <w:tc>
          <w:tcPr>
            <w:tcW w:w="993" w:type="dxa"/>
            <w:vMerge/>
          </w:tcPr>
          <w:p w:rsidR="009A62F4" w:rsidRDefault="009A62F4"/>
        </w:tc>
        <w:tc>
          <w:tcPr>
            <w:tcW w:w="992" w:type="dxa"/>
            <w:vAlign w:val="center"/>
          </w:tcPr>
          <w:p w:rsidR="009A62F4" w:rsidRDefault="007F4E08">
            <w:pPr>
              <w:jc w:val="center"/>
            </w:pPr>
            <w:r>
              <w:rPr>
                <w:sz w:val="24"/>
                <w:szCs w:val="24"/>
              </w:rPr>
              <w:t>2</w:t>
            </w:r>
          </w:p>
        </w:tc>
        <w:tc>
          <w:tcPr>
            <w:tcW w:w="1843" w:type="dxa"/>
            <w:vAlign w:val="center"/>
          </w:tcPr>
          <w:p w:rsidR="009A62F4" w:rsidRDefault="007F4E08">
            <w:pPr>
              <w:jc w:val="center"/>
            </w:pPr>
            <w:r>
              <w:rPr>
                <w:sz w:val="24"/>
                <w:szCs w:val="24"/>
              </w:rPr>
              <w:t>20180808-20180814</w:t>
            </w:r>
          </w:p>
        </w:tc>
        <w:tc>
          <w:tcPr>
            <w:tcW w:w="851" w:type="dxa"/>
            <w:vAlign w:val="center"/>
          </w:tcPr>
          <w:p w:rsidR="009A62F4" w:rsidRDefault="007F4E08">
            <w:pPr>
              <w:jc w:val="center"/>
            </w:pPr>
            <w:r>
              <w:rPr>
                <w:sz w:val="24"/>
                <w:szCs w:val="24"/>
              </w:rPr>
              <w:t>1,996,447.98</w:t>
            </w:r>
          </w:p>
        </w:tc>
        <w:tc>
          <w:tcPr>
            <w:tcW w:w="992" w:type="dxa"/>
            <w:vAlign w:val="center"/>
          </w:tcPr>
          <w:p w:rsidR="009A62F4" w:rsidRDefault="007F4E08">
            <w:pPr>
              <w:jc w:val="center"/>
            </w:pPr>
            <w:r>
              <w:rPr>
                <w:sz w:val="24"/>
                <w:szCs w:val="24"/>
              </w:rPr>
              <w:t>0.00</w:t>
            </w:r>
          </w:p>
        </w:tc>
        <w:tc>
          <w:tcPr>
            <w:tcW w:w="850" w:type="dxa"/>
            <w:vAlign w:val="center"/>
          </w:tcPr>
          <w:p w:rsidR="009A62F4" w:rsidRDefault="007F4E08">
            <w:pPr>
              <w:jc w:val="center"/>
            </w:pPr>
            <w:r>
              <w:rPr>
                <w:sz w:val="24"/>
                <w:szCs w:val="24"/>
              </w:rPr>
              <w:t>1,996,447.98</w:t>
            </w:r>
          </w:p>
        </w:tc>
        <w:tc>
          <w:tcPr>
            <w:tcW w:w="1418" w:type="dxa"/>
            <w:vAlign w:val="center"/>
          </w:tcPr>
          <w:p w:rsidR="009A62F4" w:rsidRDefault="007F4E08">
            <w:pPr>
              <w:jc w:val="center"/>
            </w:pPr>
            <w:r>
              <w:rPr>
                <w:sz w:val="24"/>
                <w:szCs w:val="24"/>
              </w:rPr>
              <w:t>0.00</w:t>
            </w:r>
          </w:p>
        </w:tc>
        <w:tc>
          <w:tcPr>
            <w:tcW w:w="1273" w:type="dxa"/>
            <w:vAlign w:val="center"/>
          </w:tcPr>
          <w:p w:rsidR="009A62F4" w:rsidRDefault="007F4E08">
            <w:pPr>
              <w:jc w:val="center"/>
            </w:pPr>
            <w:r>
              <w:rPr>
                <w:sz w:val="24"/>
                <w:szCs w:val="24"/>
              </w:rPr>
              <w:t>0.00%</w:t>
            </w:r>
          </w:p>
        </w:tc>
      </w:tr>
      <w:tr w:rsidR="00F21783" w:rsidRPr="003131FD" w:rsidTr="00C10F10">
        <w:tc>
          <w:tcPr>
            <w:tcW w:w="9212" w:type="dxa"/>
            <w:gridSpan w:val="8"/>
            <w:vAlign w:val="center"/>
          </w:tcPr>
          <w:p w:rsidR="00F21783" w:rsidRPr="003131FD" w:rsidRDefault="00F21783" w:rsidP="00C10F10">
            <w:pPr>
              <w:autoSpaceDE w:val="0"/>
              <w:autoSpaceDN w:val="0"/>
              <w:adjustRightInd w:val="0"/>
              <w:ind w:firstLine="1126"/>
              <w:jc w:val="center"/>
              <w:rPr>
                <w:sz w:val="24"/>
                <w:szCs w:val="24"/>
              </w:rPr>
            </w:pPr>
            <w:r w:rsidRPr="003131FD">
              <w:rPr>
                <w:color w:val="000000"/>
                <w:sz w:val="24"/>
                <w:szCs w:val="24"/>
              </w:rPr>
              <w:t>产品特有风险</w:t>
            </w:r>
          </w:p>
        </w:tc>
      </w:tr>
      <w:tr w:rsidR="00F21783" w:rsidRPr="003131FD" w:rsidTr="00C10F10">
        <w:tc>
          <w:tcPr>
            <w:tcW w:w="9212" w:type="dxa"/>
            <w:gridSpan w:val="8"/>
            <w:vAlign w:val="center"/>
          </w:tcPr>
          <w:p w:rsidR="00F21783" w:rsidRPr="003131FD" w:rsidRDefault="00F21783" w:rsidP="00C10F10">
            <w:pPr>
              <w:autoSpaceDE w:val="0"/>
              <w:autoSpaceDN w:val="0"/>
              <w:adjustRightInd w:val="0"/>
              <w:jc w:val="left"/>
              <w:rPr>
                <w:sz w:val="24"/>
                <w:szCs w:val="24"/>
              </w:rPr>
            </w:pPr>
            <w:r w:rsidRPr="003131FD">
              <w:rPr>
                <w:sz w:val="24"/>
                <w:szCs w:val="24"/>
              </w:rPr>
              <w:t>报告期内，本基金存在单一投资者持有份额比例达到或超过</w:t>
            </w:r>
            <w:r w:rsidRPr="003131FD">
              <w:rPr>
                <w:sz w:val="24"/>
                <w:szCs w:val="24"/>
              </w:rPr>
              <w:t>20%</w:t>
            </w:r>
            <w:r w:rsidRPr="003131FD">
              <w:rPr>
                <w:sz w:val="24"/>
                <w:szCs w:val="24"/>
              </w:rPr>
              <w:t>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w:t>
            </w:r>
            <w:r w:rsidRPr="003131FD">
              <w:rPr>
                <w:sz w:val="24"/>
                <w:szCs w:val="24"/>
              </w:rPr>
              <w:t xml:space="preserve"> 5000 </w:t>
            </w:r>
            <w:r w:rsidRPr="003131FD">
              <w:rPr>
                <w:sz w:val="24"/>
                <w:szCs w:val="24"/>
              </w:rPr>
              <w:t>万元，基金还可能面临转换运作方式、与其他基金合并或者终止基金合同等情形。本基金管理人将对基金的大额申赎进行审慎评估并合理应对，完善流动性风险管控机制，切实保护持有人利益。</w:t>
            </w:r>
          </w:p>
        </w:tc>
      </w:tr>
    </w:tbl>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hint="eastAsia"/>
          <w:b/>
          <w:bCs/>
          <w:color w:val="000000" w:themeColor="text1"/>
          <w:kern w:val="0"/>
          <w:sz w:val="24"/>
          <w:szCs w:val="24"/>
        </w:rPr>
        <w:t xml:space="preserve">8.2 </w:t>
      </w:r>
      <w:r w:rsidRPr="00636531">
        <w:rPr>
          <w:rFonts w:eastAsiaTheme="minorEastAsia" w:hint="eastAsia"/>
          <w:b/>
          <w:bCs/>
          <w:color w:val="000000" w:themeColor="text1"/>
          <w:kern w:val="0"/>
          <w:sz w:val="24"/>
          <w:szCs w:val="24"/>
        </w:rPr>
        <w:t>影响投资者决策的其他重要信息</w:t>
      </w:r>
    </w:p>
    <w:p w:rsidR="0079131B" w:rsidRPr="00200C59" w:rsidRDefault="00200C59" w:rsidP="00200C59">
      <w:pPr>
        <w:spacing w:line="360" w:lineRule="auto"/>
        <w:ind w:firstLineChars="200" w:firstLine="480"/>
        <w:rPr>
          <w:rFonts w:eastAsiaTheme="minorEastAsia"/>
          <w:color w:val="000000" w:themeColor="text1"/>
          <w:sz w:val="24"/>
          <w:szCs w:val="24"/>
        </w:rPr>
      </w:pPr>
      <w:r w:rsidRPr="00636531">
        <w:rPr>
          <w:rFonts w:eastAsiaTheme="minorEastAsia"/>
          <w:color w:val="000000" w:themeColor="text1"/>
          <w:sz w:val="24"/>
          <w:szCs w:val="24"/>
        </w:rPr>
        <w:t>自</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7</w:t>
      </w:r>
      <w:r w:rsidRPr="00636531">
        <w:rPr>
          <w:rFonts w:eastAsiaTheme="minorEastAsia"/>
          <w:color w:val="000000" w:themeColor="text1"/>
          <w:sz w:val="24"/>
          <w:szCs w:val="24"/>
        </w:rPr>
        <w:t>月</w:t>
      </w:r>
      <w:r w:rsidRPr="00636531">
        <w:rPr>
          <w:rFonts w:eastAsiaTheme="minorEastAsia"/>
          <w:color w:val="000000" w:themeColor="text1"/>
          <w:sz w:val="24"/>
          <w:szCs w:val="24"/>
        </w:rPr>
        <w:t>11</w:t>
      </w:r>
      <w:r w:rsidRPr="00636531">
        <w:rPr>
          <w:rFonts w:eastAsiaTheme="minorEastAsia"/>
          <w:color w:val="000000" w:themeColor="text1"/>
          <w:sz w:val="24"/>
          <w:szCs w:val="24"/>
        </w:rPr>
        <w:t>日至</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8</w:t>
      </w:r>
      <w:r w:rsidRPr="00636531">
        <w:rPr>
          <w:rFonts w:eastAsiaTheme="minorEastAsia"/>
          <w:color w:val="000000" w:themeColor="text1"/>
          <w:sz w:val="24"/>
          <w:szCs w:val="24"/>
        </w:rPr>
        <w:t>月</w:t>
      </w:r>
      <w:r w:rsidRPr="00636531">
        <w:rPr>
          <w:rFonts w:eastAsiaTheme="minorEastAsia"/>
          <w:color w:val="000000" w:themeColor="text1"/>
          <w:sz w:val="24"/>
          <w:szCs w:val="24"/>
        </w:rPr>
        <w:t>9</w:t>
      </w:r>
      <w:r w:rsidRPr="00636531">
        <w:rPr>
          <w:rFonts w:eastAsiaTheme="minorEastAsia"/>
          <w:color w:val="000000" w:themeColor="text1"/>
          <w:sz w:val="24"/>
          <w:szCs w:val="24"/>
        </w:rPr>
        <w:t>日</w:t>
      </w:r>
      <w:r w:rsidRPr="00636531">
        <w:rPr>
          <w:rFonts w:eastAsiaTheme="minorEastAsia"/>
          <w:color w:val="000000" w:themeColor="text1"/>
          <w:sz w:val="24"/>
          <w:szCs w:val="24"/>
        </w:rPr>
        <w:t>15</w:t>
      </w:r>
      <w:r w:rsidRPr="00636531">
        <w:rPr>
          <w:rFonts w:eastAsiaTheme="minorEastAsia"/>
          <w:color w:val="000000" w:themeColor="text1"/>
          <w:sz w:val="24"/>
          <w:szCs w:val="24"/>
        </w:rPr>
        <w:t>：</w:t>
      </w:r>
      <w:r w:rsidRPr="00636531">
        <w:rPr>
          <w:rFonts w:eastAsiaTheme="minorEastAsia"/>
          <w:color w:val="000000" w:themeColor="text1"/>
          <w:sz w:val="24"/>
          <w:szCs w:val="24"/>
        </w:rPr>
        <w:t>00</w:t>
      </w:r>
      <w:r w:rsidRPr="00636531">
        <w:rPr>
          <w:rFonts w:eastAsiaTheme="minorEastAsia"/>
          <w:color w:val="000000" w:themeColor="text1"/>
          <w:sz w:val="24"/>
          <w:szCs w:val="24"/>
        </w:rPr>
        <w:t>止，广发量化稳健混合型证券投资基金以通讯方式召开了基金份额持有人大会，本次会议议案《关于终止广发量化稳健混合型证券投资基金基金合同相关事项的议案》在</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8</w:t>
      </w:r>
      <w:r w:rsidRPr="00636531">
        <w:rPr>
          <w:rFonts w:eastAsiaTheme="minorEastAsia"/>
          <w:color w:val="000000" w:themeColor="text1"/>
          <w:sz w:val="24"/>
          <w:szCs w:val="24"/>
        </w:rPr>
        <w:t>月</w:t>
      </w:r>
      <w:r w:rsidRPr="00636531">
        <w:rPr>
          <w:rFonts w:eastAsiaTheme="minorEastAsia"/>
          <w:color w:val="000000" w:themeColor="text1"/>
          <w:sz w:val="24"/>
          <w:szCs w:val="24"/>
        </w:rPr>
        <w:t>13</w:t>
      </w:r>
      <w:r w:rsidRPr="00636531">
        <w:rPr>
          <w:rFonts w:eastAsiaTheme="minorEastAsia"/>
          <w:color w:val="000000" w:themeColor="text1"/>
          <w:sz w:val="24"/>
          <w:szCs w:val="24"/>
        </w:rPr>
        <w:t>日的计票会议上获得通过。根据持有人大会通过的议案，自</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8</w:t>
      </w:r>
      <w:r w:rsidRPr="00636531">
        <w:rPr>
          <w:rFonts w:eastAsiaTheme="minorEastAsia"/>
          <w:color w:val="000000" w:themeColor="text1"/>
          <w:sz w:val="24"/>
          <w:szCs w:val="24"/>
        </w:rPr>
        <w:t>月</w:t>
      </w:r>
      <w:r w:rsidRPr="00636531">
        <w:rPr>
          <w:rFonts w:eastAsiaTheme="minorEastAsia"/>
          <w:color w:val="000000" w:themeColor="text1"/>
          <w:sz w:val="24"/>
          <w:szCs w:val="24"/>
        </w:rPr>
        <w:t>16</w:t>
      </w:r>
      <w:r w:rsidRPr="00636531">
        <w:rPr>
          <w:rFonts w:eastAsiaTheme="minorEastAsia"/>
          <w:color w:val="000000" w:themeColor="text1"/>
          <w:sz w:val="24"/>
          <w:szCs w:val="24"/>
        </w:rPr>
        <w:t>日起，本基金进入清算期，基金管理人将组织成立基金财产清算小组履行基金财产清算程序，并将清算结果及时予以公告。有关重要事项详情可见本基金管理人</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8</w:t>
      </w:r>
      <w:r w:rsidRPr="00636531">
        <w:rPr>
          <w:rFonts w:eastAsiaTheme="minorEastAsia"/>
          <w:color w:val="000000" w:themeColor="text1"/>
          <w:sz w:val="24"/>
          <w:szCs w:val="24"/>
        </w:rPr>
        <w:t>月</w:t>
      </w:r>
      <w:r w:rsidRPr="00636531">
        <w:rPr>
          <w:rFonts w:eastAsiaTheme="minorEastAsia"/>
          <w:color w:val="000000" w:themeColor="text1"/>
          <w:sz w:val="24"/>
          <w:szCs w:val="24"/>
        </w:rPr>
        <w:t>15</w:t>
      </w:r>
      <w:r w:rsidRPr="00636531">
        <w:rPr>
          <w:rFonts w:eastAsiaTheme="minorEastAsia"/>
          <w:color w:val="000000" w:themeColor="text1"/>
          <w:sz w:val="24"/>
          <w:szCs w:val="24"/>
        </w:rPr>
        <w:t>日在《中国证券报》、《上海证券报》、《证券时报》及本公司网站（</w:t>
      </w:r>
      <w:r w:rsidRPr="00636531">
        <w:rPr>
          <w:rFonts w:eastAsiaTheme="minorEastAsia"/>
          <w:color w:val="000000" w:themeColor="text1"/>
          <w:sz w:val="24"/>
          <w:szCs w:val="24"/>
        </w:rPr>
        <w:t>www.gffunds.com.cn</w:t>
      </w:r>
      <w:r w:rsidRPr="00636531">
        <w:rPr>
          <w:rFonts w:eastAsiaTheme="minorEastAsia"/>
          <w:color w:val="000000" w:themeColor="text1"/>
          <w:sz w:val="24"/>
          <w:szCs w:val="24"/>
        </w:rPr>
        <w:t>）刊登的《广发基金管理有限公司关于广发量化稳健混合型证券投资基金基金份额持有人大会表决结果暨决议生效的公告》。</w:t>
      </w:r>
    </w:p>
    <w:p w:rsidR="004061AC" w:rsidRPr="001611C5" w:rsidRDefault="004061AC" w:rsidP="007F4E08">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D02347" w:rsidRPr="001611C5">
        <w:rPr>
          <w:rFonts w:asciiTheme="minorEastAsia" w:eastAsiaTheme="minorEastAsia" w:hAnsiTheme="minorEastAsia" w:hint="eastAsia"/>
          <w:color w:val="000000"/>
          <w:kern w:val="0"/>
          <w:sz w:val="24"/>
          <w:szCs w:val="24"/>
        </w:rPr>
        <w:t>9</w:t>
      </w:r>
      <w:r w:rsidRPr="001611C5">
        <w:rPr>
          <w:rFonts w:asciiTheme="minorEastAsia" w:eastAsiaTheme="minorEastAsia" w:hAnsiTheme="minorEastAsia" w:hint="eastAsia"/>
          <w:color w:val="000000"/>
          <w:kern w:val="0"/>
          <w:sz w:val="24"/>
          <w:szCs w:val="24"/>
        </w:rPr>
        <w:t>备查文件目录</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1</w:t>
      </w:r>
      <w:r w:rsidR="004061AC" w:rsidRPr="001611C5">
        <w:rPr>
          <w:rFonts w:asciiTheme="minorEastAsia" w:eastAsiaTheme="minorEastAsia" w:hAnsiTheme="minorEastAsia" w:hint="eastAsia"/>
          <w:b/>
          <w:bCs/>
          <w:color w:val="000000"/>
          <w:kern w:val="0"/>
          <w:sz w:val="24"/>
          <w:szCs w:val="24"/>
        </w:rPr>
        <w:t>备查文件目录</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（一）中国证监会注册广发量化稳健混合型证券投资基金募集的文件</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（二）《广发量化稳健混合型证券投资基金基金合同》</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（三）《广发基金管理有限公司开放式基金业务规则》</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（四）《广发量化稳健混合型证券投资基金托管协议》</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（五）法律意见书</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2</w:t>
      </w:r>
      <w:r w:rsidR="004061AC" w:rsidRPr="001611C5">
        <w:rPr>
          <w:rFonts w:asciiTheme="minorEastAsia" w:eastAsiaTheme="minorEastAsia" w:hAnsiTheme="minorEastAsia" w:hint="eastAsia"/>
          <w:b/>
          <w:bCs/>
          <w:color w:val="000000"/>
          <w:kern w:val="0"/>
          <w:sz w:val="24"/>
          <w:szCs w:val="24"/>
        </w:rPr>
        <w:t>存放地点</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广州市海珠区琶洲大道东</w:t>
      </w:r>
      <w:r w:rsidRPr="00CD2DB1">
        <w:rPr>
          <w:rFonts w:eastAsiaTheme="minorEastAsia" w:hint="eastAsia"/>
          <w:color w:val="000000"/>
          <w:sz w:val="24"/>
          <w:szCs w:val="24"/>
        </w:rPr>
        <w:t>1</w:t>
      </w:r>
      <w:r w:rsidRPr="00CD2DB1">
        <w:rPr>
          <w:rFonts w:eastAsiaTheme="minorEastAsia" w:hint="eastAsia"/>
          <w:color w:val="000000"/>
          <w:sz w:val="24"/>
          <w:szCs w:val="24"/>
        </w:rPr>
        <w:t>号保利国际广场南塔</w:t>
      </w:r>
      <w:r w:rsidRPr="00CD2DB1">
        <w:rPr>
          <w:rFonts w:eastAsiaTheme="minorEastAsia" w:hint="eastAsia"/>
          <w:color w:val="000000"/>
          <w:sz w:val="24"/>
          <w:szCs w:val="24"/>
        </w:rPr>
        <w:t>31-33</w:t>
      </w:r>
      <w:r w:rsidRPr="00CD2DB1">
        <w:rPr>
          <w:rFonts w:eastAsiaTheme="minorEastAsia" w:hint="eastAsia"/>
          <w:color w:val="000000"/>
          <w:sz w:val="24"/>
          <w:szCs w:val="24"/>
        </w:rPr>
        <w:t>楼</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查阅方式</w:t>
      </w:r>
    </w:p>
    <w:p w:rsidR="009A62F4" w:rsidRDefault="007F4E08">
      <w:pPr>
        <w:spacing w:line="360" w:lineRule="auto"/>
        <w:ind w:firstLineChars="200" w:firstLine="480"/>
        <w:rPr>
          <w:rFonts w:eastAsiaTheme="minorEastAsia"/>
          <w:color w:val="000000"/>
          <w:sz w:val="24"/>
          <w:szCs w:val="24"/>
        </w:rPr>
      </w:pPr>
      <w:r>
        <w:rPr>
          <w:rFonts w:eastAsiaTheme="minorEastAsia" w:hint="eastAsia"/>
          <w:color w:val="000000"/>
          <w:sz w:val="24"/>
          <w:szCs w:val="24"/>
        </w:rPr>
        <w:t>1.</w:t>
      </w:r>
      <w:r>
        <w:rPr>
          <w:rFonts w:eastAsiaTheme="minorEastAsia" w:hint="eastAsia"/>
          <w:color w:val="000000"/>
          <w:sz w:val="24"/>
          <w:szCs w:val="24"/>
        </w:rPr>
        <w:t>书面查阅：查阅时间为每工作日</w:t>
      </w:r>
      <w:r>
        <w:rPr>
          <w:rFonts w:eastAsiaTheme="minorEastAsia" w:hint="eastAsia"/>
          <w:color w:val="000000"/>
          <w:sz w:val="24"/>
          <w:szCs w:val="24"/>
        </w:rPr>
        <w:t>8:30-11:30</w:t>
      </w:r>
      <w:r>
        <w:rPr>
          <w:rFonts w:eastAsiaTheme="minorEastAsia" w:hint="eastAsia"/>
          <w:color w:val="000000"/>
          <w:sz w:val="24"/>
          <w:szCs w:val="24"/>
        </w:rPr>
        <w:t>，</w:t>
      </w:r>
      <w:r>
        <w:rPr>
          <w:rFonts w:eastAsiaTheme="minorEastAsia" w:hint="eastAsia"/>
          <w:color w:val="000000"/>
          <w:sz w:val="24"/>
          <w:szCs w:val="24"/>
        </w:rPr>
        <w:t>13:30-17:00</w:t>
      </w:r>
      <w:r>
        <w:rPr>
          <w:rFonts w:eastAsiaTheme="minorEastAsia" w:hint="eastAsia"/>
          <w:color w:val="000000"/>
          <w:sz w:val="24"/>
          <w:szCs w:val="24"/>
        </w:rPr>
        <w:t>。投资者可免费查阅，也可按工本费购买复印件；</w:t>
      </w:r>
    </w:p>
    <w:p w:rsidR="00636DB7" w:rsidRPr="00CD2DB1" w:rsidRDefault="006D7FF8" w:rsidP="001611C5">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2.</w:t>
      </w:r>
      <w:r w:rsidRPr="00CD2DB1">
        <w:rPr>
          <w:rFonts w:eastAsiaTheme="minorEastAsia" w:hint="eastAsia"/>
          <w:color w:val="000000"/>
          <w:sz w:val="24"/>
          <w:szCs w:val="24"/>
        </w:rPr>
        <w:t>网站查阅：基金管理人网址：</w:t>
      </w:r>
      <w:r w:rsidRPr="00CD2DB1">
        <w:rPr>
          <w:rFonts w:eastAsiaTheme="minorEastAsia" w:hint="eastAsia"/>
          <w:color w:val="000000"/>
          <w:sz w:val="24"/>
          <w:szCs w:val="24"/>
        </w:rPr>
        <w:t>http://www.gffunds.com.cn</w:t>
      </w:r>
      <w:r w:rsidRPr="00CD2DB1">
        <w:rPr>
          <w:rFonts w:eastAsiaTheme="minorEastAsia" w:hint="eastAsia"/>
          <w:color w:val="000000"/>
          <w:sz w:val="24"/>
          <w:szCs w:val="24"/>
        </w:rPr>
        <w:t>。</w:t>
      </w: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832A00"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广发基金管理有限公司</w:t>
      </w:r>
    </w:p>
    <w:p w:rsidR="004061AC" w:rsidRPr="001611C5" w:rsidRDefault="00945AF6"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二〇一八年十月二十五日</w:t>
      </w:r>
    </w:p>
    <w:p w:rsidR="00304A12" w:rsidRPr="001611C5" w:rsidRDefault="00304A12" w:rsidP="00955BE8">
      <w:pPr>
        <w:spacing w:line="360" w:lineRule="auto"/>
        <w:ind w:left="840"/>
        <w:jc w:val="right"/>
        <w:rPr>
          <w:rFonts w:asciiTheme="minorEastAsia" w:eastAsiaTheme="minorEastAsia" w:hAnsiTheme="minorEastAsia"/>
          <w:b/>
          <w:bCs/>
          <w:sz w:val="24"/>
          <w:szCs w:val="24"/>
        </w:rPr>
      </w:pPr>
    </w:p>
    <w:p w:rsidR="00A90049" w:rsidRPr="00264E55" w:rsidRDefault="00A90049">
      <w:pPr>
        <w:rPr>
          <w:rFonts w:asciiTheme="minorEastAsia" w:eastAsiaTheme="minorEastAsia" w:hAnsiTheme="minorEastAsia"/>
          <w:sz w:val="24"/>
          <w:szCs w:val="24"/>
        </w:rPr>
      </w:pPr>
    </w:p>
    <w:sectPr w:rsidR="00A90049" w:rsidRPr="00264E55"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38" w:rsidRDefault="000E4E38" w:rsidP="00876D65">
      <w:r>
        <w:separator/>
      </w:r>
    </w:p>
  </w:endnote>
  <w:endnote w:type="continuationSeparator" w:id="1">
    <w:p w:rsidR="000E4E38" w:rsidRDefault="000E4E3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9A62F4" w:rsidRPr="009A62F4">
      <w:fldChar w:fldCharType="begin"/>
    </w:r>
    <w:r>
      <w:instrText xml:space="preserve"> PAGE   \* MERGEFORMAT </w:instrText>
    </w:r>
    <w:r w:rsidR="009A62F4" w:rsidRPr="009A62F4">
      <w:fldChar w:fldCharType="separate"/>
    </w:r>
    <w:r w:rsidR="007F4E08" w:rsidRPr="007F4E08">
      <w:rPr>
        <w:noProof/>
        <w:lang w:val="zh-CN"/>
      </w:rPr>
      <w:t>1</w:t>
    </w:r>
    <w:r w:rsidR="009A62F4">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9A62F4">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7F4E08">
      <w:rPr>
        <w:rStyle w:val="a7"/>
        <w:noProof/>
      </w:rPr>
      <w:t>2</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38" w:rsidRDefault="000E4E38" w:rsidP="00876D65">
      <w:r>
        <w:separator/>
      </w:r>
    </w:p>
  </w:footnote>
  <w:footnote w:type="continuationSeparator" w:id="1">
    <w:p w:rsidR="000E4E38" w:rsidRDefault="000E4E3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广发量化稳健混合型证券投资基金</w:t>
    </w:r>
    <w:r w:rsidRPr="007120CC">
      <w:rPr>
        <w:rFonts w:hint="eastAsia"/>
      </w:rPr>
      <w:t>2018</w:t>
    </w:r>
    <w:r w:rsidRPr="007120CC">
      <w:rPr>
        <w:rFonts w:hint="eastAsia"/>
      </w:rPr>
      <w:t>年第</w:t>
    </w:r>
    <w:r w:rsidRPr="007120CC">
      <w:rPr>
        <w:rFonts w:hint="eastAsia"/>
      </w:rPr>
      <w:t>3</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1775D"/>
    <w:rsid w:val="000210E7"/>
    <w:rsid w:val="00031EBB"/>
    <w:rsid w:val="00033B8D"/>
    <w:rsid w:val="00043852"/>
    <w:rsid w:val="000450DD"/>
    <w:rsid w:val="000463DE"/>
    <w:rsid w:val="0008313A"/>
    <w:rsid w:val="000907D2"/>
    <w:rsid w:val="00090A26"/>
    <w:rsid w:val="00091D41"/>
    <w:rsid w:val="000A2B53"/>
    <w:rsid w:val="000B624F"/>
    <w:rsid w:val="000B73C6"/>
    <w:rsid w:val="000C190B"/>
    <w:rsid w:val="000C1E17"/>
    <w:rsid w:val="000C5216"/>
    <w:rsid w:val="000D0E6C"/>
    <w:rsid w:val="000D3ED4"/>
    <w:rsid w:val="000E4E38"/>
    <w:rsid w:val="000F6CC8"/>
    <w:rsid w:val="001043C1"/>
    <w:rsid w:val="00111261"/>
    <w:rsid w:val="0013155E"/>
    <w:rsid w:val="00137452"/>
    <w:rsid w:val="00144F93"/>
    <w:rsid w:val="00147376"/>
    <w:rsid w:val="00150E7E"/>
    <w:rsid w:val="00154BE1"/>
    <w:rsid w:val="00160EDC"/>
    <w:rsid w:val="001611C5"/>
    <w:rsid w:val="001675CD"/>
    <w:rsid w:val="00171EF0"/>
    <w:rsid w:val="00175D4F"/>
    <w:rsid w:val="001761D2"/>
    <w:rsid w:val="001830D7"/>
    <w:rsid w:val="00185A34"/>
    <w:rsid w:val="00196E6C"/>
    <w:rsid w:val="001A73E8"/>
    <w:rsid w:val="001B0A62"/>
    <w:rsid w:val="001B2F35"/>
    <w:rsid w:val="001C0993"/>
    <w:rsid w:val="001C79F2"/>
    <w:rsid w:val="001D63BB"/>
    <w:rsid w:val="001D6A4B"/>
    <w:rsid w:val="001E4630"/>
    <w:rsid w:val="001F0964"/>
    <w:rsid w:val="001F30DA"/>
    <w:rsid w:val="001F5DC5"/>
    <w:rsid w:val="00200C59"/>
    <w:rsid w:val="00200FAB"/>
    <w:rsid w:val="00213821"/>
    <w:rsid w:val="00217B9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11662"/>
    <w:rsid w:val="00312A9F"/>
    <w:rsid w:val="00315D5D"/>
    <w:rsid w:val="00316484"/>
    <w:rsid w:val="00316E01"/>
    <w:rsid w:val="00320300"/>
    <w:rsid w:val="00324508"/>
    <w:rsid w:val="003259C8"/>
    <w:rsid w:val="003307FE"/>
    <w:rsid w:val="003470E2"/>
    <w:rsid w:val="00352719"/>
    <w:rsid w:val="0035422F"/>
    <w:rsid w:val="00355364"/>
    <w:rsid w:val="00364CCB"/>
    <w:rsid w:val="00374488"/>
    <w:rsid w:val="0039085F"/>
    <w:rsid w:val="00394069"/>
    <w:rsid w:val="003A6061"/>
    <w:rsid w:val="003B6FBC"/>
    <w:rsid w:val="003E2240"/>
    <w:rsid w:val="003E62FB"/>
    <w:rsid w:val="003F39DF"/>
    <w:rsid w:val="003F63BE"/>
    <w:rsid w:val="004061AC"/>
    <w:rsid w:val="004149AC"/>
    <w:rsid w:val="0042009D"/>
    <w:rsid w:val="00425A74"/>
    <w:rsid w:val="00427F58"/>
    <w:rsid w:val="00433805"/>
    <w:rsid w:val="00471408"/>
    <w:rsid w:val="004858E0"/>
    <w:rsid w:val="004934E9"/>
    <w:rsid w:val="004943C2"/>
    <w:rsid w:val="004A11A7"/>
    <w:rsid w:val="004B0661"/>
    <w:rsid w:val="004C702F"/>
    <w:rsid w:val="004D495A"/>
    <w:rsid w:val="004D59A3"/>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DB7"/>
    <w:rsid w:val="0063783A"/>
    <w:rsid w:val="006423B9"/>
    <w:rsid w:val="00654270"/>
    <w:rsid w:val="00654B0D"/>
    <w:rsid w:val="00655CD8"/>
    <w:rsid w:val="006571DC"/>
    <w:rsid w:val="00660D4B"/>
    <w:rsid w:val="00664ECC"/>
    <w:rsid w:val="00670989"/>
    <w:rsid w:val="006757DC"/>
    <w:rsid w:val="00676095"/>
    <w:rsid w:val="00676FB8"/>
    <w:rsid w:val="00693843"/>
    <w:rsid w:val="0069426C"/>
    <w:rsid w:val="00694DFB"/>
    <w:rsid w:val="006A1C62"/>
    <w:rsid w:val="006A48FD"/>
    <w:rsid w:val="006A67F8"/>
    <w:rsid w:val="006A7AF1"/>
    <w:rsid w:val="006B11BB"/>
    <w:rsid w:val="006B72F7"/>
    <w:rsid w:val="006C12B8"/>
    <w:rsid w:val="006C37FC"/>
    <w:rsid w:val="006C7EA3"/>
    <w:rsid w:val="006D39E9"/>
    <w:rsid w:val="006D3BE3"/>
    <w:rsid w:val="006D7004"/>
    <w:rsid w:val="006D789D"/>
    <w:rsid w:val="006D7FF8"/>
    <w:rsid w:val="006E042A"/>
    <w:rsid w:val="006E48F5"/>
    <w:rsid w:val="006F5E68"/>
    <w:rsid w:val="0070412A"/>
    <w:rsid w:val="00706D60"/>
    <w:rsid w:val="007075E3"/>
    <w:rsid w:val="00707F66"/>
    <w:rsid w:val="007120CC"/>
    <w:rsid w:val="007142B8"/>
    <w:rsid w:val="00720D28"/>
    <w:rsid w:val="00722509"/>
    <w:rsid w:val="00727FCD"/>
    <w:rsid w:val="00733DDD"/>
    <w:rsid w:val="00750CDF"/>
    <w:rsid w:val="00752BA5"/>
    <w:rsid w:val="00753A7D"/>
    <w:rsid w:val="00755D86"/>
    <w:rsid w:val="007650D9"/>
    <w:rsid w:val="00767C98"/>
    <w:rsid w:val="00770971"/>
    <w:rsid w:val="00791180"/>
    <w:rsid w:val="0079131B"/>
    <w:rsid w:val="00796CA8"/>
    <w:rsid w:val="00797305"/>
    <w:rsid w:val="007B035B"/>
    <w:rsid w:val="007B4C04"/>
    <w:rsid w:val="007B5AFB"/>
    <w:rsid w:val="007C5862"/>
    <w:rsid w:val="007F4E08"/>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1D9E"/>
    <w:rsid w:val="00866CF2"/>
    <w:rsid w:val="008700EC"/>
    <w:rsid w:val="00876D65"/>
    <w:rsid w:val="0089068C"/>
    <w:rsid w:val="00891261"/>
    <w:rsid w:val="008A21B2"/>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8122D"/>
    <w:rsid w:val="00986596"/>
    <w:rsid w:val="00990685"/>
    <w:rsid w:val="0099405D"/>
    <w:rsid w:val="009A0ABE"/>
    <w:rsid w:val="009A62F4"/>
    <w:rsid w:val="009B2D4B"/>
    <w:rsid w:val="009C0430"/>
    <w:rsid w:val="009C4E99"/>
    <w:rsid w:val="009C5186"/>
    <w:rsid w:val="009C60F7"/>
    <w:rsid w:val="009D0952"/>
    <w:rsid w:val="009E31DA"/>
    <w:rsid w:val="009E402C"/>
    <w:rsid w:val="009E7C6A"/>
    <w:rsid w:val="009F7ED4"/>
    <w:rsid w:val="00A03AAC"/>
    <w:rsid w:val="00A047D1"/>
    <w:rsid w:val="00A161C8"/>
    <w:rsid w:val="00A22AD0"/>
    <w:rsid w:val="00A22DA8"/>
    <w:rsid w:val="00A31671"/>
    <w:rsid w:val="00A33989"/>
    <w:rsid w:val="00A45320"/>
    <w:rsid w:val="00A52F8F"/>
    <w:rsid w:val="00A5612C"/>
    <w:rsid w:val="00A5689C"/>
    <w:rsid w:val="00A57AE4"/>
    <w:rsid w:val="00A63F19"/>
    <w:rsid w:val="00A66F42"/>
    <w:rsid w:val="00A71882"/>
    <w:rsid w:val="00A76625"/>
    <w:rsid w:val="00A83500"/>
    <w:rsid w:val="00A90049"/>
    <w:rsid w:val="00A917BF"/>
    <w:rsid w:val="00A96A94"/>
    <w:rsid w:val="00AA3A38"/>
    <w:rsid w:val="00AA4F94"/>
    <w:rsid w:val="00AB047E"/>
    <w:rsid w:val="00AC592E"/>
    <w:rsid w:val="00AC6C10"/>
    <w:rsid w:val="00AC7BC6"/>
    <w:rsid w:val="00AD24AA"/>
    <w:rsid w:val="00AE7962"/>
    <w:rsid w:val="00B12B7D"/>
    <w:rsid w:val="00B16985"/>
    <w:rsid w:val="00B221B8"/>
    <w:rsid w:val="00B27206"/>
    <w:rsid w:val="00B32AA7"/>
    <w:rsid w:val="00B4012D"/>
    <w:rsid w:val="00B40F64"/>
    <w:rsid w:val="00B42A76"/>
    <w:rsid w:val="00B7378D"/>
    <w:rsid w:val="00B82413"/>
    <w:rsid w:val="00B85352"/>
    <w:rsid w:val="00B87214"/>
    <w:rsid w:val="00B92FF5"/>
    <w:rsid w:val="00B959E6"/>
    <w:rsid w:val="00BA604D"/>
    <w:rsid w:val="00BC4585"/>
    <w:rsid w:val="00BC50F1"/>
    <w:rsid w:val="00BC73E5"/>
    <w:rsid w:val="00BD7473"/>
    <w:rsid w:val="00BD7703"/>
    <w:rsid w:val="00BE420D"/>
    <w:rsid w:val="00BF48B1"/>
    <w:rsid w:val="00BF6314"/>
    <w:rsid w:val="00C073E9"/>
    <w:rsid w:val="00C21520"/>
    <w:rsid w:val="00C222B2"/>
    <w:rsid w:val="00C225FB"/>
    <w:rsid w:val="00C37530"/>
    <w:rsid w:val="00C46B88"/>
    <w:rsid w:val="00C5218C"/>
    <w:rsid w:val="00C52191"/>
    <w:rsid w:val="00C5642F"/>
    <w:rsid w:val="00C63554"/>
    <w:rsid w:val="00C71497"/>
    <w:rsid w:val="00C72F5B"/>
    <w:rsid w:val="00C73BCD"/>
    <w:rsid w:val="00C77AEF"/>
    <w:rsid w:val="00C849CF"/>
    <w:rsid w:val="00C87129"/>
    <w:rsid w:val="00C91E1B"/>
    <w:rsid w:val="00CA5FD5"/>
    <w:rsid w:val="00CA7703"/>
    <w:rsid w:val="00CB0F92"/>
    <w:rsid w:val="00CD2DB1"/>
    <w:rsid w:val="00CD4E6D"/>
    <w:rsid w:val="00CD5707"/>
    <w:rsid w:val="00CD7702"/>
    <w:rsid w:val="00CE29EA"/>
    <w:rsid w:val="00CF6572"/>
    <w:rsid w:val="00D01F6A"/>
    <w:rsid w:val="00D02347"/>
    <w:rsid w:val="00D04755"/>
    <w:rsid w:val="00D13737"/>
    <w:rsid w:val="00D1638E"/>
    <w:rsid w:val="00D21FFF"/>
    <w:rsid w:val="00D272A5"/>
    <w:rsid w:val="00D43AFB"/>
    <w:rsid w:val="00D57B7C"/>
    <w:rsid w:val="00D65B44"/>
    <w:rsid w:val="00D8099B"/>
    <w:rsid w:val="00D866A8"/>
    <w:rsid w:val="00D92F47"/>
    <w:rsid w:val="00D94B8D"/>
    <w:rsid w:val="00D96C8D"/>
    <w:rsid w:val="00DA2876"/>
    <w:rsid w:val="00DC0B51"/>
    <w:rsid w:val="00DE27F7"/>
    <w:rsid w:val="00E44E18"/>
    <w:rsid w:val="00E54301"/>
    <w:rsid w:val="00E55ABD"/>
    <w:rsid w:val="00E60817"/>
    <w:rsid w:val="00E90C35"/>
    <w:rsid w:val="00EA70F1"/>
    <w:rsid w:val="00EB2516"/>
    <w:rsid w:val="00EB2C07"/>
    <w:rsid w:val="00EB374A"/>
    <w:rsid w:val="00ED62BE"/>
    <w:rsid w:val="00EF17AB"/>
    <w:rsid w:val="00EF6FA5"/>
    <w:rsid w:val="00F04C00"/>
    <w:rsid w:val="00F11104"/>
    <w:rsid w:val="00F13122"/>
    <w:rsid w:val="00F14CC6"/>
    <w:rsid w:val="00F16E3F"/>
    <w:rsid w:val="00F21783"/>
    <w:rsid w:val="00F22499"/>
    <w:rsid w:val="00F22B0F"/>
    <w:rsid w:val="00F246CB"/>
    <w:rsid w:val="00F24B42"/>
    <w:rsid w:val="00F24F73"/>
    <w:rsid w:val="00F27299"/>
    <w:rsid w:val="00F31F6E"/>
    <w:rsid w:val="00F3389C"/>
    <w:rsid w:val="00F375F2"/>
    <w:rsid w:val="00F54EAE"/>
    <w:rsid w:val="00F65334"/>
    <w:rsid w:val="00F66A51"/>
    <w:rsid w:val="00F71057"/>
    <w:rsid w:val="00F71A4B"/>
    <w:rsid w:val="00F728CF"/>
    <w:rsid w:val="00F743D4"/>
    <w:rsid w:val="00F83B17"/>
    <w:rsid w:val="00F87EDA"/>
    <w:rsid w:val="00F94113"/>
    <w:rsid w:val="00F970EE"/>
    <w:rsid w:val="00FB0BC9"/>
    <w:rsid w:val="00FB41D3"/>
    <w:rsid w:val="00FB4F70"/>
    <w:rsid w:val="00FB5EFC"/>
    <w:rsid w:val="00FB77BB"/>
    <w:rsid w:val="00FC15AA"/>
    <w:rsid w:val="00FC6C07"/>
    <w:rsid w:val="00FD1375"/>
    <w:rsid w:val="00FD359E"/>
    <w:rsid w:val="00FD5F37"/>
    <w:rsid w:val="00FE0A17"/>
    <w:rsid w:val="00FE179F"/>
    <w:rsid w:val="00FE5D8B"/>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633707909">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3596-360D-4540-97E9-3DBB971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7422</Characters>
  <Application>Microsoft Office Word</Application>
  <DocSecurity>4</DocSecurity>
  <Lines>61</Lines>
  <Paragraphs>17</Paragraphs>
  <ScaleCrop>false</ScaleCrop>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2018-10-24T17:59:00Z</dcterms:created>
  <dcterms:modified xsi:type="dcterms:W3CDTF">2018-10-24T17:59:00Z</dcterms:modified>
</cp:coreProperties>
</file>