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广发中证全指原材料交易型开放式指数证券投资基金发起式联接基金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2018</w:t>
      </w:r>
      <w:r w:rsidRPr="00D3639B">
        <w:rPr>
          <w:rFonts w:eastAsiaTheme="minorEastAsia"/>
          <w:b/>
          <w:color w:val="000000" w:themeColor="text1"/>
          <w:sz w:val="36"/>
          <w:szCs w:val="36"/>
        </w:rPr>
        <w:t>年第</w:t>
      </w:r>
      <w:r w:rsidRPr="00D3639B">
        <w:rPr>
          <w:rFonts w:eastAsiaTheme="minorEastAsia"/>
          <w:b/>
          <w:color w:val="000000" w:themeColor="text1"/>
          <w:sz w:val="36"/>
          <w:szCs w:val="36"/>
        </w:rPr>
        <w:t>3</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2018</w:t>
      </w:r>
      <w:r w:rsidRPr="00D3639B">
        <w:rPr>
          <w:rFonts w:eastAsiaTheme="minorEastAsia"/>
          <w:b/>
          <w:color w:val="000000" w:themeColor="text1"/>
          <w:sz w:val="36"/>
          <w:szCs w:val="36"/>
        </w:rPr>
        <w:t>年</w:t>
      </w:r>
      <w:r w:rsidRPr="00D3639B">
        <w:rPr>
          <w:rFonts w:eastAsiaTheme="minorEastAsia"/>
          <w:b/>
          <w:color w:val="000000" w:themeColor="text1"/>
          <w:sz w:val="36"/>
          <w:szCs w:val="36"/>
        </w:rPr>
        <w:t>9</w:t>
      </w:r>
      <w:r w:rsidRPr="00D3639B">
        <w:rPr>
          <w:rFonts w:eastAsiaTheme="minorEastAsia"/>
          <w:b/>
          <w:color w:val="000000" w:themeColor="text1"/>
          <w:sz w:val="36"/>
          <w:szCs w:val="36"/>
        </w:rPr>
        <w:t>月</w:t>
      </w:r>
      <w:r w:rsidRPr="00D3639B">
        <w:rPr>
          <w:rFonts w:eastAsiaTheme="minorEastAsia"/>
          <w:b/>
          <w:color w:val="000000" w:themeColor="text1"/>
          <w:sz w:val="36"/>
          <w:szCs w:val="36"/>
        </w:rPr>
        <w:t>30</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广发基金管理有限公司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二〇一八年十月二十五日</w:t>
      </w:r>
    </w:p>
    <w:p w:rsidR="009238DB" w:rsidRPr="00D3639B" w:rsidRDefault="009238DB" w:rsidP="001D0DE3">
      <w:pPr>
        <w:pStyle w:val="1"/>
        <w:spacing w:beforeLines="100" w:afterLines="100" w:line="360" w:lineRule="auto"/>
        <w:jc w:val="center"/>
        <w:rPr>
          <w:rFonts w:eastAsiaTheme="minorEastAsia"/>
          <w:b w:val="0"/>
          <w:color w:val="000000" w:themeColor="text1"/>
          <w:kern w:val="0"/>
          <w:sz w:val="21"/>
          <w:szCs w:val="21"/>
        </w:rPr>
      </w:pPr>
      <w:r w:rsidRPr="00D3639B">
        <w:rPr>
          <w:rFonts w:eastAsiaTheme="minorEastAsia"/>
          <w:color w:val="000000" w:themeColor="text1"/>
          <w:kern w:val="0"/>
          <w:sz w:val="21"/>
          <w:szCs w:val="21"/>
        </w:rPr>
        <w:lastRenderedPageBreak/>
        <w:t xml:space="preserve">§1  </w:t>
      </w:r>
      <w:r w:rsidRPr="00D3639B">
        <w:rPr>
          <w:rFonts w:eastAsiaTheme="minorEastAsia"/>
          <w:color w:val="000000" w:themeColor="text1"/>
          <w:kern w:val="0"/>
          <w:sz w:val="21"/>
          <w:szCs w:val="21"/>
        </w:rPr>
        <w:t>重要提示</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9238DB" w:rsidRPr="00D3639B" w:rsidRDefault="00267DA9"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本报告期自</w:t>
      </w:r>
      <w:r w:rsidRPr="00D3639B">
        <w:rPr>
          <w:rFonts w:eastAsiaTheme="minorEastAsia"/>
          <w:color w:val="000000" w:themeColor="text1"/>
          <w:szCs w:val="21"/>
        </w:rPr>
        <w:t>2018</w:t>
      </w:r>
      <w:r w:rsidRPr="00D3639B">
        <w:rPr>
          <w:rFonts w:eastAsiaTheme="minorEastAsia"/>
          <w:color w:val="000000" w:themeColor="text1"/>
          <w:szCs w:val="21"/>
        </w:rPr>
        <w:t>年</w:t>
      </w:r>
      <w:r w:rsidRPr="00D3639B">
        <w:rPr>
          <w:rFonts w:eastAsiaTheme="minorEastAsia"/>
          <w:color w:val="000000" w:themeColor="text1"/>
          <w:szCs w:val="21"/>
        </w:rPr>
        <w:t>7</w:t>
      </w:r>
      <w:r w:rsidRPr="00D3639B">
        <w:rPr>
          <w:rFonts w:eastAsiaTheme="minorEastAsia"/>
          <w:color w:val="000000" w:themeColor="text1"/>
          <w:szCs w:val="21"/>
        </w:rPr>
        <w:t>月</w:t>
      </w:r>
      <w:r w:rsidRPr="00D3639B">
        <w:rPr>
          <w:rFonts w:eastAsiaTheme="minorEastAsia"/>
          <w:color w:val="000000" w:themeColor="text1"/>
          <w:szCs w:val="21"/>
        </w:rPr>
        <w:t>1</w:t>
      </w:r>
      <w:r w:rsidRPr="00D3639B">
        <w:rPr>
          <w:rFonts w:eastAsiaTheme="minorEastAsia"/>
          <w:color w:val="000000" w:themeColor="text1"/>
          <w:szCs w:val="21"/>
        </w:rPr>
        <w:t>日起至</w:t>
      </w:r>
      <w:r w:rsidRPr="00D3639B">
        <w:rPr>
          <w:rFonts w:eastAsiaTheme="minorEastAsia"/>
          <w:color w:val="000000" w:themeColor="text1"/>
          <w:szCs w:val="21"/>
        </w:rPr>
        <w:t>9</w:t>
      </w:r>
      <w:r w:rsidRPr="00D3639B">
        <w:rPr>
          <w:rFonts w:eastAsiaTheme="minorEastAsia"/>
          <w:color w:val="000000" w:themeColor="text1"/>
          <w:szCs w:val="21"/>
        </w:rPr>
        <w:t>月</w:t>
      </w:r>
      <w:r w:rsidRPr="00D3639B">
        <w:rPr>
          <w:rFonts w:eastAsiaTheme="minorEastAsia"/>
          <w:color w:val="000000" w:themeColor="text1"/>
          <w:szCs w:val="21"/>
        </w:rPr>
        <w:t>30</w:t>
      </w:r>
      <w:r w:rsidRPr="00D3639B">
        <w:rPr>
          <w:rFonts w:eastAsiaTheme="minorEastAsia"/>
          <w:color w:val="000000" w:themeColor="text1"/>
          <w:szCs w:val="21"/>
        </w:rPr>
        <w:t>日止。</w:t>
      </w:r>
    </w:p>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 xml:space="preserve">§2  </w:t>
      </w:r>
      <w:r w:rsidRPr="00D3639B">
        <w:rPr>
          <w:rFonts w:eastAsiaTheme="minorEastAsia"/>
          <w:color w:val="000000" w:themeColor="text1"/>
          <w:kern w:val="0"/>
          <w:sz w:val="21"/>
          <w:szCs w:val="21"/>
        </w:rPr>
        <w:t>基金产品概况</w:t>
      </w:r>
    </w:p>
    <w:p w:rsidR="002C32ED" w:rsidRPr="00D3639B" w:rsidRDefault="002C32ED" w:rsidP="002C32ED">
      <w:pPr>
        <w:pStyle w:val="2"/>
        <w:keepNext w:val="0"/>
        <w:keepLines w:val="0"/>
        <w:spacing w:before="0" w:after="0"/>
        <w:rPr>
          <w:rFonts w:ascii="Times New Roman" w:eastAsiaTheme="minorEastAsia" w:hAnsi="Times New Roman" w:cs="Times New Roman"/>
          <w:color w:val="000000" w:themeColor="text1"/>
          <w:sz w:val="21"/>
          <w:szCs w:val="21"/>
        </w:rPr>
      </w:pPr>
      <w:bookmarkStart w:id="0" w:name="_Toc245193810"/>
      <w:r w:rsidRPr="00D3639B">
        <w:rPr>
          <w:rFonts w:ascii="Times New Roman" w:eastAsiaTheme="minorEastAsia" w:hAnsi="Times New Roman" w:cs="Times New Roman"/>
          <w:color w:val="000000" w:themeColor="text1"/>
          <w:sz w:val="21"/>
          <w:szCs w:val="21"/>
        </w:rPr>
        <w:t>2.1</w:t>
      </w:r>
      <w:r w:rsidRPr="00D3639B">
        <w:rPr>
          <w:rFonts w:ascii="Times New Roman" w:eastAsiaTheme="minorEastAsia" w:hAnsi="Times New Roman" w:cs="Times New Roman"/>
          <w:color w:val="000000" w:themeColor="text1"/>
          <w:sz w:val="21"/>
          <w:szCs w:val="21"/>
        </w:rPr>
        <w:t>基金产品概况</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基金简称</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广发原材料联接</w:t>
            </w:r>
          </w:p>
        </w:tc>
      </w:tr>
      <w:tr w:rsidR="00D3639B" w:rsidRPr="00D3639B" w:rsidTr="00AA7EBD">
        <w:tc>
          <w:tcPr>
            <w:tcW w:w="2835" w:type="dxa"/>
          </w:tcPr>
          <w:p w:rsidR="00B95753" w:rsidRPr="00D3639B" w:rsidRDefault="00B95753" w:rsidP="00E205AA">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基金主代码</w:t>
            </w:r>
          </w:p>
        </w:tc>
        <w:tc>
          <w:tcPr>
            <w:tcW w:w="5479" w:type="dxa"/>
            <w:gridSpan w:val="2"/>
            <w:tcBorders>
              <w:bottom w:val="single" w:sz="4" w:space="0" w:color="auto"/>
            </w:tcBorders>
          </w:tcPr>
          <w:p w:rsidR="00B95753" w:rsidRPr="00D3639B" w:rsidRDefault="00B95753" w:rsidP="00E205AA">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001459</w:t>
            </w:r>
          </w:p>
        </w:tc>
      </w:tr>
      <w:tr w:rsidR="00D3639B" w:rsidRPr="00D3639B" w:rsidTr="00AA7EBD">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基金运作方式</w:t>
            </w:r>
          </w:p>
        </w:tc>
        <w:tc>
          <w:tcPr>
            <w:tcW w:w="5479" w:type="dxa"/>
            <w:gridSpan w:val="2"/>
            <w:tcBorders>
              <w:top w:val="single" w:sz="4" w:space="0" w:color="auto"/>
            </w:tcBorders>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契约型开放式</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基金合同生效日</w:t>
            </w:r>
          </w:p>
        </w:tc>
        <w:tc>
          <w:tcPr>
            <w:tcW w:w="5479" w:type="dxa"/>
            <w:gridSpan w:val="2"/>
          </w:tcPr>
          <w:p w:rsidR="00A6200E" w:rsidRPr="00D3639B" w:rsidRDefault="00121533" w:rsidP="00121533">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2015</w:t>
            </w:r>
            <w:r w:rsidRPr="00D3639B">
              <w:rPr>
                <w:rFonts w:eastAsiaTheme="minorEastAsia"/>
                <w:color w:val="000000" w:themeColor="text1"/>
                <w:kern w:val="0"/>
                <w:szCs w:val="21"/>
              </w:rPr>
              <w:t>年</w:t>
            </w:r>
            <w:r w:rsidRPr="00D3639B">
              <w:rPr>
                <w:rFonts w:eastAsiaTheme="minorEastAsia"/>
                <w:color w:val="000000" w:themeColor="text1"/>
                <w:kern w:val="0"/>
                <w:szCs w:val="21"/>
              </w:rPr>
              <w:t>8</w:t>
            </w:r>
            <w:r w:rsidRPr="00D3639B">
              <w:rPr>
                <w:rFonts w:eastAsiaTheme="minorEastAsia"/>
                <w:color w:val="000000" w:themeColor="text1"/>
                <w:kern w:val="0"/>
                <w:szCs w:val="21"/>
              </w:rPr>
              <w:t>月</w:t>
            </w:r>
            <w:r w:rsidRPr="00D3639B">
              <w:rPr>
                <w:rFonts w:eastAsiaTheme="minorEastAsia"/>
                <w:color w:val="000000" w:themeColor="text1"/>
                <w:kern w:val="0"/>
                <w:szCs w:val="21"/>
              </w:rPr>
              <w:t>18</w:t>
            </w:r>
            <w:r w:rsidRPr="00D3639B">
              <w:rPr>
                <w:rFonts w:eastAsiaTheme="minorEastAsia"/>
                <w:color w:val="000000" w:themeColor="text1"/>
                <w:kern w:val="0"/>
                <w:szCs w:val="21"/>
              </w:rPr>
              <w:t>日</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报告期末基金份额总额</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17,248,419.77</w:t>
            </w:r>
            <w:r w:rsidR="0060758A" w:rsidRPr="00D3639B">
              <w:rPr>
                <w:rFonts w:eastAsiaTheme="minorEastAsia"/>
                <w:color w:val="000000" w:themeColor="text1"/>
                <w:kern w:val="0"/>
                <w:szCs w:val="21"/>
              </w:rPr>
              <w:t>份</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投资目标</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本基金主要通过投资于目标</w:t>
            </w:r>
            <w:r w:rsidRPr="00D3639B">
              <w:rPr>
                <w:rFonts w:eastAsiaTheme="minorEastAsia"/>
                <w:color w:val="000000" w:themeColor="text1"/>
                <w:kern w:val="0"/>
                <w:szCs w:val="21"/>
              </w:rPr>
              <w:t>ETF</w:t>
            </w:r>
            <w:r w:rsidRPr="00D3639B">
              <w:rPr>
                <w:rFonts w:eastAsiaTheme="minorEastAsia"/>
                <w:color w:val="000000" w:themeColor="text1"/>
                <w:kern w:val="0"/>
                <w:szCs w:val="21"/>
              </w:rPr>
              <w:t>，紧密跟踪标的指数，追求跟踪偏离度和跟踪误差最小化。</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投资策略</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本基金为</w:t>
            </w:r>
            <w:r w:rsidRPr="00D3639B">
              <w:rPr>
                <w:rFonts w:eastAsiaTheme="minorEastAsia"/>
                <w:color w:val="000000" w:themeColor="text1"/>
                <w:kern w:val="0"/>
                <w:szCs w:val="21"/>
              </w:rPr>
              <w:t>ETF</w:t>
            </w:r>
            <w:r w:rsidRPr="00D3639B">
              <w:rPr>
                <w:rFonts w:eastAsiaTheme="minorEastAsia"/>
                <w:color w:val="000000" w:themeColor="text1"/>
                <w:kern w:val="0"/>
                <w:szCs w:val="21"/>
              </w:rPr>
              <w:t>联接基金，主要通过投资于目标</w:t>
            </w:r>
            <w:r w:rsidRPr="00D3639B">
              <w:rPr>
                <w:rFonts w:eastAsiaTheme="minorEastAsia"/>
                <w:color w:val="000000" w:themeColor="text1"/>
                <w:kern w:val="0"/>
                <w:szCs w:val="21"/>
              </w:rPr>
              <w:t>ETF</w:t>
            </w:r>
            <w:r w:rsidRPr="00D3639B">
              <w:rPr>
                <w:rFonts w:eastAsiaTheme="minorEastAsia"/>
                <w:color w:val="000000" w:themeColor="text1"/>
                <w:kern w:val="0"/>
                <w:szCs w:val="21"/>
              </w:rPr>
              <w:t>实现对标的指数的紧密跟踪。本基金力争将本基金净值增长率与业绩比较基准之间的日均跟踪偏离度的绝对值控制在</w:t>
            </w:r>
            <w:r w:rsidRPr="00D3639B">
              <w:rPr>
                <w:rFonts w:eastAsiaTheme="minorEastAsia"/>
                <w:color w:val="000000" w:themeColor="text1"/>
                <w:kern w:val="0"/>
                <w:szCs w:val="21"/>
              </w:rPr>
              <w:t>0.35%</w:t>
            </w:r>
            <w:r w:rsidRPr="00D3639B">
              <w:rPr>
                <w:rFonts w:eastAsiaTheme="minorEastAsia"/>
                <w:color w:val="000000" w:themeColor="text1"/>
                <w:kern w:val="0"/>
                <w:szCs w:val="21"/>
              </w:rPr>
              <w:t>以内，年化跟踪误差控制在</w:t>
            </w:r>
            <w:r w:rsidRPr="00D3639B">
              <w:rPr>
                <w:rFonts w:eastAsiaTheme="minorEastAsia"/>
                <w:color w:val="000000" w:themeColor="text1"/>
                <w:kern w:val="0"/>
                <w:szCs w:val="21"/>
              </w:rPr>
              <w:t>4%</w:t>
            </w:r>
            <w:r w:rsidRPr="00D3639B">
              <w:rPr>
                <w:rFonts w:eastAsiaTheme="minorEastAsia"/>
                <w:color w:val="000000" w:themeColor="text1"/>
                <w:kern w:val="0"/>
                <w:szCs w:val="21"/>
              </w:rPr>
              <w:t>以内。</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业绩比较基准</w:t>
            </w:r>
          </w:p>
        </w:tc>
        <w:tc>
          <w:tcPr>
            <w:tcW w:w="5479" w:type="dxa"/>
            <w:gridSpan w:val="2"/>
          </w:tcPr>
          <w:p w:rsidR="008C5FCF" w:rsidRDefault="001D0DE3">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本基金以中证全指原材料指数为标的指数。</w:t>
            </w:r>
          </w:p>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本基金业绩比较基准为：</w:t>
            </w:r>
            <w:r w:rsidRPr="00D3639B">
              <w:rPr>
                <w:rFonts w:eastAsiaTheme="minorEastAsia"/>
                <w:color w:val="000000" w:themeColor="text1"/>
                <w:kern w:val="0"/>
                <w:szCs w:val="21"/>
              </w:rPr>
              <w:t>95%×</w:t>
            </w:r>
            <w:r w:rsidRPr="00D3639B">
              <w:rPr>
                <w:rFonts w:eastAsiaTheme="minorEastAsia"/>
                <w:color w:val="000000" w:themeColor="text1"/>
                <w:kern w:val="0"/>
                <w:szCs w:val="21"/>
              </w:rPr>
              <w:t>中证全指原材料指数收益率</w:t>
            </w:r>
            <w:r w:rsidRPr="00D3639B">
              <w:rPr>
                <w:rFonts w:eastAsiaTheme="minorEastAsia"/>
                <w:color w:val="000000" w:themeColor="text1"/>
                <w:kern w:val="0"/>
                <w:szCs w:val="21"/>
              </w:rPr>
              <w:lastRenderedPageBreak/>
              <w:t>+5%×</w:t>
            </w:r>
            <w:r w:rsidRPr="00D3639B">
              <w:rPr>
                <w:rFonts w:eastAsiaTheme="minorEastAsia"/>
                <w:color w:val="000000" w:themeColor="text1"/>
                <w:kern w:val="0"/>
                <w:szCs w:val="21"/>
              </w:rPr>
              <w:t>银行活期存款利率（税后）。</w:t>
            </w:r>
          </w:p>
        </w:tc>
      </w:tr>
      <w:tr w:rsidR="00D3639B" w:rsidRPr="00D3639B" w:rsidTr="009A045B">
        <w:tc>
          <w:tcPr>
            <w:tcW w:w="2835" w:type="dxa"/>
          </w:tcPr>
          <w:p w:rsidR="00846C2B" w:rsidRPr="00D3639B" w:rsidRDefault="00846C2B"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lastRenderedPageBreak/>
              <w:t>风险收益特征</w:t>
            </w:r>
          </w:p>
        </w:tc>
        <w:tc>
          <w:tcPr>
            <w:tcW w:w="5479" w:type="dxa"/>
            <w:gridSpan w:val="2"/>
          </w:tcPr>
          <w:p w:rsidR="00846C2B" w:rsidRPr="00D3639B" w:rsidRDefault="00846C2B"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本基金为</w:t>
            </w:r>
            <w:r w:rsidRPr="00D3639B">
              <w:rPr>
                <w:rFonts w:eastAsiaTheme="minorEastAsia"/>
                <w:color w:val="000000" w:themeColor="text1"/>
                <w:kern w:val="0"/>
                <w:szCs w:val="21"/>
              </w:rPr>
              <w:t>ETF</w:t>
            </w:r>
            <w:r w:rsidRPr="00D3639B">
              <w:rPr>
                <w:rFonts w:eastAsiaTheme="minorEastAsia"/>
                <w:color w:val="000000" w:themeColor="text1"/>
                <w:kern w:val="0"/>
                <w:szCs w:val="21"/>
              </w:rPr>
              <w:t>联接基金，风险与收益高于混合型基金、债券型基金与货币市场基金。本基金为指数型基金，具有与标的指数、以及标的指数所代表的股票市场相似的风险收益特征。</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基金管理人</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广发基金管理有限公司</w:t>
            </w:r>
          </w:p>
        </w:tc>
      </w:tr>
      <w:tr w:rsidR="00D3639B" w:rsidRPr="00D3639B" w:rsidTr="00950413">
        <w:tc>
          <w:tcPr>
            <w:tcW w:w="2835" w:type="dxa"/>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基金托管人</w:t>
            </w:r>
          </w:p>
        </w:tc>
        <w:tc>
          <w:tcPr>
            <w:tcW w:w="5479" w:type="dxa"/>
            <w:gridSpan w:val="2"/>
          </w:tcPr>
          <w:p w:rsidR="00A6200E" w:rsidRPr="00D3639B" w:rsidRDefault="00A6200E"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kern w:val="0"/>
                <w:szCs w:val="21"/>
              </w:rPr>
              <w:t>中国银行股份有限公司</w:t>
            </w:r>
          </w:p>
        </w:tc>
      </w:tr>
      <w:tr w:rsidR="00D3639B" w:rsidRPr="00D3639B" w:rsidTr="00950413">
        <w:tc>
          <w:tcPr>
            <w:tcW w:w="2835" w:type="dxa"/>
          </w:tcPr>
          <w:p w:rsidR="00950413" w:rsidRPr="00D3639B" w:rsidRDefault="00950413" w:rsidP="00E205AA">
            <w:pPr>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szCs w:val="21"/>
              </w:rPr>
              <w:t>下属两级基金的基金简称</w:t>
            </w:r>
          </w:p>
        </w:tc>
        <w:tc>
          <w:tcPr>
            <w:tcW w:w="2739" w:type="dxa"/>
            <w:vAlign w:val="center"/>
          </w:tcPr>
          <w:p w:rsidR="00950413" w:rsidRPr="00D3639B" w:rsidRDefault="00950413" w:rsidP="00950413">
            <w:pPr>
              <w:jc w:val="left"/>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A</w:t>
            </w:r>
          </w:p>
        </w:tc>
        <w:tc>
          <w:tcPr>
            <w:tcW w:w="2740" w:type="dxa"/>
            <w:vAlign w:val="center"/>
          </w:tcPr>
          <w:p w:rsidR="00950413" w:rsidRPr="00D3639B" w:rsidRDefault="00950413" w:rsidP="00950413">
            <w:pPr>
              <w:jc w:val="left"/>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C</w:t>
            </w:r>
          </w:p>
        </w:tc>
      </w:tr>
      <w:tr w:rsidR="00D3639B" w:rsidRPr="00D3639B" w:rsidTr="00950413">
        <w:tc>
          <w:tcPr>
            <w:tcW w:w="2835" w:type="dxa"/>
          </w:tcPr>
          <w:p w:rsidR="00950413" w:rsidRPr="00D3639B" w:rsidRDefault="00950413"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下属两级基金的交易代码</w:t>
            </w:r>
          </w:p>
        </w:tc>
        <w:tc>
          <w:tcPr>
            <w:tcW w:w="2739" w:type="dxa"/>
            <w:vAlign w:val="center"/>
          </w:tcPr>
          <w:p w:rsidR="00950413" w:rsidRPr="00D3639B" w:rsidRDefault="00950413" w:rsidP="00950413">
            <w:pPr>
              <w:jc w:val="left"/>
              <w:rPr>
                <w:rFonts w:eastAsiaTheme="minorEastAsia"/>
                <w:color w:val="000000" w:themeColor="text1"/>
                <w:szCs w:val="21"/>
              </w:rPr>
            </w:pPr>
            <w:r w:rsidRPr="00D3639B">
              <w:rPr>
                <w:rFonts w:eastAsiaTheme="minorEastAsia"/>
                <w:color w:val="000000" w:themeColor="text1"/>
                <w:szCs w:val="21"/>
              </w:rPr>
              <w:t>001459</w:t>
            </w:r>
          </w:p>
        </w:tc>
        <w:tc>
          <w:tcPr>
            <w:tcW w:w="2740" w:type="dxa"/>
            <w:vAlign w:val="center"/>
          </w:tcPr>
          <w:p w:rsidR="00950413" w:rsidRPr="00D3639B" w:rsidRDefault="00FE7FBD" w:rsidP="00950413">
            <w:pPr>
              <w:jc w:val="left"/>
              <w:rPr>
                <w:rFonts w:eastAsiaTheme="minorEastAsia"/>
                <w:color w:val="000000" w:themeColor="text1"/>
                <w:szCs w:val="21"/>
              </w:rPr>
            </w:pPr>
            <w:r w:rsidRPr="00D3639B">
              <w:rPr>
                <w:rFonts w:eastAsiaTheme="minorEastAsia"/>
                <w:color w:val="000000" w:themeColor="text1"/>
                <w:szCs w:val="21"/>
              </w:rPr>
              <w:t>002975</w:t>
            </w:r>
          </w:p>
        </w:tc>
      </w:tr>
      <w:tr w:rsidR="00D3639B" w:rsidRPr="00D3639B" w:rsidTr="00950413">
        <w:tc>
          <w:tcPr>
            <w:tcW w:w="2835" w:type="dxa"/>
          </w:tcPr>
          <w:p w:rsidR="00950413" w:rsidRPr="00D3639B" w:rsidRDefault="00950413" w:rsidP="00E205AA">
            <w:pPr>
              <w:adjustRightInd w:val="0"/>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报告期末下属两级基金的份额总额</w:t>
            </w:r>
          </w:p>
        </w:tc>
        <w:tc>
          <w:tcPr>
            <w:tcW w:w="2739" w:type="dxa"/>
            <w:vAlign w:val="center"/>
          </w:tcPr>
          <w:p w:rsidR="00950413" w:rsidRPr="00D3639B" w:rsidRDefault="00950413" w:rsidP="00950413">
            <w:pPr>
              <w:jc w:val="left"/>
              <w:rPr>
                <w:rFonts w:eastAsiaTheme="minorEastAsia"/>
                <w:color w:val="000000" w:themeColor="text1"/>
                <w:szCs w:val="21"/>
              </w:rPr>
            </w:pPr>
            <w:r w:rsidRPr="00D3639B">
              <w:rPr>
                <w:rFonts w:eastAsiaTheme="minorEastAsia"/>
                <w:color w:val="000000" w:themeColor="text1"/>
                <w:szCs w:val="21"/>
              </w:rPr>
              <w:t>13,170,861.18</w:t>
            </w:r>
            <w:r w:rsidR="00D305C9" w:rsidRPr="00D3639B">
              <w:rPr>
                <w:rFonts w:eastAsiaTheme="minorEastAsia"/>
                <w:color w:val="000000" w:themeColor="text1"/>
                <w:kern w:val="0"/>
                <w:szCs w:val="21"/>
              </w:rPr>
              <w:t>份</w:t>
            </w:r>
          </w:p>
        </w:tc>
        <w:tc>
          <w:tcPr>
            <w:tcW w:w="2740" w:type="dxa"/>
            <w:vAlign w:val="center"/>
          </w:tcPr>
          <w:p w:rsidR="00950413" w:rsidRPr="00D3639B" w:rsidRDefault="00FE7FBD" w:rsidP="00950413">
            <w:pPr>
              <w:jc w:val="left"/>
              <w:rPr>
                <w:rFonts w:eastAsiaTheme="minorEastAsia"/>
                <w:color w:val="000000" w:themeColor="text1"/>
                <w:szCs w:val="21"/>
              </w:rPr>
            </w:pPr>
            <w:r w:rsidRPr="00D3639B">
              <w:rPr>
                <w:rFonts w:eastAsiaTheme="minorEastAsia"/>
                <w:color w:val="000000" w:themeColor="text1"/>
                <w:szCs w:val="21"/>
              </w:rPr>
              <w:t>4,077,558.59</w:t>
            </w:r>
            <w:r w:rsidR="00D305C9" w:rsidRPr="00D3639B">
              <w:rPr>
                <w:rFonts w:eastAsiaTheme="minorEastAsia"/>
                <w:color w:val="000000" w:themeColor="text1"/>
                <w:kern w:val="0"/>
                <w:szCs w:val="21"/>
              </w:rPr>
              <w:t>份</w:t>
            </w:r>
          </w:p>
        </w:tc>
      </w:tr>
    </w:tbl>
    <w:p w:rsidR="002C32ED" w:rsidRPr="00D3639B" w:rsidRDefault="002C32ED" w:rsidP="001D0DE3">
      <w:pPr>
        <w:pStyle w:val="2"/>
        <w:keepNext w:val="0"/>
        <w:keepLines w:val="0"/>
        <w:spacing w:beforeLines="100" w:after="0"/>
        <w:rPr>
          <w:rFonts w:ascii="Times New Roman" w:eastAsiaTheme="minorEastAsia" w:hAnsi="Times New Roman" w:cs="Times New Roman"/>
          <w:color w:val="000000" w:themeColor="text1"/>
          <w:sz w:val="21"/>
          <w:szCs w:val="21"/>
        </w:rPr>
      </w:pPr>
      <w:r w:rsidRPr="00D3639B">
        <w:rPr>
          <w:rFonts w:ascii="Times New Roman" w:eastAsiaTheme="minorEastAsia" w:hAnsi="Times New Roman" w:cs="Times New Roman"/>
          <w:color w:val="000000" w:themeColor="text1"/>
          <w:sz w:val="21"/>
          <w:szCs w:val="21"/>
        </w:rPr>
        <w:t>2.1.1</w:t>
      </w:r>
      <w:r w:rsidRPr="00D3639B">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000"/>
      </w:tblPr>
      <w:tblGrid>
        <w:gridCol w:w="2724"/>
        <w:gridCol w:w="5736"/>
      </w:tblGrid>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广发中证全指原材料</w:t>
            </w:r>
            <w:r w:rsidRPr="00D3639B">
              <w:rPr>
                <w:rFonts w:eastAsiaTheme="minorEastAsia"/>
                <w:color w:val="000000" w:themeColor="text1"/>
                <w:szCs w:val="21"/>
              </w:rPr>
              <w:t>ETF</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159944</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交易型开放式</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2015</w:t>
            </w:r>
            <w:r w:rsidRPr="00D3639B">
              <w:rPr>
                <w:rFonts w:eastAsiaTheme="minorEastAsia"/>
                <w:color w:val="000000" w:themeColor="text1"/>
                <w:szCs w:val="21"/>
              </w:rPr>
              <w:t>年</w:t>
            </w:r>
            <w:r w:rsidRPr="00D3639B">
              <w:rPr>
                <w:rFonts w:eastAsiaTheme="minorEastAsia"/>
                <w:color w:val="000000" w:themeColor="text1"/>
                <w:szCs w:val="21"/>
              </w:rPr>
              <w:t>6</w:t>
            </w:r>
            <w:r w:rsidRPr="00D3639B">
              <w:rPr>
                <w:rFonts w:eastAsiaTheme="minorEastAsia"/>
                <w:color w:val="000000" w:themeColor="text1"/>
                <w:szCs w:val="21"/>
              </w:rPr>
              <w:t>月</w:t>
            </w:r>
            <w:r w:rsidRPr="00D3639B">
              <w:rPr>
                <w:rFonts w:eastAsiaTheme="minorEastAsia"/>
                <w:color w:val="000000" w:themeColor="text1"/>
                <w:szCs w:val="21"/>
              </w:rPr>
              <w:t>25</w:t>
            </w:r>
            <w:r w:rsidRPr="00D3639B">
              <w:rPr>
                <w:rFonts w:eastAsiaTheme="minorEastAsia"/>
                <w:color w:val="000000" w:themeColor="text1"/>
                <w:szCs w:val="21"/>
              </w:rPr>
              <w:t>日</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深圳证券交易所</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2015</w:t>
            </w:r>
            <w:r w:rsidRPr="00D3639B">
              <w:rPr>
                <w:rFonts w:eastAsiaTheme="minorEastAsia"/>
                <w:color w:val="000000" w:themeColor="text1"/>
                <w:szCs w:val="21"/>
              </w:rPr>
              <w:t>年</w:t>
            </w:r>
            <w:r w:rsidRPr="00D3639B">
              <w:rPr>
                <w:rFonts w:eastAsiaTheme="minorEastAsia"/>
                <w:color w:val="000000" w:themeColor="text1"/>
                <w:szCs w:val="21"/>
              </w:rPr>
              <w:t>7</w:t>
            </w:r>
            <w:r w:rsidRPr="00D3639B">
              <w:rPr>
                <w:rFonts w:eastAsiaTheme="minorEastAsia"/>
                <w:color w:val="000000" w:themeColor="text1"/>
                <w:szCs w:val="21"/>
              </w:rPr>
              <w:t>月</w:t>
            </w:r>
            <w:r w:rsidRPr="00D3639B">
              <w:rPr>
                <w:rFonts w:eastAsiaTheme="minorEastAsia"/>
                <w:color w:val="000000" w:themeColor="text1"/>
                <w:szCs w:val="21"/>
              </w:rPr>
              <w:t>6</w:t>
            </w:r>
            <w:r w:rsidRPr="00D3639B">
              <w:rPr>
                <w:rFonts w:eastAsiaTheme="minorEastAsia"/>
                <w:color w:val="000000" w:themeColor="text1"/>
                <w:szCs w:val="21"/>
              </w:rPr>
              <w:t>日</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广发基金管理有限公司</w:t>
            </w:r>
          </w:p>
        </w:tc>
      </w:tr>
      <w:tr w:rsidR="00D3639B" w:rsidRPr="00D3639B"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中国银行股份有限公司</w:t>
            </w:r>
          </w:p>
        </w:tc>
      </w:tr>
    </w:tbl>
    <w:p w:rsidR="002C32ED" w:rsidRPr="00D3639B" w:rsidRDefault="002C32ED" w:rsidP="001D0DE3">
      <w:pPr>
        <w:pStyle w:val="2"/>
        <w:keepNext w:val="0"/>
        <w:keepLines w:val="0"/>
        <w:spacing w:beforeLines="100" w:after="0"/>
        <w:rPr>
          <w:rFonts w:ascii="Times New Roman" w:eastAsiaTheme="minorEastAsia" w:hAnsi="Times New Roman" w:cs="Times New Roman"/>
          <w:color w:val="000000" w:themeColor="text1"/>
          <w:sz w:val="21"/>
          <w:szCs w:val="21"/>
        </w:rPr>
      </w:pPr>
      <w:r w:rsidRPr="00D3639B">
        <w:rPr>
          <w:rFonts w:ascii="Times New Roman" w:eastAsiaTheme="minorEastAsia" w:hAnsi="Times New Roman" w:cs="Times New Roman"/>
          <w:color w:val="000000" w:themeColor="text1"/>
          <w:sz w:val="21"/>
          <w:szCs w:val="21"/>
        </w:rPr>
        <w:t>2.1.2</w:t>
      </w:r>
      <w:r w:rsidRPr="00D3639B">
        <w:rPr>
          <w:rFonts w:ascii="Times New Roman" w:eastAsiaTheme="minorEastAsia" w:hAnsi="Times New Roman" w:cs="Times New Roman"/>
          <w:color w:val="000000" w:themeColor="text1"/>
          <w:sz w:val="21"/>
          <w:szCs w:val="21"/>
        </w:rPr>
        <w:t>目标基金产品说明</w:t>
      </w:r>
    </w:p>
    <w:tbl>
      <w:tblPr>
        <w:tblW w:w="8460" w:type="dxa"/>
        <w:tblInd w:w="108" w:type="dxa"/>
        <w:tblLook w:val="0000"/>
      </w:tblPr>
      <w:tblGrid>
        <w:gridCol w:w="2820"/>
        <w:gridCol w:w="5640"/>
      </w:tblGrid>
      <w:tr w:rsidR="00D3639B" w:rsidRPr="00D3639B"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紧密跟踪标的指数，追求跟踪偏离度和跟踪误差最小化。</w:t>
            </w:r>
          </w:p>
        </w:tc>
      </w:tr>
      <w:tr w:rsidR="00D3639B" w:rsidRPr="00D3639B"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本基金主要采取完全复制法，即按照标的指数的成份股的构成及其权重构建指数化投资组合，并根据标的指数成份股及其权重的变动进行相应的调整。本基金投资于标的指数成份股及备选成份股的比例不低于基金资产净值的</w:t>
            </w:r>
            <w:r w:rsidRPr="00D3639B">
              <w:rPr>
                <w:rFonts w:eastAsiaTheme="minorEastAsia"/>
                <w:color w:val="000000" w:themeColor="text1"/>
                <w:szCs w:val="21"/>
              </w:rPr>
              <w:t>95%</w:t>
            </w:r>
            <w:r w:rsidRPr="00D3639B">
              <w:rPr>
                <w:rFonts w:eastAsiaTheme="minorEastAsia"/>
                <w:color w:val="000000" w:themeColor="text1"/>
                <w:szCs w:val="21"/>
              </w:rPr>
              <w:t>。</w:t>
            </w:r>
          </w:p>
        </w:tc>
      </w:tr>
      <w:tr w:rsidR="00D3639B" w:rsidRPr="00D3639B"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本基金的业绩比较基准为标的指数。本基金标的指数为中证全指原材料指数。</w:t>
            </w:r>
          </w:p>
        </w:tc>
      </w:tr>
      <w:tr w:rsidR="00D3639B" w:rsidRPr="00D3639B"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D3639B" w:rsidRDefault="002C32ED" w:rsidP="005472A0">
            <w:pPr>
              <w:jc w:val="left"/>
              <w:rPr>
                <w:rFonts w:eastAsiaTheme="minorEastAsia"/>
                <w:color w:val="000000" w:themeColor="text1"/>
                <w:szCs w:val="21"/>
              </w:rPr>
            </w:pPr>
            <w:r w:rsidRPr="00D3639B">
              <w:rPr>
                <w:rFonts w:eastAsiaTheme="minorEastAsia"/>
                <w:color w:val="000000" w:themeColor="text1"/>
                <w:szCs w:val="21"/>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tc>
      </w:tr>
    </w:tbl>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 xml:space="preserve">§3  </w:t>
      </w:r>
      <w:r w:rsidRPr="00D3639B">
        <w:rPr>
          <w:rFonts w:eastAsiaTheme="minorEastAsia"/>
          <w:color w:val="000000" w:themeColor="text1"/>
          <w:kern w:val="0"/>
          <w:sz w:val="21"/>
          <w:szCs w:val="21"/>
        </w:rPr>
        <w:t>主要财务指标和基金净值表现</w:t>
      </w:r>
    </w:p>
    <w:p w:rsidR="009238DB" w:rsidRPr="00D3639B" w:rsidRDefault="009238DB" w:rsidP="00FC13C8">
      <w:pPr>
        <w:autoSpaceDE w:val="0"/>
        <w:autoSpaceDN w:val="0"/>
        <w:adjustRightInd w:val="0"/>
        <w:spacing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 xml:space="preserve">3.1 </w:t>
      </w:r>
      <w:r w:rsidRPr="00D3639B">
        <w:rPr>
          <w:rFonts w:eastAsiaTheme="minorEastAsia"/>
          <w:b/>
          <w:color w:val="000000" w:themeColor="text1"/>
          <w:kern w:val="0"/>
          <w:szCs w:val="21"/>
        </w:rPr>
        <w:t>主要财务指标</w:t>
      </w:r>
    </w:p>
    <w:p w:rsidR="009238DB" w:rsidRPr="00D3639B" w:rsidRDefault="009238DB" w:rsidP="00E27360">
      <w:pPr>
        <w:autoSpaceDE w:val="0"/>
        <w:autoSpaceDN w:val="0"/>
        <w:adjustRightInd w:val="0"/>
        <w:spacing w:before="29" w:line="288" w:lineRule="auto"/>
        <w:ind w:left="15" w:right="480"/>
        <w:jc w:val="right"/>
        <w:rPr>
          <w:rFonts w:eastAsiaTheme="minorEastAsia"/>
          <w:color w:val="000000" w:themeColor="text1"/>
          <w:kern w:val="0"/>
          <w:szCs w:val="21"/>
        </w:rPr>
      </w:pPr>
      <w:r w:rsidRPr="00D3639B">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81"/>
        <w:gridCol w:w="2481"/>
      </w:tblGrid>
      <w:tr w:rsidR="00D3639B" w:rsidRPr="00D3639B" w:rsidTr="008B5312">
        <w:tc>
          <w:tcPr>
            <w:tcW w:w="3402" w:type="dxa"/>
            <w:vMerge w:val="restart"/>
            <w:vAlign w:val="center"/>
          </w:tcPr>
          <w:p w:rsidR="009E549D" w:rsidRPr="00D3639B" w:rsidRDefault="009E549D" w:rsidP="00E205AA">
            <w:pPr>
              <w:adjustRightInd w:val="0"/>
              <w:spacing w:before="29" w:line="360" w:lineRule="auto"/>
              <w:ind w:left="17"/>
              <w:jc w:val="center"/>
              <w:rPr>
                <w:rFonts w:eastAsiaTheme="minorEastAsia"/>
                <w:color w:val="000000" w:themeColor="text1"/>
                <w:kern w:val="0"/>
                <w:szCs w:val="21"/>
              </w:rPr>
            </w:pPr>
            <w:r w:rsidRPr="00D3639B">
              <w:rPr>
                <w:rFonts w:eastAsiaTheme="minorEastAsia"/>
                <w:color w:val="000000" w:themeColor="text1"/>
                <w:kern w:val="0"/>
                <w:szCs w:val="21"/>
              </w:rPr>
              <w:t>主要财务指标</w:t>
            </w:r>
          </w:p>
        </w:tc>
        <w:tc>
          <w:tcPr>
            <w:tcW w:w="4962" w:type="dxa"/>
            <w:gridSpan w:val="2"/>
            <w:vAlign w:val="center"/>
          </w:tcPr>
          <w:p w:rsidR="002976E5" w:rsidRPr="00D3639B" w:rsidRDefault="009E549D" w:rsidP="00E205AA">
            <w:pPr>
              <w:adjustRightInd w:val="0"/>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报告期</w:t>
            </w:r>
          </w:p>
          <w:p w:rsidR="009E549D" w:rsidRPr="00D3639B" w:rsidRDefault="009E549D" w:rsidP="00E205AA">
            <w:pPr>
              <w:adjustRightInd w:val="0"/>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(2018</w:t>
            </w:r>
            <w:r w:rsidRPr="00D3639B">
              <w:rPr>
                <w:rFonts w:eastAsiaTheme="minorEastAsia"/>
                <w:color w:val="000000" w:themeColor="text1"/>
                <w:szCs w:val="21"/>
              </w:rPr>
              <w:t>年</w:t>
            </w:r>
            <w:r w:rsidRPr="00D3639B">
              <w:rPr>
                <w:rFonts w:eastAsiaTheme="minorEastAsia"/>
                <w:color w:val="000000" w:themeColor="text1"/>
                <w:szCs w:val="21"/>
              </w:rPr>
              <w:t>7</w:t>
            </w:r>
            <w:r w:rsidRPr="00D3639B">
              <w:rPr>
                <w:rFonts w:eastAsiaTheme="minorEastAsia"/>
                <w:color w:val="000000" w:themeColor="text1"/>
                <w:szCs w:val="21"/>
              </w:rPr>
              <w:t>月</w:t>
            </w:r>
            <w:r w:rsidRPr="00D3639B">
              <w:rPr>
                <w:rFonts w:eastAsiaTheme="minorEastAsia"/>
                <w:color w:val="000000" w:themeColor="text1"/>
                <w:szCs w:val="21"/>
              </w:rPr>
              <w:t>1</w:t>
            </w:r>
            <w:r w:rsidRPr="00D3639B">
              <w:rPr>
                <w:rFonts w:eastAsiaTheme="minorEastAsia"/>
                <w:color w:val="000000" w:themeColor="text1"/>
                <w:szCs w:val="21"/>
              </w:rPr>
              <w:t>日</w:t>
            </w:r>
            <w:r w:rsidRPr="00D3639B">
              <w:rPr>
                <w:rFonts w:eastAsiaTheme="minorEastAsia"/>
                <w:color w:val="000000" w:themeColor="text1"/>
                <w:szCs w:val="21"/>
              </w:rPr>
              <w:t>-2018</w:t>
            </w:r>
            <w:r w:rsidRPr="00D3639B">
              <w:rPr>
                <w:rFonts w:eastAsiaTheme="minorEastAsia"/>
                <w:color w:val="000000" w:themeColor="text1"/>
                <w:szCs w:val="21"/>
              </w:rPr>
              <w:t>年</w:t>
            </w:r>
            <w:r w:rsidRPr="00D3639B">
              <w:rPr>
                <w:rFonts w:eastAsiaTheme="minorEastAsia"/>
                <w:color w:val="000000" w:themeColor="text1"/>
                <w:szCs w:val="21"/>
              </w:rPr>
              <w:t>9</w:t>
            </w:r>
            <w:r w:rsidRPr="00D3639B">
              <w:rPr>
                <w:rFonts w:eastAsiaTheme="minorEastAsia"/>
                <w:color w:val="000000" w:themeColor="text1"/>
                <w:szCs w:val="21"/>
              </w:rPr>
              <w:t>月</w:t>
            </w:r>
            <w:r w:rsidRPr="00D3639B">
              <w:rPr>
                <w:rFonts w:eastAsiaTheme="minorEastAsia"/>
                <w:color w:val="000000" w:themeColor="text1"/>
                <w:szCs w:val="21"/>
              </w:rPr>
              <w:t>30</w:t>
            </w:r>
            <w:r w:rsidRPr="00D3639B">
              <w:rPr>
                <w:rFonts w:eastAsiaTheme="minorEastAsia"/>
                <w:color w:val="000000" w:themeColor="text1"/>
                <w:szCs w:val="21"/>
              </w:rPr>
              <w:t>日</w:t>
            </w:r>
            <w:r w:rsidRPr="00D3639B">
              <w:rPr>
                <w:rFonts w:eastAsiaTheme="minorEastAsia"/>
                <w:color w:val="000000" w:themeColor="text1"/>
                <w:szCs w:val="21"/>
              </w:rPr>
              <w:t>)</w:t>
            </w:r>
          </w:p>
        </w:tc>
      </w:tr>
      <w:tr w:rsidR="00D3639B" w:rsidRPr="00D3639B" w:rsidTr="008B5312">
        <w:tc>
          <w:tcPr>
            <w:tcW w:w="3402" w:type="dxa"/>
            <w:vMerge/>
            <w:vAlign w:val="center"/>
          </w:tcPr>
          <w:p w:rsidR="009E549D" w:rsidRPr="00D3639B" w:rsidRDefault="009E549D" w:rsidP="00E205AA">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9E549D" w:rsidRPr="00D3639B" w:rsidRDefault="009E549D" w:rsidP="00E205AA">
            <w:pPr>
              <w:adjustRightInd w:val="0"/>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A</w:t>
            </w:r>
          </w:p>
        </w:tc>
        <w:tc>
          <w:tcPr>
            <w:tcW w:w="2481" w:type="dxa"/>
            <w:vAlign w:val="center"/>
          </w:tcPr>
          <w:p w:rsidR="009E549D" w:rsidRPr="00D3639B" w:rsidRDefault="00FE7FBD" w:rsidP="00E205AA">
            <w:pPr>
              <w:adjustRightInd w:val="0"/>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C</w:t>
            </w:r>
          </w:p>
        </w:tc>
      </w:tr>
      <w:tr w:rsidR="00D3639B" w:rsidRPr="00D3639B" w:rsidTr="00973B57">
        <w:tc>
          <w:tcPr>
            <w:tcW w:w="3402" w:type="dxa"/>
          </w:tcPr>
          <w:p w:rsidR="005F293E" w:rsidRPr="00D3639B" w:rsidRDefault="005F293E" w:rsidP="00973B57">
            <w:pPr>
              <w:adjustRightInd w:val="0"/>
              <w:spacing w:before="29" w:line="360" w:lineRule="auto"/>
              <w:ind w:left="17"/>
              <w:rPr>
                <w:rFonts w:eastAsiaTheme="minorEastAsia"/>
                <w:color w:val="000000" w:themeColor="text1"/>
                <w:kern w:val="0"/>
                <w:szCs w:val="21"/>
              </w:rPr>
            </w:pPr>
            <w:r w:rsidRPr="00D3639B">
              <w:rPr>
                <w:rFonts w:eastAsiaTheme="minorEastAsia"/>
                <w:color w:val="000000" w:themeColor="text1"/>
                <w:kern w:val="0"/>
                <w:szCs w:val="21"/>
              </w:rPr>
              <w:t>1.</w:t>
            </w:r>
            <w:r w:rsidRPr="00D3639B">
              <w:rPr>
                <w:rFonts w:eastAsiaTheme="minorEastAsia"/>
                <w:color w:val="000000" w:themeColor="text1"/>
                <w:kern w:val="0"/>
                <w:szCs w:val="21"/>
              </w:rPr>
              <w:t>本期已实现收益</w:t>
            </w:r>
          </w:p>
        </w:tc>
        <w:tc>
          <w:tcPr>
            <w:tcW w:w="2481" w:type="dxa"/>
            <w:vAlign w:val="bottom"/>
          </w:tcPr>
          <w:p w:rsidR="005F293E" w:rsidRPr="00D3639B" w:rsidRDefault="005F293E" w:rsidP="00973B57">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-5,038,836.29</w:t>
            </w:r>
          </w:p>
        </w:tc>
        <w:tc>
          <w:tcPr>
            <w:tcW w:w="2481" w:type="dxa"/>
            <w:vAlign w:val="bottom"/>
          </w:tcPr>
          <w:p w:rsidR="005F293E" w:rsidRPr="00D3639B" w:rsidRDefault="00FE7FBD" w:rsidP="0037768B">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-2,378,584.55</w:t>
            </w:r>
          </w:p>
        </w:tc>
      </w:tr>
      <w:tr w:rsidR="00D3639B" w:rsidRPr="00D3639B" w:rsidTr="009A5C1D">
        <w:tc>
          <w:tcPr>
            <w:tcW w:w="3402" w:type="dxa"/>
          </w:tcPr>
          <w:p w:rsidR="005F293E" w:rsidRPr="00D3639B" w:rsidRDefault="005F293E" w:rsidP="00E205AA">
            <w:pPr>
              <w:adjustRightInd w:val="0"/>
              <w:spacing w:before="29" w:line="360" w:lineRule="auto"/>
              <w:ind w:left="17"/>
              <w:rPr>
                <w:rFonts w:eastAsiaTheme="minorEastAsia"/>
                <w:color w:val="000000" w:themeColor="text1"/>
                <w:kern w:val="0"/>
                <w:szCs w:val="21"/>
              </w:rPr>
            </w:pPr>
            <w:r w:rsidRPr="00D3639B">
              <w:rPr>
                <w:rFonts w:eastAsiaTheme="minorEastAsia"/>
                <w:color w:val="000000" w:themeColor="text1"/>
                <w:kern w:val="0"/>
                <w:szCs w:val="21"/>
              </w:rPr>
              <w:t>2.</w:t>
            </w:r>
            <w:r w:rsidRPr="00D3639B">
              <w:rPr>
                <w:rFonts w:eastAsiaTheme="minorEastAsia"/>
                <w:color w:val="000000" w:themeColor="text1"/>
                <w:kern w:val="0"/>
                <w:szCs w:val="21"/>
              </w:rPr>
              <w:t>本期利润</w:t>
            </w:r>
          </w:p>
        </w:tc>
        <w:tc>
          <w:tcPr>
            <w:tcW w:w="2481" w:type="dxa"/>
            <w:vAlign w:val="bottom"/>
          </w:tcPr>
          <w:p w:rsidR="005F293E" w:rsidRPr="00D3639B" w:rsidRDefault="005F293E"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-1,025,105.22</w:t>
            </w:r>
          </w:p>
        </w:tc>
        <w:tc>
          <w:tcPr>
            <w:tcW w:w="2481" w:type="dxa"/>
            <w:vAlign w:val="bottom"/>
          </w:tcPr>
          <w:p w:rsidR="005F293E" w:rsidRPr="00D3639B" w:rsidRDefault="00FE7FBD"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-548,198.91</w:t>
            </w:r>
          </w:p>
        </w:tc>
      </w:tr>
      <w:tr w:rsidR="00D3639B" w:rsidRPr="00D3639B" w:rsidTr="009A5C1D">
        <w:tc>
          <w:tcPr>
            <w:tcW w:w="3402" w:type="dxa"/>
          </w:tcPr>
          <w:p w:rsidR="005F293E" w:rsidRPr="00D3639B" w:rsidRDefault="005F293E" w:rsidP="00E205AA">
            <w:pPr>
              <w:adjustRightInd w:val="0"/>
              <w:spacing w:before="29" w:line="360" w:lineRule="auto"/>
              <w:ind w:left="17"/>
              <w:rPr>
                <w:rFonts w:eastAsiaTheme="minorEastAsia"/>
                <w:color w:val="000000" w:themeColor="text1"/>
                <w:kern w:val="0"/>
                <w:szCs w:val="21"/>
              </w:rPr>
            </w:pPr>
            <w:r w:rsidRPr="00D3639B">
              <w:rPr>
                <w:rFonts w:eastAsiaTheme="minorEastAsia"/>
                <w:color w:val="000000" w:themeColor="text1"/>
                <w:kern w:val="0"/>
                <w:szCs w:val="21"/>
              </w:rPr>
              <w:t>3.</w:t>
            </w:r>
            <w:r w:rsidRPr="00D3639B">
              <w:rPr>
                <w:rFonts w:eastAsiaTheme="minorEastAsia"/>
                <w:color w:val="000000" w:themeColor="text1"/>
                <w:kern w:val="0"/>
                <w:szCs w:val="21"/>
              </w:rPr>
              <w:t>加权平均基金份额本期利润</w:t>
            </w:r>
          </w:p>
        </w:tc>
        <w:tc>
          <w:tcPr>
            <w:tcW w:w="2481" w:type="dxa"/>
            <w:vAlign w:val="bottom"/>
          </w:tcPr>
          <w:p w:rsidR="005F293E" w:rsidRPr="00D3639B" w:rsidRDefault="005F293E"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-0.0646</w:t>
            </w:r>
          </w:p>
        </w:tc>
        <w:tc>
          <w:tcPr>
            <w:tcW w:w="2481" w:type="dxa"/>
            <w:vAlign w:val="bottom"/>
          </w:tcPr>
          <w:p w:rsidR="005F293E" w:rsidRPr="00D3639B" w:rsidRDefault="00FE7FBD"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-0.0679</w:t>
            </w:r>
          </w:p>
        </w:tc>
      </w:tr>
      <w:tr w:rsidR="00D3639B" w:rsidRPr="00D3639B" w:rsidTr="009A5C1D">
        <w:tc>
          <w:tcPr>
            <w:tcW w:w="3402" w:type="dxa"/>
          </w:tcPr>
          <w:p w:rsidR="005F293E" w:rsidRPr="00D3639B" w:rsidRDefault="005F293E" w:rsidP="00E205AA">
            <w:pPr>
              <w:adjustRightInd w:val="0"/>
              <w:spacing w:before="29" w:line="360" w:lineRule="auto"/>
              <w:ind w:left="17"/>
              <w:rPr>
                <w:rFonts w:eastAsiaTheme="minorEastAsia"/>
                <w:color w:val="000000" w:themeColor="text1"/>
                <w:kern w:val="0"/>
                <w:szCs w:val="21"/>
              </w:rPr>
            </w:pPr>
            <w:r w:rsidRPr="00D3639B">
              <w:rPr>
                <w:rFonts w:eastAsiaTheme="minorEastAsia"/>
                <w:color w:val="000000" w:themeColor="text1"/>
                <w:kern w:val="0"/>
                <w:szCs w:val="21"/>
              </w:rPr>
              <w:t>4.</w:t>
            </w:r>
            <w:r w:rsidRPr="00D3639B">
              <w:rPr>
                <w:rFonts w:eastAsiaTheme="minorEastAsia"/>
                <w:color w:val="000000" w:themeColor="text1"/>
                <w:kern w:val="0"/>
                <w:szCs w:val="21"/>
              </w:rPr>
              <w:t>期末基金资产净值</w:t>
            </w:r>
          </w:p>
        </w:tc>
        <w:tc>
          <w:tcPr>
            <w:tcW w:w="2481" w:type="dxa"/>
          </w:tcPr>
          <w:p w:rsidR="005F293E" w:rsidRPr="00D3639B" w:rsidRDefault="005F293E"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11,438,128.65</w:t>
            </w:r>
          </w:p>
        </w:tc>
        <w:tc>
          <w:tcPr>
            <w:tcW w:w="2481" w:type="dxa"/>
          </w:tcPr>
          <w:p w:rsidR="005F293E" w:rsidRPr="00D3639B" w:rsidRDefault="00FE7FBD"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3,524,600.69</w:t>
            </w:r>
          </w:p>
        </w:tc>
      </w:tr>
      <w:tr w:rsidR="00D3639B" w:rsidRPr="00D3639B" w:rsidTr="009A5C1D">
        <w:trPr>
          <w:trHeight w:val="158"/>
        </w:trPr>
        <w:tc>
          <w:tcPr>
            <w:tcW w:w="3402" w:type="dxa"/>
          </w:tcPr>
          <w:p w:rsidR="005F293E" w:rsidRPr="00D3639B" w:rsidRDefault="005F293E" w:rsidP="00E205AA">
            <w:pPr>
              <w:adjustRightInd w:val="0"/>
              <w:spacing w:before="29" w:line="360" w:lineRule="auto"/>
              <w:ind w:left="17"/>
              <w:rPr>
                <w:rFonts w:eastAsiaTheme="minorEastAsia"/>
                <w:color w:val="000000" w:themeColor="text1"/>
                <w:kern w:val="0"/>
                <w:szCs w:val="21"/>
              </w:rPr>
            </w:pPr>
            <w:r w:rsidRPr="00D3639B">
              <w:rPr>
                <w:rFonts w:eastAsiaTheme="minorEastAsia"/>
                <w:color w:val="000000" w:themeColor="text1"/>
                <w:kern w:val="0"/>
                <w:szCs w:val="21"/>
              </w:rPr>
              <w:t>5.</w:t>
            </w:r>
            <w:r w:rsidRPr="00D3639B">
              <w:rPr>
                <w:rFonts w:eastAsiaTheme="minorEastAsia"/>
                <w:color w:val="000000" w:themeColor="text1"/>
                <w:kern w:val="0"/>
                <w:szCs w:val="21"/>
              </w:rPr>
              <w:t>期末基金份额净值</w:t>
            </w:r>
          </w:p>
        </w:tc>
        <w:tc>
          <w:tcPr>
            <w:tcW w:w="2481" w:type="dxa"/>
          </w:tcPr>
          <w:p w:rsidR="005F293E" w:rsidRPr="00D3639B" w:rsidRDefault="005F293E"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0.8684</w:t>
            </w:r>
          </w:p>
        </w:tc>
        <w:tc>
          <w:tcPr>
            <w:tcW w:w="2481" w:type="dxa"/>
          </w:tcPr>
          <w:p w:rsidR="005F293E" w:rsidRPr="00D3639B" w:rsidRDefault="00FE7FBD" w:rsidP="004A67B0">
            <w:pPr>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0.8644</w:t>
            </w:r>
          </w:p>
        </w:tc>
      </w:tr>
    </w:tbl>
    <w:p w:rsidR="008C5FCF" w:rsidRDefault="001D0D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）所述基金业绩指标不包括持有人认购或交易基金的各项费用，计入费用后实际收益水平要低于所列数字。</w:t>
      </w:r>
    </w:p>
    <w:p w:rsidR="009238DB" w:rsidRPr="00D3639B" w:rsidRDefault="005E01A3"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w:t>
      </w:r>
      <w:r w:rsidRPr="00D3639B">
        <w:rPr>
          <w:rFonts w:eastAsiaTheme="minorEastAsia"/>
          <w:color w:val="000000" w:themeColor="text1"/>
          <w:szCs w:val="21"/>
        </w:rPr>
        <w:t>2</w:t>
      </w:r>
      <w:r w:rsidRPr="00D3639B">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 xml:space="preserve">3.2 </w:t>
      </w:r>
      <w:r w:rsidRPr="00D3639B">
        <w:rPr>
          <w:rFonts w:eastAsiaTheme="minorEastAsia"/>
          <w:b/>
          <w:color w:val="000000" w:themeColor="text1"/>
          <w:kern w:val="0"/>
          <w:szCs w:val="21"/>
        </w:rPr>
        <w:t>基金净值表现</w:t>
      </w:r>
    </w:p>
    <w:p w:rsidR="009238DB" w:rsidRPr="00D3639B" w:rsidRDefault="009238DB" w:rsidP="00FC13C8">
      <w:pPr>
        <w:autoSpaceDE w:val="0"/>
        <w:autoSpaceDN w:val="0"/>
        <w:adjustRightInd w:val="0"/>
        <w:spacing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3.2.1</w:t>
      </w:r>
      <w:r w:rsidRPr="00D3639B">
        <w:rPr>
          <w:rFonts w:eastAsiaTheme="minorEastAsia"/>
          <w:b/>
          <w:color w:val="000000" w:themeColor="text1"/>
          <w:kern w:val="0"/>
          <w:szCs w:val="21"/>
        </w:rPr>
        <w:t>本报告期基金份额净值增长率及其与同期业绩比较基准收益率的比较</w:t>
      </w:r>
    </w:p>
    <w:p w:rsidR="009238DB" w:rsidRPr="00D3639B" w:rsidRDefault="009238DB" w:rsidP="00FC13C8">
      <w:pPr>
        <w:spacing w:line="360" w:lineRule="auto"/>
        <w:rPr>
          <w:rFonts w:eastAsiaTheme="minorEastAsia"/>
          <w:b/>
          <w:color w:val="000000" w:themeColor="text1"/>
          <w:szCs w:val="21"/>
        </w:rPr>
      </w:pPr>
      <w:r w:rsidRPr="00D3639B">
        <w:rPr>
          <w:rFonts w:eastAsiaTheme="minorEastAsia"/>
          <w:b/>
          <w:color w:val="000000" w:themeColor="text1"/>
          <w:szCs w:val="21"/>
        </w:rPr>
        <w:t>1</w:t>
      </w:r>
      <w:r w:rsidRPr="00D3639B">
        <w:rPr>
          <w:rFonts w:eastAsiaTheme="minorEastAsia"/>
          <w:b/>
          <w:color w:val="000000" w:themeColor="text1"/>
          <w:szCs w:val="21"/>
        </w:rPr>
        <w:t>、</w:t>
      </w:r>
      <w:r w:rsidR="00A5643A" w:rsidRPr="00D3639B">
        <w:rPr>
          <w:rFonts w:eastAsiaTheme="minorEastAsia"/>
          <w:b/>
          <w:color w:val="000000" w:themeColor="text1"/>
          <w:kern w:val="0"/>
          <w:szCs w:val="21"/>
        </w:rPr>
        <w:t>广发原材料联接</w:t>
      </w:r>
      <w:r w:rsidR="00A5643A" w:rsidRPr="00D3639B">
        <w:rPr>
          <w:rFonts w:eastAsiaTheme="minorEastAsia"/>
          <w:b/>
          <w:color w:val="000000" w:themeColor="text1"/>
          <w:kern w:val="0"/>
          <w:szCs w:val="21"/>
        </w:rPr>
        <w:t>A</w:t>
      </w:r>
      <w:r w:rsidRPr="00D3639B">
        <w:rPr>
          <w:rFonts w:eastAsiaTheme="minorEastAsia"/>
          <w:b/>
          <w:color w:val="000000" w:themeColor="text1"/>
          <w:szCs w:val="21"/>
        </w:rPr>
        <w:t>：</w:t>
      </w:r>
    </w:p>
    <w:tbl>
      <w:tblPr>
        <w:tblStyle w:val="af2"/>
        <w:tblW w:w="0" w:type="auto"/>
        <w:tblInd w:w="108" w:type="dxa"/>
        <w:tblLayout w:type="fixed"/>
        <w:tblLook w:val="04A0"/>
      </w:tblPr>
      <w:tblGrid>
        <w:gridCol w:w="1290"/>
        <w:gridCol w:w="1291"/>
        <w:gridCol w:w="1291"/>
        <w:gridCol w:w="1291"/>
        <w:gridCol w:w="1291"/>
        <w:gridCol w:w="1291"/>
        <w:gridCol w:w="1291"/>
      </w:tblGrid>
      <w:tr w:rsidR="00D3639B" w:rsidRPr="00D3639B" w:rsidTr="00975D18">
        <w:tc>
          <w:tcPr>
            <w:tcW w:w="1290"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阶段</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净值增长率</w:t>
            </w:r>
            <w:r w:rsidRPr="00D3639B">
              <w:rPr>
                <w:rFonts w:ascii="宋体" w:hAnsi="宋体" w:cs="宋体" w:hint="eastAsia"/>
                <w:color w:val="000000" w:themeColor="text1"/>
                <w:szCs w:val="21"/>
              </w:rPr>
              <w:t>①</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净值增长率标准差</w:t>
            </w:r>
            <w:r w:rsidRPr="00D3639B">
              <w:rPr>
                <w:rFonts w:ascii="宋体" w:hAnsi="宋体" w:cs="宋体" w:hint="eastAsia"/>
                <w:color w:val="000000" w:themeColor="text1"/>
                <w:szCs w:val="21"/>
              </w:rPr>
              <w:t>②</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业绩比较基准收益率</w:t>
            </w:r>
            <w:r w:rsidRPr="00D3639B">
              <w:rPr>
                <w:rFonts w:ascii="宋体" w:hAnsi="宋体" w:cs="宋体" w:hint="eastAsia"/>
                <w:color w:val="000000" w:themeColor="text1"/>
                <w:szCs w:val="21"/>
              </w:rPr>
              <w:t>③</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业绩比较基准收益率标准差</w:t>
            </w:r>
            <w:r w:rsidRPr="00D3639B">
              <w:rPr>
                <w:rFonts w:ascii="宋体" w:hAnsi="宋体" w:cs="宋体" w:hint="eastAsia"/>
                <w:color w:val="000000" w:themeColor="text1"/>
                <w:szCs w:val="21"/>
              </w:rPr>
              <w:t>④</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ascii="宋体" w:hAnsi="宋体" w:cs="宋体" w:hint="eastAsia"/>
                <w:color w:val="000000" w:themeColor="text1"/>
                <w:szCs w:val="21"/>
              </w:rPr>
              <w:t>①</w:t>
            </w:r>
            <w:r w:rsidRPr="00D3639B">
              <w:rPr>
                <w:rFonts w:eastAsiaTheme="minorEastAsia"/>
                <w:color w:val="000000" w:themeColor="text1"/>
                <w:szCs w:val="21"/>
              </w:rPr>
              <w:t>－</w:t>
            </w:r>
            <w:r w:rsidRPr="00D3639B">
              <w:rPr>
                <w:rFonts w:ascii="宋体" w:hAnsi="宋体" w:cs="宋体" w:hint="eastAsia"/>
                <w:color w:val="000000" w:themeColor="text1"/>
                <w:szCs w:val="21"/>
              </w:rPr>
              <w:t>③</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ascii="宋体" w:hAnsi="宋体" w:cs="宋体" w:hint="eastAsia"/>
                <w:color w:val="000000" w:themeColor="text1"/>
                <w:szCs w:val="21"/>
              </w:rPr>
              <w:t>②</w:t>
            </w:r>
            <w:r w:rsidRPr="00D3639B">
              <w:rPr>
                <w:rFonts w:eastAsiaTheme="minorEastAsia"/>
                <w:color w:val="000000" w:themeColor="text1"/>
                <w:szCs w:val="21"/>
              </w:rPr>
              <w:t>－</w:t>
            </w:r>
            <w:r w:rsidRPr="00D3639B">
              <w:rPr>
                <w:rFonts w:ascii="宋体" w:hAnsi="宋体" w:cs="宋体" w:hint="eastAsia"/>
                <w:color w:val="000000" w:themeColor="text1"/>
                <w:szCs w:val="21"/>
              </w:rPr>
              <w:t>④</w:t>
            </w:r>
          </w:p>
        </w:tc>
      </w:tr>
      <w:tr w:rsidR="008C5FCF">
        <w:tc>
          <w:tcPr>
            <w:tcW w:w="1290" w:type="dxa"/>
            <w:vAlign w:val="center"/>
          </w:tcPr>
          <w:p w:rsidR="008C5FCF" w:rsidRDefault="001D0DE3">
            <w:pPr>
              <w:jc w:val="left"/>
            </w:pPr>
            <w:r>
              <w:rPr>
                <w:rFonts w:eastAsiaTheme="minorEastAsia"/>
                <w:color w:val="000000" w:themeColor="text1"/>
                <w:szCs w:val="21"/>
              </w:rPr>
              <w:t>过去三个月</w:t>
            </w:r>
          </w:p>
        </w:tc>
        <w:tc>
          <w:tcPr>
            <w:tcW w:w="1291" w:type="dxa"/>
            <w:vAlign w:val="center"/>
          </w:tcPr>
          <w:p w:rsidR="008C5FCF" w:rsidRDefault="001D0DE3">
            <w:pPr>
              <w:jc w:val="right"/>
            </w:pPr>
            <w:r>
              <w:rPr>
                <w:rFonts w:eastAsiaTheme="minorEastAsia"/>
                <w:color w:val="000000" w:themeColor="text1"/>
                <w:szCs w:val="21"/>
              </w:rPr>
              <w:t>-6.83%</w:t>
            </w:r>
          </w:p>
        </w:tc>
        <w:tc>
          <w:tcPr>
            <w:tcW w:w="1291" w:type="dxa"/>
            <w:vAlign w:val="center"/>
          </w:tcPr>
          <w:p w:rsidR="008C5FCF" w:rsidRDefault="001D0DE3">
            <w:pPr>
              <w:jc w:val="right"/>
            </w:pPr>
            <w:r>
              <w:rPr>
                <w:rFonts w:eastAsiaTheme="minorEastAsia"/>
                <w:color w:val="000000" w:themeColor="text1"/>
                <w:szCs w:val="21"/>
              </w:rPr>
              <w:t>1.04%</w:t>
            </w:r>
          </w:p>
        </w:tc>
        <w:tc>
          <w:tcPr>
            <w:tcW w:w="1291" w:type="dxa"/>
            <w:vAlign w:val="center"/>
          </w:tcPr>
          <w:p w:rsidR="008C5FCF" w:rsidRDefault="001D0DE3">
            <w:pPr>
              <w:jc w:val="right"/>
            </w:pPr>
            <w:r>
              <w:rPr>
                <w:rFonts w:eastAsiaTheme="minorEastAsia"/>
                <w:color w:val="000000" w:themeColor="text1"/>
                <w:szCs w:val="21"/>
              </w:rPr>
              <w:t>-6.06%</w:t>
            </w:r>
          </w:p>
        </w:tc>
        <w:tc>
          <w:tcPr>
            <w:tcW w:w="1291" w:type="dxa"/>
            <w:vAlign w:val="center"/>
          </w:tcPr>
          <w:p w:rsidR="008C5FCF" w:rsidRDefault="001D0DE3">
            <w:pPr>
              <w:jc w:val="right"/>
            </w:pPr>
            <w:r>
              <w:rPr>
                <w:rFonts w:eastAsiaTheme="minorEastAsia"/>
                <w:color w:val="000000" w:themeColor="text1"/>
                <w:szCs w:val="21"/>
              </w:rPr>
              <w:t>1.30%</w:t>
            </w:r>
          </w:p>
        </w:tc>
        <w:tc>
          <w:tcPr>
            <w:tcW w:w="1291" w:type="dxa"/>
            <w:vAlign w:val="center"/>
          </w:tcPr>
          <w:p w:rsidR="008C5FCF" w:rsidRDefault="001D0DE3">
            <w:pPr>
              <w:jc w:val="right"/>
            </w:pPr>
            <w:r>
              <w:rPr>
                <w:rFonts w:eastAsiaTheme="minorEastAsia"/>
                <w:color w:val="000000" w:themeColor="text1"/>
                <w:szCs w:val="21"/>
              </w:rPr>
              <w:t>-0.77%</w:t>
            </w:r>
          </w:p>
        </w:tc>
        <w:tc>
          <w:tcPr>
            <w:tcW w:w="1291" w:type="dxa"/>
            <w:vAlign w:val="center"/>
          </w:tcPr>
          <w:p w:rsidR="008C5FCF" w:rsidRDefault="001D0DE3">
            <w:pPr>
              <w:jc w:val="right"/>
            </w:pPr>
            <w:r>
              <w:rPr>
                <w:rFonts w:eastAsiaTheme="minorEastAsia"/>
                <w:color w:val="000000" w:themeColor="text1"/>
                <w:szCs w:val="21"/>
              </w:rPr>
              <w:t>-0.26%</w:t>
            </w:r>
          </w:p>
        </w:tc>
      </w:tr>
    </w:tbl>
    <w:p w:rsidR="009238DB" w:rsidRPr="00D3639B" w:rsidRDefault="009238DB" w:rsidP="001D0DE3">
      <w:pPr>
        <w:adjustRightInd w:val="0"/>
        <w:spacing w:beforeLines="100" w:line="360" w:lineRule="auto"/>
        <w:rPr>
          <w:rFonts w:eastAsiaTheme="minorEastAsia"/>
          <w:b/>
          <w:color w:val="000000" w:themeColor="text1"/>
          <w:kern w:val="0"/>
          <w:szCs w:val="21"/>
        </w:rPr>
      </w:pPr>
      <w:r w:rsidRPr="00D3639B">
        <w:rPr>
          <w:rFonts w:eastAsiaTheme="minorEastAsia"/>
          <w:b/>
          <w:color w:val="000000" w:themeColor="text1"/>
          <w:szCs w:val="21"/>
        </w:rPr>
        <w:t>2</w:t>
      </w:r>
      <w:r w:rsidRPr="00D3639B">
        <w:rPr>
          <w:rFonts w:eastAsiaTheme="minorEastAsia"/>
          <w:b/>
          <w:color w:val="000000" w:themeColor="text1"/>
          <w:szCs w:val="21"/>
        </w:rPr>
        <w:t>、</w:t>
      </w:r>
      <w:r w:rsidR="00FE7FBD" w:rsidRPr="00D3639B">
        <w:rPr>
          <w:rFonts w:eastAsiaTheme="minorEastAsia"/>
          <w:b/>
          <w:color w:val="000000" w:themeColor="text1"/>
          <w:kern w:val="0"/>
          <w:szCs w:val="21"/>
        </w:rPr>
        <w:t>广发原材料联接</w:t>
      </w:r>
      <w:r w:rsidR="00FE7FBD" w:rsidRPr="00D3639B">
        <w:rPr>
          <w:rFonts w:eastAsiaTheme="minorEastAsia"/>
          <w:b/>
          <w:color w:val="000000" w:themeColor="text1"/>
          <w:kern w:val="0"/>
          <w:szCs w:val="21"/>
        </w:rPr>
        <w:t>C</w:t>
      </w:r>
      <w:r w:rsidRPr="00D3639B">
        <w:rPr>
          <w:rFonts w:eastAsiaTheme="minorEastAsia"/>
          <w:b/>
          <w:color w:val="000000" w:themeColor="text1"/>
          <w:kern w:val="0"/>
          <w:szCs w:val="21"/>
        </w:rPr>
        <w:t>：</w:t>
      </w:r>
    </w:p>
    <w:tbl>
      <w:tblPr>
        <w:tblStyle w:val="af2"/>
        <w:tblW w:w="0" w:type="auto"/>
        <w:tblInd w:w="108" w:type="dxa"/>
        <w:tblLayout w:type="fixed"/>
        <w:tblLook w:val="04A0"/>
      </w:tblPr>
      <w:tblGrid>
        <w:gridCol w:w="1290"/>
        <w:gridCol w:w="1291"/>
        <w:gridCol w:w="1291"/>
        <w:gridCol w:w="1291"/>
        <w:gridCol w:w="1291"/>
        <w:gridCol w:w="1291"/>
        <w:gridCol w:w="1291"/>
      </w:tblGrid>
      <w:tr w:rsidR="00D3639B" w:rsidRPr="00D3639B" w:rsidTr="00975D18">
        <w:tc>
          <w:tcPr>
            <w:tcW w:w="1290"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阶段</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highlight w:val="green"/>
              </w:rPr>
            </w:pPr>
            <w:r w:rsidRPr="00D3639B">
              <w:rPr>
                <w:rFonts w:eastAsiaTheme="minorEastAsia"/>
                <w:color w:val="000000" w:themeColor="text1"/>
                <w:szCs w:val="21"/>
              </w:rPr>
              <w:t>净值增长率</w:t>
            </w:r>
            <w:r w:rsidRPr="00D3639B">
              <w:rPr>
                <w:rFonts w:ascii="宋体" w:hAnsi="宋体" w:cs="宋体" w:hint="eastAsia"/>
                <w:color w:val="000000" w:themeColor="text1"/>
                <w:szCs w:val="21"/>
              </w:rPr>
              <w:t>①</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highlight w:val="green"/>
              </w:rPr>
            </w:pPr>
            <w:r w:rsidRPr="00D3639B">
              <w:rPr>
                <w:rFonts w:eastAsiaTheme="minorEastAsia"/>
                <w:color w:val="000000" w:themeColor="text1"/>
                <w:szCs w:val="21"/>
              </w:rPr>
              <w:t>净值增长率标准差</w:t>
            </w:r>
            <w:r w:rsidRPr="00D3639B">
              <w:rPr>
                <w:rFonts w:ascii="宋体" w:hAnsi="宋体" w:cs="宋体" w:hint="eastAsia"/>
                <w:color w:val="000000" w:themeColor="text1"/>
                <w:szCs w:val="21"/>
              </w:rPr>
              <w:t>②</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业绩比较基准收益率</w:t>
            </w:r>
            <w:r w:rsidRPr="00D3639B">
              <w:rPr>
                <w:rFonts w:ascii="宋体" w:hAnsi="宋体" w:cs="宋体" w:hint="eastAsia"/>
                <w:color w:val="000000" w:themeColor="text1"/>
                <w:szCs w:val="21"/>
              </w:rPr>
              <w:t>③</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eastAsiaTheme="minorEastAsia"/>
                <w:color w:val="000000" w:themeColor="text1"/>
                <w:szCs w:val="21"/>
              </w:rPr>
              <w:t>业绩比较基准收益率标准差</w:t>
            </w:r>
            <w:r w:rsidRPr="00D3639B">
              <w:rPr>
                <w:rFonts w:ascii="宋体" w:hAnsi="宋体" w:cs="宋体" w:hint="eastAsia"/>
                <w:color w:val="000000" w:themeColor="text1"/>
                <w:szCs w:val="21"/>
              </w:rPr>
              <w:t>④</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ascii="宋体" w:hAnsi="宋体" w:cs="宋体" w:hint="eastAsia"/>
                <w:color w:val="000000" w:themeColor="text1"/>
                <w:szCs w:val="21"/>
              </w:rPr>
              <w:t>①</w:t>
            </w:r>
            <w:r w:rsidRPr="00D3639B">
              <w:rPr>
                <w:rFonts w:eastAsiaTheme="minorEastAsia"/>
                <w:color w:val="000000" w:themeColor="text1"/>
                <w:szCs w:val="21"/>
              </w:rPr>
              <w:t>－</w:t>
            </w:r>
            <w:r w:rsidRPr="00D3639B">
              <w:rPr>
                <w:rFonts w:ascii="宋体" w:hAnsi="宋体" w:cs="宋体" w:hint="eastAsia"/>
                <w:color w:val="000000" w:themeColor="text1"/>
                <w:szCs w:val="21"/>
              </w:rPr>
              <w:t>③</w:t>
            </w:r>
          </w:p>
        </w:tc>
        <w:tc>
          <w:tcPr>
            <w:tcW w:w="1291" w:type="dxa"/>
            <w:vAlign w:val="center"/>
          </w:tcPr>
          <w:p w:rsidR="00685FFC" w:rsidRPr="00D3639B" w:rsidRDefault="00685FFC" w:rsidP="009A045B">
            <w:pPr>
              <w:snapToGrid w:val="0"/>
              <w:spacing w:line="288" w:lineRule="auto"/>
              <w:jc w:val="center"/>
              <w:rPr>
                <w:rFonts w:eastAsiaTheme="minorEastAsia"/>
                <w:color w:val="000000" w:themeColor="text1"/>
                <w:szCs w:val="21"/>
              </w:rPr>
            </w:pPr>
            <w:r w:rsidRPr="00D3639B">
              <w:rPr>
                <w:rFonts w:ascii="宋体" w:hAnsi="宋体" w:cs="宋体" w:hint="eastAsia"/>
                <w:color w:val="000000" w:themeColor="text1"/>
                <w:szCs w:val="21"/>
              </w:rPr>
              <w:t>②</w:t>
            </w:r>
            <w:r w:rsidRPr="00D3639B">
              <w:rPr>
                <w:rFonts w:eastAsiaTheme="minorEastAsia"/>
                <w:color w:val="000000" w:themeColor="text1"/>
                <w:szCs w:val="21"/>
              </w:rPr>
              <w:t>－</w:t>
            </w:r>
            <w:r w:rsidRPr="00D3639B">
              <w:rPr>
                <w:rFonts w:ascii="宋体" w:hAnsi="宋体" w:cs="宋体" w:hint="eastAsia"/>
                <w:color w:val="000000" w:themeColor="text1"/>
                <w:szCs w:val="21"/>
              </w:rPr>
              <w:t>④</w:t>
            </w:r>
          </w:p>
        </w:tc>
      </w:tr>
      <w:tr w:rsidR="008C5FCF">
        <w:tc>
          <w:tcPr>
            <w:tcW w:w="1290" w:type="dxa"/>
            <w:vAlign w:val="center"/>
          </w:tcPr>
          <w:p w:rsidR="008C5FCF" w:rsidRDefault="001D0DE3">
            <w:pPr>
              <w:jc w:val="left"/>
            </w:pPr>
            <w:r>
              <w:rPr>
                <w:rFonts w:eastAsiaTheme="minorEastAsia"/>
                <w:color w:val="000000" w:themeColor="text1"/>
                <w:szCs w:val="21"/>
              </w:rPr>
              <w:t>过去三个月</w:t>
            </w:r>
          </w:p>
        </w:tc>
        <w:tc>
          <w:tcPr>
            <w:tcW w:w="1291" w:type="dxa"/>
            <w:vAlign w:val="center"/>
          </w:tcPr>
          <w:p w:rsidR="008C5FCF" w:rsidRDefault="001D0DE3">
            <w:pPr>
              <w:jc w:val="right"/>
            </w:pPr>
            <w:r>
              <w:rPr>
                <w:rFonts w:eastAsiaTheme="minorEastAsia"/>
                <w:color w:val="000000" w:themeColor="text1"/>
                <w:szCs w:val="21"/>
              </w:rPr>
              <w:t>-6.87%</w:t>
            </w:r>
          </w:p>
        </w:tc>
        <w:tc>
          <w:tcPr>
            <w:tcW w:w="1291" w:type="dxa"/>
            <w:vAlign w:val="center"/>
          </w:tcPr>
          <w:p w:rsidR="008C5FCF" w:rsidRDefault="001D0DE3">
            <w:pPr>
              <w:jc w:val="right"/>
            </w:pPr>
            <w:r>
              <w:rPr>
                <w:rFonts w:eastAsiaTheme="minorEastAsia"/>
                <w:color w:val="000000" w:themeColor="text1"/>
                <w:szCs w:val="21"/>
              </w:rPr>
              <w:t>1.04%</w:t>
            </w:r>
          </w:p>
        </w:tc>
        <w:tc>
          <w:tcPr>
            <w:tcW w:w="1291" w:type="dxa"/>
            <w:vAlign w:val="center"/>
          </w:tcPr>
          <w:p w:rsidR="008C5FCF" w:rsidRDefault="001D0DE3">
            <w:pPr>
              <w:jc w:val="right"/>
            </w:pPr>
            <w:r>
              <w:rPr>
                <w:rFonts w:eastAsiaTheme="minorEastAsia"/>
                <w:color w:val="000000" w:themeColor="text1"/>
                <w:szCs w:val="21"/>
              </w:rPr>
              <w:t>-6.06%</w:t>
            </w:r>
          </w:p>
        </w:tc>
        <w:tc>
          <w:tcPr>
            <w:tcW w:w="1291" w:type="dxa"/>
            <w:vAlign w:val="center"/>
          </w:tcPr>
          <w:p w:rsidR="008C5FCF" w:rsidRDefault="001D0DE3">
            <w:pPr>
              <w:jc w:val="right"/>
            </w:pPr>
            <w:r>
              <w:rPr>
                <w:rFonts w:eastAsiaTheme="minorEastAsia"/>
                <w:color w:val="000000" w:themeColor="text1"/>
                <w:szCs w:val="21"/>
              </w:rPr>
              <w:t>1.30%</w:t>
            </w:r>
          </w:p>
        </w:tc>
        <w:tc>
          <w:tcPr>
            <w:tcW w:w="1291" w:type="dxa"/>
            <w:vAlign w:val="center"/>
          </w:tcPr>
          <w:p w:rsidR="008C5FCF" w:rsidRDefault="001D0DE3">
            <w:pPr>
              <w:jc w:val="right"/>
            </w:pPr>
            <w:r>
              <w:rPr>
                <w:rFonts w:eastAsiaTheme="minorEastAsia"/>
                <w:color w:val="000000" w:themeColor="text1"/>
                <w:szCs w:val="21"/>
              </w:rPr>
              <w:t>-0.81%</w:t>
            </w:r>
          </w:p>
        </w:tc>
        <w:tc>
          <w:tcPr>
            <w:tcW w:w="1291" w:type="dxa"/>
            <w:vAlign w:val="center"/>
          </w:tcPr>
          <w:p w:rsidR="008C5FCF" w:rsidRDefault="001D0DE3">
            <w:pPr>
              <w:jc w:val="right"/>
            </w:pPr>
            <w:r>
              <w:rPr>
                <w:rFonts w:eastAsiaTheme="minorEastAsia"/>
                <w:color w:val="000000" w:themeColor="text1"/>
                <w:szCs w:val="21"/>
              </w:rPr>
              <w:t>-0.26%</w:t>
            </w:r>
          </w:p>
        </w:tc>
      </w:tr>
    </w:tbl>
    <w:p w:rsidR="009238DB" w:rsidRPr="00D3639B" w:rsidRDefault="009238DB" w:rsidP="001D0DE3">
      <w:pPr>
        <w:spacing w:beforeLines="100" w:line="360" w:lineRule="auto"/>
        <w:rPr>
          <w:rFonts w:eastAsiaTheme="minorEastAsia"/>
          <w:b/>
          <w:color w:val="000000" w:themeColor="text1"/>
          <w:kern w:val="0"/>
          <w:szCs w:val="21"/>
        </w:rPr>
      </w:pPr>
      <w:r w:rsidRPr="00D3639B">
        <w:rPr>
          <w:rFonts w:eastAsiaTheme="minorEastAsia"/>
          <w:b/>
          <w:color w:val="000000" w:themeColor="text1"/>
          <w:kern w:val="0"/>
          <w:szCs w:val="21"/>
        </w:rPr>
        <w:t>3.2.2</w:t>
      </w:r>
      <w:r w:rsidRPr="00D3639B">
        <w:rPr>
          <w:rFonts w:eastAsiaTheme="minorEastAsia"/>
          <w:b/>
          <w:color w:val="000000" w:themeColor="text1"/>
          <w:kern w:val="0"/>
          <w:szCs w:val="21"/>
        </w:rPr>
        <w:t xml:space="preserve">　</w:t>
      </w:r>
      <w:r w:rsidR="00FE0C8B" w:rsidRPr="00D3639B">
        <w:rPr>
          <w:rStyle w:val="af6"/>
          <w:rFonts w:eastAsiaTheme="minorEastAsia"/>
          <w:color w:val="000000" w:themeColor="text1"/>
          <w:szCs w:val="21"/>
          <w:shd w:val="clear" w:color="auto" w:fill="FFFFFF"/>
        </w:rPr>
        <w:t>自基金合同生效以来</w:t>
      </w:r>
      <w:r w:rsidR="00BF57BE" w:rsidRPr="00D3639B">
        <w:rPr>
          <w:rFonts w:eastAsiaTheme="minorEastAsia"/>
          <w:b/>
          <w:color w:val="000000" w:themeColor="text1"/>
          <w:szCs w:val="21"/>
        </w:rPr>
        <w:t>基金累计净值增长率变动及其与同期业绩比较基准收益率变动的比较</w:t>
      </w:r>
    </w:p>
    <w:p w:rsidR="009A045B" w:rsidRPr="00D3639B" w:rsidRDefault="009A045B" w:rsidP="00FC13C8">
      <w:pPr>
        <w:spacing w:line="360" w:lineRule="auto"/>
        <w:jc w:val="center"/>
        <w:rPr>
          <w:rFonts w:eastAsiaTheme="minorEastAsia"/>
          <w:color w:val="000000" w:themeColor="text1"/>
          <w:szCs w:val="21"/>
        </w:rPr>
      </w:pPr>
      <w:r w:rsidRPr="00D3639B">
        <w:rPr>
          <w:rFonts w:eastAsiaTheme="minorEastAsia"/>
          <w:color w:val="000000" w:themeColor="text1"/>
          <w:szCs w:val="21"/>
        </w:rPr>
        <w:t>广发中证全指原材料交易型开放式指数证券投资基金发起式联接基金</w:t>
      </w:r>
    </w:p>
    <w:p w:rsidR="00022396" w:rsidRPr="00D3639B" w:rsidRDefault="00022396" w:rsidP="00FC13C8">
      <w:pPr>
        <w:pStyle w:val="a5"/>
        <w:snapToGrid w:val="0"/>
        <w:spacing w:line="360" w:lineRule="auto"/>
        <w:jc w:val="center"/>
        <w:rPr>
          <w:rFonts w:ascii="Times New Roman" w:eastAsiaTheme="minorEastAsia" w:hAnsi="Times New Roman"/>
          <w:color w:val="000000" w:themeColor="text1"/>
        </w:rPr>
      </w:pPr>
      <w:r w:rsidRPr="00D3639B">
        <w:rPr>
          <w:rFonts w:ascii="Times New Roman" w:eastAsiaTheme="minorEastAsia" w:hAnsi="Times New Roman"/>
          <w:color w:val="000000" w:themeColor="text1"/>
        </w:rPr>
        <w:t>累计净值增长率与业绩比较基准收益率的历史走势对比图</w:t>
      </w:r>
    </w:p>
    <w:p w:rsidR="009A045B" w:rsidRPr="00D3639B" w:rsidRDefault="009A045B" w:rsidP="00FC13C8">
      <w:pPr>
        <w:pStyle w:val="a5"/>
        <w:snapToGrid w:val="0"/>
        <w:spacing w:line="360" w:lineRule="auto"/>
        <w:ind w:firstLine="480"/>
        <w:jc w:val="center"/>
        <w:rPr>
          <w:rFonts w:ascii="Times New Roman" w:eastAsiaTheme="minorEastAsia" w:hAnsi="Times New Roman"/>
          <w:color w:val="000000" w:themeColor="text1"/>
        </w:rPr>
      </w:pPr>
      <w:r w:rsidRPr="00D3639B">
        <w:rPr>
          <w:rFonts w:ascii="Times New Roman" w:eastAsiaTheme="minorEastAsia" w:hAnsi="Times New Roman"/>
          <w:color w:val="000000" w:themeColor="text1"/>
        </w:rPr>
        <w:t>(</w:t>
      </w:r>
      <w:r w:rsidR="00D04410" w:rsidRPr="00D3639B">
        <w:rPr>
          <w:rFonts w:ascii="Times New Roman" w:eastAsiaTheme="minorEastAsia" w:hAnsi="Times New Roman"/>
          <w:color w:val="000000" w:themeColor="text1"/>
        </w:rPr>
        <w:t>2015</w:t>
      </w:r>
      <w:r w:rsidR="00D04410" w:rsidRPr="00D3639B">
        <w:rPr>
          <w:rFonts w:ascii="Times New Roman" w:eastAsiaTheme="minorEastAsia" w:hAnsi="Times New Roman"/>
          <w:color w:val="000000" w:themeColor="text1"/>
        </w:rPr>
        <w:t>年</w:t>
      </w:r>
      <w:r w:rsidR="00D04410" w:rsidRPr="00D3639B">
        <w:rPr>
          <w:rFonts w:ascii="Times New Roman" w:eastAsiaTheme="minorEastAsia" w:hAnsi="Times New Roman"/>
          <w:color w:val="000000" w:themeColor="text1"/>
        </w:rPr>
        <w:t>8</w:t>
      </w:r>
      <w:r w:rsidR="00D04410" w:rsidRPr="00D3639B">
        <w:rPr>
          <w:rFonts w:ascii="Times New Roman" w:eastAsiaTheme="minorEastAsia" w:hAnsi="Times New Roman"/>
          <w:color w:val="000000" w:themeColor="text1"/>
        </w:rPr>
        <w:t>月</w:t>
      </w:r>
      <w:r w:rsidR="00D04410" w:rsidRPr="00D3639B">
        <w:rPr>
          <w:rFonts w:ascii="Times New Roman" w:eastAsiaTheme="minorEastAsia" w:hAnsi="Times New Roman"/>
          <w:color w:val="000000" w:themeColor="text1"/>
        </w:rPr>
        <w:t>18</w:t>
      </w:r>
      <w:r w:rsidR="00D04410" w:rsidRPr="00D3639B">
        <w:rPr>
          <w:rFonts w:ascii="Times New Roman" w:eastAsiaTheme="minorEastAsia" w:hAnsi="Times New Roman"/>
          <w:color w:val="000000" w:themeColor="text1"/>
        </w:rPr>
        <w:t>日</w:t>
      </w:r>
      <w:r w:rsidRPr="00D3639B">
        <w:rPr>
          <w:rFonts w:ascii="Times New Roman" w:eastAsiaTheme="minorEastAsia" w:hAnsi="Times New Roman"/>
          <w:color w:val="000000" w:themeColor="text1"/>
        </w:rPr>
        <w:t>至</w:t>
      </w:r>
      <w:r w:rsidRPr="00D3639B">
        <w:rPr>
          <w:rFonts w:ascii="Times New Roman" w:eastAsiaTheme="minorEastAsia" w:hAnsi="Times New Roman"/>
          <w:color w:val="000000" w:themeColor="text1"/>
        </w:rPr>
        <w:t>2018</w:t>
      </w:r>
      <w:r w:rsidRPr="00D3639B">
        <w:rPr>
          <w:rFonts w:ascii="Times New Roman" w:eastAsiaTheme="minorEastAsia" w:hAnsi="Times New Roman"/>
          <w:color w:val="000000" w:themeColor="text1"/>
        </w:rPr>
        <w:t>年</w:t>
      </w:r>
      <w:r w:rsidRPr="00D3639B">
        <w:rPr>
          <w:rFonts w:ascii="Times New Roman" w:eastAsiaTheme="minorEastAsia" w:hAnsi="Times New Roman"/>
          <w:color w:val="000000" w:themeColor="text1"/>
        </w:rPr>
        <w:t>9</w:t>
      </w:r>
      <w:r w:rsidRPr="00D3639B">
        <w:rPr>
          <w:rFonts w:ascii="Times New Roman" w:eastAsiaTheme="minorEastAsia" w:hAnsi="Times New Roman"/>
          <w:color w:val="000000" w:themeColor="text1"/>
        </w:rPr>
        <w:t>月</w:t>
      </w:r>
      <w:r w:rsidRPr="00D3639B">
        <w:rPr>
          <w:rFonts w:ascii="Times New Roman" w:eastAsiaTheme="minorEastAsia" w:hAnsi="Times New Roman"/>
          <w:color w:val="000000" w:themeColor="text1"/>
        </w:rPr>
        <w:t>30</w:t>
      </w:r>
      <w:r w:rsidRPr="00D3639B">
        <w:rPr>
          <w:rFonts w:ascii="Times New Roman" w:eastAsiaTheme="minorEastAsia" w:hAnsi="Times New Roman"/>
          <w:color w:val="000000" w:themeColor="text1"/>
        </w:rPr>
        <w:t>日</w:t>
      </w:r>
      <w:r w:rsidRPr="00D3639B">
        <w:rPr>
          <w:rFonts w:ascii="Times New Roman" w:eastAsiaTheme="minorEastAsia" w:hAnsi="Times New Roman"/>
          <w:color w:val="000000" w:themeColor="text1"/>
        </w:rPr>
        <w:t>)</w:t>
      </w:r>
    </w:p>
    <w:p w:rsidR="009238DB" w:rsidRPr="00D3639B" w:rsidRDefault="009238DB" w:rsidP="00FC13C8">
      <w:pPr>
        <w:snapToGrid w:val="0"/>
        <w:spacing w:line="360" w:lineRule="auto"/>
        <w:rPr>
          <w:rFonts w:eastAsiaTheme="minorEastAsia"/>
          <w:color w:val="000000" w:themeColor="text1"/>
          <w:szCs w:val="21"/>
        </w:rPr>
      </w:pPr>
      <w:r w:rsidRPr="00D3639B">
        <w:rPr>
          <w:rFonts w:eastAsiaTheme="minorEastAsia"/>
          <w:color w:val="000000" w:themeColor="text1"/>
          <w:szCs w:val="21"/>
        </w:rPr>
        <w:t>1</w:t>
      </w:r>
      <w:r w:rsidRPr="00D3639B">
        <w:rPr>
          <w:rFonts w:eastAsiaTheme="minorEastAsia"/>
          <w:color w:val="000000" w:themeColor="text1"/>
          <w:szCs w:val="21"/>
        </w:rPr>
        <w:t>．</w:t>
      </w:r>
      <w:r w:rsidR="0042785F" w:rsidRPr="00D3639B">
        <w:rPr>
          <w:rFonts w:eastAsiaTheme="minorEastAsia"/>
          <w:color w:val="000000" w:themeColor="text1"/>
          <w:szCs w:val="21"/>
        </w:rPr>
        <w:t>广发原材料联接</w:t>
      </w:r>
      <w:r w:rsidR="0042785F" w:rsidRPr="00D3639B">
        <w:rPr>
          <w:rFonts w:eastAsiaTheme="minorEastAsia"/>
          <w:color w:val="000000" w:themeColor="text1"/>
          <w:szCs w:val="21"/>
        </w:rPr>
        <w:t>A</w:t>
      </w:r>
      <w:r w:rsidRPr="00D3639B">
        <w:rPr>
          <w:rFonts w:eastAsiaTheme="minorEastAsia"/>
          <w:color w:val="000000" w:themeColor="text1"/>
          <w:szCs w:val="21"/>
        </w:rPr>
        <w:t>：</w:t>
      </w:r>
    </w:p>
    <w:p w:rsidR="00FC7F43" w:rsidRPr="00D3639B" w:rsidRDefault="006F5B4C"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D3639B">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238DB" w:rsidRPr="00D3639B" w:rsidRDefault="009238DB" w:rsidP="001D0DE3">
      <w:pPr>
        <w:snapToGrid w:val="0"/>
        <w:spacing w:beforeLines="100" w:line="360" w:lineRule="auto"/>
        <w:rPr>
          <w:rFonts w:eastAsiaTheme="minorEastAsia"/>
          <w:color w:val="000000" w:themeColor="text1"/>
          <w:szCs w:val="21"/>
        </w:rPr>
      </w:pPr>
      <w:r w:rsidRPr="00D3639B">
        <w:rPr>
          <w:rFonts w:eastAsiaTheme="minorEastAsia"/>
          <w:color w:val="000000" w:themeColor="text1"/>
          <w:szCs w:val="21"/>
        </w:rPr>
        <w:t>2</w:t>
      </w:r>
      <w:r w:rsidRPr="00D3639B">
        <w:rPr>
          <w:rFonts w:eastAsiaTheme="minorEastAsia"/>
          <w:color w:val="000000" w:themeColor="text1"/>
          <w:szCs w:val="21"/>
        </w:rPr>
        <w:t>．</w:t>
      </w:r>
      <w:r w:rsidR="00FE7FBD" w:rsidRPr="00D3639B">
        <w:rPr>
          <w:rFonts w:eastAsiaTheme="minorEastAsia"/>
          <w:color w:val="000000" w:themeColor="text1"/>
          <w:szCs w:val="21"/>
        </w:rPr>
        <w:t>广发原材料联接</w:t>
      </w:r>
      <w:r w:rsidR="00FE7FBD" w:rsidRPr="00D3639B">
        <w:rPr>
          <w:rFonts w:eastAsiaTheme="minorEastAsia"/>
          <w:color w:val="000000" w:themeColor="text1"/>
          <w:szCs w:val="21"/>
        </w:rPr>
        <w:t>C</w:t>
      </w:r>
      <w:r w:rsidR="0042785F" w:rsidRPr="00D3639B">
        <w:rPr>
          <w:rFonts w:eastAsiaTheme="minorEastAsia"/>
          <w:color w:val="000000" w:themeColor="text1"/>
          <w:szCs w:val="21"/>
        </w:rPr>
        <w:t>：</w:t>
      </w:r>
    </w:p>
    <w:p w:rsidR="00FC7F43" w:rsidRPr="00D3639B" w:rsidRDefault="00B70229"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D3639B">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73B57" w:rsidRPr="00D3639B" w:rsidRDefault="00973B57" w:rsidP="004B54B8">
      <w:pPr>
        <w:spacing w:line="360" w:lineRule="auto"/>
        <w:ind w:firstLineChars="200" w:firstLine="420"/>
        <w:rPr>
          <w:rFonts w:eastAsiaTheme="minorEastAsia"/>
          <w:color w:val="000000" w:themeColor="text1"/>
          <w:szCs w:val="21"/>
        </w:rPr>
      </w:pPr>
    </w:p>
    <w:p w:rsidR="00E561F9" w:rsidRPr="00D3639B" w:rsidRDefault="00E561F9" w:rsidP="00E561F9">
      <w:pPr>
        <w:tabs>
          <w:tab w:val="left" w:pos="1800"/>
        </w:tabs>
        <w:spacing w:line="288" w:lineRule="auto"/>
        <w:rPr>
          <w:rFonts w:eastAsiaTheme="minorEastAsia"/>
          <w:color w:val="000000" w:themeColor="text1"/>
          <w:szCs w:val="21"/>
        </w:rPr>
      </w:pPr>
    </w:p>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 xml:space="preserve">§4  </w:t>
      </w:r>
      <w:r w:rsidRPr="00D3639B">
        <w:rPr>
          <w:rFonts w:eastAsiaTheme="minorEastAsia"/>
          <w:color w:val="000000" w:themeColor="text1"/>
          <w:kern w:val="0"/>
          <w:sz w:val="21"/>
          <w:szCs w:val="21"/>
        </w:rPr>
        <w:t>管理人报告</w:t>
      </w:r>
    </w:p>
    <w:p w:rsidR="009238DB" w:rsidRPr="00D3639B" w:rsidRDefault="009238DB" w:rsidP="00FC13C8">
      <w:pPr>
        <w:autoSpaceDE w:val="0"/>
        <w:autoSpaceDN w:val="0"/>
        <w:adjustRightInd w:val="0"/>
        <w:spacing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 xml:space="preserve">4.1 </w:t>
      </w:r>
      <w:r w:rsidRPr="00D3639B">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1600"/>
        <w:gridCol w:w="850"/>
        <w:gridCol w:w="999"/>
        <w:gridCol w:w="1254"/>
        <w:gridCol w:w="3276"/>
      </w:tblGrid>
      <w:tr w:rsidR="00D3639B" w:rsidRPr="00D3639B" w:rsidTr="004071A2">
        <w:tc>
          <w:tcPr>
            <w:tcW w:w="952" w:type="dxa"/>
            <w:vMerge w:val="restart"/>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姓名</w:t>
            </w:r>
          </w:p>
        </w:tc>
        <w:tc>
          <w:tcPr>
            <w:tcW w:w="1600" w:type="dxa"/>
            <w:vMerge w:val="restart"/>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职务</w:t>
            </w:r>
          </w:p>
        </w:tc>
        <w:tc>
          <w:tcPr>
            <w:tcW w:w="1849" w:type="dxa"/>
            <w:gridSpan w:val="2"/>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任本基金的基金经理期限</w:t>
            </w:r>
          </w:p>
        </w:tc>
        <w:tc>
          <w:tcPr>
            <w:tcW w:w="1254" w:type="dxa"/>
            <w:vMerge w:val="restart"/>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证券从业年限</w:t>
            </w:r>
          </w:p>
        </w:tc>
        <w:tc>
          <w:tcPr>
            <w:tcW w:w="3276" w:type="dxa"/>
            <w:vMerge w:val="restart"/>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说明</w:t>
            </w:r>
          </w:p>
        </w:tc>
      </w:tr>
      <w:tr w:rsidR="00D3639B" w:rsidRPr="00D3639B" w:rsidTr="004071A2">
        <w:tc>
          <w:tcPr>
            <w:tcW w:w="952" w:type="dxa"/>
            <w:vMerge/>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1600" w:type="dxa"/>
            <w:vMerge/>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850" w:type="dxa"/>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任职日期</w:t>
            </w:r>
          </w:p>
        </w:tc>
        <w:tc>
          <w:tcPr>
            <w:tcW w:w="999" w:type="dxa"/>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r w:rsidRPr="00D3639B">
              <w:rPr>
                <w:rFonts w:eastAsiaTheme="minorEastAsia"/>
                <w:color w:val="000000" w:themeColor="text1"/>
                <w:kern w:val="0"/>
                <w:szCs w:val="21"/>
              </w:rPr>
              <w:t>离任日期</w:t>
            </w:r>
          </w:p>
        </w:tc>
        <w:tc>
          <w:tcPr>
            <w:tcW w:w="1254" w:type="dxa"/>
            <w:vMerge/>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C41617" w:rsidRPr="00D3639B"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r>
      <w:tr w:rsidR="008C5FCF">
        <w:tc>
          <w:tcPr>
            <w:tcW w:w="952" w:type="dxa"/>
            <w:vAlign w:val="center"/>
          </w:tcPr>
          <w:p w:rsidR="008C5FCF" w:rsidRDefault="001D0DE3">
            <w:pPr>
              <w:jc w:val="center"/>
            </w:pPr>
            <w:r>
              <w:rPr>
                <w:rFonts w:eastAsiaTheme="minorEastAsia"/>
                <w:color w:val="000000" w:themeColor="text1"/>
                <w:szCs w:val="21"/>
              </w:rPr>
              <w:t>陆志明</w:t>
            </w:r>
          </w:p>
        </w:tc>
        <w:tc>
          <w:tcPr>
            <w:tcW w:w="1600" w:type="dxa"/>
            <w:vAlign w:val="center"/>
          </w:tcPr>
          <w:p w:rsidR="008C5FCF" w:rsidRDefault="001D0DE3">
            <w:pPr>
              <w:jc w:val="center"/>
            </w:pPr>
            <w:r>
              <w:rPr>
                <w:rFonts w:eastAsiaTheme="minorEastAsia"/>
                <w:color w:val="000000" w:themeColor="text1"/>
                <w:szCs w:val="21"/>
              </w:rPr>
              <w:t>本基金的基金经理；广发中证全指可选消费</w:t>
            </w:r>
            <w:r>
              <w:rPr>
                <w:rFonts w:eastAsiaTheme="minorEastAsia"/>
                <w:color w:val="000000" w:themeColor="text1"/>
                <w:szCs w:val="21"/>
              </w:rPr>
              <w:t>ETF</w:t>
            </w:r>
            <w:r>
              <w:rPr>
                <w:rFonts w:eastAsiaTheme="minorEastAsia"/>
                <w:color w:val="000000" w:themeColor="text1"/>
                <w:szCs w:val="21"/>
              </w:rPr>
              <w:t>基金的基金经理；广发中证全指医药卫生</w:t>
            </w:r>
            <w:r>
              <w:rPr>
                <w:rFonts w:eastAsiaTheme="minorEastAsia"/>
                <w:color w:val="000000" w:themeColor="text1"/>
                <w:szCs w:val="21"/>
              </w:rPr>
              <w:t>ETF</w:t>
            </w:r>
            <w:r>
              <w:rPr>
                <w:rFonts w:eastAsiaTheme="minorEastAsia"/>
                <w:color w:val="000000" w:themeColor="text1"/>
                <w:szCs w:val="21"/>
              </w:rPr>
              <w:t>基金的基金经理；广发中证全指信息技术</w:t>
            </w:r>
            <w:r>
              <w:rPr>
                <w:rFonts w:eastAsiaTheme="minorEastAsia"/>
                <w:color w:val="000000" w:themeColor="text1"/>
                <w:szCs w:val="21"/>
              </w:rPr>
              <w:t>ETF</w:t>
            </w:r>
            <w:r>
              <w:rPr>
                <w:rFonts w:eastAsiaTheme="minorEastAsia"/>
                <w:color w:val="000000" w:themeColor="text1"/>
                <w:szCs w:val="21"/>
              </w:rPr>
              <w:t>基金的基金经理；广发信息技术联接基金的基金经理；广发中证全指金融地产</w:t>
            </w:r>
            <w:r>
              <w:rPr>
                <w:rFonts w:eastAsiaTheme="minorEastAsia"/>
                <w:color w:val="000000" w:themeColor="text1"/>
                <w:szCs w:val="21"/>
              </w:rPr>
              <w:t>ETF</w:t>
            </w:r>
            <w:r>
              <w:rPr>
                <w:rFonts w:eastAsiaTheme="minorEastAsia"/>
                <w:color w:val="000000" w:themeColor="text1"/>
                <w:szCs w:val="21"/>
              </w:rPr>
              <w:t>基金的基金经理；广发可选消费联接基金的基金经理；广发医药卫生联接基金的基金经理；广发中证全指能源</w:t>
            </w:r>
            <w:r>
              <w:rPr>
                <w:rFonts w:eastAsiaTheme="minorEastAsia"/>
                <w:color w:val="000000" w:themeColor="text1"/>
                <w:szCs w:val="21"/>
              </w:rPr>
              <w:t>ETF</w:t>
            </w:r>
            <w:r>
              <w:rPr>
                <w:rFonts w:eastAsiaTheme="minorEastAsia"/>
                <w:color w:val="000000" w:themeColor="text1"/>
                <w:szCs w:val="21"/>
              </w:rPr>
              <w:t>基金的基金经理；广发中证全指原材料</w:t>
            </w:r>
            <w:r>
              <w:rPr>
                <w:rFonts w:eastAsiaTheme="minorEastAsia"/>
                <w:color w:val="000000" w:themeColor="text1"/>
                <w:szCs w:val="21"/>
              </w:rPr>
              <w:t>ETF</w:t>
            </w:r>
            <w:r>
              <w:rPr>
                <w:rFonts w:eastAsiaTheme="minorEastAsia"/>
                <w:color w:val="000000" w:themeColor="text1"/>
                <w:szCs w:val="21"/>
              </w:rPr>
              <w:t>基金的基金经理；广发中证全指主要消费</w:t>
            </w:r>
            <w:r>
              <w:rPr>
                <w:rFonts w:eastAsiaTheme="minorEastAsia"/>
                <w:color w:val="000000" w:themeColor="text1"/>
                <w:szCs w:val="21"/>
              </w:rPr>
              <w:t>ETF</w:t>
            </w:r>
            <w:r>
              <w:rPr>
                <w:rFonts w:eastAsiaTheme="minorEastAsia"/>
                <w:color w:val="000000" w:themeColor="text1"/>
                <w:szCs w:val="21"/>
              </w:rPr>
              <w:t>基金的基金经理；广发金融地产联接基金的基金经理；广发能源联接基金的基金经理；广发主要消费联接基金的基金经理；广发中证全指工业</w:t>
            </w:r>
            <w:r>
              <w:rPr>
                <w:rFonts w:eastAsiaTheme="minorEastAsia"/>
                <w:color w:val="000000" w:themeColor="text1"/>
                <w:szCs w:val="21"/>
              </w:rPr>
              <w:t>E</w:t>
            </w:r>
            <w:r>
              <w:rPr>
                <w:rFonts w:eastAsiaTheme="minorEastAsia"/>
                <w:color w:val="000000" w:themeColor="text1"/>
                <w:szCs w:val="21"/>
              </w:rPr>
              <w:t>TF</w:t>
            </w:r>
            <w:r>
              <w:rPr>
                <w:rFonts w:eastAsiaTheme="minorEastAsia"/>
                <w:color w:val="000000" w:themeColor="text1"/>
                <w:szCs w:val="21"/>
              </w:rPr>
              <w:t>基金的基金经理；广发中证全指工业</w:t>
            </w:r>
            <w:r>
              <w:rPr>
                <w:rFonts w:eastAsiaTheme="minorEastAsia"/>
                <w:color w:val="000000" w:themeColor="text1"/>
                <w:szCs w:val="21"/>
              </w:rPr>
              <w:t>ETF</w:t>
            </w:r>
            <w:r>
              <w:rPr>
                <w:rFonts w:eastAsiaTheme="minorEastAsia"/>
                <w:color w:val="000000" w:themeColor="text1"/>
                <w:szCs w:val="21"/>
              </w:rPr>
              <w:t>联接基金的基金经理；量化投资部副总经理</w:t>
            </w:r>
          </w:p>
        </w:tc>
        <w:tc>
          <w:tcPr>
            <w:tcW w:w="850" w:type="dxa"/>
            <w:vAlign w:val="center"/>
          </w:tcPr>
          <w:p w:rsidR="008C5FCF" w:rsidRDefault="001D0DE3">
            <w:pPr>
              <w:jc w:val="center"/>
            </w:pPr>
            <w:r>
              <w:rPr>
                <w:rFonts w:eastAsiaTheme="minorEastAsia"/>
                <w:color w:val="000000" w:themeColor="text1"/>
                <w:szCs w:val="21"/>
              </w:rPr>
              <w:t>2015-08-18</w:t>
            </w:r>
          </w:p>
        </w:tc>
        <w:tc>
          <w:tcPr>
            <w:tcW w:w="999" w:type="dxa"/>
            <w:vAlign w:val="center"/>
          </w:tcPr>
          <w:p w:rsidR="008C5FCF" w:rsidRDefault="001D0DE3">
            <w:pPr>
              <w:jc w:val="center"/>
            </w:pPr>
            <w:r>
              <w:rPr>
                <w:rFonts w:eastAsiaTheme="minorEastAsia"/>
                <w:color w:val="000000" w:themeColor="text1"/>
                <w:szCs w:val="21"/>
              </w:rPr>
              <w:t>-</w:t>
            </w:r>
          </w:p>
        </w:tc>
        <w:tc>
          <w:tcPr>
            <w:tcW w:w="1254" w:type="dxa"/>
            <w:vAlign w:val="center"/>
          </w:tcPr>
          <w:p w:rsidR="008C5FCF" w:rsidRDefault="001D0DE3">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8C5FCF" w:rsidRDefault="001D0DE3">
            <w:r>
              <w:rPr>
                <w:rFonts w:eastAsiaTheme="minorEastAsia"/>
                <w:color w:val="000000" w:themeColor="text1"/>
                <w:szCs w:val="21"/>
              </w:rPr>
              <w:t>陆志明先生，经济学硕士，持有中国证券投资基金业从业证书。曾任大鹏证券有限公司研究员，深圳证券信息有限公司部门总监，广发基金管理有限公司数量投资部总经理、指数投资部副总经理、广发中小板</w:t>
            </w:r>
            <w:r>
              <w:rPr>
                <w:rFonts w:eastAsiaTheme="minorEastAsia"/>
                <w:color w:val="000000" w:themeColor="text1"/>
                <w:szCs w:val="21"/>
              </w:rPr>
              <w:t>300</w:t>
            </w:r>
            <w:r>
              <w:rPr>
                <w:rFonts w:eastAsiaTheme="minorEastAsia"/>
                <w:color w:val="000000" w:themeColor="text1"/>
                <w:szCs w:val="21"/>
              </w:rPr>
              <w:t>交易型开放式指数证券投资基金基金经理（自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日）、广发中小板</w:t>
            </w:r>
            <w:r>
              <w:rPr>
                <w:rFonts w:eastAsiaTheme="minorEastAsia"/>
                <w:color w:val="000000" w:themeColor="text1"/>
                <w:szCs w:val="21"/>
              </w:rPr>
              <w:t>300</w:t>
            </w:r>
            <w:r>
              <w:rPr>
                <w:rFonts w:eastAsiaTheme="minorEastAsia"/>
                <w:color w:val="000000" w:themeColor="text1"/>
                <w:szCs w:val="21"/>
              </w:rPr>
              <w:t>交易型开放式指数证券投资基金联接基金基金经理（自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日）、广发深证</w:t>
            </w:r>
            <w:r>
              <w:rPr>
                <w:rFonts w:eastAsiaTheme="minorEastAsia"/>
                <w:color w:val="000000" w:themeColor="text1"/>
                <w:szCs w:val="21"/>
              </w:rPr>
              <w:t>100</w:t>
            </w:r>
            <w:r>
              <w:rPr>
                <w:rFonts w:eastAsiaTheme="minorEastAsia"/>
                <w:color w:val="000000" w:themeColor="text1"/>
                <w:szCs w:val="21"/>
              </w:rPr>
              <w:t>指</w:t>
            </w:r>
            <w:r>
              <w:rPr>
                <w:rFonts w:eastAsiaTheme="minorEastAsia"/>
                <w:color w:val="000000" w:themeColor="text1"/>
                <w:szCs w:val="21"/>
              </w:rPr>
              <w:t>数分级证券投资基金基金经理（自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日）、广发中证百度百发策略</w:t>
            </w:r>
            <w:r>
              <w:rPr>
                <w:rFonts w:eastAsiaTheme="minorEastAsia"/>
                <w:color w:val="000000" w:themeColor="text1"/>
                <w:szCs w:val="21"/>
              </w:rPr>
              <w:t>100</w:t>
            </w:r>
            <w:r>
              <w:rPr>
                <w:rFonts w:eastAsiaTheme="minorEastAsia"/>
                <w:color w:val="000000" w:themeColor="text1"/>
                <w:szCs w:val="21"/>
              </w:rPr>
              <w:t>指数型证券投资基金基金经理（自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日）、广发中证医疗指数分级证券投资基金基金经理（自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日）。现任广发基金管理有限公司量化投资部副总经理、广发中证全指可选消费交易型开放式指数证券投资基金基金经理（自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日起任职）、广发中证全指医药卫生交易型开放式指数证券投资基金基金经理（自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日起任职）、广发中证全指信息技术交</w:t>
            </w:r>
            <w:r>
              <w:rPr>
                <w:rFonts w:eastAsiaTheme="minorEastAsia"/>
                <w:color w:val="000000" w:themeColor="text1"/>
                <w:szCs w:val="21"/>
              </w:rPr>
              <w:t>易型开放式指数证券投资基金基金经理（自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日起任职）、广发中证全指信息技术交易型开放式指数证券投资基金发起式联接基金基金经理（自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日起任职）、广发中证全指金融地产交易型开放式指数证券投资基金基金经理（自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日起任职）、广发中证全指可选消费交易型开放式指数证券投资基金发起式联接基金基金经理（自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日起任职）、广发中证全指医药卫生交易型开放式指数证券投资基金发起式联接基金基金经理（自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日起任职）、广发中证全指能源交易型开放式指数证券投资基金基</w:t>
            </w:r>
            <w:r>
              <w:rPr>
                <w:rFonts w:eastAsiaTheme="minorEastAsia"/>
                <w:color w:val="000000" w:themeColor="text1"/>
                <w:szCs w:val="21"/>
              </w:rPr>
              <w:t>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日起任职）、广发中证全指原材料交易型开放式指数证券投资基金基金经理（自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日起任职）、广发中证全指主要消费交易型开放式指数证券投资基金基金经理（自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日起任职）、广发中证全指能源交易型开放式指数证券投资基金发起式联接基金基金经理（自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日起任职）、广发中证全指金融地产交易型开放式指数证券投资基金发起式联接基金基金经理（自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日起任职）、广发中证全指原材料交易型开放式指数证券投资基金发起式联接基金基金经理（自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日起任</w:t>
            </w:r>
            <w:r>
              <w:rPr>
                <w:rFonts w:eastAsiaTheme="minorEastAsia"/>
                <w:color w:val="000000" w:themeColor="text1"/>
                <w:szCs w:val="21"/>
              </w:rPr>
              <w:t>职）、广发中证全指主要消费交易型开放式指数证券投资基金发起式联接基金基金经理（自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日起任职）、广发中证全指工业交易型开放式指数证券投资基金基金经理（自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日起任职）、广发中证全指工业交易型开放式指数证券投资基金发起式联接基金基金经理（自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日起任职）。</w:t>
            </w:r>
          </w:p>
        </w:tc>
      </w:tr>
    </w:tbl>
    <w:p w:rsidR="008C5FCF" w:rsidRDefault="001D0D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离职日期</w:t>
      </w:r>
      <w:r>
        <w:rPr>
          <w:rFonts w:eastAsiaTheme="minorEastAsia"/>
          <w:color w:val="000000" w:themeColor="text1"/>
          <w:szCs w:val="21"/>
        </w:rPr>
        <w:t>”</w:t>
      </w:r>
      <w:r>
        <w:rPr>
          <w:rFonts w:eastAsiaTheme="minorEastAsia"/>
          <w:color w:val="000000" w:themeColor="text1"/>
          <w:szCs w:val="21"/>
        </w:rPr>
        <w:t>指公司公告聘任或解聘日期。</w:t>
      </w:r>
    </w:p>
    <w:p w:rsidR="005C7D00" w:rsidRPr="00D3639B" w:rsidRDefault="00062E1F"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2.</w:t>
      </w:r>
      <w:r w:rsidRPr="00D3639B">
        <w:rPr>
          <w:rFonts w:eastAsiaTheme="minorEastAsia"/>
          <w:color w:val="000000" w:themeColor="text1"/>
          <w:szCs w:val="21"/>
        </w:rPr>
        <w:t>证券从业的含义遵从行业协会《证券业从业人员资格管理办法》的相关规定。</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4.2</w:t>
      </w:r>
      <w:r w:rsidRPr="00D3639B">
        <w:rPr>
          <w:rFonts w:eastAsiaTheme="minorEastAsia"/>
          <w:b/>
          <w:color w:val="000000" w:themeColor="text1"/>
          <w:kern w:val="0"/>
          <w:szCs w:val="21"/>
        </w:rPr>
        <w:t>报告期内本基金运作遵规守信情况说明</w:t>
      </w:r>
    </w:p>
    <w:p w:rsidR="009238DB" w:rsidRPr="00D3639B" w:rsidRDefault="00323F25"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本报告期内，本基金管理人严格遵守《中华人民共和国证券投资基金法》及其配套法规、《广发中证全指原材料交易型开放式指数证券投资基金发起式联接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 xml:space="preserve">4.3 </w:t>
      </w:r>
      <w:r w:rsidRPr="00D3639B">
        <w:rPr>
          <w:rFonts w:eastAsiaTheme="minorEastAsia"/>
          <w:b/>
          <w:color w:val="000000" w:themeColor="text1"/>
          <w:kern w:val="0"/>
          <w:szCs w:val="21"/>
        </w:rPr>
        <w:t>公平交易专项说明</w:t>
      </w:r>
    </w:p>
    <w:p w:rsidR="00D15733" w:rsidRPr="00D3639B" w:rsidRDefault="00D15733" w:rsidP="00FC13C8">
      <w:pPr>
        <w:spacing w:line="360" w:lineRule="auto"/>
        <w:rPr>
          <w:rFonts w:eastAsiaTheme="minorEastAsia"/>
          <w:color w:val="000000" w:themeColor="text1"/>
          <w:szCs w:val="21"/>
        </w:rPr>
      </w:pPr>
      <w:r w:rsidRPr="00D3639B">
        <w:rPr>
          <w:rFonts w:eastAsiaTheme="minorEastAsia"/>
          <w:color w:val="000000" w:themeColor="text1"/>
          <w:szCs w:val="21"/>
        </w:rPr>
        <w:t xml:space="preserve">4.3.1 </w:t>
      </w:r>
      <w:r w:rsidRPr="00D3639B">
        <w:rPr>
          <w:rFonts w:eastAsiaTheme="minorEastAsia"/>
          <w:color w:val="000000" w:themeColor="text1"/>
          <w:szCs w:val="21"/>
        </w:rPr>
        <w:t>公平交易制度的执行情况</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公司通过建立科学、制衡的投资决策体系，加强交易分配环节的内部控制，并通过实时的行为监控与及时的分析评估，保证公平交易原则的实现。</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在投资决策的内部控制方面，公司制度规定投资组合投资的股票必须来源于备选股票库，重点投资的股票必须来源于核心股票库，投资的债券必须来自公司债券库。公司建立了严格的投资授权制度，投资组合经理在授权范围内可以自主决策，超过投资权限的操作需要经过严格的审批程序。在交易过程中，中央交易部按照</w:t>
      </w:r>
      <w:r>
        <w:rPr>
          <w:rFonts w:eastAsiaTheme="minorEastAsia"/>
          <w:color w:val="000000" w:themeColor="text1"/>
          <w:szCs w:val="21"/>
        </w:rPr>
        <w:t>“</w:t>
      </w:r>
      <w:r>
        <w:rPr>
          <w:rFonts w:eastAsiaTheme="minorEastAsia"/>
          <w:color w:val="000000" w:themeColor="text1"/>
          <w:szCs w:val="21"/>
        </w:rPr>
        <w:t>时间优先、价格优先、比例分配、综合平衡</w:t>
      </w:r>
      <w:r>
        <w:rPr>
          <w:rFonts w:eastAsiaTheme="minorEastAsia"/>
          <w:color w:val="000000" w:themeColor="text1"/>
          <w:szCs w:val="21"/>
        </w:rPr>
        <w:t>”</w:t>
      </w:r>
      <w:r>
        <w:rPr>
          <w:rFonts w:eastAsiaTheme="minorEastAsia"/>
          <w:color w:val="000000" w:themeColor="text1"/>
          <w:szCs w:val="21"/>
        </w:rPr>
        <w:t>的原则，公平分配投资指令。金融工程与风险管理部风险控制岗通</w:t>
      </w:r>
      <w:r>
        <w:rPr>
          <w:rFonts w:eastAsiaTheme="minorEastAsia"/>
          <w:color w:val="000000" w:themeColor="text1"/>
          <w:szCs w:val="21"/>
        </w:rPr>
        <w:t>过投资交易系统对投资交易过程进行实时监控及预警，实现投资风险的事中风险控制；稽核岗通过对投资、研究及交易等全流程的独立监察稽核，实现投资风险的事后控制。</w:t>
      </w:r>
    </w:p>
    <w:p w:rsidR="00D15733" w:rsidRPr="00D3639B" w:rsidRDefault="00323F25"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本报告期内，上述公平交易制度总体执行情况良好，不同的投资组合受到了公平对待，未发生任何不公平的交易事项。</w:t>
      </w:r>
    </w:p>
    <w:p w:rsidR="00D15733" w:rsidRPr="00D3639B" w:rsidRDefault="00D15733" w:rsidP="00FC13C8">
      <w:pPr>
        <w:spacing w:line="360" w:lineRule="auto"/>
        <w:rPr>
          <w:rFonts w:eastAsiaTheme="minorEastAsia"/>
          <w:color w:val="000000" w:themeColor="text1"/>
          <w:szCs w:val="21"/>
        </w:rPr>
      </w:pPr>
      <w:r w:rsidRPr="00D3639B">
        <w:rPr>
          <w:rFonts w:eastAsiaTheme="minorEastAsia"/>
          <w:color w:val="000000" w:themeColor="text1"/>
          <w:szCs w:val="21"/>
        </w:rPr>
        <w:t>4.3.</w:t>
      </w:r>
      <w:r w:rsidR="005B6047" w:rsidRPr="00D3639B">
        <w:rPr>
          <w:rFonts w:eastAsiaTheme="minorEastAsia"/>
          <w:color w:val="000000" w:themeColor="text1"/>
          <w:szCs w:val="21"/>
        </w:rPr>
        <w:t>2</w:t>
      </w:r>
      <w:r w:rsidRPr="00D3639B">
        <w:rPr>
          <w:rFonts w:eastAsiaTheme="minorEastAsia"/>
          <w:color w:val="000000" w:themeColor="text1"/>
          <w:szCs w:val="21"/>
        </w:rPr>
        <w:t>异常交易行为的专项说明</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9238DB" w:rsidRDefault="00323F25"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本投资组合为完全按照有关指数的构成比例进行证券投资的投资组合。本报告期内，本投资组合与本公司管理的其他投资组合发生过同日反向交易的情况，但成交较少的单边交易量不超过该证券当日成交量的</w:t>
      </w:r>
      <w:r w:rsidRPr="00D3639B">
        <w:rPr>
          <w:rFonts w:eastAsiaTheme="minorEastAsia"/>
          <w:color w:val="000000" w:themeColor="text1"/>
          <w:szCs w:val="21"/>
        </w:rPr>
        <w:t>5%</w:t>
      </w:r>
      <w:r w:rsidRPr="00D3639B">
        <w:rPr>
          <w:rFonts w:eastAsiaTheme="minorEastAsia"/>
          <w:color w:val="000000" w:themeColor="text1"/>
          <w:szCs w:val="21"/>
        </w:rPr>
        <w:t>。这些交易不存在任何利益输送的嫌疑。</w:t>
      </w:r>
    </w:p>
    <w:p w:rsidR="00904349" w:rsidRPr="00D3639B" w:rsidRDefault="00904349" w:rsidP="004B54B8">
      <w:pPr>
        <w:spacing w:line="360" w:lineRule="auto"/>
        <w:ind w:firstLineChars="200" w:firstLine="420"/>
        <w:rPr>
          <w:rFonts w:eastAsiaTheme="minorEastAsia"/>
          <w:color w:val="000000" w:themeColor="text1"/>
          <w:szCs w:val="21"/>
        </w:rPr>
      </w:pPr>
    </w:p>
    <w:p w:rsidR="00904349" w:rsidRPr="00B75DF8" w:rsidRDefault="00904349" w:rsidP="009043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Pr>
          <w:rFonts w:ascii="宋体" w:hAnsi="宋体" w:hint="eastAsia"/>
          <w:b/>
          <w:color w:val="000000"/>
          <w:sz w:val="24"/>
        </w:rPr>
        <w:t>报告期内基金的投资策略和运作分析</w:t>
      </w:r>
    </w:p>
    <w:p w:rsidR="008C5FCF" w:rsidRDefault="001D0DE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）投资策略</w:t>
      </w:r>
    </w:p>
    <w:p w:rsidR="008C5FCF" w:rsidRDefault="001D0DE3">
      <w:pPr>
        <w:spacing w:line="360" w:lineRule="auto"/>
        <w:ind w:firstLineChars="200" w:firstLine="480"/>
        <w:rPr>
          <w:rFonts w:eastAsiaTheme="minorEastAsia"/>
          <w:color w:val="000000"/>
          <w:sz w:val="24"/>
        </w:rPr>
      </w:pPr>
      <w:r>
        <w:rPr>
          <w:rFonts w:eastAsiaTheme="minorEastAsia"/>
          <w:color w:val="000000"/>
          <w:sz w:val="24"/>
        </w:rPr>
        <w:t>作为</w:t>
      </w:r>
      <w:r>
        <w:rPr>
          <w:rFonts w:eastAsiaTheme="minorEastAsia"/>
          <w:color w:val="000000"/>
          <w:sz w:val="24"/>
        </w:rPr>
        <w:t>ETF</w:t>
      </w:r>
      <w:r>
        <w:rPr>
          <w:rFonts w:eastAsiaTheme="minorEastAsia"/>
          <w:color w:val="000000"/>
          <w:sz w:val="24"/>
        </w:rPr>
        <w:t>联接基金，本基金将继续秉承指数化被动投资策略，主要持有广发中证全指原材料</w:t>
      </w:r>
      <w:r>
        <w:rPr>
          <w:rFonts w:eastAsiaTheme="minorEastAsia"/>
          <w:color w:val="000000"/>
          <w:sz w:val="24"/>
        </w:rPr>
        <w:t>ETF</w:t>
      </w:r>
      <w:r>
        <w:rPr>
          <w:rFonts w:eastAsiaTheme="minorEastAsia"/>
          <w:color w:val="000000"/>
          <w:sz w:val="24"/>
        </w:rPr>
        <w:t>及指数成份股等，间接复制指数，同时积极应对成份股调整、基金申购赎回等因素对指数跟踪效果带来的冲击，进一步降低基金的跟踪误差。</w:t>
      </w:r>
    </w:p>
    <w:p w:rsidR="008C5FCF" w:rsidRDefault="001D0DE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）运作分析</w:t>
      </w:r>
    </w:p>
    <w:p w:rsidR="008C5FCF" w:rsidRDefault="001D0DE3">
      <w:pPr>
        <w:spacing w:line="360" w:lineRule="auto"/>
        <w:ind w:firstLineChars="200" w:firstLine="480"/>
        <w:rPr>
          <w:rFonts w:eastAsiaTheme="minorEastAsia"/>
          <w:color w:val="000000"/>
          <w:sz w:val="24"/>
        </w:rPr>
      </w:pPr>
      <w:r>
        <w:rPr>
          <w:rFonts w:eastAsiaTheme="minorEastAsia"/>
          <w:color w:val="000000"/>
          <w:sz w:val="24"/>
        </w:rPr>
        <w:t>报告期内，本基金跟踪误差来源主要是建仓、申购、赎回、成份股调整和清盘。</w:t>
      </w:r>
    </w:p>
    <w:p w:rsidR="00904349" w:rsidRDefault="00904349" w:rsidP="00904349">
      <w:pPr>
        <w:spacing w:line="360" w:lineRule="auto"/>
        <w:ind w:firstLineChars="200" w:firstLine="480"/>
        <w:rPr>
          <w:rFonts w:eastAsiaTheme="minorEastAsia"/>
          <w:color w:val="000000"/>
          <w:sz w:val="24"/>
        </w:rPr>
      </w:pPr>
      <w:r w:rsidRPr="00264591">
        <w:rPr>
          <w:rFonts w:eastAsiaTheme="minorEastAsia"/>
          <w:color w:val="000000"/>
          <w:sz w:val="24"/>
        </w:rPr>
        <w:t>本基金于</w:t>
      </w:r>
      <w:r w:rsidRPr="00264591">
        <w:rPr>
          <w:rFonts w:eastAsiaTheme="minorEastAsia"/>
          <w:color w:val="000000"/>
          <w:sz w:val="24"/>
        </w:rPr>
        <w:t>2018</w:t>
      </w:r>
      <w:r w:rsidRPr="00264591">
        <w:rPr>
          <w:rFonts w:eastAsiaTheme="minorEastAsia"/>
          <w:color w:val="000000"/>
          <w:sz w:val="24"/>
        </w:rPr>
        <w:t>年</w:t>
      </w:r>
      <w:r w:rsidRPr="00264591">
        <w:rPr>
          <w:rFonts w:eastAsiaTheme="minorEastAsia"/>
          <w:color w:val="000000"/>
          <w:sz w:val="24"/>
        </w:rPr>
        <w:t>8</w:t>
      </w:r>
      <w:r w:rsidRPr="00264591">
        <w:rPr>
          <w:rFonts w:eastAsiaTheme="minorEastAsia"/>
          <w:color w:val="000000"/>
          <w:sz w:val="24"/>
        </w:rPr>
        <w:t>月</w:t>
      </w:r>
      <w:r w:rsidRPr="00264591">
        <w:rPr>
          <w:rFonts w:eastAsiaTheme="minorEastAsia"/>
          <w:color w:val="000000"/>
          <w:sz w:val="24"/>
        </w:rPr>
        <w:t>20</w:t>
      </w:r>
      <w:r w:rsidRPr="00264591">
        <w:rPr>
          <w:rFonts w:eastAsiaTheme="minorEastAsia"/>
          <w:color w:val="000000"/>
          <w:sz w:val="24"/>
        </w:rPr>
        <w:t>日，出现触发基金合同自动终止的情形（即本基金基金资产净值低于</w:t>
      </w:r>
      <w:r w:rsidRPr="00264591">
        <w:rPr>
          <w:rFonts w:eastAsiaTheme="minorEastAsia"/>
          <w:color w:val="000000"/>
          <w:sz w:val="24"/>
        </w:rPr>
        <w:t>2</w:t>
      </w:r>
      <w:r w:rsidRPr="00264591">
        <w:rPr>
          <w:rFonts w:eastAsiaTheme="minorEastAsia"/>
          <w:color w:val="000000"/>
          <w:sz w:val="24"/>
        </w:rPr>
        <w:t>亿元），基金管理人将终止《基金合同》，自</w:t>
      </w:r>
      <w:r w:rsidRPr="00264591">
        <w:rPr>
          <w:rFonts w:eastAsiaTheme="minorEastAsia"/>
          <w:color w:val="000000"/>
          <w:sz w:val="24"/>
        </w:rPr>
        <w:t>2018</w:t>
      </w:r>
      <w:r w:rsidRPr="00264591">
        <w:rPr>
          <w:rFonts w:eastAsiaTheme="minorEastAsia"/>
          <w:color w:val="000000"/>
          <w:sz w:val="24"/>
        </w:rPr>
        <w:t>年</w:t>
      </w:r>
      <w:r w:rsidRPr="00264591">
        <w:rPr>
          <w:rFonts w:eastAsiaTheme="minorEastAsia"/>
          <w:color w:val="000000"/>
          <w:sz w:val="24"/>
        </w:rPr>
        <w:t>8</w:t>
      </w:r>
      <w:r w:rsidRPr="00264591">
        <w:rPr>
          <w:rFonts w:eastAsiaTheme="minorEastAsia"/>
          <w:color w:val="000000"/>
          <w:sz w:val="24"/>
        </w:rPr>
        <w:t>月</w:t>
      </w:r>
      <w:r w:rsidRPr="00264591">
        <w:rPr>
          <w:rFonts w:eastAsiaTheme="minorEastAsia"/>
          <w:color w:val="000000"/>
          <w:sz w:val="24"/>
        </w:rPr>
        <w:t>21</w:t>
      </w:r>
      <w:r w:rsidRPr="00264591">
        <w:rPr>
          <w:rFonts w:eastAsiaTheme="minorEastAsia"/>
          <w:color w:val="000000"/>
          <w:sz w:val="24"/>
        </w:rPr>
        <w:t>日起根据相关法律法规、基金合同等规定履行基金财产清算程序。</w:t>
      </w:r>
    </w:p>
    <w:p w:rsidR="00904349" w:rsidRPr="00B75DF8" w:rsidRDefault="00904349" w:rsidP="00904349">
      <w:pPr>
        <w:spacing w:line="360" w:lineRule="auto"/>
        <w:ind w:firstLineChars="200" w:firstLine="480"/>
        <w:rPr>
          <w:rFonts w:asciiTheme="minorEastAsia" w:eastAsiaTheme="minorEastAsia" w:hAnsiTheme="minorEastAsia"/>
          <w:color w:val="000000"/>
          <w:sz w:val="24"/>
        </w:rPr>
      </w:pPr>
    </w:p>
    <w:p w:rsidR="00904349" w:rsidRPr="000A6C57" w:rsidRDefault="00904349" w:rsidP="00904349">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904349" w:rsidRDefault="00904349" w:rsidP="00904349">
      <w:pPr>
        <w:spacing w:line="360" w:lineRule="auto"/>
        <w:ind w:firstLineChars="200" w:firstLine="480"/>
        <w:rPr>
          <w:rFonts w:eastAsiaTheme="minorEastAsia"/>
          <w:color w:val="000000"/>
          <w:sz w:val="24"/>
        </w:rPr>
      </w:pPr>
      <w:r w:rsidRPr="00264591">
        <w:rPr>
          <w:rFonts w:eastAsiaTheme="minorEastAsia"/>
          <w:color w:val="000000"/>
          <w:sz w:val="24"/>
        </w:rPr>
        <w:t>本报告期内，本基金</w:t>
      </w:r>
      <w:r w:rsidRPr="00264591">
        <w:rPr>
          <w:rFonts w:eastAsiaTheme="minorEastAsia"/>
          <w:color w:val="000000"/>
          <w:sz w:val="24"/>
        </w:rPr>
        <w:t>A</w:t>
      </w:r>
      <w:r w:rsidRPr="00264591">
        <w:rPr>
          <w:rFonts w:eastAsiaTheme="minorEastAsia"/>
          <w:color w:val="000000"/>
          <w:sz w:val="24"/>
        </w:rPr>
        <w:t>类份额净值增长率为</w:t>
      </w:r>
      <w:r w:rsidRPr="00264591">
        <w:rPr>
          <w:rFonts w:eastAsiaTheme="minorEastAsia"/>
          <w:color w:val="000000"/>
          <w:sz w:val="24"/>
        </w:rPr>
        <w:t>-6.83%</w:t>
      </w:r>
      <w:r w:rsidRPr="00264591">
        <w:rPr>
          <w:rFonts w:eastAsiaTheme="minorEastAsia"/>
          <w:color w:val="000000"/>
          <w:sz w:val="24"/>
        </w:rPr>
        <w:t>，</w:t>
      </w:r>
      <w:r w:rsidRPr="00264591">
        <w:rPr>
          <w:rFonts w:eastAsiaTheme="minorEastAsia"/>
          <w:color w:val="000000"/>
          <w:sz w:val="24"/>
        </w:rPr>
        <w:t>C</w:t>
      </w:r>
      <w:r w:rsidRPr="00264591">
        <w:rPr>
          <w:rFonts w:eastAsiaTheme="minorEastAsia"/>
          <w:color w:val="000000"/>
          <w:sz w:val="24"/>
        </w:rPr>
        <w:t>类份额净值增长率为</w:t>
      </w:r>
      <w:r w:rsidRPr="00264591">
        <w:rPr>
          <w:rFonts w:eastAsiaTheme="minorEastAsia"/>
          <w:color w:val="000000"/>
          <w:sz w:val="24"/>
        </w:rPr>
        <w:t>-6.87%</w:t>
      </w:r>
      <w:r w:rsidRPr="00264591">
        <w:rPr>
          <w:rFonts w:eastAsiaTheme="minorEastAsia"/>
          <w:color w:val="000000"/>
          <w:sz w:val="24"/>
        </w:rPr>
        <w:t>，同期业绩基准收益率为</w:t>
      </w:r>
      <w:r w:rsidRPr="00264591">
        <w:rPr>
          <w:rFonts w:eastAsiaTheme="minorEastAsia"/>
          <w:color w:val="000000"/>
          <w:sz w:val="24"/>
        </w:rPr>
        <w:t>-6.06%</w:t>
      </w:r>
      <w:r w:rsidRPr="00264591">
        <w:rPr>
          <w:rFonts w:eastAsiaTheme="minorEastAsia"/>
          <w:color w:val="000000"/>
          <w:sz w:val="24"/>
        </w:rPr>
        <w:t>。</w:t>
      </w:r>
    </w:p>
    <w:p w:rsidR="00904349" w:rsidRPr="00264591" w:rsidRDefault="00904349" w:rsidP="00904349">
      <w:pPr>
        <w:spacing w:line="360" w:lineRule="auto"/>
        <w:ind w:firstLineChars="200" w:firstLine="480"/>
        <w:rPr>
          <w:rFonts w:eastAsiaTheme="minorEastAsia"/>
          <w:color w:val="000000"/>
          <w:sz w:val="24"/>
        </w:rPr>
      </w:pPr>
    </w:p>
    <w:p w:rsidR="00904349" w:rsidRPr="00C61B41" w:rsidRDefault="00904349" w:rsidP="009043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8C5FCF" w:rsidRDefault="001D0DE3">
      <w:pPr>
        <w:spacing w:line="360" w:lineRule="auto"/>
        <w:ind w:firstLineChars="200" w:firstLine="480"/>
        <w:rPr>
          <w:rFonts w:eastAsiaTheme="minorEastAsia"/>
          <w:color w:val="000000"/>
          <w:sz w:val="24"/>
        </w:rPr>
      </w:pPr>
      <w:r>
        <w:rPr>
          <w:rFonts w:eastAsiaTheme="minorEastAsia"/>
          <w:color w:val="000000" w:themeColor="text1"/>
          <w:kern w:val="0"/>
          <w:sz w:val="24"/>
        </w:rPr>
        <w:t>本报告期内，本基金于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7</w:t>
      </w:r>
      <w:r>
        <w:rPr>
          <w:rFonts w:eastAsiaTheme="minorEastAsia"/>
          <w:color w:val="000000" w:themeColor="text1"/>
          <w:kern w:val="0"/>
          <w:sz w:val="24"/>
        </w:rPr>
        <w:t>月</w:t>
      </w:r>
      <w:r>
        <w:rPr>
          <w:rFonts w:eastAsiaTheme="minorEastAsia"/>
          <w:color w:val="000000" w:themeColor="text1"/>
          <w:kern w:val="0"/>
          <w:sz w:val="24"/>
        </w:rPr>
        <w:t>2</w:t>
      </w:r>
      <w:r>
        <w:rPr>
          <w:rFonts w:eastAsiaTheme="minorEastAsia"/>
          <w:color w:val="000000" w:themeColor="text1"/>
          <w:kern w:val="0"/>
          <w:sz w:val="24"/>
        </w:rPr>
        <w:t>日至</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9</w:t>
      </w:r>
      <w:r>
        <w:rPr>
          <w:rFonts w:eastAsiaTheme="minorEastAsia"/>
          <w:color w:val="000000" w:themeColor="text1"/>
          <w:kern w:val="0"/>
          <w:sz w:val="24"/>
        </w:rPr>
        <w:t>月</w:t>
      </w:r>
      <w:r>
        <w:rPr>
          <w:rFonts w:eastAsiaTheme="minorEastAsia"/>
          <w:color w:val="000000" w:themeColor="text1"/>
          <w:kern w:val="0"/>
          <w:sz w:val="24"/>
        </w:rPr>
        <w:t>28</w:t>
      </w:r>
      <w:r>
        <w:rPr>
          <w:rFonts w:eastAsiaTheme="minorEastAsia"/>
          <w:color w:val="000000" w:themeColor="text1"/>
          <w:kern w:val="0"/>
          <w:sz w:val="24"/>
        </w:rPr>
        <w:t>日连续</w:t>
      </w:r>
      <w:r>
        <w:rPr>
          <w:rFonts w:eastAsiaTheme="minorEastAsia"/>
          <w:color w:val="000000" w:themeColor="text1"/>
          <w:kern w:val="0"/>
          <w:sz w:val="24"/>
        </w:rPr>
        <w:t>64</w:t>
      </w:r>
      <w:r>
        <w:rPr>
          <w:rFonts w:eastAsiaTheme="minorEastAsia"/>
          <w:color w:val="000000" w:themeColor="text1"/>
          <w:kern w:val="0"/>
          <w:sz w:val="24"/>
        </w:rPr>
        <w:t>个工作日出现了基金资产净值低于五千万的情形。</w:t>
      </w:r>
    </w:p>
    <w:p w:rsidR="00904349" w:rsidRPr="00CB1AA0" w:rsidRDefault="00904349" w:rsidP="00904349">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截至</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8</w:t>
      </w:r>
      <w:r w:rsidRPr="00C61B41">
        <w:rPr>
          <w:rFonts w:eastAsiaTheme="minorEastAsia"/>
          <w:color w:val="000000" w:themeColor="text1"/>
          <w:kern w:val="0"/>
          <w:sz w:val="24"/>
        </w:rPr>
        <w:t>月</w:t>
      </w:r>
      <w:r w:rsidRPr="00C61B41">
        <w:rPr>
          <w:rFonts w:eastAsiaTheme="minorEastAsia"/>
          <w:color w:val="000000" w:themeColor="text1"/>
          <w:kern w:val="0"/>
          <w:sz w:val="24"/>
        </w:rPr>
        <w:t>20</w:t>
      </w:r>
      <w:r w:rsidRPr="00C61B41">
        <w:rPr>
          <w:rFonts w:eastAsiaTheme="minorEastAsia"/>
          <w:color w:val="000000" w:themeColor="text1"/>
          <w:kern w:val="0"/>
          <w:sz w:val="24"/>
        </w:rPr>
        <w:t>日日终，本基金出现触发基金合同自动终止的情形（即本基金基金资产净值低于</w:t>
      </w:r>
      <w:r w:rsidRPr="00C61B41">
        <w:rPr>
          <w:rFonts w:eastAsiaTheme="minorEastAsia"/>
          <w:color w:val="000000" w:themeColor="text1"/>
          <w:kern w:val="0"/>
          <w:sz w:val="24"/>
        </w:rPr>
        <w:t>2</w:t>
      </w:r>
      <w:r w:rsidRPr="00C61B41">
        <w:rPr>
          <w:rFonts w:eastAsiaTheme="minorEastAsia"/>
          <w:color w:val="000000" w:themeColor="text1"/>
          <w:kern w:val="0"/>
          <w:sz w:val="24"/>
        </w:rPr>
        <w:t>亿元），本基金已于</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8</w:t>
      </w:r>
      <w:r w:rsidRPr="00C61B41">
        <w:rPr>
          <w:rFonts w:eastAsiaTheme="minorEastAsia"/>
          <w:color w:val="000000" w:themeColor="text1"/>
          <w:kern w:val="0"/>
          <w:sz w:val="24"/>
        </w:rPr>
        <w:t>月</w:t>
      </w:r>
      <w:r w:rsidRPr="00C61B41">
        <w:rPr>
          <w:rFonts w:eastAsiaTheme="minorEastAsia"/>
          <w:color w:val="000000" w:themeColor="text1"/>
          <w:kern w:val="0"/>
          <w:sz w:val="24"/>
        </w:rPr>
        <w:t>21</w:t>
      </w:r>
      <w:r w:rsidRPr="00C61B41">
        <w:rPr>
          <w:rFonts w:eastAsiaTheme="minorEastAsia"/>
          <w:color w:val="000000" w:themeColor="text1"/>
          <w:kern w:val="0"/>
          <w:sz w:val="24"/>
        </w:rPr>
        <w:t>日进入清算期，无须召开基金份额持有人大会。</w:t>
      </w:r>
    </w:p>
    <w:p w:rsidR="001B06D5" w:rsidRPr="00904349" w:rsidRDefault="001B06D5" w:rsidP="001B06D5">
      <w:pPr>
        <w:spacing w:line="360" w:lineRule="auto"/>
        <w:rPr>
          <w:rFonts w:eastAsiaTheme="minorEastAsia"/>
          <w:color w:val="000000" w:themeColor="text1"/>
          <w:szCs w:val="21"/>
        </w:rPr>
      </w:pPr>
    </w:p>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 xml:space="preserve">§5  </w:t>
      </w:r>
      <w:r w:rsidRPr="00D3639B">
        <w:rPr>
          <w:rFonts w:eastAsiaTheme="minorEastAsia"/>
          <w:color w:val="000000" w:themeColor="text1"/>
          <w:kern w:val="0"/>
          <w:sz w:val="21"/>
          <w:szCs w:val="21"/>
        </w:rPr>
        <w:t>投资组合报告</w:t>
      </w:r>
    </w:p>
    <w:p w:rsidR="009238DB" w:rsidRPr="00D3639B" w:rsidRDefault="009238DB" w:rsidP="00FC13C8">
      <w:pPr>
        <w:autoSpaceDE w:val="0"/>
        <w:autoSpaceDN w:val="0"/>
        <w:adjustRightInd w:val="0"/>
        <w:spacing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 xml:space="preserve">5.1 </w:t>
      </w:r>
      <w:r w:rsidRPr="00D3639B">
        <w:rPr>
          <w:rFonts w:eastAsiaTheme="minorEastAsia"/>
          <w:b/>
          <w:color w:val="000000" w:themeColor="text1"/>
          <w:kern w:val="0"/>
          <w:szCs w:val="21"/>
        </w:rPr>
        <w:t>报告期末基金资产组合情况</w:t>
      </w:r>
    </w:p>
    <w:tbl>
      <w:tblPr>
        <w:tblStyle w:val="af2"/>
        <w:tblW w:w="0" w:type="auto"/>
        <w:tblInd w:w="108" w:type="dxa"/>
        <w:tblLayout w:type="fixed"/>
        <w:tblLook w:val="04A0"/>
      </w:tblPr>
      <w:tblGrid>
        <w:gridCol w:w="720"/>
        <w:gridCol w:w="3357"/>
        <w:gridCol w:w="2694"/>
        <w:gridCol w:w="1757"/>
      </w:tblGrid>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序号</w:t>
            </w:r>
          </w:p>
        </w:tc>
        <w:tc>
          <w:tcPr>
            <w:tcW w:w="3357"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项目</w:t>
            </w:r>
          </w:p>
        </w:tc>
        <w:tc>
          <w:tcPr>
            <w:tcW w:w="2694"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金额</w:t>
            </w:r>
            <w:r w:rsidRPr="00D3639B">
              <w:rPr>
                <w:rFonts w:eastAsiaTheme="minorEastAsia"/>
                <w:color w:val="000000" w:themeColor="text1"/>
                <w:szCs w:val="21"/>
              </w:rPr>
              <w:t>(</w:t>
            </w:r>
            <w:r w:rsidRPr="00D3639B">
              <w:rPr>
                <w:rFonts w:eastAsiaTheme="minorEastAsia"/>
                <w:color w:val="000000" w:themeColor="text1"/>
                <w:szCs w:val="21"/>
              </w:rPr>
              <w:t>元</w:t>
            </w:r>
            <w:r w:rsidRPr="00D3639B">
              <w:rPr>
                <w:rFonts w:eastAsiaTheme="minorEastAsia"/>
                <w:color w:val="000000" w:themeColor="text1"/>
                <w:szCs w:val="21"/>
              </w:rPr>
              <w:t>)</w:t>
            </w:r>
          </w:p>
        </w:tc>
        <w:tc>
          <w:tcPr>
            <w:tcW w:w="1757"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占基金总资产的比例</w:t>
            </w:r>
            <w:r w:rsidRPr="00D3639B">
              <w:rPr>
                <w:rFonts w:eastAsiaTheme="minorEastAsia"/>
                <w:color w:val="000000" w:themeColor="text1"/>
                <w:szCs w:val="21"/>
              </w:rPr>
              <w:t>(%)</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1</w:t>
            </w:r>
          </w:p>
        </w:tc>
        <w:tc>
          <w:tcPr>
            <w:tcW w:w="3357" w:type="dxa"/>
            <w:vAlign w:val="center"/>
          </w:tcPr>
          <w:p w:rsidR="00B20F47" w:rsidRPr="00D3639B" w:rsidRDefault="00B20F47"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权益投资</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633,375.36</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4.23</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p>
        </w:tc>
        <w:tc>
          <w:tcPr>
            <w:tcW w:w="3357" w:type="dxa"/>
            <w:vAlign w:val="center"/>
          </w:tcPr>
          <w:p w:rsidR="00B20F47" w:rsidRPr="00D3639B" w:rsidRDefault="00B20F47"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其中：股票</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633,375.36</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4.23</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2</w:t>
            </w:r>
          </w:p>
        </w:tc>
        <w:tc>
          <w:tcPr>
            <w:tcW w:w="3357" w:type="dxa"/>
            <w:vAlign w:val="center"/>
          </w:tcPr>
          <w:p w:rsidR="00B20F47" w:rsidRPr="00D3639B" w:rsidRDefault="00B20F47"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基金投资</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3</w:t>
            </w:r>
          </w:p>
        </w:tc>
        <w:tc>
          <w:tcPr>
            <w:tcW w:w="3357" w:type="dxa"/>
            <w:vAlign w:val="center"/>
          </w:tcPr>
          <w:p w:rsidR="00B20F47" w:rsidRPr="00D3639B" w:rsidRDefault="00B20F47"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固定收益投资</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p>
        </w:tc>
        <w:tc>
          <w:tcPr>
            <w:tcW w:w="3357" w:type="dxa"/>
            <w:vAlign w:val="center"/>
          </w:tcPr>
          <w:p w:rsidR="00B20F47" w:rsidRPr="00D3639B" w:rsidRDefault="00B20F47"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其中：债券</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20F47" w:rsidRPr="00D3639B" w:rsidRDefault="00B20F47" w:rsidP="00A3193E">
            <w:pPr>
              <w:spacing w:before="29" w:line="360" w:lineRule="auto"/>
              <w:ind w:left="17"/>
              <w:jc w:val="center"/>
              <w:rPr>
                <w:rFonts w:eastAsiaTheme="minorEastAsia"/>
                <w:color w:val="000000" w:themeColor="text1"/>
                <w:szCs w:val="21"/>
              </w:rPr>
            </w:pPr>
          </w:p>
        </w:tc>
        <w:tc>
          <w:tcPr>
            <w:tcW w:w="3357" w:type="dxa"/>
            <w:vAlign w:val="center"/>
          </w:tcPr>
          <w:p w:rsidR="00B20F47" w:rsidRPr="00D3639B" w:rsidRDefault="00B20F47" w:rsidP="004B54B8">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3639B">
              <w:rPr>
                <w:rFonts w:eastAsiaTheme="minorEastAsia"/>
                <w:color w:val="000000" w:themeColor="text1"/>
                <w:szCs w:val="21"/>
              </w:rPr>
              <w:t>资产支持证券</w:t>
            </w:r>
          </w:p>
        </w:tc>
        <w:tc>
          <w:tcPr>
            <w:tcW w:w="2694"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20F47" w:rsidRPr="00D3639B" w:rsidRDefault="00B20F47"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tcPr>
          <w:p w:rsidR="00B007B6" w:rsidRPr="00D3639B" w:rsidRDefault="00B007B6" w:rsidP="00DD272F">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4</w:t>
            </w:r>
          </w:p>
        </w:tc>
        <w:tc>
          <w:tcPr>
            <w:tcW w:w="3357" w:type="dxa"/>
          </w:tcPr>
          <w:p w:rsidR="00B007B6" w:rsidRPr="00D3639B" w:rsidRDefault="00B007B6" w:rsidP="00DD272F">
            <w:pPr>
              <w:spacing w:before="29" w:line="360" w:lineRule="auto"/>
              <w:ind w:leftChars="50" w:left="105"/>
              <w:rPr>
                <w:rFonts w:eastAsiaTheme="minorEastAsia"/>
                <w:color w:val="000000" w:themeColor="text1"/>
                <w:szCs w:val="21"/>
              </w:rPr>
            </w:pPr>
            <w:r w:rsidRPr="00D3639B">
              <w:rPr>
                <w:rFonts w:eastAsiaTheme="minorEastAsia"/>
                <w:color w:val="000000" w:themeColor="text1"/>
                <w:szCs w:val="21"/>
              </w:rPr>
              <w:t>贵金属投资</w:t>
            </w:r>
          </w:p>
        </w:tc>
        <w:tc>
          <w:tcPr>
            <w:tcW w:w="2694" w:type="dxa"/>
            <w:vAlign w:val="center"/>
          </w:tcPr>
          <w:p w:rsidR="00B007B6" w:rsidRPr="00D3639B" w:rsidRDefault="00B007B6" w:rsidP="00DD272F">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007B6" w:rsidRPr="00D3639B" w:rsidRDefault="00B007B6" w:rsidP="00DD272F">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007B6" w:rsidRPr="00D3639B" w:rsidRDefault="00B007B6"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5</w:t>
            </w:r>
          </w:p>
        </w:tc>
        <w:tc>
          <w:tcPr>
            <w:tcW w:w="3357" w:type="dxa"/>
            <w:vAlign w:val="center"/>
          </w:tcPr>
          <w:p w:rsidR="00B007B6" w:rsidRPr="00D3639B" w:rsidRDefault="00B007B6"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金融衍生品投资</w:t>
            </w:r>
          </w:p>
        </w:tc>
        <w:tc>
          <w:tcPr>
            <w:tcW w:w="2694"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007B6" w:rsidRPr="00D3639B" w:rsidRDefault="00B007B6"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6</w:t>
            </w:r>
          </w:p>
        </w:tc>
        <w:tc>
          <w:tcPr>
            <w:tcW w:w="3357" w:type="dxa"/>
            <w:vAlign w:val="center"/>
          </w:tcPr>
          <w:p w:rsidR="00B007B6" w:rsidRPr="00D3639B" w:rsidRDefault="00B007B6"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买入返售金融资产</w:t>
            </w:r>
          </w:p>
        </w:tc>
        <w:tc>
          <w:tcPr>
            <w:tcW w:w="2694"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007B6" w:rsidRPr="00D3639B" w:rsidRDefault="00B007B6" w:rsidP="00A3193E">
            <w:pPr>
              <w:spacing w:before="29" w:line="360" w:lineRule="auto"/>
              <w:ind w:left="17"/>
              <w:jc w:val="center"/>
              <w:rPr>
                <w:rFonts w:eastAsiaTheme="minorEastAsia"/>
                <w:color w:val="000000" w:themeColor="text1"/>
                <w:szCs w:val="21"/>
              </w:rPr>
            </w:pPr>
          </w:p>
        </w:tc>
        <w:tc>
          <w:tcPr>
            <w:tcW w:w="3357" w:type="dxa"/>
            <w:vAlign w:val="center"/>
          </w:tcPr>
          <w:p w:rsidR="00B007B6" w:rsidRPr="00D3639B" w:rsidRDefault="00B007B6"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其中：买断式回购的买入返售金融资产</w:t>
            </w:r>
          </w:p>
        </w:tc>
        <w:tc>
          <w:tcPr>
            <w:tcW w:w="2694"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1757"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720" w:type="dxa"/>
            <w:vAlign w:val="center"/>
          </w:tcPr>
          <w:p w:rsidR="00B007B6" w:rsidRPr="00D3639B" w:rsidRDefault="00B007B6" w:rsidP="00A3193E">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7</w:t>
            </w:r>
          </w:p>
        </w:tc>
        <w:tc>
          <w:tcPr>
            <w:tcW w:w="3357" w:type="dxa"/>
            <w:vAlign w:val="center"/>
          </w:tcPr>
          <w:p w:rsidR="00B007B6" w:rsidRPr="00D3639B" w:rsidRDefault="00B007B6" w:rsidP="00A3193E">
            <w:pPr>
              <w:spacing w:before="29" w:line="360" w:lineRule="auto"/>
              <w:ind w:left="17"/>
              <w:jc w:val="left"/>
              <w:rPr>
                <w:rFonts w:eastAsiaTheme="minorEastAsia"/>
                <w:color w:val="000000" w:themeColor="text1"/>
                <w:szCs w:val="21"/>
              </w:rPr>
            </w:pPr>
            <w:r w:rsidRPr="00D3639B">
              <w:rPr>
                <w:rFonts w:eastAsiaTheme="minorEastAsia"/>
                <w:color w:val="000000" w:themeColor="text1"/>
                <w:szCs w:val="21"/>
              </w:rPr>
              <w:t>银行存款和结算备付金合计</w:t>
            </w:r>
          </w:p>
        </w:tc>
        <w:tc>
          <w:tcPr>
            <w:tcW w:w="2694"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14,331,260.51</w:t>
            </w:r>
          </w:p>
        </w:tc>
        <w:tc>
          <w:tcPr>
            <w:tcW w:w="1757" w:type="dxa"/>
            <w:vAlign w:val="center"/>
          </w:tcPr>
          <w:p w:rsidR="00B007B6" w:rsidRPr="00D3639B" w:rsidRDefault="00B007B6" w:rsidP="00A3193E">
            <w:pPr>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95.65</w:t>
            </w:r>
          </w:p>
        </w:tc>
      </w:tr>
      <w:tr w:rsidR="00D3639B" w:rsidRPr="00D3639B" w:rsidTr="00975D18">
        <w:tc>
          <w:tcPr>
            <w:tcW w:w="720" w:type="dxa"/>
            <w:vAlign w:val="center"/>
          </w:tcPr>
          <w:p w:rsidR="00B007B6" w:rsidRPr="00D3639B" w:rsidRDefault="00B007B6" w:rsidP="00B007B6">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8</w:t>
            </w:r>
          </w:p>
        </w:tc>
        <w:tc>
          <w:tcPr>
            <w:tcW w:w="3357" w:type="dxa"/>
            <w:vAlign w:val="center"/>
          </w:tcPr>
          <w:p w:rsidR="00B007B6" w:rsidRPr="00D3639B" w:rsidRDefault="00B007B6" w:rsidP="00A3193E">
            <w:pPr>
              <w:jc w:val="left"/>
              <w:rPr>
                <w:rFonts w:eastAsiaTheme="minorEastAsia"/>
                <w:color w:val="000000" w:themeColor="text1"/>
                <w:szCs w:val="21"/>
              </w:rPr>
            </w:pPr>
            <w:r w:rsidRPr="00D3639B">
              <w:rPr>
                <w:rFonts w:eastAsiaTheme="minorEastAsia"/>
                <w:color w:val="000000" w:themeColor="text1"/>
                <w:szCs w:val="21"/>
              </w:rPr>
              <w:t>其他各项资产</w:t>
            </w:r>
          </w:p>
        </w:tc>
        <w:tc>
          <w:tcPr>
            <w:tcW w:w="2694" w:type="dxa"/>
            <w:vAlign w:val="center"/>
          </w:tcPr>
          <w:p w:rsidR="00B007B6" w:rsidRPr="00D3639B" w:rsidRDefault="00B007B6" w:rsidP="00A3193E">
            <w:pPr>
              <w:jc w:val="right"/>
              <w:rPr>
                <w:rFonts w:eastAsiaTheme="minorEastAsia"/>
                <w:color w:val="000000" w:themeColor="text1"/>
                <w:szCs w:val="21"/>
              </w:rPr>
            </w:pPr>
            <w:r w:rsidRPr="00D3639B">
              <w:rPr>
                <w:rFonts w:eastAsiaTheme="minorEastAsia"/>
                <w:color w:val="000000" w:themeColor="text1"/>
                <w:szCs w:val="21"/>
              </w:rPr>
              <w:t>18,714.87</w:t>
            </w:r>
          </w:p>
        </w:tc>
        <w:tc>
          <w:tcPr>
            <w:tcW w:w="1757" w:type="dxa"/>
            <w:vAlign w:val="center"/>
          </w:tcPr>
          <w:p w:rsidR="00B007B6" w:rsidRPr="00D3639B" w:rsidRDefault="00B007B6" w:rsidP="00A3193E">
            <w:pPr>
              <w:jc w:val="right"/>
              <w:rPr>
                <w:rFonts w:eastAsiaTheme="minorEastAsia"/>
                <w:color w:val="000000" w:themeColor="text1"/>
                <w:szCs w:val="21"/>
              </w:rPr>
            </w:pPr>
            <w:r w:rsidRPr="00D3639B">
              <w:rPr>
                <w:rFonts w:eastAsiaTheme="minorEastAsia"/>
                <w:color w:val="000000" w:themeColor="text1"/>
                <w:szCs w:val="21"/>
              </w:rPr>
              <w:t>0.12</w:t>
            </w:r>
          </w:p>
        </w:tc>
      </w:tr>
      <w:tr w:rsidR="00D3639B" w:rsidRPr="00D3639B" w:rsidTr="00975D18">
        <w:tc>
          <w:tcPr>
            <w:tcW w:w="720" w:type="dxa"/>
            <w:vAlign w:val="center"/>
          </w:tcPr>
          <w:p w:rsidR="00B007B6" w:rsidRPr="00D3639B" w:rsidRDefault="00B007B6" w:rsidP="00B007B6">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9</w:t>
            </w:r>
          </w:p>
        </w:tc>
        <w:tc>
          <w:tcPr>
            <w:tcW w:w="3357" w:type="dxa"/>
            <w:vAlign w:val="center"/>
          </w:tcPr>
          <w:p w:rsidR="00B007B6" w:rsidRPr="00D3639B" w:rsidRDefault="00B007B6" w:rsidP="00A3193E">
            <w:pPr>
              <w:jc w:val="left"/>
              <w:rPr>
                <w:rFonts w:eastAsiaTheme="minorEastAsia"/>
                <w:color w:val="000000" w:themeColor="text1"/>
                <w:szCs w:val="21"/>
              </w:rPr>
            </w:pPr>
            <w:r w:rsidRPr="00D3639B">
              <w:rPr>
                <w:rFonts w:eastAsiaTheme="minorEastAsia"/>
                <w:color w:val="000000" w:themeColor="text1"/>
                <w:szCs w:val="21"/>
              </w:rPr>
              <w:t>合计</w:t>
            </w:r>
          </w:p>
        </w:tc>
        <w:tc>
          <w:tcPr>
            <w:tcW w:w="2694" w:type="dxa"/>
            <w:vAlign w:val="center"/>
          </w:tcPr>
          <w:p w:rsidR="00B007B6" w:rsidRPr="00D3639B" w:rsidRDefault="00B007B6" w:rsidP="00A3193E">
            <w:pPr>
              <w:jc w:val="right"/>
              <w:rPr>
                <w:rFonts w:eastAsiaTheme="minorEastAsia"/>
                <w:color w:val="000000" w:themeColor="text1"/>
                <w:szCs w:val="21"/>
              </w:rPr>
            </w:pPr>
            <w:r w:rsidRPr="00D3639B">
              <w:rPr>
                <w:rFonts w:eastAsiaTheme="minorEastAsia"/>
                <w:color w:val="000000" w:themeColor="text1"/>
                <w:szCs w:val="21"/>
              </w:rPr>
              <w:t>14,983,350.74</w:t>
            </w:r>
          </w:p>
        </w:tc>
        <w:tc>
          <w:tcPr>
            <w:tcW w:w="1757" w:type="dxa"/>
            <w:vAlign w:val="center"/>
          </w:tcPr>
          <w:p w:rsidR="00B007B6" w:rsidRPr="00D3639B" w:rsidRDefault="00B007B6" w:rsidP="00A3193E">
            <w:pPr>
              <w:jc w:val="right"/>
              <w:rPr>
                <w:rFonts w:eastAsiaTheme="minorEastAsia"/>
                <w:color w:val="000000" w:themeColor="text1"/>
                <w:szCs w:val="21"/>
              </w:rPr>
            </w:pPr>
            <w:r w:rsidRPr="00D3639B">
              <w:rPr>
                <w:rFonts w:eastAsiaTheme="minorEastAsia"/>
                <w:color w:val="000000" w:themeColor="text1"/>
                <w:szCs w:val="21"/>
              </w:rPr>
              <w:t>100.00</w:t>
            </w:r>
          </w:p>
        </w:tc>
      </w:tr>
    </w:tbl>
    <w:p w:rsidR="0040218E" w:rsidRPr="00D3639B" w:rsidRDefault="0040218E"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5.2</w:t>
      </w:r>
      <w:r w:rsidRPr="00D3639B">
        <w:rPr>
          <w:rFonts w:eastAsiaTheme="minorEastAsia"/>
          <w:b/>
          <w:color w:val="000000" w:themeColor="text1"/>
          <w:kern w:val="0"/>
          <w:szCs w:val="21"/>
        </w:rPr>
        <w:t>期末投资目标基金明细</w:t>
      </w:r>
    </w:p>
    <w:p w:rsidR="0040218E" w:rsidRPr="00D3639B" w:rsidRDefault="0040218E"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Style w:val="t1"/>
          <w:rFonts w:eastAsiaTheme="minorEastAsia"/>
          <w:color w:val="000000" w:themeColor="text1"/>
          <w:szCs w:val="21"/>
        </w:rPr>
        <w:t>本基金本报告期末未持有目标基金。</w:t>
      </w:r>
    </w:p>
    <w:p w:rsidR="0054389B" w:rsidRPr="00FA621E" w:rsidRDefault="0054389B" w:rsidP="001D0DE3">
      <w:pPr>
        <w:autoSpaceDE w:val="0"/>
        <w:autoSpaceDN w:val="0"/>
        <w:adjustRightInd w:val="0"/>
        <w:spacing w:beforeLines="100" w:line="360" w:lineRule="auto"/>
        <w:jc w:val="left"/>
        <w:rPr>
          <w:rFonts w:eastAsiaTheme="minorEastAsia"/>
          <w:b/>
          <w:color w:val="000000" w:themeColor="text1"/>
          <w:kern w:val="0"/>
          <w:szCs w:val="21"/>
        </w:rPr>
      </w:pPr>
      <w:r w:rsidRPr="00FA621E">
        <w:rPr>
          <w:rFonts w:eastAsiaTheme="minorEastAsia"/>
          <w:b/>
          <w:color w:val="000000" w:themeColor="text1"/>
          <w:kern w:val="0"/>
          <w:szCs w:val="21"/>
        </w:rPr>
        <w:t xml:space="preserve">5.3 </w:t>
      </w:r>
      <w:r w:rsidRPr="00FA621E">
        <w:rPr>
          <w:rFonts w:eastAsiaTheme="minorEastAsia"/>
          <w:b/>
          <w:color w:val="000000" w:themeColor="text1"/>
          <w:kern w:val="0"/>
          <w:szCs w:val="21"/>
        </w:rPr>
        <w:t>报告期末按行业分类的股票投资组合</w:t>
      </w:r>
    </w:p>
    <w:p w:rsidR="0054389B" w:rsidRPr="00B459CD" w:rsidRDefault="0054389B" w:rsidP="0054389B">
      <w:pPr>
        <w:rPr>
          <w:b/>
        </w:rPr>
      </w:pPr>
      <w:r w:rsidRPr="00B459CD">
        <w:rPr>
          <w:rFonts w:eastAsiaTheme="minorEastAsia" w:hint="eastAsia"/>
          <w:b/>
          <w:color w:val="000000" w:themeColor="text1"/>
          <w:kern w:val="0"/>
          <w:szCs w:val="21"/>
        </w:rPr>
        <w:t>5.</w:t>
      </w:r>
      <w:r>
        <w:rPr>
          <w:rFonts w:eastAsiaTheme="minorEastAsia" w:hint="eastAsia"/>
          <w:b/>
          <w:color w:val="000000" w:themeColor="text1"/>
          <w:kern w:val="0"/>
          <w:szCs w:val="21"/>
        </w:rPr>
        <w:t>3</w:t>
      </w:r>
      <w:r w:rsidRPr="00B459CD">
        <w:rPr>
          <w:rFonts w:eastAsiaTheme="minorEastAsia" w:hint="eastAsia"/>
          <w:b/>
          <w:color w:val="000000" w:themeColor="text1"/>
          <w:kern w:val="0"/>
          <w:szCs w:val="21"/>
        </w:rPr>
        <w:t>.1</w:t>
      </w:r>
      <w:r w:rsidRPr="00B459CD">
        <w:rPr>
          <w:rFonts w:eastAsiaTheme="minorEastAsia" w:hint="eastAsia"/>
          <w:b/>
          <w:color w:val="000000" w:themeColor="text1"/>
          <w:kern w:val="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0"/>
        <w:gridCol w:w="3691"/>
        <w:gridCol w:w="3135"/>
        <w:gridCol w:w="1365"/>
      </w:tblGrid>
      <w:tr w:rsidR="00D3639B" w:rsidRPr="00D3639B"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占基金资产净值比例（％）</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D3639B" w:rsidRDefault="005F458B" w:rsidP="00724F6D">
            <w:pPr>
              <w:autoSpaceDE w:val="0"/>
              <w:autoSpaceDN w:val="0"/>
              <w:adjustRightInd w:val="0"/>
              <w:spacing w:before="29" w:line="360" w:lineRule="auto"/>
              <w:ind w:left="15"/>
              <w:jc w:val="right"/>
              <w:rPr>
                <w:rFonts w:eastAsiaTheme="minorEastAsia"/>
                <w:color w:val="000000" w:themeColor="text1"/>
                <w:szCs w:val="21"/>
              </w:rPr>
            </w:pPr>
            <w:r w:rsidRPr="00D3639B">
              <w:rPr>
                <w:rFonts w:eastAsiaTheme="minorEastAsia"/>
                <w:color w:val="000000" w:themeColor="text1"/>
                <w:szCs w:val="21"/>
              </w:rPr>
              <w:t>101,286.00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D3639B" w:rsidRDefault="005F458B" w:rsidP="00724F6D">
            <w:pPr>
              <w:autoSpaceDE w:val="0"/>
              <w:autoSpaceDN w:val="0"/>
              <w:adjustRightInd w:val="0"/>
              <w:spacing w:before="29" w:line="360" w:lineRule="auto"/>
              <w:ind w:left="15"/>
              <w:jc w:val="right"/>
              <w:rPr>
                <w:rFonts w:eastAsiaTheme="minorEastAsia"/>
                <w:color w:val="000000" w:themeColor="text1"/>
                <w:szCs w:val="21"/>
              </w:rPr>
            </w:pPr>
            <w:r w:rsidRPr="00D3639B">
              <w:rPr>
                <w:rFonts w:eastAsiaTheme="minorEastAsia"/>
                <w:color w:val="000000" w:themeColor="text1"/>
                <w:szCs w:val="21"/>
              </w:rPr>
              <w:t>0.68</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p w:rsidR="005F458B" w:rsidRPr="00D3639B" w:rsidRDefault="005F458B" w:rsidP="00724F6D">
            <w:pPr>
              <w:jc w:val="right"/>
              <w:rPr>
                <w:rFonts w:eastAsiaTheme="minorEastAsia"/>
                <w:color w:val="000000" w:themeColor="text1"/>
                <w:szCs w:val="21"/>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p w:rsidR="005F458B" w:rsidRPr="00D3639B" w:rsidRDefault="005F458B" w:rsidP="00724F6D">
            <w:pPr>
              <w:jc w:val="right"/>
              <w:rPr>
                <w:rFonts w:eastAsiaTheme="minorEastAsia"/>
                <w:color w:val="000000" w:themeColor="text1"/>
                <w:szCs w:val="21"/>
              </w:rPr>
            </w:pP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532,089.36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3.56</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724F6D">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r w:rsidRPr="00D3639B">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D3639B" w:rsidRDefault="005F458B" w:rsidP="00724F6D">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D3639B" w:rsidRDefault="005F458B" w:rsidP="00975D18">
            <w:pPr>
              <w:adjustRightInd w:val="0"/>
              <w:snapToGrid w:val="0"/>
              <w:spacing w:line="400" w:lineRule="exact"/>
              <w:rPr>
                <w:rFonts w:eastAsiaTheme="minorEastAsia"/>
                <w:color w:val="000000" w:themeColor="text1"/>
                <w:szCs w:val="21"/>
              </w:rPr>
            </w:pPr>
            <w:r w:rsidRPr="00D3639B">
              <w:rPr>
                <w:rFonts w:eastAsiaTheme="minorEastAsia"/>
                <w:color w:val="000000" w:themeColor="text1"/>
                <w:szCs w:val="21"/>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633,375.36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D3639B" w:rsidRDefault="005F458B" w:rsidP="00724F6D">
            <w:pPr>
              <w:jc w:val="right"/>
              <w:rPr>
                <w:rFonts w:eastAsiaTheme="minorEastAsia"/>
                <w:color w:val="000000" w:themeColor="text1"/>
                <w:szCs w:val="21"/>
              </w:rPr>
            </w:pPr>
            <w:r w:rsidRPr="00D3639B">
              <w:rPr>
                <w:rFonts w:eastAsiaTheme="minorEastAsia"/>
                <w:color w:val="000000" w:themeColor="text1"/>
                <w:szCs w:val="21"/>
              </w:rPr>
              <w:t>4.23</w:t>
            </w:r>
          </w:p>
        </w:tc>
      </w:tr>
    </w:tbl>
    <w:p w:rsidR="0054389B" w:rsidRPr="00B459CD" w:rsidRDefault="0054389B" w:rsidP="0054389B">
      <w:pPr>
        <w:jc w:val="left"/>
        <w:rPr>
          <w:b/>
        </w:rPr>
      </w:pPr>
      <w:r w:rsidRPr="0054389B">
        <w:rPr>
          <w:rFonts w:asciiTheme="minorEastAsia" w:eastAsiaTheme="minorEastAsia" w:hAnsiTheme="minorEastAsia" w:hint="eastAsia"/>
          <w:b/>
          <w:kern w:val="0"/>
          <w:szCs w:val="21"/>
        </w:rPr>
        <w:t>5.3.2</w:t>
      </w:r>
      <w:r w:rsidR="00C7619D">
        <w:rPr>
          <w:rFonts w:asciiTheme="minorEastAsia" w:eastAsiaTheme="minorEastAsia" w:hAnsiTheme="minorEastAsia" w:hint="eastAsia"/>
          <w:b/>
          <w:szCs w:val="21"/>
        </w:rPr>
        <w:t>报告期末按行业分类的港股通</w:t>
      </w:r>
      <w:r w:rsidRPr="0054389B">
        <w:rPr>
          <w:rFonts w:asciiTheme="minorEastAsia" w:eastAsiaTheme="minorEastAsia" w:hAnsiTheme="minorEastAsia" w:hint="eastAsia"/>
          <w:b/>
          <w:szCs w:val="21"/>
        </w:rPr>
        <w:t>投资股票投资组合</w:t>
      </w:r>
    </w:p>
    <w:p w:rsidR="0054389B" w:rsidRPr="0054389B" w:rsidRDefault="0054389B" w:rsidP="0054389B">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本基金本报告期末未持有通过港股通投资的股票。</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w:t>
      </w:r>
      <w:r w:rsidR="0040218E" w:rsidRPr="00D3639B">
        <w:rPr>
          <w:rFonts w:eastAsiaTheme="minorEastAsia"/>
          <w:b/>
          <w:color w:val="000000" w:themeColor="text1"/>
          <w:kern w:val="0"/>
          <w:szCs w:val="21"/>
        </w:rPr>
        <w:t>4</w:t>
      </w:r>
      <w:r w:rsidRPr="00D3639B">
        <w:rPr>
          <w:rFonts w:eastAsiaTheme="minorEastAsia"/>
          <w:b/>
          <w:color w:val="000000" w:themeColor="text1"/>
          <w:kern w:val="0"/>
          <w:szCs w:val="21"/>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276"/>
        <w:gridCol w:w="1842"/>
        <w:gridCol w:w="1616"/>
      </w:tblGrid>
      <w:tr w:rsidR="00D3639B" w:rsidRPr="00D3639B" w:rsidTr="00975D18">
        <w:tc>
          <w:tcPr>
            <w:tcW w:w="817" w:type="dxa"/>
            <w:vAlign w:val="center"/>
          </w:tcPr>
          <w:p w:rsidR="000871DB" w:rsidRPr="00D3639B" w:rsidRDefault="000871DB" w:rsidP="000871DB">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序号</w:t>
            </w:r>
          </w:p>
        </w:tc>
        <w:tc>
          <w:tcPr>
            <w:tcW w:w="1276" w:type="dxa"/>
            <w:vAlign w:val="center"/>
          </w:tcPr>
          <w:p w:rsidR="000871DB" w:rsidRPr="00D3639B" w:rsidRDefault="000871DB" w:rsidP="000871DB">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股票代码</w:t>
            </w:r>
          </w:p>
        </w:tc>
        <w:tc>
          <w:tcPr>
            <w:tcW w:w="1701" w:type="dxa"/>
            <w:vAlign w:val="center"/>
          </w:tcPr>
          <w:p w:rsidR="000871DB" w:rsidRPr="00D3639B" w:rsidRDefault="000871DB" w:rsidP="000871DB">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股票名称</w:t>
            </w:r>
          </w:p>
        </w:tc>
        <w:tc>
          <w:tcPr>
            <w:tcW w:w="1276" w:type="dxa"/>
            <w:vAlign w:val="center"/>
          </w:tcPr>
          <w:p w:rsidR="000871DB" w:rsidRPr="00D3639B" w:rsidRDefault="000871DB" w:rsidP="000871DB">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数量</w:t>
            </w:r>
            <w:r w:rsidRPr="00D3639B">
              <w:rPr>
                <w:rFonts w:eastAsiaTheme="minorEastAsia"/>
                <w:color w:val="000000" w:themeColor="text1"/>
                <w:szCs w:val="21"/>
              </w:rPr>
              <w:t>(</w:t>
            </w:r>
            <w:r w:rsidRPr="00D3639B">
              <w:rPr>
                <w:rFonts w:eastAsiaTheme="minorEastAsia"/>
                <w:color w:val="000000" w:themeColor="text1"/>
                <w:szCs w:val="21"/>
              </w:rPr>
              <w:t>股</w:t>
            </w:r>
            <w:r w:rsidRPr="00D3639B">
              <w:rPr>
                <w:rFonts w:eastAsiaTheme="minorEastAsia"/>
                <w:color w:val="000000" w:themeColor="text1"/>
                <w:szCs w:val="21"/>
              </w:rPr>
              <w:t>)</w:t>
            </w:r>
          </w:p>
        </w:tc>
        <w:tc>
          <w:tcPr>
            <w:tcW w:w="1842" w:type="dxa"/>
            <w:vAlign w:val="center"/>
          </w:tcPr>
          <w:p w:rsidR="000871DB" w:rsidRPr="00D3639B" w:rsidRDefault="000871DB" w:rsidP="000871DB">
            <w:pPr>
              <w:autoSpaceDE w:val="0"/>
              <w:autoSpaceDN w:val="0"/>
              <w:adjustRightInd w:val="0"/>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公允价值</w:t>
            </w:r>
            <w:r w:rsidRPr="00D3639B">
              <w:rPr>
                <w:rFonts w:eastAsiaTheme="minorEastAsia"/>
                <w:color w:val="000000" w:themeColor="text1"/>
                <w:szCs w:val="21"/>
              </w:rPr>
              <w:t>(</w:t>
            </w:r>
            <w:r w:rsidRPr="00D3639B">
              <w:rPr>
                <w:rFonts w:eastAsiaTheme="minorEastAsia"/>
                <w:color w:val="000000" w:themeColor="text1"/>
                <w:szCs w:val="21"/>
              </w:rPr>
              <w:t>元</w:t>
            </w:r>
            <w:r w:rsidRPr="00D3639B">
              <w:rPr>
                <w:rFonts w:eastAsiaTheme="minorEastAsia"/>
                <w:color w:val="000000" w:themeColor="text1"/>
                <w:szCs w:val="21"/>
              </w:rPr>
              <w:t>)</w:t>
            </w:r>
          </w:p>
        </w:tc>
        <w:tc>
          <w:tcPr>
            <w:tcW w:w="1616" w:type="dxa"/>
            <w:vAlign w:val="center"/>
          </w:tcPr>
          <w:p w:rsidR="000871DB" w:rsidRPr="00D3639B" w:rsidRDefault="000871DB" w:rsidP="000871DB">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占基金资产净值比例</w:t>
            </w:r>
            <w:r w:rsidRPr="00D3639B">
              <w:rPr>
                <w:rFonts w:eastAsiaTheme="minorEastAsia"/>
                <w:color w:val="000000" w:themeColor="text1"/>
                <w:szCs w:val="21"/>
              </w:rPr>
              <w:t>(</w:t>
            </w:r>
            <w:r w:rsidRPr="00D3639B">
              <w:rPr>
                <w:rFonts w:eastAsiaTheme="minorEastAsia"/>
                <w:color w:val="000000" w:themeColor="text1"/>
                <w:szCs w:val="21"/>
              </w:rPr>
              <w:t>％</w:t>
            </w:r>
            <w:r w:rsidRPr="00D3639B">
              <w:rPr>
                <w:rFonts w:eastAsiaTheme="minorEastAsia"/>
                <w:color w:val="000000" w:themeColor="text1"/>
                <w:szCs w:val="21"/>
              </w:rPr>
              <w:t>)</w:t>
            </w:r>
          </w:p>
        </w:tc>
      </w:tr>
      <w:tr w:rsidR="008C5FCF">
        <w:tc>
          <w:tcPr>
            <w:tcW w:w="817" w:type="dxa"/>
            <w:vAlign w:val="center"/>
          </w:tcPr>
          <w:p w:rsidR="008C5FCF" w:rsidRDefault="001D0DE3">
            <w:pPr>
              <w:jc w:val="center"/>
            </w:pPr>
            <w:r>
              <w:rPr>
                <w:rFonts w:eastAsiaTheme="minorEastAsia"/>
                <w:color w:val="000000" w:themeColor="text1"/>
                <w:szCs w:val="21"/>
              </w:rPr>
              <w:t>1</w:t>
            </w:r>
          </w:p>
        </w:tc>
        <w:tc>
          <w:tcPr>
            <w:tcW w:w="1276" w:type="dxa"/>
            <w:vAlign w:val="center"/>
          </w:tcPr>
          <w:p w:rsidR="008C5FCF" w:rsidRDefault="001D0DE3">
            <w:pPr>
              <w:jc w:val="center"/>
            </w:pPr>
            <w:r>
              <w:rPr>
                <w:rFonts w:eastAsiaTheme="minorEastAsia"/>
                <w:color w:val="000000" w:themeColor="text1"/>
                <w:szCs w:val="21"/>
              </w:rPr>
              <w:t>002450</w:t>
            </w:r>
          </w:p>
        </w:tc>
        <w:tc>
          <w:tcPr>
            <w:tcW w:w="1701" w:type="dxa"/>
            <w:vAlign w:val="center"/>
          </w:tcPr>
          <w:p w:rsidR="008C5FCF" w:rsidRDefault="001D0DE3">
            <w:pPr>
              <w:jc w:val="center"/>
            </w:pPr>
            <w:r>
              <w:rPr>
                <w:rFonts w:eastAsiaTheme="minorEastAsia"/>
                <w:color w:val="000000" w:themeColor="text1"/>
                <w:szCs w:val="21"/>
              </w:rPr>
              <w:t>康得新</w:t>
            </w:r>
          </w:p>
        </w:tc>
        <w:tc>
          <w:tcPr>
            <w:tcW w:w="1276" w:type="dxa"/>
            <w:vAlign w:val="center"/>
          </w:tcPr>
          <w:p w:rsidR="008C5FCF" w:rsidRDefault="001D0DE3">
            <w:pPr>
              <w:jc w:val="right"/>
            </w:pPr>
            <w:r>
              <w:rPr>
                <w:rFonts w:eastAsiaTheme="minorEastAsia"/>
                <w:color w:val="000000" w:themeColor="text1"/>
                <w:szCs w:val="21"/>
              </w:rPr>
              <w:t>15,400</w:t>
            </w:r>
          </w:p>
        </w:tc>
        <w:tc>
          <w:tcPr>
            <w:tcW w:w="1842" w:type="dxa"/>
            <w:vAlign w:val="center"/>
          </w:tcPr>
          <w:p w:rsidR="008C5FCF" w:rsidRDefault="001D0DE3">
            <w:pPr>
              <w:jc w:val="right"/>
            </w:pPr>
            <w:r>
              <w:rPr>
                <w:rFonts w:eastAsiaTheme="minorEastAsia"/>
                <w:color w:val="000000" w:themeColor="text1"/>
                <w:szCs w:val="21"/>
              </w:rPr>
              <w:t>261,954.00</w:t>
            </w:r>
          </w:p>
        </w:tc>
        <w:tc>
          <w:tcPr>
            <w:tcW w:w="1616" w:type="dxa"/>
            <w:vAlign w:val="center"/>
          </w:tcPr>
          <w:p w:rsidR="008C5FCF" w:rsidRDefault="001D0DE3">
            <w:pPr>
              <w:jc w:val="right"/>
            </w:pPr>
            <w:r>
              <w:rPr>
                <w:rFonts w:eastAsiaTheme="minorEastAsia"/>
                <w:color w:val="000000" w:themeColor="text1"/>
                <w:szCs w:val="21"/>
              </w:rPr>
              <w:t>1.75</w:t>
            </w:r>
          </w:p>
        </w:tc>
      </w:tr>
      <w:tr w:rsidR="008C5FCF">
        <w:tc>
          <w:tcPr>
            <w:tcW w:w="817" w:type="dxa"/>
            <w:vAlign w:val="center"/>
          </w:tcPr>
          <w:p w:rsidR="008C5FCF" w:rsidRDefault="001D0DE3">
            <w:pPr>
              <w:jc w:val="center"/>
            </w:pPr>
            <w:r>
              <w:rPr>
                <w:rFonts w:eastAsiaTheme="minorEastAsia"/>
                <w:color w:val="000000" w:themeColor="text1"/>
                <w:szCs w:val="21"/>
              </w:rPr>
              <w:t>2</w:t>
            </w:r>
          </w:p>
        </w:tc>
        <w:tc>
          <w:tcPr>
            <w:tcW w:w="1276" w:type="dxa"/>
            <w:vAlign w:val="center"/>
          </w:tcPr>
          <w:p w:rsidR="008C5FCF" w:rsidRDefault="001D0DE3">
            <w:pPr>
              <w:jc w:val="center"/>
            </w:pPr>
            <w:r>
              <w:rPr>
                <w:rFonts w:eastAsiaTheme="minorEastAsia"/>
                <w:color w:val="000000" w:themeColor="text1"/>
                <w:szCs w:val="21"/>
              </w:rPr>
              <w:t>002408</w:t>
            </w:r>
          </w:p>
        </w:tc>
        <w:tc>
          <w:tcPr>
            <w:tcW w:w="1701" w:type="dxa"/>
            <w:vAlign w:val="center"/>
          </w:tcPr>
          <w:p w:rsidR="008C5FCF" w:rsidRDefault="001D0DE3">
            <w:pPr>
              <w:jc w:val="center"/>
            </w:pPr>
            <w:r>
              <w:rPr>
                <w:rFonts w:eastAsiaTheme="minorEastAsia"/>
                <w:color w:val="000000" w:themeColor="text1"/>
                <w:szCs w:val="21"/>
              </w:rPr>
              <w:t>齐翔腾达</w:t>
            </w:r>
          </w:p>
        </w:tc>
        <w:tc>
          <w:tcPr>
            <w:tcW w:w="1276" w:type="dxa"/>
            <w:vAlign w:val="center"/>
          </w:tcPr>
          <w:p w:rsidR="008C5FCF" w:rsidRDefault="001D0DE3">
            <w:pPr>
              <w:jc w:val="right"/>
            </w:pPr>
            <w:r>
              <w:rPr>
                <w:rFonts w:eastAsiaTheme="minorEastAsia"/>
                <w:color w:val="000000" w:themeColor="text1"/>
                <w:szCs w:val="21"/>
              </w:rPr>
              <w:t>10,200</w:t>
            </w:r>
          </w:p>
        </w:tc>
        <w:tc>
          <w:tcPr>
            <w:tcW w:w="1842" w:type="dxa"/>
            <w:vAlign w:val="center"/>
          </w:tcPr>
          <w:p w:rsidR="008C5FCF" w:rsidRDefault="001D0DE3">
            <w:pPr>
              <w:jc w:val="right"/>
            </w:pPr>
            <w:r>
              <w:rPr>
                <w:rFonts w:eastAsiaTheme="minorEastAsia"/>
                <w:color w:val="000000" w:themeColor="text1"/>
                <w:szCs w:val="21"/>
              </w:rPr>
              <w:t>125,256.00</w:t>
            </w:r>
          </w:p>
        </w:tc>
        <w:tc>
          <w:tcPr>
            <w:tcW w:w="1616" w:type="dxa"/>
            <w:vAlign w:val="center"/>
          </w:tcPr>
          <w:p w:rsidR="008C5FCF" w:rsidRDefault="001D0DE3">
            <w:pPr>
              <w:jc w:val="right"/>
            </w:pPr>
            <w:r>
              <w:rPr>
                <w:rFonts w:eastAsiaTheme="minorEastAsia"/>
                <w:color w:val="000000" w:themeColor="text1"/>
                <w:szCs w:val="21"/>
              </w:rPr>
              <w:t>0.84</w:t>
            </w:r>
          </w:p>
        </w:tc>
      </w:tr>
      <w:tr w:rsidR="008C5FCF">
        <w:tc>
          <w:tcPr>
            <w:tcW w:w="817" w:type="dxa"/>
            <w:vAlign w:val="center"/>
          </w:tcPr>
          <w:p w:rsidR="008C5FCF" w:rsidRDefault="001D0DE3">
            <w:pPr>
              <w:jc w:val="center"/>
            </w:pPr>
            <w:r>
              <w:rPr>
                <w:rFonts w:eastAsiaTheme="minorEastAsia"/>
                <w:color w:val="000000" w:themeColor="text1"/>
                <w:szCs w:val="21"/>
              </w:rPr>
              <w:t>3</w:t>
            </w:r>
          </w:p>
        </w:tc>
        <w:tc>
          <w:tcPr>
            <w:tcW w:w="1276" w:type="dxa"/>
            <w:vAlign w:val="center"/>
          </w:tcPr>
          <w:p w:rsidR="008C5FCF" w:rsidRDefault="001D0DE3">
            <w:pPr>
              <w:jc w:val="center"/>
            </w:pPr>
            <w:r>
              <w:rPr>
                <w:rFonts w:eastAsiaTheme="minorEastAsia"/>
                <w:color w:val="000000" w:themeColor="text1"/>
                <w:szCs w:val="21"/>
              </w:rPr>
              <w:t>601118</w:t>
            </w:r>
          </w:p>
        </w:tc>
        <w:tc>
          <w:tcPr>
            <w:tcW w:w="1701" w:type="dxa"/>
            <w:vAlign w:val="center"/>
          </w:tcPr>
          <w:p w:rsidR="008C5FCF" w:rsidRDefault="001D0DE3">
            <w:pPr>
              <w:jc w:val="center"/>
            </w:pPr>
            <w:r>
              <w:rPr>
                <w:rFonts w:eastAsiaTheme="minorEastAsia"/>
                <w:color w:val="000000" w:themeColor="text1"/>
                <w:szCs w:val="21"/>
              </w:rPr>
              <w:t>海南橡胶</w:t>
            </w:r>
          </w:p>
        </w:tc>
        <w:tc>
          <w:tcPr>
            <w:tcW w:w="1276" w:type="dxa"/>
            <w:vAlign w:val="center"/>
          </w:tcPr>
          <w:p w:rsidR="008C5FCF" w:rsidRDefault="001D0DE3">
            <w:pPr>
              <w:jc w:val="right"/>
            </w:pPr>
            <w:r>
              <w:rPr>
                <w:rFonts w:eastAsiaTheme="minorEastAsia"/>
                <w:color w:val="000000" w:themeColor="text1"/>
                <w:szCs w:val="21"/>
              </w:rPr>
              <w:t>15,300</w:t>
            </w:r>
          </w:p>
        </w:tc>
        <w:tc>
          <w:tcPr>
            <w:tcW w:w="1842" w:type="dxa"/>
            <w:vAlign w:val="center"/>
          </w:tcPr>
          <w:p w:rsidR="008C5FCF" w:rsidRDefault="001D0DE3">
            <w:pPr>
              <w:jc w:val="right"/>
            </w:pPr>
            <w:r>
              <w:rPr>
                <w:rFonts w:eastAsiaTheme="minorEastAsia"/>
                <w:color w:val="000000" w:themeColor="text1"/>
                <w:szCs w:val="21"/>
              </w:rPr>
              <w:t>101,286.00</w:t>
            </w:r>
          </w:p>
        </w:tc>
        <w:tc>
          <w:tcPr>
            <w:tcW w:w="1616" w:type="dxa"/>
            <w:vAlign w:val="center"/>
          </w:tcPr>
          <w:p w:rsidR="008C5FCF" w:rsidRDefault="001D0DE3">
            <w:pPr>
              <w:jc w:val="right"/>
            </w:pPr>
            <w:r>
              <w:rPr>
                <w:rFonts w:eastAsiaTheme="minorEastAsia"/>
                <w:color w:val="000000" w:themeColor="text1"/>
                <w:szCs w:val="21"/>
              </w:rPr>
              <w:t>0.68</w:t>
            </w:r>
          </w:p>
        </w:tc>
      </w:tr>
      <w:tr w:rsidR="008C5FCF">
        <w:tc>
          <w:tcPr>
            <w:tcW w:w="817" w:type="dxa"/>
            <w:vAlign w:val="center"/>
          </w:tcPr>
          <w:p w:rsidR="008C5FCF" w:rsidRDefault="001D0DE3">
            <w:pPr>
              <w:jc w:val="center"/>
            </w:pPr>
            <w:r>
              <w:rPr>
                <w:rFonts w:eastAsiaTheme="minorEastAsia"/>
                <w:color w:val="000000" w:themeColor="text1"/>
                <w:szCs w:val="21"/>
              </w:rPr>
              <w:t>4</w:t>
            </w:r>
          </w:p>
        </w:tc>
        <w:tc>
          <w:tcPr>
            <w:tcW w:w="1276" w:type="dxa"/>
            <w:vAlign w:val="center"/>
          </w:tcPr>
          <w:p w:rsidR="008C5FCF" w:rsidRDefault="001D0DE3">
            <w:pPr>
              <w:jc w:val="center"/>
            </w:pPr>
            <w:r>
              <w:rPr>
                <w:rFonts w:eastAsiaTheme="minorEastAsia"/>
                <w:color w:val="000000" w:themeColor="text1"/>
                <w:szCs w:val="21"/>
              </w:rPr>
              <w:t>600226</w:t>
            </w:r>
          </w:p>
        </w:tc>
        <w:tc>
          <w:tcPr>
            <w:tcW w:w="1701" w:type="dxa"/>
            <w:vAlign w:val="center"/>
          </w:tcPr>
          <w:p w:rsidR="008C5FCF" w:rsidRDefault="001D0DE3">
            <w:pPr>
              <w:jc w:val="center"/>
            </w:pPr>
            <w:r>
              <w:rPr>
                <w:rFonts w:eastAsiaTheme="minorEastAsia"/>
                <w:color w:val="000000" w:themeColor="text1"/>
                <w:szCs w:val="21"/>
              </w:rPr>
              <w:t>瀚叶股份</w:t>
            </w:r>
          </w:p>
        </w:tc>
        <w:tc>
          <w:tcPr>
            <w:tcW w:w="1276" w:type="dxa"/>
            <w:vAlign w:val="center"/>
          </w:tcPr>
          <w:p w:rsidR="008C5FCF" w:rsidRDefault="001D0DE3">
            <w:pPr>
              <w:jc w:val="right"/>
            </w:pPr>
            <w:r>
              <w:rPr>
                <w:rFonts w:eastAsiaTheme="minorEastAsia"/>
                <w:color w:val="000000" w:themeColor="text1"/>
                <w:szCs w:val="21"/>
              </w:rPr>
              <w:t>18,700</w:t>
            </w:r>
          </w:p>
        </w:tc>
        <w:tc>
          <w:tcPr>
            <w:tcW w:w="1842" w:type="dxa"/>
            <w:vAlign w:val="center"/>
          </w:tcPr>
          <w:p w:rsidR="008C5FCF" w:rsidRDefault="001D0DE3">
            <w:pPr>
              <w:jc w:val="right"/>
            </w:pPr>
            <w:r>
              <w:rPr>
                <w:rFonts w:eastAsiaTheme="minorEastAsia"/>
                <w:color w:val="000000" w:themeColor="text1"/>
                <w:szCs w:val="21"/>
              </w:rPr>
              <w:t>85,272.00</w:t>
            </w:r>
          </w:p>
        </w:tc>
        <w:tc>
          <w:tcPr>
            <w:tcW w:w="1616" w:type="dxa"/>
            <w:vAlign w:val="center"/>
          </w:tcPr>
          <w:p w:rsidR="008C5FCF" w:rsidRDefault="001D0DE3">
            <w:pPr>
              <w:jc w:val="right"/>
            </w:pPr>
            <w:r>
              <w:rPr>
                <w:rFonts w:eastAsiaTheme="minorEastAsia"/>
                <w:color w:val="000000" w:themeColor="text1"/>
                <w:szCs w:val="21"/>
              </w:rPr>
              <w:t>0.57</w:t>
            </w:r>
          </w:p>
        </w:tc>
      </w:tr>
      <w:tr w:rsidR="008C5FCF">
        <w:tc>
          <w:tcPr>
            <w:tcW w:w="817" w:type="dxa"/>
            <w:vAlign w:val="center"/>
          </w:tcPr>
          <w:p w:rsidR="008C5FCF" w:rsidRDefault="001D0DE3">
            <w:pPr>
              <w:jc w:val="center"/>
            </w:pPr>
            <w:r>
              <w:rPr>
                <w:rFonts w:eastAsiaTheme="minorEastAsia"/>
                <w:color w:val="000000" w:themeColor="text1"/>
                <w:szCs w:val="21"/>
              </w:rPr>
              <w:t>5</w:t>
            </w:r>
          </w:p>
        </w:tc>
        <w:tc>
          <w:tcPr>
            <w:tcW w:w="1276" w:type="dxa"/>
            <w:vAlign w:val="center"/>
          </w:tcPr>
          <w:p w:rsidR="008C5FCF" w:rsidRDefault="001D0DE3">
            <w:pPr>
              <w:jc w:val="center"/>
            </w:pPr>
            <w:r>
              <w:rPr>
                <w:rFonts w:eastAsiaTheme="minorEastAsia"/>
                <w:color w:val="000000" w:themeColor="text1"/>
                <w:szCs w:val="21"/>
              </w:rPr>
              <w:t>000545</w:t>
            </w:r>
          </w:p>
        </w:tc>
        <w:tc>
          <w:tcPr>
            <w:tcW w:w="1701" w:type="dxa"/>
            <w:vAlign w:val="center"/>
          </w:tcPr>
          <w:p w:rsidR="008C5FCF" w:rsidRDefault="001D0DE3">
            <w:pPr>
              <w:jc w:val="center"/>
            </w:pPr>
            <w:r>
              <w:rPr>
                <w:rFonts w:eastAsiaTheme="minorEastAsia"/>
                <w:color w:val="000000" w:themeColor="text1"/>
                <w:szCs w:val="21"/>
              </w:rPr>
              <w:t>金浦钛业</w:t>
            </w:r>
          </w:p>
        </w:tc>
        <w:tc>
          <w:tcPr>
            <w:tcW w:w="1276" w:type="dxa"/>
            <w:vAlign w:val="center"/>
          </w:tcPr>
          <w:p w:rsidR="008C5FCF" w:rsidRDefault="001D0DE3">
            <w:pPr>
              <w:jc w:val="right"/>
            </w:pPr>
            <w:r>
              <w:rPr>
                <w:rFonts w:eastAsiaTheme="minorEastAsia"/>
                <w:color w:val="000000" w:themeColor="text1"/>
                <w:szCs w:val="21"/>
              </w:rPr>
              <w:t>8,500</w:t>
            </w:r>
          </w:p>
        </w:tc>
        <w:tc>
          <w:tcPr>
            <w:tcW w:w="1842" w:type="dxa"/>
            <w:vAlign w:val="center"/>
          </w:tcPr>
          <w:p w:rsidR="008C5FCF" w:rsidRDefault="001D0DE3">
            <w:pPr>
              <w:jc w:val="right"/>
            </w:pPr>
            <w:r>
              <w:rPr>
                <w:rFonts w:eastAsiaTheme="minorEastAsia"/>
                <w:color w:val="000000" w:themeColor="text1"/>
                <w:szCs w:val="21"/>
              </w:rPr>
              <w:t>31,960.00</w:t>
            </w:r>
          </w:p>
        </w:tc>
        <w:tc>
          <w:tcPr>
            <w:tcW w:w="1616" w:type="dxa"/>
            <w:vAlign w:val="center"/>
          </w:tcPr>
          <w:p w:rsidR="008C5FCF" w:rsidRDefault="001D0DE3">
            <w:pPr>
              <w:jc w:val="right"/>
            </w:pPr>
            <w:r>
              <w:rPr>
                <w:rFonts w:eastAsiaTheme="minorEastAsia"/>
                <w:color w:val="000000" w:themeColor="text1"/>
                <w:szCs w:val="21"/>
              </w:rPr>
              <w:t>0.21</w:t>
            </w:r>
          </w:p>
        </w:tc>
      </w:tr>
      <w:tr w:rsidR="008C5FCF">
        <w:tc>
          <w:tcPr>
            <w:tcW w:w="817" w:type="dxa"/>
            <w:vAlign w:val="center"/>
          </w:tcPr>
          <w:p w:rsidR="008C5FCF" w:rsidRDefault="001D0DE3">
            <w:pPr>
              <w:jc w:val="center"/>
            </w:pPr>
            <w:r>
              <w:rPr>
                <w:rFonts w:eastAsiaTheme="minorEastAsia"/>
                <w:color w:val="000000" w:themeColor="text1"/>
                <w:szCs w:val="21"/>
              </w:rPr>
              <w:t>6</w:t>
            </w:r>
          </w:p>
        </w:tc>
        <w:tc>
          <w:tcPr>
            <w:tcW w:w="1276" w:type="dxa"/>
            <w:vAlign w:val="center"/>
          </w:tcPr>
          <w:p w:rsidR="008C5FCF" w:rsidRDefault="001D0DE3">
            <w:pPr>
              <w:jc w:val="center"/>
            </w:pPr>
            <w:r>
              <w:rPr>
                <w:rFonts w:eastAsiaTheme="minorEastAsia"/>
                <w:color w:val="000000" w:themeColor="text1"/>
                <w:szCs w:val="21"/>
              </w:rPr>
              <w:t>002226</w:t>
            </w:r>
          </w:p>
        </w:tc>
        <w:tc>
          <w:tcPr>
            <w:tcW w:w="1701" w:type="dxa"/>
            <w:vAlign w:val="center"/>
          </w:tcPr>
          <w:p w:rsidR="008C5FCF" w:rsidRDefault="001D0DE3">
            <w:pPr>
              <w:jc w:val="center"/>
            </w:pPr>
            <w:r>
              <w:rPr>
                <w:rFonts w:eastAsiaTheme="minorEastAsia"/>
                <w:color w:val="000000" w:themeColor="text1"/>
                <w:szCs w:val="21"/>
              </w:rPr>
              <w:t>江南化工</w:t>
            </w:r>
          </w:p>
        </w:tc>
        <w:tc>
          <w:tcPr>
            <w:tcW w:w="1276" w:type="dxa"/>
            <w:vAlign w:val="center"/>
          </w:tcPr>
          <w:p w:rsidR="008C5FCF" w:rsidRDefault="001D0DE3">
            <w:pPr>
              <w:jc w:val="right"/>
            </w:pPr>
            <w:r>
              <w:rPr>
                <w:rFonts w:eastAsiaTheme="minorEastAsia"/>
                <w:color w:val="000000" w:themeColor="text1"/>
                <w:szCs w:val="21"/>
              </w:rPr>
              <w:t>5,100</w:t>
            </w:r>
          </w:p>
        </w:tc>
        <w:tc>
          <w:tcPr>
            <w:tcW w:w="1842" w:type="dxa"/>
            <w:vAlign w:val="center"/>
          </w:tcPr>
          <w:p w:rsidR="008C5FCF" w:rsidRDefault="001D0DE3">
            <w:pPr>
              <w:jc w:val="right"/>
            </w:pPr>
            <w:r>
              <w:rPr>
                <w:rFonts w:eastAsiaTheme="minorEastAsia"/>
                <w:color w:val="000000" w:themeColor="text1"/>
                <w:szCs w:val="21"/>
              </w:rPr>
              <w:t>27,642.00</w:t>
            </w:r>
          </w:p>
        </w:tc>
        <w:tc>
          <w:tcPr>
            <w:tcW w:w="1616" w:type="dxa"/>
            <w:vAlign w:val="center"/>
          </w:tcPr>
          <w:p w:rsidR="008C5FCF" w:rsidRDefault="001D0DE3">
            <w:pPr>
              <w:jc w:val="right"/>
            </w:pPr>
            <w:r>
              <w:rPr>
                <w:rFonts w:eastAsiaTheme="minorEastAsia"/>
                <w:color w:val="000000" w:themeColor="text1"/>
                <w:szCs w:val="21"/>
              </w:rPr>
              <w:t>0.18</w:t>
            </w:r>
          </w:p>
        </w:tc>
      </w:tr>
      <w:tr w:rsidR="008C5FCF">
        <w:tc>
          <w:tcPr>
            <w:tcW w:w="817" w:type="dxa"/>
            <w:vAlign w:val="center"/>
          </w:tcPr>
          <w:p w:rsidR="008C5FCF" w:rsidRDefault="001D0DE3">
            <w:pPr>
              <w:jc w:val="center"/>
            </w:pPr>
            <w:r>
              <w:rPr>
                <w:rFonts w:eastAsiaTheme="minorEastAsia"/>
                <w:color w:val="000000" w:themeColor="text1"/>
                <w:szCs w:val="21"/>
              </w:rPr>
              <w:t>7</w:t>
            </w:r>
          </w:p>
        </w:tc>
        <w:tc>
          <w:tcPr>
            <w:tcW w:w="1276" w:type="dxa"/>
            <w:vAlign w:val="center"/>
          </w:tcPr>
          <w:p w:rsidR="008C5FCF" w:rsidRDefault="001D0DE3">
            <w:pPr>
              <w:jc w:val="center"/>
            </w:pPr>
            <w:r>
              <w:rPr>
                <w:rFonts w:eastAsiaTheme="minorEastAsia"/>
                <w:color w:val="000000" w:themeColor="text1"/>
                <w:szCs w:val="21"/>
              </w:rPr>
              <w:t>600844</w:t>
            </w:r>
          </w:p>
        </w:tc>
        <w:tc>
          <w:tcPr>
            <w:tcW w:w="1701" w:type="dxa"/>
            <w:vAlign w:val="center"/>
          </w:tcPr>
          <w:p w:rsidR="008C5FCF" w:rsidRDefault="001D0DE3">
            <w:pPr>
              <w:jc w:val="center"/>
            </w:pPr>
            <w:r>
              <w:rPr>
                <w:rFonts w:eastAsiaTheme="minorEastAsia"/>
                <w:color w:val="000000" w:themeColor="text1"/>
                <w:szCs w:val="21"/>
              </w:rPr>
              <w:t>丹化科技</w:t>
            </w:r>
          </w:p>
        </w:tc>
        <w:tc>
          <w:tcPr>
            <w:tcW w:w="1276" w:type="dxa"/>
            <w:vAlign w:val="center"/>
          </w:tcPr>
          <w:p w:rsidR="008C5FCF" w:rsidRDefault="001D0DE3">
            <w:pPr>
              <w:jc w:val="right"/>
            </w:pPr>
            <w:r>
              <w:rPr>
                <w:rFonts w:eastAsiaTheme="minorEastAsia"/>
                <w:color w:val="000000" w:themeColor="text1"/>
                <w:szCs w:val="21"/>
              </w:rPr>
              <w:t>1</w:t>
            </w:r>
          </w:p>
        </w:tc>
        <w:tc>
          <w:tcPr>
            <w:tcW w:w="1842" w:type="dxa"/>
            <w:vAlign w:val="center"/>
          </w:tcPr>
          <w:p w:rsidR="008C5FCF" w:rsidRDefault="001D0DE3">
            <w:pPr>
              <w:jc w:val="right"/>
            </w:pPr>
            <w:r>
              <w:rPr>
                <w:rFonts w:eastAsiaTheme="minorEastAsia"/>
                <w:color w:val="000000" w:themeColor="text1"/>
                <w:szCs w:val="21"/>
              </w:rPr>
              <w:t>5.36</w:t>
            </w:r>
          </w:p>
        </w:tc>
        <w:tc>
          <w:tcPr>
            <w:tcW w:w="1616" w:type="dxa"/>
            <w:vAlign w:val="center"/>
          </w:tcPr>
          <w:p w:rsidR="008C5FCF" w:rsidRDefault="001D0DE3">
            <w:pPr>
              <w:jc w:val="right"/>
            </w:pPr>
            <w:r>
              <w:rPr>
                <w:rFonts w:eastAsiaTheme="minorEastAsia"/>
                <w:color w:val="000000" w:themeColor="text1"/>
                <w:szCs w:val="21"/>
              </w:rPr>
              <w:t>0.00</w:t>
            </w:r>
          </w:p>
        </w:tc>
      </w:tr>
    </w:tbl>
    <w:p w:rsidR="00F21B6D" w:rsidRPr="00FA621E"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w:t>
      </w:r>
      <w:r w:rsidR="0040218E" w:rsidRPr="00D3639B">
        <w:rPr>
          <w:rFonts w:eastAsiaTheme="minorEastAsia"/>
          <w:b/>
          <w:color w:val="000000" w:themeColor="text1"/>
          <w:kern w:val="0"/>
          <w:szCs w:val="21"/>
        </w:rPr>
        <w:t>5</w:t>
      </w:r>
      <w:r w:rsidRPr="00D3639B">
        <w:rPr>
          <w:rFonts w:eastAsiaTheme="minorEastAsia"/>
          <w:b/>
          <w:color w:val="000000" w:themeColor="text1"/>
          <w:kern w:val="0"/>
          <w:szCs w:val="21"/>
        </w:rPr>
        <w:t>报告期末按债券品种分类的债券投资组合</w:t>
      </w:r>
    </w:p>
    <w:p w:rsidR="009238DB" w:rsidRPr="00D3639B" w:rsidRDefault="00F21B6D" w:rsidP="00F21B6D">
      <w:pPr>
        <w:autoSpaceDE w:val="0"/>
        <w:autoSpaceDN w:val="0"/>
        <w:adjustRightInd w:val="0"/>
        <w:spacing w:line="360" w:lineRule="auto"/>
        <w:ind w:firstLineChars="200" w:firstLine="420"/>
        <w:jc w:val="left"/>
        <w:rPr>
          <w:rFonts w:eastAsiaTheme="minorEastAsia"/>
          <w:color w:val="000000" w:themeColor="text1"/>
          <w:szCs w:val="21"/>
        </w:rPr>
      </w:pPr>
      <w:r w:rsidRPr="00FA621E">
        <w:rPr>
          <w:rFonts w:eastAsiaTheme="minorEastAsia"/>
          <w:color w:val="000000" w:themeColor="text1"/>
          <w:szCs w:val="21"/>
        </w:rPr>
        <w:t>本基金本报告期末未持有债券。</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w:t>
      </w:r>
      <w:r w:rsidR="0040218E" w:rsidRPr="00D3639B">
        <w:rPr>
          <w:rFonts w:eastAsiaTheme="minorEastAsia"/>
          <w:b/>
          <w:color w:val="000000" w:themeColor="text1"/>
          <w:kern w:val="0"/>
          <w:szCs w:val="21"/>
        </w:rPr>
        <w:t>6</w:t>
      </w:r>
      <w:r w:rsidRPr="00D3639B">
        <w:rPr>
          <w:rFonts w:eastAsiaTheme="minorEastAsia"/>
          <w:b/>
          <w:color w:val="000000" w:themeColor="text1"/>
          <w:kern w:val="0"/>
          <w:szCs w:val="21"/>
        </w:rPr>
        <w:t>报告期末按公允价值占基金资产净值比例大小排</w:t>
      </w:r>
      <w:r w:rsidR="00E15FD1" w:rsidRPr="00D3639B">
        <w:rPr>
          <w:rFonts w:eastAsiaTheme="minorEastAsia"/>
          <w:b/>
          <w:color w:val="000000" w:themeColor="text1"/>
          <w:kern w:val="0"/>
          <w:szCs w:val="21"/>
        </w:rPr>
        <w:t>序</w:t>
      </w:r>
      <w:r w:rsidRPr="00D3639B">
        <w:rPr>
          <w:rFonts w:eastAsiaTheme="minorEastAsia"/>
          <w:b/>
          <w:color w:val="000000" w:themeColor="text1"/>
          <w:kern w:val="0"/>
          <w:szCs w:val="21"/>
        </w:rPr>
        <w:t>的前五名债券投资明细</w:t>
      </w:r>
    </w:p>
    <w:p w:rsidR="009238DB" w:rsidRPr="00D3639B" w:rsidRDefault="00296E4A"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本基金本报告期末未持有债券。</w:t>
      </w:r>
    </w:p>
    <w:p w:rsidR="009238DB" w:rsidRPr="00D3639B" w:rsidRDefault="009238DB"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w:t>
      </w:r>
      <w:r w:rsidR="0040218E" w:rsidRPr="00D3639B">
        <w:rPr>
          <w:rFonts w:eastAsiaTheme="minorEastAsia"/>
          <w:b/>
          <w:color w:val="000000" w:themeColor="text1"/>
          <w:kern w:val="0"/>
          <w:szCs w:val="21"/>
        </w:rPr>
        <w:t>7</w:t>
      </w:r>
      <w:r w:rsidRPr="00D3639B">
        <w:rPr>
          <w:rFonts w:eastAsiaTheme="minorEastAsia"/>
          <w:b/>
          <w:color w:val="000000" w:themeColor="text1"/>
          <w:kern w:val="0"/>
          <w:szCs w:val="21"/>
        </w:rPr>
        <w:t xml:space="preserve">　报告期末按公允价值占基金资产净值比例大小排</w:t>
      </w:r>
      <w:r w:rsidR="00E15FD1" w:rsidRPr="00D3639B">
        <w:rPr>
          <w:rFonts w:eastAsiaTheme="minorEastAsia"/>
          <w:b/>
          <w:color w:val="000000" w:themeColor="text1"/>
          <w:kern w:val="0"/>
          <w:szCs w:val="21"/>
        </w:rPr>
        <w:t>序</w:t>
      </w:r>
      <w:r w:rsidRPr="00D3639B">
        <w:rPr>
          <w:rFonts w:eastAsiaTheme="minorEastAsia"/>
          <w:b/>
          <w:color w:val="000000" w:themeColor="text1"/>
          <w:kern w:val="0"/>
          <w:szCs w:val="21"/>
        </w:rPr>
        <w:t>的前十名资产支持证券投资明细</w:t>
      </w:r>
    </w:p>
    <w:p w:rsidR="009238DB" w:rsidRPr="00D3639B" w:rsidRDefault="00C260A2"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本基金本报告期末未持有资产支持证券。</w:t>
      </w:r>
    </w:p>
    <w:p w:rsidR="00E15FD1" w:rsidRPr="00D3639B" w:rsidRDefault="00E15FD1" w:rsidP="001D0DE3">
      <w:pPr>
        <w:autoSpaceDE w:val="0"/>
        <w:autoSpaceDN w:val="0"/>
        <w:adjustRightInd w:val="0"/>
        <w:spacing w:beforeLines="100" w:line="360" w:lineRule="auto"/>
        <w:jc w:val="left"/>
        <w:rPr>
          <w:rFonts w:eastAsiaTheme="minorEastAsia"/>
          <w:b/>
          <w:bCs/>
          <w:color w:val="000000" w:themeColor="text1"/>
          <w:kern w:val="0"/>
          <w:szCs w:val="21"/>
        </w:rPr>
      </w:pPr>
      <w:r w:rsidRPr="00D3639B">
        <w:rPr>
          <w:rFonts w:eastAsiaTheme="minorEastAsia"/>
          <w:b/>
          <w:bCs/>
          <w:color w:val="000000" w:themeColor="text1"/>
          <w:kern w:val="0"/>
          <w:szCs w:val="21"/>
        </w:rPr>
        <w:t xml:space="preserve">5.8 </w:t>
      </w:r>
      <w:r w:rsidRPr="00D3639B">
        <w:rPr>
          <w:rFonts w:eastAsiaTheme="minorEastAsia"/>
          <w:b/>
          <w:bCs/>
          <w:color w:val="000000" w:themeColor="text1"/>
          <w:kern w:val="0"/>
          <w:szCs w:val="21"/>
        </w:rPr>
        <w:t>报告期末按公允价值占基金资产净值比例大小排序的前五名贵金属投资明细</w:t>
      </w:r>
    </w:p>
    <w:p w:rsidR="00E15FD1" w:rsidRPr="00D3639B" w:rsidRDefault="00E15FD1" w:rsidP="00975D18">
      <w:pPr>
        <w:widowControl/>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本基金本报告期末未持有贵金属。</w:t>
      </w:r>
    </w:p>
    <w:p w:rsidR="009238DB" w:rsidRPr="00D3639B" w:rsidRDefault="001D5CD0"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w:t>
      </w:r>
      <w:r w:rsidR="009238DB" w:rsidRPr="00D3639B">
        <w:rPr>
          <w:rFonts w:eastAsiaTheme="minorEastAsia"/>
          <w:b/>
          <w:color w:val="000000" w:themeColor="text1"/>
          <w:kern w:val="0"/>
          <w:szCs w:val="21"/>
        </w:rPr>
        <w:t>.</w:t>
      </w:r>
      <w:r w:rsidRPr="00D3639B">
        <w:rPr>
          <w:rFonts w:eastAsiaTheme="minorEastAsia"/>
          <w:b/>
          <w:color w:val="000000" w:themeColor="text1"/>
          <w:kern w:val="0"/>
          <w:szCs w:val="21"/>
        </w:rPr>
        <w:t>9</w:t>
      </w:r>
      <w:r w:rsidR="009238DB" w:rsidRPr="00D3639B">
        <w:rPr>
          <w:rFonts w:eastAsiaTheme="minorEastAsia"/>
          <w:b/>
          <w:color w:val="000000" w:themeColor="text1"/>
          <w:kern w:val="0"/>
          <w:szCs w:val="21"/>
        </w:rPr>
        <w:t>报告</w:t>
      </w:r>
      <w:r w:rsidR="009238DB" w:rsidRPr="00D3639B">
        <w:rPr>
          <w:rFonts w:eastAsiaTheme="minorEastAsia"/>
          <w:b/>
          <w:bCs/>
          <w:color w:val="000000" w:themeColor="text1"/>
          <w:kern w:val="0"/>
          <w:szCs w:val="21"/>
        </w:rPr>
        <w:t>期末</w:t>
      </w:r>
      <w:r w:rsidR="009238DB" w:rsidRPr="00D3639B">
        <w:rPr>
          <w:rFonts w:eastAsiaTheme="minorEastAsia"/>
          <w:b/>
          <w:color w:val="000000" w:themeColor="text1"/>
          <w:kern w:val="0"/>
          <w:szCs w:val="21"/>
        </w:rPr>
        <w:t>按公允价值占基金资产净值比例大小排</w:t>
      </w:r>
      <w:r w:rsidR="006B3FDB" w:rsidRPr="00D3639B">
        <w:rPr>
          <w:rFonts w:eastAsiaTheme="minorEastAsia"/>
          <w:b/>
          <w:color w:val="000000" w:themeColor="text1"/>
          <w:kern w:val="0"/>
          <w:szCs w:val="21"/>
        </w:rPr>
        <w:t>序</w:t>
      </w:r>
      <w:r w:rsidR="009238DB" w:rsidRPr="00D3639B">
        <w:rPr>
          <w:rFonts w:eastAsiaTheme="minorEastAsia"/>
          <w:b/>
          <w:color w:val="000000" w:themeColor="text1"/>
          <w:kern w:val="0"/>
          <w:szCs w:val="21"/>
        </w:rPr>
        <w:t>的前五名权证投资明细</w:t>
      </w:r>
    </w:p>
    <w:p w:rsidR="001D5CD0" w:rsidRPr="00D3639B" w:rsidRDefault="00C260A2"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本基金本报告期末未持有权证。</w:t>
      </w:r>
    </w:p>
    <w:p w:rsidR="001D5CD0" w:rsidRPr="00D3639B" w:rsidRDefault="001D5CD0" w:rsidP="001D0DE3">
      <w:pPr>
        <w:autoSpaceDE w:val="0"/>
        <w:autoSpaceDN w:val="0"/>
        <w:adjustRightInd w:val="0"/>
        <w:spacing w:beforeLines="100" w:line="360" w:lineRule="auto"/>
        <w:jc w:val="left"/>
        <w:rPr>
          <w:rFonts w:eastAsiaTheme="minorEastAsia"/>
          <w:b/>
          <w:color w:val="000000" w:themeColor="text1"/>
          <w:szCs w:val="21"/>
        </w:rPr>
      </w:pPr>
      <w:r w:rsidRPr="00D3639B">
        <w:rPr>
          <w:rFonts w:eastAsiaTheme="minorEastAsia"/>
          <w:b/>
          <w:color w:val="000000" w:themeColor="text1"/>
          <w:szCs w:val="21"/>
        </w:rPr>
        <w:t xml:space="preserve">5.10 </w:t>
      </w:r>
      <w:r w:rsidRPr="00D3639B">
        <w:rPr>
          <w:rFonts w:eastAsiaTheme="minorEastAsia"/>
          <w:b/>
          <w:color w:val="000000" w:themeColor="text1"/>
          <w:szCs w:val="21"/>
        </w:rPr>
        <w:t>报告期末本基金投资的股指期货交易情况说明</w:t>
      </w:r>
    </w:p>
    <w:p w:rsidR="008C5FCF" w:rsidRDefault="001D0D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）本基金本报告期末未持有股指期货。</w:t>
      </w:r>
      <w:r>
        <w:rPr>
          <w:rFonts w:eastAsiaTheme="minorEastAsia"/>
          <w:color w:val="000000" w:themeColor="text1"/>
          <w:szCs w:val="21"/>
        </w:rPr>
        <w:t xml:space="preserve"> </w:t>
      </w:r>
    </w:p>
    <w:p w:rsidR="001D5CD0" w:rsidRPr="00D3639B" w:rsidRDefault="001D5CD0"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w:t>
      </w:r>
      <w:r w:rsidRPr="00D3639B">
        <w:rPr>
          <w:rFonts w:eastAsiaTheme="minorEastAsia"/>
          <w:color w:val="000000" w:themeColor="text1"/>
          <w:szCs w:val="21"/>
        </w:rPr>
        <w:t>2</w:t>
      </w:r>
      <w:r w:rsidRPr="00D3639B">
        <w:rPr>
          <w:rFonts w:eastAsiaTheme="minorEastAsia"/>
          <w:color w:val="000000" w:themeColor="text1"/>
          <w:szCs w:val="21"/>
        </w:rPr>
        <w:t>）本基金本报告期内未进行股指期货交易。</w:t>
      </w:r>
    </w:p>
    <w:p w:rsidR="001D5CD0" w:rsidRPr="00D3639B" w:rsidRDefault="001D5CD0" w:rsidP="001D0DE3">
      <w:pPr>
        <w:adjustRightInd w:val="0"/>
        <w:snapToGrid w:val="0"/>
        <w:spacing w:beforeLines="100" w:line="360" w:lineRule="auto"/>
        <w:rPr>
          <w:rFonts w:eastAsiaTheme="minorEastAsia"/>
          <w:b/>
          <w:color w:val="000000" w:themeColor="text1"/>
          <w:szCs w:val="21"/>
        </w:rPr>
      </w:pPr>
      <w:r w:rsidRPr="00D3639B">
        <w:rPr>
          <w:rFonts w:eastAsiaTheme="minorEastAsia"/>
          <w:b/>
          <w:color w:val="000000" w:themeColor="text1"/>
          <w:szCs w:val="21"/>
        </w:rPr>
        <w:t>5.11</w:t>
      </w:r>
      <w:r w:rsidRPr="00D3639B">
        <w:rPr>
          <w:rFonts w:eastAsiaTheme="minorEastAsia"/>
          <w:b/>
          <w:color w:val="000000" w:themeColor="text1"/>
          <w:szCs w:val="21"/>
        </w:rPr>
        <w:t>报告期末本基金投资的国债期货交易情况说明</w:t>
      </w:r>
    </w:p>
    <w:p w:rsidR="008C5FCF" w:rsidRDefault="001D0D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）本基金本报告期末未持有国债期货。</w:t>
      </w:r>
    </w:p>
    <w:p w:rsidR="001D5CD0" w:rsidRPr="00D3639B" w:rsidRDefault="001D5CD0"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w:t>
      </w:r>
      <w:r w:rsidRPr="00D3639B">
        <w:rPr>
          <w:rFonts w:eastAsiaTheme="minorEastAsia"/>
          <w:color w:val="000000" w:themeColor="text1"/>
          <w:szCs w:val="21"/>
        </w:rPr>
        <w:t>2</w:t>
      </w:r>
      <w:r w:rsidRPr="00D3639B">
        <w:rPr>
          <w:rFonts w:eastAsiaTheme="minorEastAsia"/>
          <w:color w:val="000000" w:themeColor="text1"/>
          <w:szCs w:val="21"/>
        </w:rPr>
        <w:t>）本基金本报告期内未进行国债期货交易。</w:t>
      </w:r>
    </w:p>
    <w:p w:rsidR="001D5CD0" w:rsidRPr="00D3639B" w:rsidRDefault="001D5CD0"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5.12</w:t>
      </w:r>
      <w:r w:rsidRPr="00D3639B">
        <w:rPr>
          <w:rFonts w:eastAsiaTheme="minorEastAsia"/>
          <w:b/>
          <w:color w:val="000000" w:themeColor="text1"/>
          <w:kern w:val="0"/>
          <w:szCs w:val="21"/>
        </w:rPr>
        <w:t>投资组合报告附注</w:t>
      </w:r>
    </w:p>
    <w:p w:rsidR="000C3452" w:rsidRPr="00D3639B" w:rsidRDefault="000C3452" w:rsidP="000C3452">
      <w:pPr>
        <w:widowControl/>
        <w:spacing w:line="360" w:lineRule="auto"/>
        <w:rPr>
          <w:rFonts w:eastAsiaTheme="minorEastAsia"/>
          <w:color w:val="000000" w:themeColor="text1"/>
          <w:szCs w:val="21"/>
        </w:rPr>
      </w:pPr>
      <w:r w:rsidRPr="00D3639B">
        <w:rPr>
          <w:rFonts w:eastAsiaTheme="minorEastAsia"/>
          <w:color w:val="000000" w:themeColor="text1"/>
          <w:szCs w:val="21"/>
        </w:rPr>
        <w:t>5.12.1</w:t>
      </w:r>
      <w:r w:rsidRPr="00D3639B">
        <w:rPr>
          <w:rFonts w:eastAsiaTheme="minorEastAsia"/>
          <w:color w:val="000000" w:themeColor="text1"/>
          <w:szCs w:val="21"/>
        </w:rPr>
        <w:t>本基金投资的前十名证券的发行主体在本报告期内没有出现被监管部门立案调查，或在报告编制日前一年内受到公开谴责、处罚的情形。</w:t>
      </w:r>
    </w:p>
    <w:p w:rsidR="000C3452" w:rsidRPr="00D3639B" w:rsidRDefault="000C3452" w:rsidP="000C3452">
      <w:pPr>
        <w:widowControl/>
        <w:spacing w:line="360" w:lineRule="auto"/>
        <w:rPr>
          <w:rFonts w:eastAsiaTheme="minorEastAsia"/>
          <w:color w:val="000000" w:themeColor="text1"/>
          <w:szCs w:val="21"/>
        </w:rPr>
      </w:pPr>
      <w:r w:rsidRPr="00D3639B">
        <w:rPr>
          <w:rFonts w:eastAsiaTheme="minorEastAsia"/>
          <w:color w:val="000000" w:themeColor="text1"/>
          <w:szCs w:val="21"/>
        </w:rPr>
        <w:t>5.12.2</w:t>
      </w:r>
      <w:r w:rsidRPr="00D3639B">
        <w:rPr>
          <w:rFonts w:eastAsiaTheme="minorEastAsia"/>
          <w:color w:val="000000" w:themeColor="text1"/>
          <w:szCs w:val="21"/>
        </w:rPr>
        <w:t>报告期内本基金投资的前十名股票未超出基金合同规定的备选股票库。</w:t>
      </w:r>
    </w:p>
    <w:p w:rsidR="001D5CD0" w:rsidRPr="00D3639B" w:rsidRDefault="001D5CD0" w:rsidP="001D5CD0">
      <w:pPr>
        <w:autoSpaceDE w:val="0"/>
        <w:autoSpaceDN w:val="0"/>
        <w:adjustRightInd w:val="0"/>
        <w:spacing w:line="360" w:lineRule="auto"/>
        <w:rPr>
          <w:rFonts w:eastAsiaTheme="minorEastAsia"/>
          <w:b/>
          <w:color w:val="000000" w:themeColor="text1"/>
          <w:kern w:val="0"/>
          <w:szCs w:val="21"/>
        </w:rPr>
      </w:pPr>
      <w:r w:rsidRPr="00D3639B">
        <w:rPr>
          <w:rFonts w:eastAsiaTheme="minorEastAsia"/>
          <w:b/>
          <w:color w:val="000000" w:themeColor="text1"/>
          <w:kern w:val="0"/>
          <w:szCs w:val="21"/>
        </w:rPr>
        <w:t>5.12.3</w:t>
      </w:r>
      <w:r w:rsidRPr="00D3639B">
        <w:rPr>
          <w:rFonts w:eastAsiaTheme="minorEastAsia"/>
          <w:b/>
          <w:color w:val="000000" w:themeColor="text1"/>
          <w:kern w:val="0"/>
          <w:szCs w:val="21"/>
        </w:rPr>
        <w:t>其他各项资产构成</w:t>
      </w:r>
    </w:p>
    <w:tbl>
      <w:tblPr>
        <w:tblStyle w:val="af2"/>
        <w:tblW w:w="0" w:type="auto"/>
        <w:tblInd w:w="108" w:type="dxa"/>
        <w:tblLook w:val="04A0"/>
      </w:tblPr>
      <w:tblGrid>
        <w:gridCol w:w="944"/>
        <w:gridCol w:w="2761"/>
        <w:gridCol w:w="4808"/>
      </w:tblGrid>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7"/>
              <w:jc w:val="center"/>
              <w:rPr>
                <w:rFonts w:eastAsiaTheme="minorEastAsia"/>
                <w:color w:val="000000" w:themeColor="text1"/>
                <w:kern w:val="0"/>
                <w:szCs w:val="21"/>
              </w:rPr>
            </w:pPr>
            <w:r w:rsidRPr="00D3639B">
              <w:rPr>
                <w:rFonts w:eastAsiaTheme="minorEastAsia"/>
                <w:color w:val="000000" w:themeColor="text1"/>
                <w:kern w:val="0"/>
                <w:szCs w:val="21"/>
              </w:rPr>
              <w:t>序号</w:t>
            </w:r>
          </w:p>
        </w:tc>
        <w:tc>
          <w:tcPr>
            <w:tcW w:w="2761" w:type="dxa"/>
            <w:vAlign w:val="center"/>
          </w:tcPr>
          <w:p w:rsidR="001D5CD0" w:rsidRPr="00D3639B" w:rsidRDefault="001D5CD0" w:rsidP="00AE2AD2">
            <w:pPr>
              <w:autoSpaceDE w:val="0"/>
              <w:autoSpaceDN w:val="0"/>
              <w:adjustRightInd w:val="0"/>
              <w:spacing w:before="29" w:line="360" w:lineRule="auto"/>
              <w:ind w:left="17"/>
              <w:jc w:val="center"/>
              <w:rPr>
                <w:rFonts w:eastAsiaTheme="minorEastAsia"/>
                <w:color w:val="000000" w:themeColor="text1"/>
                <w:kern w:val="0"/>
                <w:szCs w:val="21"/>
              </w:rPr>
            </w:pPr>
            <w:r w:rsidRPr="00D3639B">
              <w:rPr>
                <w:rFonts w:eastAsiaTheme="minorEastAsia"/>
                <w:color w:val="000000" w:themeColor="text1"/>
                <w:kern w:val="0"/>
                <w:szCs w:val="21"/>
              </w:rPr>
              <w:t>名称</w:t>
            </w:r>
          </w:p>
        </w:tc>
        <w:tc>
          <w:tcPr>
            <w:tcW w:w="4808" w:type="dxa"/>
            <w:vAlign w:val="center"/>
          </w:tcPr>
          <w:p w:rsidR="001D5CD0" w:rsidRPr="00D3639B" w:rsidRDefault="001D5CD0" w:rsidP="00AE2AD2">
            <w:pPr>
              <w:autoSpaceDE w:val="0"/>
              <w:autoSpaceDN w:val="0"/>
              <w:adjustRightInd w:val="0"/>
              <w:spacing w:before="29" w:line="360" w:lineRule="auto"/>
              <w:ind w:left="17"/>
              <w:jc w:val="center"/>
              <w:rPr>
                <w:rFonts w:eastAsiaTheme="minorEastAsia"/>
                <w:color w:val="000000" w:themeColor="text1"/>
                <w:kern w:val="0"/>
                <w:szCs w:val="21"/>
              </w:rPr>
            </w:pPr>
            <w:r w:rsidRPr="00D3639B">
              <w:rPr>
                <w:rFonts w:eastAsiaTheme="minorEastAsia"/>
                <w:color w:val="000000" w:themeColor="text1"/>
                <w:kern w:val="0"/>
                <w:szCs w:val="21"/>
              </w:rPr>
              <w:t>金额</w:t>
            </w:r>
            <w:r w:rsidRPr="00D3639B">
              <w:rPr>
                <w:rFonts w:eastAsiaTheme="minorEastAsia"/>
                <w:color w:val="000000" w:themeColor="text1"/>
                <w:kern w:val="0"/>
                <w:szCs w:val="21"/>
              </w:rPr>
              <w:t>(</w:t>
            </w:r>
            <w:r w:rsidRPr="00D3639B">
              <w:rPr>
                <w:rFonts w:eastAsiaTheme="minorEastAsia"/>
                <w:color w:val="000000" w:themeColor="text1"/>
                <w:kern w:val="0"/>
                <w:szCs w:val="21"/>
              </w:rPr>
              <w:t>元</w:t>
            </w: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kern w:val="0"/>
                <w:szCs w:val="21"/>
              </w:rPr>
            </w:pPr>
            <w:r w:rsidRPr="00D3639B">
              <w:rPr>
                <w:rFonts w:eastAsiaTheme="minorEastAsia"/>
                <w:color w:val="000000" w:themeColor="text1"/>
                <w:szCs w:val="21"/>
              </w:rPr>
              <w:t>1</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存出保证金</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16,138.50</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2</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应收证券清算款</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3</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应收股利</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4</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应收利息</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2,576.37</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5</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应收申购款</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6</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其他应收款</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7</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szCs w:val="21"/>
              </w:rPr>
            </w:pPr>
            <w:r w:rsidRPr="00D3639B">
              <w:rPr>
                <w:rFonts w:eastAsiaTheme="minorEastAsia"/>
                <w:color w:val="000000" w:themeColor="text1"/>
                <w:szCs w:val="21"/>
              </w:rPr>
              <w:t>待摊费用</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8</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其他</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944" w:type="dxa"/>
            <w:vAlign w:val="center"/>
          </w:tcPr>
          <w:p w:rsidR="001D5CD0" w:rsidRPr="00D3639B" w:rsidRDefault="001D5CD0" w:rsidP="00AE2AD2">
            <w:pPr>
              <w:autoSpaceDE w:val="0"/>
              <w:autoSpaceDN w:val="0"/>
              <w:adjustRightInd w:val="0"/>
              <w:spacing w:before="29" w:line="360" w:lineRule="auto"/>
              <w:ind w:left="15"/>
              <w:jc w:val="center"/>
              <w:rPr>
                <w:rFonts w:eastAsiaTheme="minorEastAsia"/>
                <w:color w:val="000000" w:themeColor="text1"/>
                <w:szCs w:val="21"/>
              </w:rPr>
            </w:pPr>
            <w:r w:rsidRPr="00D3639B">
              <w:rPr>
                <w:rFonts w:eastAsiaTheme="minorEastAsia"/>
                <w:color w:val="000000" w:themeColor="text1"/>
                <w:szCs w:val="21"/>
              </w:rPr>
              <w:t>9</w:t>
            </w:r>
          </w:p>
        </w:tc>
        <w:tc>
          <w:tcPr>
            <w:tcW w:w="2761" w:type="dxa"/>
            <w:vAlign w:val="center"/>
          </w:tcPr>
          <w:p w:rsidR="001D5CD0" w:rsidRPr="00D3639B" w:rsidRDefault="001D5CD0" w:rsidP="00AE2AD2">
            <w:pPr>
              <w:autoSpaceDE w:val="0"/>
              <w:autoSpaceDN w:val="0"/>
              <w:adjustRightInd w:val="0"/>
              <w:spacing w:before="29" w:line="360" w:lineRule="auto"/>
              <w:ind w:left="15"/>
              <w:jc w:val="left"/>
              <w:rPr>
                <w:rFonts w:eastAsiaTheme="minorEastAsia"/>
                <w:color w:val="000000" w:themeColor="text1"/>
                <w:kern w:val="0"/>
                <w:szCs w:val="21"/>
              </w:rPr>
            </w:pPr>
            <w:r w:rsidRPr="00D3639B">
              <w:rPr>
                <w:rFonts w:eastAsiaTheme="minorEastAsia"/>
                <w:color w:val="000000" w:themeColor="text1"/>
                <w:kern w:val="0"/>
                <w:szCs w:val="21"/>
              </w:rPr>
              <w:t>合计</w:t>
            </w:r>
          </w:p>
        </w:tc>
        <w:tc>
          <w:tcPr>
            <w:tcW w:w="4808" w:type="dxa"/>
            <w:vAlign w:val="center"/>
          </w:tcPr>
          <w:p w:rsidR="001D5CD0" w:rsidRPr="00D3639B" w:rsidRDefault="001D5CD0" w:rsidP="00AE2AD2">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18,714.87</w:t>
            </w:r>
          </w:p>
        </w:tc>
      </w:tr>
    </w:tbl>
    <w:p w:rsidR="001D5CD0" w:rsidRPr="00D3639B" w:rsidRDefault="001D5CD0" w:rsidP="001D0DE3">
      <w:pPr>
        <w:autoSpaceDE w:val="0"/>
        <w:autoSpaceDN w:val="0"/>
        <w:adjustRightInd w:val="0"/>
        <w:spacing w:beforeLines="100" w:line="360" w:lineRule="auto"/>
        <w:jc w:val="left"/>
        <w:rPr>
          <w:rFonts w:eastAsiaTheme="minorEastAsia"/>
          <w:b/>
          <w:color w:val="000000" w:themeColor="text1"/>
          <w:kern w:val="0"/>
          <w:szCs w:val="21"/>
        </w:rPr>
      </w:pPr>
      <w:r w:rsidRPr="00D3639B">
        <w:rPr>
          <w:rFonts w:eastAsiaTheme="minorEastAsia"/>
          <w:b/>
          <w:color w:val="000000" w:themeColor="text1"/>
          <w:kern w:val="0"/>
          <w:szCs w:val="21"/>
        </w:rPr>
        <w:t>5.12.4</w:t>
      </w:r>
      <w:r w:rsidRPr="00D3639B">
        <w:rPr>
          <w:rFonts w:eastAsiaTheme="minorEastAsia"/>
          <w:b/>
          <w:color w:val="000000" w:themeColor="text1"/>
          <w:kern w:val="0"/>
          <w:szCs w:val="21"/>
        </w:rPr>
        <w:t>报告期末持有的处于转股期的可转换债券明细</w:t>
      </w:r>
    </w:p>
    <w:p w:rsidR="001D5CD0" w:rsidRPr="00D3639B" w:rsidRDefault="001D5CD0"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本基金本报告期末未持有处于转股期的可转换债券。</w:t>
      </w:r>
    </w:p>
    <w:p w:rsidR="001D5CD0" w:rsidRPr="00D3639B" w:rsidRDefault="001D5CD0" w:rsidP="001D0DE3">
      <w:pPr>
        <w:autoSpaceDE w:val="0"/>
        <w:autoSpaceDN w:val="0"/>
        <w:adjustRightInd w:val="0"/>
        <w:spacing w:beforeLines="100" w:line="360" w:lineRule="auto"/>
        <w:jc w:val="left"/>
        <w:rPr>
          <w:rFonts w:eastAsiaTheme="minorEastAsia"/>
          <w:b/>
          <w:bCs/>
          <w:color w:val="000000" w:themeColor="text1"/>
          <w:szCs w:val="21"/>
        </w:rPr>
      </w:pPr>
      <w:r w:rsidRPr="00D3639B">
        <w:rPr>
          <w:rFonts w:eastAsiaTheme="minorEastAsia"/>
          <w:b/>
          <w:color w:val="000000" w:themeColor="text1"/>
          <w:kern w:val="0"/>
          <w:szCs w:val="21"/>
        </w:rPr>
        <w:t>5.12.5</w:t>
      </w:r>
      <w:r w:rsidRPr="00D3639B">
        <w:rPr>
          <w:rFonts w:eastAsiaTheme="minorEastAsia"/>
          <w:b/>
          <w:bCs/>
          <w:color w:val="000000" w:themeColor="text1"/>
          <w:szCs w:val="21"/>
        </w:rPr>
        <w:t>报告期末前十名股票中存在流通受限情况的说明</w:t>
      </w:r>
    </w:p>
    <w:tbl>
      <w:tblPr>
        <w:tblStyle w:val="af2"/>
        <w:tblW w:w="0" w:type="auto"/>
        <w:tblInd w:w="108" w:type="dxa"/>
        <w:tblLayout w:type="fixed"/>
        <w:tblLook w:val="04A0"/>
      </w:tblPr>
      <w:tblGrid>
        <w:gridCol w:w="1083"/>
        <w:gridCol w:w="1302"/>
        <w:gridCol w:w="1301"/>
        <w:gridCol w:w="1805"/>
        <w:gridCol w:w="1655"/>
        <w:gridCol w:w="1367"/>
      </w:tblGrid>
      <w:tr w:rsidR="00D3639B" w:rsidRPr="00D3639B" w:rsidTr="00975D18">
        <w:tc>
          <w:tcPr>
            <w:tcW w:w="1083"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序号</w:t>
            </w:r>
          </w:p>
        </w:tc>
        <w:tc>
          <w:tcPr>
            <w:tcW w:w="1302"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股票代码</w:t>
            </w:r>
          </w:p>
        </w:tc>
        <w:tc>
          <w:tcPr>
            <w:tcW w:w="1301"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股票名称</w:t>
            </w:r>
          </w:p>
        </w:tc>
        <w:tc>
          <w:tcPr>
            <w:tcW w:w="1805"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流通受限部分的公允价值</w:t>
            </w:r>
            <w:r w:rsidRPr="00D3639B">
              <w:rPr>
                <w:rFonts w:eastAsiaTheme="minorEastAsia"/>
                <w:color w:val="000000" w:themeColor="text1"/>
                <w:szCs w:val="21"/>
              </w:rPr>
              <w:t>(</w:t>
            </w:r>
            <w:r w:rsidRPr="00D3639B">
              <w:rPr>
                <w:rFonts w:eastAsiaTheme="minorEastAsia"/>
                <w:color w:val="000000" w:themeColor="text1"/>
                <w:szCs w:val="21"/>
              </w:rPr>
              <w:t>元</w:t>
            </w:r>
            <w:r w:rsidRPr="00D3639B">
              <w:rPr>
                <w:rFonts w:eastAsiaTheme="minorEastAsia"/>
                <w:color w:val="000000" w:themeColor="text1"/>
                <w:szCs w:val="21"/>
              </w:rPr>
              <w:t>)</w:t>
            </w:r>
          </w:p>
        </w:tc>
        <w:tc>
          <w:tcPr>
            <w:tcW w:w="1655"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占基金资产净值比例</w:t>
            </w:r>
            <w:r w:rsidRPr="00D3639B">
              <w:rPr>
                <w:rFonts w:eastAsiaTheme="minorEastAsia"/>
                <w:color w:val="000000" w:themeColor="text1"/>
                <w:szCs w:val="21"/>
              </w:rPr>
              <w:t>(%)</w:t>
            </w:r>
          </w:p>
        </w:tc>
        <w:tc>
          <w:tcPr>
            <w:tcW w:w="1367" w:type="dxa"/>
            <w:vAlign w:val="center"/>
          </w:tcPr>
          <w:p w:rsidR="001D5CD0" w:rsidRPr="00D3639B" w:rsidRDefault="001D5CD0" w:rsidP="00AE2AD2">
            <w:pPr>
              <w:spacing w:before="29" w:line="360" w:lineRule="auto"/>
              <w:ind w:left="17"/>
              <w:jc w:val="center"/>
              <w:rPr>
                <w:rFonts w:eastAsiaTheme="minorEastAsia"/>
                <w:color w:val="000000" w:themeColor="text1"/>
                <w:szCs w:val="21"/>
              </w:rPr>
            </w:pPr>
            <w:r w:rsidRPr="00D3639B">
              <w:rPr>
                <w:rFonts w:eastAsiaTheme="minorEastAsia"/>
                <w:color w:val="000000" w:themeColor="text1"/>
                <w:szCs w:val="21"/>
              </w:rPr>
              <w:t>流通受限情况说明</w:t>
            </w:r>
          </w:p>
        </w:tc>
      </w:tr>
      <w:tr w:rsidR="008C5FCF">
        <w:tc>
          <w:tcPr>
            <w:tcW w:w="1083" w:type="dxa"/>
            <w:vAlign w:val="center"/>
          </w:tcPr>
          <w:p w:rsidR="008C5FCF" w:rsidRDefault="001D0DE3">
            <w:pPr>
              <w:jc w:val="center"/>
            </w:pPr>
            <w:r>
              <w:rPr>
                <w:rFonts w:eastAsiaTheme="minorEastAsia"/>
                <w:color w:val="000000" w:themeColor="text1"/>
                <w:szCs w:val="21"/>
              </w:rPr>
              <w:t>1</w:t>
            </w:r>
          </w:p>
        </w:tc>
        <w:tc>
          <w:tcPr>
            <w:tcW w:w="1302" w:type="dxa"/>
            <w:vAlign w:val="center"/>
          </w:tcPr>
          <w:p w:rsidR="008C5FCF" w:rsidRDefault="001D0DE3">
            <w:pPr>
              <w:jc w:val="center"/>
            </w:pPr>
            <w:r>
              <w:rPr>
                <w:rFonts w:eastAsiaTheme="minorEastAsia"/>
                <w:color w:val="000000" w:themeColor="text1"/>
                <w:szCs w:val="21"/>
              </w:rPr>
              <w:t>002450</w:t>
            </w:r>
          </w:p>
        </w:tc>
        <w:tc>
          <w:tcPr>
            <w:tcW w:w="1301" w:type="dxa"/>
            <w:vAlign w:val="center"/>
          </w:tcPr>
          <w:p w:rsidR="008C5FCF" w:rsidRDefault="001D0DE3">
            <w:pPr>
              <w:jc w:val="center"/>
            </w:pPr>
            <w:r>
              <w:rPr>
                <w:rFonts w:eastAsiaTheme="minorEastAsia"/>
                <w:color w:val="000000" w:themeColor="text1"/>
                <w:szCs w:val="21"/>
              </w:rPr>
              <w:t>康得新</w:t>
            </w:r>
          </w:p>
        </w:tc>
        <w:tc>
          <w:tcPr>
            <w:tcW w:w="1805" w:type="dxa"/>
            <w:vAlign w:val="center"/>
          </w:tcPr>
          <w:p w:rsidR="008C5FCF" w:rsidRDefault="001D0DE3">
            <w:pPr>
              <w:jc w:val="right"/>
            </w:pPr>
            <w:r>
              <w:rPr>
                <w:rFonts w:eastAsiaTheme="minorEastAsia"/>
                <w:color w:val="000000" w:themeColor="text1"/>
                <w:szCs w:val="21"/>
              </w:rPr>
              <w:t>261,954.00</w:t>
            </w:r>
          </w:p>
        </w:tc>
        <w:tc>
          <w:tcPr>
            <w:tcW w:w="1655" w:type="dxa"/>
            <w:vAlign w:val="center"/>
          </w:tcPr>
          <w:p w:rsidR="008C5FCF" w:rsidRDefault="001D0DE3">
            <w:pPr>
              <w:jc w:val="right"/>
            </w:pPr>
            <w:r>
              <w:rPr>
                <w:rFonts w:eastAsiaTheme="minorEastAsia"/>
                <w:color w:val="000000" w:themeColor="text1"/>
                <w:szCs w:val="21"/>
              </w:rPr>
              <w:t>1.75</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2</w:t>
            </w:r>
          </w:p>
        </w:tc>
        <w:tc>
          <w:tcPr>
            <w:tcW w:w="1302" w:type="dxa"/>
            <w:vAlign w:val="center"/>
          </w:tcPr>
          <w:p w:rsidR="008C5FCF" w:rsidRDefault="001D0DE3">
            <w:pPr>
              <w:jc w:val="center"/>
            </w:pPr>
            <w:r>
              <w:rPr>
                <w:rFonts w:eastAsiaTheme="minorEastAsia"/>
                <w:color w:val="000000" w:themeColor="text1"/>
                <w:szCs w:val="21"/>
              </w:rPr>
              <w:t>002408</w:t>
            </w:r>
          </w:p>
        </w:tc>
        <w:tc>
          <w:tcPr>
            <w:tcW w:w="1301" w:type="dxa"/>
            <w:vAlign w:val="center"/>
          </w:tcPr>
          <w:p w:rsidR="008C5FCF" w:rsidRDefault="001D0DE3">
            <w:pPr>
              <w:jc w:val="center"/>
            </w:pPr>
            <w:r>
              <w:rPr>
                <w:rFonts w:eastAsiaTheme="minorEastAsia"/>
                <w:color w:val="000000" w:themeColor="text1"/>
                <w:szCs w:val="21"/>
              </w:rPr>
              <w:t>齐翔腾达</w:t>
            </w:r>
          </w:p>
        </w:tc>
        <w:tc>
          <w:tcPr>
            <w:tcW w:w="1805" w:type="dxa"/>
            <w:vAlign w:val="center"/>
          </w:tcPr>
          <w:p w:rsidR="008C5FCF" w:rsidRDefault="001D0DE3">
            <w:pPr>
              <w:jc w:val="right"/>
            </w:pPr>
            <w:r>
              <w:rPr>
                <w:rFonts w:eastAsiaTheme="minorEastAsia"/>
                <w:color w:val="000000" w:themeColor="text1"/>
                <w:szCs w:val="21"/>
              </w:rPr>
              <w:t>125,256.00</w:t>
            </w:r>
          </w:p>
        </w:tc>
        <w:tc>
          <w:tcPr>
            <w:tcW w:w="1655" w:type="dxa"/>
            <w:vAlign w:val="center"/>
          </w:tcPr>
          <w:p w:rsidR="008C5FCF" w:rsidRDefault="001D0DE3">
            <w:pPr>
              <w:jc w:val="right"/>
            </w:pPr>
            <w:r>
              <w:rPr>
                <w:rFonts w:eastAsiaTheme="minorEastAsia"/>
                <w:color w:val="000000" w:themeColor="text1"/>
                <w:szCs w:val="21"/>
              </w:rPr>
              <w:t>0.84</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3</w:t>
            </w:r>
          </w:p>
        </w:tc>
        <w:tc>
          <w:tcPr>
            <w:tcW w:w="1302" w:type="dxa"/>
            <w:vAlign w:val="center"/>
          </w:tcPr>
          <w:p w:rsidR="008C5FCF" w:rsidRDefault="001D0DE3">
            <w:pPr>
              <w:jc w:val="center"/>
            </w:pPr>
            <w:r>
              <w:rPr>
                <w:rFonts w:eastAsiaTheme="minorEastAsia"/>
                <w:color w:val="000000" w:themeColor="text1"/>
                <w:szCs w:val="21"/>
              </w:rPr>
              <w:t>601118</w:t>
            </w:r>
          </w:p>
        </w:tc>
        <w:tc>
          <w:tcPr>
            <w:tcW w:w="1301" w:type="dxa"/>
            <w:vAlign w:val="center"/>
          </w:tcPr>
          <w:p w:rsidR="008C5FCF" w:rsidRDefault="001D0DE3">
            <w:pPr>
              <w:jc w:val="center"/>
            </w:pPr>
            <w:r>
              <w:rPr>
                <w:rFonts w:eastAsiaTheme="minorEastAsia"/>
                <w:color w:val="000000" w:themeColor="text1"/>
                <w:szCs w:val="21"/>
              </w:rPr>
              <w:t>海南橡胶</w:t>
            </w:r>
          </w:p>
        </w:tc>
        <w:tc>
          <w:tcPr>
            <w:tcW w:w="1805" w:type="dxa"/>
            <w:vAlign w:val="center"/>
          </w:tcPr>
          <w:p w:rsidR="008C5FCF" w:rsidRDefault="001D0DE3">
            <w:pPr>
              <w:jc w:val="right"/>
            </w:pPr>
            <w:r>
              <w:rPr>
                <w:rFonts w:eastAsiaTheme="minorEastAsia"/>
                <w:color w:val="000000" w:themeColor="text1"/>
                <w:szCs w:val="21"/>
              </w:rPr>
              <w:t>101,286.00</w:t>
            </w:r>
          </w:p>
        </w:tc>
        <w:tc>
          <w:tcPr>
            <w:tcW w:w="1655" w:type="dxa"/>
            <w:vAlign w:val="center"/>
          </w:tcPr>
          <w:p w:rsidR="008C5FCF" w:rsidRDefault="001D0DE3">
            <w:pPr>
              <w:jc w:val="right"/>
            </w:pPr>
            <w:r>
              <w:rPr>
                <w:rFonts w:eastAsiaTheme="minorEastAsia"/>
                <w:color w:val="000000" w:themeColor="text1"/>
                <w:szCs w:val="21"/>
              </w:rPr>
              <w:t>0.68</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4</w:t>
            </w:r>
          </w:p>
        </w:tc>
        <w:tc>
          <w:tcPr>
            <w:tcW w:w="1302" w:type="dxa"/>
            <w:vAlign w:val="center"/>
          </w:tcPr>
          <w:p w:rsidR="008C5FCF" w:rsidRDefault="001D0DE3">
            <w:pPr>
              <w:jc w:val="center"/>
            </w:pPr>
            <w:r>
              <w:rPr>
                <w:rFonts w:eastAsiaTheme="minorEastAsia"/>
                <w:color w:val="000000" w:themeColor="text1"/>
                <w:szCs w:val="21"/>
              </w:rPr>
              <w:t>600226</w:t>
            </w:r>
          </w:p>
        </w:tc>
        <w:tc>
          <w:tcPr>
            <w:tcW w:w="1301" w:type="dxa"/>
            <w:vAlign w:val="center"/>
          </w:tcPr>
          <w:p w:rsidR="008C5FCF" w:rsidRDefault="001D0DE3">
            <w:pPr>
              <w:jc w:val="center"/>
            </w:pPr>
            <w:r>
              <w:rPr>
                <w:rFonts w:eastAsiaTheme="minorEastAsia"/>
                <w:color w:val="000000" w:themeColor="text1"/>
                <w:szCs w:val="21"/>
              </w:rPr>
              <w:t>瀚叶股份</w:t>
            </w:r>
          </w:p>
        </w:tc>
        <w:tc>
          <w:tcPr>
            <w:tcW w:w="1805" w:type="dxa"/>
            <w:vAlign w:val="center"/>
          </w:tcPr>
          <w:p w:rsidR="008C5FCF" w:rsidRDefault="001D0DE3">
            <w:pPr>
              <w:jc w:val="right"/>
            </w:pPr>
            <w:r>
              <w:rPr>
                <w:rFonts w:eastAsiaTheme="minorEastAsia"/>
                <w:color w:val="000000" w:themeColor="text1"/>
                <w:szCs w:val="21"/>
              </w:rPr>
              <w:t>85,272.00</w:t>
            </w:r>
          </w:p>
        </w:tc>
        <w:tc>
          <w:tcPr>
            <w:tcW w:w="1655" w:type="dxa"/>
            <w:vAlign w:val="center"/>
          </w:tcPr>
          <w:p w:rsidR="008C5FCF" w:rsidRDefault="001D0DE3">
            <w:pPr>
              <w:jc w:val="right"/>
            </w:pPr>
            <w:r>
              <w:rPr>
                <w:rFonts w:eastAsiaTheme="minorEastAsia"/>
                <w:color w:val="000000" w:themeColor="text1"/>
                <w:szCs w:val="21"/>
              </w:rPr>
              <w:t>0.57</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5</w:t>
            </w:r>
          </w:p>
        </w:tc>
        <w:tc>
          <w:tcPr>
            <w:tcW w:w="1302" w:type="dxa"/>
            <w:vAlign w:val="center"/>
          </w:tcPr>
          <w:p w:rsidR="008C5FCF" w:rsidRDefault="001D0DE3">
            <w:pPr>
              <w:jc w:val="center"/>
            </w:pPr>
            <w:r>
              <w:rPr>
                <w:rFonts w:eastAsiaTheme="minorEastAsia"/>
                <w:color w:val="000000" w:themeColor="text1"/>
                <w:szCs w:val="21"/>
              </w:rPr>
              <w:t>000545</w:t>
            </w:r>
          </w:p>
        </w:tc>
        <w:tc>
          <w:tcPr>
            <w:tcW w:w="1301" w:type="dxa"/>
            <w:vAlign w:val="center"/>
          </w:tcPr>
          <w:p w:rsidR="008C5FCF" w:rsidRDefault="001D0DE3">
            <w:pPr>
              <w:jc w:val="center"/>
            </w:pPr>
            <w:r>
              <w:rPr>
                <w:rFonts w:eastAsiaTheme="minorEastAsia"/>
                <w:color w:val="000000" w:themeColor="text1"/>
                <w:szCs w:val="21"/>
              </w:rPr>
              <w:t>金浦钛业</w:t>
            </w:r>
          </w:p>
        </w:tc>
        <w:tc>
          <w:tcPr>
            <w:tcW w:w="1805" w:type="dxa"/>
            <w:vAlign w:val="center"/>
          </w:tcPr>
          <w:p w:rsidR="008C5FCF" w:rsidRDefault="001D0DE3">
            <w:pPr>
              <w:jc w:val="right"/>
            </w:pPr>
            <w:r>
              <w:rPr>
                <w:rFonts w:eastAsiaTheme="minorEastAsia"/>
                <w:color w:val="000000" w:themeColor="text1"/>
                <w:szCs w:val="21"/>
              </w:rPr>
              <w:t>31,960.00</w:t>
            </w:r>
          </w:p>
        </w:tc>
        <w:tc>
          <w:tcPr>
            <w:tcW w:w="1655" w:type="dxa"/>
            <w:vAlign w:val="center"/>
          </w:tcPr>
          <w:p w:rsidR="008C5FCF" w:rsidRDefault="001D0DE3">
            <w:pPr>
              <w:jc w:val="right"/>
            </w:pPr>
            <w:r>
              <w:rPr>
                <w:rFonts w:eastAsiaTheme="minorEastAsia"/>
                <w:color w:val="000000" w:themeColor="text1"/>
                <w:szCs w:val="21"/>
              </w:rPr>
              <w:t>0.21</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6</w:t>
            </w:r>
          </w:p>
        </w:tc>
        <w:tc>
          <w:tcPr>
            <w:tcW w:w="1302" w:type="dxa"/>
            <w:vAlign w:val="center"/>
          </w:tcPr>
          <w:p w:rsidR="008C5FCF" w:rsidRDefault="001D0DE3">
            <w:pPr>
              <w:jc w:val="center"/>
            </w:pPr>
            <w:r>
              <w:rPr>
                <w:rFonts w:eastAsiaTheme="minorEastAsia"/>
                <w:color w:val="000000" w:themeColor="text1"/>
                <w:szCs w:val="21"/>
              </w:rPr>
              <w:t>002226</w:t>
            </w:r>
          </w:p>
        </w:tc>
        <w:tc>
          <w:tcPr>
            <w:tcW w:w="1301" w:type="dxa"/>
            <w:vAlign w:val="center"/>
          </w:tcPr>
          <w:p w:rsidR="008C5FCF" w:rsidRDefault="001D0DE3">
            <w:pPr>
              <w:jc w:val="center"/>
            </w:pPr>
            <w:r>
              <w:rPr>
                <w:rFonts w:eastAsiaTheme="minorEastAsia"/>
                <w:color w:val="000000" w:themeColor="text1"/>
                <w:szCs w:val="21"/>
              </w:rPr>
              <w:t>江南化工</w:t>
            </w:r>
          </w:p>
        </w:tc>
        <w:tc>
          <w:tcPr>
            <w:tcW w:w="1805" w:type="dxa"/>
            <w:vAlign w:val="center"/>
          </w:tcPr>
          <w:p w:rsidR="008C5FCF" w:rsidRDefault="001D0DE3">
            <w:pPr>
              <w:jc w:val="right"/>
            </w:pPr>
            <w:r>
              <w:rPr>
                <w:rFonts w:eastAsiaTheme="minorEastAsia"/>
                <w:color w:val="000000" w:themeColor="text1"/>
                <w:szCs w:val="21"/>
              </w:rPr>
              <w:t>27,642.00</w:t>
            </w:r>
          </w:p>
        </w:tc>
        <w:tc>
          <w:tcPr>
            <w:tcW w:w="1655" w:type="dxa"/>
            <w:vAlign w:val="center"/>
          </w:tcPr>
          <w:p w:rsidR="008C5FCF" w:rsidRDefault="001D0DE3">
            <w:pPr>
              <w:jc w:val="right"/>
            </w:pPr>
            <w:r>
              <w:rPr>
                <w:rFonts w:eastAsiaTheme="minorEastAsia"/>
                <w:color w:val="000000" w:themeColor="text1"/>
                <w:szCs w:val="21"/>
              </w:rPr>
              <w:t>0.18</w:t>
            </w:r>
          </w:p>
        </w:tc>
        <w:tc>
          <w:tcPr>
            <w:tcW w:w="1367" w:type="dxa"/>
            <w:vAlign w:val="center"/>
          </w:tcPr>
          <w:p w:rsidR="008C5FCF" w:rsidRDefault="001D0DE3">
            <w:pPr>
              <w:jc w:val="right"/>
            </w:pPr>
            <w:r>
              <w:rPr>
                <w:rFonts w:eastAsiaTheme="minorEastAsia"/>
                <w:color w:val="000000" w:themeColor="text1"/>
                <w:szCs w:val="21"/>
              </w:rPr>
              <w:t>重大事项停牌</w:t>
            </w:r>
          </w:p>
        </w:tc>
      </w:tr>
      <w:tr w:rsidR="008C5FCF">
        <w:tc>
          <w:tcPr>
            <w:tcW w:w="1083" w:type="dxa"/>
            <w:vAlign w:val="center"/>
          </w:tcPr>
          <w:p w:rsidR="008C5FCF" w:rsidRDefault="001D0DE3">
            <w:pPr>
              <w:jc w:val="center"/>
            </w:pPr>
            <w:r>
              <w:rPr>
                <w:rFonts w:eastAsiaTheme="minorEastAsia"/>
                <w:color w:val="000000" w:themeColor="text1"/>
                <w:szCs w:val="21"/>
              </w:rPr>
              <w:t>7</w:t>
            </w:r>
          </w:p>
        </w:tc>
        <w:tc>
          <w:tcPr>
            <w:tcW w:w="1302" w:type="dxa"/>
            <w:vAlign w:val="center"/>
          </w:tcPr>
          <w:p w:rsidR="008C5FCF" w:rsidRDefault="001D0DE3">
            <w:pPr>
              <w:jc w:val="center"/>
            </w:pPr>
            <w:r>
              <w:rPr>
                <w:rFonts w:eastAsiaTheme="minorEastAsia"/>
                <w:color w:val="000000" w:themeColor="text1"/>
                <w:szCs w:val="21"/>
              </w:rPr>
              <w:t>600844</w:t>
            </w:r>
          </w:p>
        </w:tc>
        <w:tc>
          <w:tcPr>
            <w:tcW w:w="1301" w:type="dxa"/>
            <w:vAlign w:val="center"/>
          </w:tcPr>
          <w:p w:rsidR="008C5FCF" w:rsidRDefault="001D0DE3">
            <w:pPr>
              <w:jc w:val="center"/>
            </w:pPr>
            <w:r>
              <w:rPr>
                <w:rFonts w:eastAsiaTheme="minorEastAsia"/>
                <w:color w:val="000000" w:themeColor="text1"/>
                <w:szCs w:val="21"/>
              </w:rPr>
              <w:t>丹化科技</w:t>
            </w:r>
          </w:p>
        </w:tc>
        <w:tc>
          <w:tcPr>
            <w:tcW w:w="1805" w:type="dxa"/>
            <w:vAlign w:val="center"/>
          </w:tcPr>
          <w:p w:rsidR="008C5FCF" w:rsidRDefault="001D0DE3">
            <w:pPr>
              <w:jc w:val="right"/>
            </w:pPr>
            <w:r>
              <w:rPr>
                <w:rFonts w:eastAsiaTheme="minorEastAsia"/>
                <w:color w:val="000000" w:themeColor="text1"/>
                <w:szCs w:val="21"/>
              </w:rPr>
              <w:t>5.36</w:t>
            </w:r>
          </w:p>
        </w:tc>
        <w:tc>
          <w:tcPr>
            <w:tcW w:w="1655" w:type="dxa"/>
            <w:vAlign w:val="center"/>
          </w:tcPr>
          <w:p w:rsidR="008C5FCF" w:rsidRDefault="001D0DE3">
            <w:pPr>
              <w:jc w:val="right"/>
            </w:pPr>
            <w:r>
              <w:rPr>
                <w:rFonts w:eastAsiaTheme="minorEastAsia"/>
                <w:color w:val="000000" w:themeColor="text1"/>
                <w:szCs w:val="21"/>
              </w:rPr>
              <w:t>0.00</w:t>
            </w:r>
          </w:p>
        </w:tc>
        <w:tc>
          <w:tcPr>
            <w:tcW w:w="1367" w:type="dxa"/>
            <w:vAlign w:val="center"/>
          </w:tcPr>
          <w:p w:rsidR="008C5FCF" w:rsidRDefault="001D0DE3">
            <w:pPr>
              <w:jc w:val="right"/>
            </w:pPr>
            <w:r>
              <w:rPr>
                <w:rFonts w:eastAsiaTheme="minorEastAsia"/>
                <w:color w:val="000000" w:themeColor="text1"/>
                <w:szCs w:val="21"/>
              </w:rPr>
              <w:t>重大事项停牌</w:t>
            </w:r>
          </w:p>
        </w:tc>
      </w:tr>
    </w:tbl>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 xml:space="preserve">§6  </w:t>
      </w:r>
      <w:r w:rsidRPr="00D3639B">
        <w:rPr>
          <w:rFonts w:eastAsiaTheme="minorEastAsia"/>
          <w:color w:val="000000" w:themeColor="text1"/>
          <w:kern w:val="0"/>
          <w:sz w:val="21"/>
          <w:szCs w:val="21"/>
        </w:rPr>
        <w:t>开放式基金份额变动</w:t>
      </w:r>
    </w:p>
    <w:p w:rsidR="009238DB" w:rsidRPr="00D3639B" w:rsidRDefault="009238DB" w:rsidP="00302187">
      <w:pPr>
        <w:autoSpaceDE w:val="0"/>
        <w:autoSpaceDN w:val="0"/>
        <w:adjustRightInd w:val="0"/>
        <w:spacing w:before="29" w:line="288" w:lineRule="auto"/>
        <w:ind w:left="15" w:right="480"/>
        <w:jc w:val="right"/>
        <w:rPr>
          <w:rFonts w:eastAsiaTheme="minorEastAsia"/>
          <w:color w:val="000000" w:themeColor="text1"/>
          <w:kern w:val="0"/>
          <w:szCs w:val="21"/>
        </w:rPr>
      </w:pPr>
      <w:r w:rsidRPr="00D3639B">
        <w:rPr>
          <w:rFonts w:eastAsiaTheme="minorEastAsia"/>
          <w:color w:val="000000" w:themeColor="text1"/>
          <w:kern w:val="0"/>
          <w:szCs w:val="21"/>
        </w:rPr>
        <w:t>单位：份</w:t>
      </w:r>
    </w:p>
    <w:tbl>
      <w:tblPr>
        <w:tblW w:w="0" w:type="auto"/>
        <w:tblInd w:w="108" w:type="dxa"/>
        <w:tblLayout w:type="fixed"/>
        <w:tblLook w:val="0000"/>
      </w:tblPr>
      <w:tblGrid>
        <w:gridCol w:w="3900"/>
        <w:gridCol w:w="2367"/>
        <w:gridCol w:w="2367"/>
      </w:tblGrid>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936D40" w:rsidP="00B84643">
            <w:pPr>
              <w:autoSpaceDE w:val="0"/>
              <w:autoSpaceDN w:val="0"/>
              <w:adjustRightInd w:val="0"/>
              <w:spacing w:before="29" w:line="360" w:lineRule="auto"/>
              <w:ind w:left="17"/>
              <w:jc w:val="center"/>
              <w:rPr>
                <w:rFonts w:eastAsiaTheme="minorEastAsia"/>
                <w:color w:val="000000" w:themeColor="text1"/>
                <w:kern w:val="0"/>
                <w:szCs w:val="21"/>
              </w:rPr>
            </w:pPr>
            <w:r w:rsidRPr="00D3639B">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广发原材料联接</w:t>
            </w:r>
            <w:r w:rsidRPr="00D3639B">
              <w:rPr>
                <w:rFonts w:eastAsiaTheme="minorEastAsia"/>
                <w:color w:val="000000" w:themeColor="text1"/>
                <w:szCs w:val="21"/>
              </w:rPr>
              <w:t>C</w:t>
            </w:r>
          </w:p>
        </w:tc>
      </w:tr>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18,998,535.31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18,789,913.36</w:t>
            </w:r>
          </w:p>
        </w:tc>
      </w:tr>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本报告期</w:t>
            </w:r>
            <w:r w:rsidR="00936D40" w:rsidRPr="00D3639B">
              <w:rPr>
                <w:rFonts w:eastAsiaTheme="minorEastAsia"/>
                <w:color w:val="000000" w:themeColor="text1"/>
                <w:kern w:val="0"/>
                <w:szCs w:val="21"/>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98,833.36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682,666.55</w:t>
            </w:r>
          </w:p>
        </w:tc>
      </w:tr>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减：</w:t>
            </w:r>
            <w:r w:rsidR="00F72579" w:rsidRPr="00D3639B">
              <w:rPr>
                <w:rFonts w:eastAsiaTheme="minorEastAsia"/>
                <w:color w:val="000000" w:themeColor="text1"/>
                <w:kern w:val="0"/>
                <w:szCs w:val="21"/>
              </w:rPr>
              <w:t>本报告期</w:t>
            </w:r>
            <w:r w:rsidRPr="00D3639B">
              <w:rPr>
                <w:rFonts w:eastAsiaTheme="minorEastAsia"/>
                <w:color w:val="000000" w:themeColor="text1"/>
                <w:kern w:val="0"/>
                <w:szCs w:val="21"/>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5,926,507.49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15,395,021.32</w:t>
            </w:r>
          </w:p>
        </w:tc>
      </w:tr>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本报告期</w:t>
            </w:r>
            <w:r w:rsidR="00936D40" w:rsidRPr="00D3639B">
              <w:rPr>
                <w:rFonts w:eastAsiaTheme="minorEastAsia"/>
                <w:color w:val="000000" w:themeColor="text1"/>
                <w:kern w:val="0"/>
                <w:szCs w:val="21"/>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w:t>
            </w:r>
          </w:p>
        </w:tc>
      </w:tr>
      <w:tr w:rsidR="00D3639B" w:rsidRPr="00D3639B"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D3639B">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B57BCF">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13,170,861.18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D3639B"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D3639B">
              <w:rPr>
                <w:rFonts w:eastAsiaTheme="minorEastAsia"/>
                <w:color w:val="000000" w:themeColor="text1"/>
                <w:szCs w:val="21"/>
              </w:rPr>
              <w:t>4,077,558.59</w:t>
            </w:r>
          </w:p>
        </w:tc>
      </w:tr>
    </w:tbl>
    <w:p w:rsidR="00617125" w:rsidRPr="00D3639B" w:rsidRDefault="00617125" w:rsidP="001D0DE3">
      <w:pPr>
        <w:pStyle w:val="1"/>
        <w:tabs>
          <w:tab w:val="center" w:pos="4156"/>
          <w:tab w:val="right" w:pos="8312"/>
        </w:tabs>
        <w:spacing w:beforeLines="100" w:afterLines="100" w:line="360" w:lineRule="auto"/>
        <w:jc w:val="center"/>
        <w:rPr>
          <w:rFonts w:eastAsiaTheme="minorEastAsia"/>
          <w:color w:val="000000" w:themeColor="text1"/>
          <w:sz w:val="21"/>
          <w:szCs w:val="21"/>
        </w:rPr>
      </w:pPr>
      <w:r w:rsidRPr="00D3639B">
        <w:rPr>
          <w:rFonts w:eastAsiaTheme="minorEastAsia"/>
          <w:color w:val="000000" w:themeColor="text1"/>
          <w:kern w:val="0"/>
          <w:sz w:val="21"/>
          <w:szCs w:val="21"/>
        </w:rPr>
        <w:t xml:space="preserve">§7  </w:t>
      </w:r>
      <w:r w:rsidRPr="00D3639B">
        <w:rPr>
          <w:rFonts w:eastAsiaTheme="minorEastAsia"/>
          <w:color w:val="000000" w:themeColor="text1"/>
          <w:sz w:val="21"/>
          <w:szCs w:val="21"/>
        </w:rPr>
        <w:t>基金管理人运用固有资金投资本基金情况</w:t>
      </w:r>
    </w:p>
    <w:p w:rsidR="00617125" w:rsidRPr="00D3639B" w:rsidRDefault="00617125" w:rsidP="00617125">
      <w:pPr>
        <w:spacing w:line="360" w:lineRule="auto"/>
        <w:jc w:val="left"/>
        <w:rPr>
          <w:rFonts w:eastAsiaTheme="minorEastAsia"/>
          <w:color w:val="000000" w:themeColor="text1"/>
          <w:szCs w:val="21"/>
        </w:rPr>
      </w:pPr>
      <w:r w:rsidRPr="00D3639B">
        <w:rPr>
          <w:rFonts w:eastAsiaTheme="minorEastAsia"/>
          <w:b/>
          <w:color w:val="000000" w:themeColor="text1"/>
          <w:szCs w:val="21"/>
        </w:rPr>
        <w:t xml:space="preserve">7.1 </w:t>
      </w:r>
      <w:r w:rsidRPr="00D3639B">
        <w:rPr>
          <w:rFonts w:eastAsiaTheme="minorEastAsia"/>
          <w:b/>
          <w:color w:val="000000" w:themeColor="text1"/>
          <w:szCs w:val="21"/>
        </w:rPr>
        <w:t>基金管理人持有本基金份额变动情况</w:t>
      </w:r>
      <w:bookmarkStart w:id="1" w:name="OLE_LINK1"/>
      <w:bookmarkStart w:id="2" w:name="OLE_LINK2"/>
      <w:bookmarkEnd w:id="1"/>
      <w:bookmarkEnd w:id="2"/>
    </w:p>
    <w:p w:rsidR="00617125" w:rsidRPr="00D3639B" w:rsidRDefault="00617125" w:rsidP="00617125">
      <w:pPr>
        <w:autoSpaceDE w:val="0"/>
        <w:autoSpaceDN w:val="0"/>
        <w:adjustRightInd w:val="0"/>
        <w:spacing w:before="29" w:line="360" w:lineRule="auto"/>
        <w:ind w:left="15"/>
        <w:jc w:val="right"/>
        <w:rPr>
          <w:rFonts w:eastAsiaTheme="minorEastAsia"/>
          <w:color w:val="000000" w:themeColor="text1"/>
          <w:kern w:val="0"/>
          <w:szCs w:val="21"/>
        </w:rPr>
      </w:pPr>
      <w:r w:rsidRPr="00D3639B">
        <w:rPr>
          <w:rFonts w:eastAsiaTheme="minorEastAsia"/>
          <w:color w:val="000000" w:themeColor="text1"/>
          <w:kern w:val="0"/>
          <w:szCs w:val="21"/>
        </w:rPr>
        <w:t>单位：份</w:t>
      </w:r>
    </w:p>
    <w:tbl>
      <w:tblPr>
        <w:tblW w:w="8420" w:type="dxa"/>
        <w:tblInd w:w="108" w:type="dxa"/>
        <w:tblLayout w:type="fixed"/>
        <w:tblLook w:val="0000"/>
      </w:tblPr>
      <w:tblGrid>
        <w:gridCol w:w="5040"/>
        <w:gridCol w:w="3380"/>
      </w:tblGrid>
      <w:tr w:rsidR="00D3639B" w:rsidRPr="00D3639B" w:rsidTr="00532DB7">
        <w:tc>
          <w:tcPr>
            <w:tcW w:w="504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pStyle w:val="ac"/>
              <w:adjustRightInd w:val="0"/>
              <w:snapToGrid w:val="0"/>
              <w:spacing w:line="360" w:lineRule="exact"/>
              <w:rPr>
                <w:rFonts w:eastAsiaTheme="minorEastAsia"/>
                <w:color w:val="000000" w:themeColor="text1"/>
                <w:sz w:val="21"/>
                <w:szCs w:val="21"/>
              </w:rPr>
            </w:pPr>
            <w:r w:rsidRPr="00D3639B">
              <w:rPr>
                <w:rFonts w:eastAsiaTheme="minorEastAsia"/>
                <w:color w:val="000000" w:themeColor="text1"/>
                <w:sz w:val="21"/>
                <w:szCs w:val="21"/>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jc w:val="right"/>
              <w:rPr>
                <w:rFonts w:eastAsiaTheme="minorEastAsia"/>
                <w:color w:val="000000" w:themeColor="text1"/>
                <w:szCs w:val="21"/>
              </w:rPr>
            </w:pPr>
            <w:r w:rsidRPr="00D3639B">
              <w:rPr>
                <w:rFonts w:eastAsiaTheme="minorEastAsia"/>
                <w:color w:val="000000" w:themeColor="text1"/>
                <w:szCs w:val="21"/>
              </w:rPr>
              <w:t>10,000,200.02</w:t>
            </w:r>
          </w:p>
        </w:tc>
      </w:tr>
      <w:tr w:rsidR="00D3639B" w:rsidRPr="00D3639B" w:rsidTr="00532DB7">
        <w:tc>
          <w:tcPr>
            <w:tcW w:w="504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adjustRightInd w:val="0"/>
              <w:snapToGrid w:val="0"/>
              <w:spacing w:line="360" w:lineRule="exact"/>
              <w:rPr>
                <w:rFonts w:eastAsiaTheme="minorEastAsia"/>
                <w:color w:val="000000" w:themeColor="text1"/>
                <w:szCs w:val="21"/>
              </w:rPr>
            </w:pPr>
            <w:r w:rsidRPr="00D3639B">
              <w:rPr>
                <w:rFonts w:eastAsiaTheme="minorEastAsia"/>
                <w:color w:val="000000" w:themeColor="text1"/>
                <w:kern w:val="0"/>
                <w:szCs w:val="21"/>
              </w:rPr>
              <w:t>本报告期</w:t>
            </w:r>
            <w:r w:rsidRPr="00D3639B">
              <w:rPr>
                <w:rFonts w:eastAsiaTheme="minorEastAsia"/>
                <w:color w:val="000000" w:themeColor="text1"/>
                <w:szCs w:val="21"/>
              </w:rPr>
              <w:t>买入</w:t>
            </w:r>
            <w:r w:rsidRPr="00D3639B">
              <w:rPr>
                <w:rFonts w:eastAsiaTheme="minorEastAsia"/>
                <w:color w:val="000000" w:themeColor="text1"/>
                <w:szCs w:val="21"/>
              </w:rPr>
              <w:t>/</w:t>
            </w:r>
            <w:r w:rsidRPr="00D3639B">
              <w:rPr>
                <w:rFonts w:eastAsiaTheme="minorEastAsia"/>
                <w:color w:val="000000" w:themeColor="text1"/>
                <w:szCs w:val="21"/>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jc w:val="right"/>
              <w:rPr>
                <w:rFonts w:eastAsiaTheme="minorEastAsia"/>
                <w:color w:val="000000" w:themeColor="text1"/>
                <w:kern w:val="0"/>
                <w:szCs w:val="21"/>
              </w:rPr>
            </w:pPr>
            <w:r w:rsidRPr="00D3639B">
              <w:rPr>
                <w:rFonts w:eastAsiaTheme="minorEastAsia"/>
                <w:color w:val="000000" w:themeColor="text1"/>
                <w:szCs w:val="21"/>
              </w:rPr>
              <w:t>-</w:t>
            </w:r>
          </w:p>
        </w:tc>
      </w:tr>
      <w:tr w:rsidR="00D3639B" w:rsidRPr="00D3639B" w:rsidTr="00532DB7">
        <w:tc>
          <w:tcPr>
            <w:tcW w:w="504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adjustRightInd w:val="0"/>
              <w:snapToGrid w:val="0"/>
              <w:spacing w:line="360" w:lineRule="exact"/>
              <w:rPr>
                <w:rFonts w:eastAsiaTheme="minorEastAsia"/>
                <w:color w:val="000000" w:themeColor="text1"/>
                <w:szCs w:val="21"/>
              </w:rPr>
            </w:pPr>
            <w:r w:rsidRPr="00D3639B">
              <w:rPr>
                <w:rFonts w:eastAsiaTheme="minorEastAsia"/>
                <w:color w:val="000000" w:themeColor="text1"/>
                <w:kern w:val="0"/>
                <w:szCs w:val="21"/>
              </w:rPr>
              <w:t>本报告期</w:t>
            </w:r>
            <w:r w:rsidRPr="00D3639B">
              <w:rPr>
                <w:rFonts w:eastAsiaTheme="minorEastAsia"/>
                <w:color w:val="000000" w:themeColor="text1"/>
                <w:szCs w:val="21"/>
              </w:rPr>
              <w:t>卖出</w:t>
            </w:r>
            <w:r w:rsidRPr="00D3639B">
              <w:rPr>
                <w:rFonts w:eastAsiaTheme="minorEastAsia"/>
                <w:color w:val="000000" w:themeColor="text1"/>
                <w:szCs w:val="21"/>
              </w:rPr>
              <w:t>/</w:t>
            </w:r>
            <w:r w:rsidRPr="00D3639B">
              <w:rPr>
                <w:rFonts w:eastAsiaTheme="minorEastAsia"/>
                <w:color w:val="000000" w:themeColor="text1"/>
                <w:szCs w:val="21"/>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jc w:val="right"/>
              <w:rPr>
                <w:rFonts w:eastAsiaTheme="minorEastAsia"/>
                <w:color w:val="000000" w:themeColor="text1"/>
                <w:kern w:val="0"/>
                <w:szCs w:val="21"/>
              </w:rPr>
            </w:pPr>
            <w:r w:rsidRPr="00D3639B">
              <w:rPr>
                <w:rFonts w:eastAsiaTheme="minorEastAsia"/>
                <w:color w:val="000000" w:themeColor="text1"/>
                <w:szCs w:val="21"/>
              </w:rPr>
              <w:t>-</w:t>
            </w:r>
          </w:p>
        </w:tc>
      </w:tr>
      <w:tr w:rsidR="00D3639B" w:rsidRPr="00D3639B" w:rsidTr="00532DB7">
        <w:tc>
          <w:tcPr>
            <w:tcW w:w="504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jc w:val="right"/>
              <w:rPr>
                <w:rFonts w:eastAsiaTheme="minorEastAsia"/>
                <w:color w:val="000000" w:themeColor="text1"/>
                <w:szCs w:val="21"/>
              </w:rPr>
            </w:pPr>
            <w:r w:rsidRPr="00D3639B">
              <w:rPr>
                <w:rFonts w:eastAsiaTheme="minorEastAsia"/>
                <w:color w:val="000000" w:themeColor="text1"/>
                <w:szCs w:val="21"/>
              </w:rPr>
              <w:t>10,000,200.02</w:t>
            </w:r>
          </w:p>
        </w:tc>
      </w:tr>
      <w:tr w:rsidR="00D3639B" w:rsidRPr="00D3639B" w:rsidTr="00532DB7">
        <w:tc>
          <w:tcPr>
            <w:tcW w:w="504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报告期期末持有的本基金份额占基金总份额比例（</w:t>
            </w:r>
            <w:r w:rsidRPr="00D3639B">
              <w:rPr>
                <w:rFonts w:eastAsiaTheme="minorEastAsia"/>
                <w:color w:val="000000" w:themeColor="text1"/>
                <w:szCs w:val="21"/>
              </w:rPr>
              <w:t>%</w:t>
            </w:r>
            <w:r w:rsidRPr="00D3639B">
              <w:rPr>
                <w:rFonts w:eastAsiaTheme="minorEastAsia"/>
                <w:color w:val="000000" w:themeColor="text1"/>
                <w:szCs w:val="21"/>
              </w:rPr>
              <w:t>）</w:t>
            </w:r>
          </w:p>
        </w:tc>
        <w:tc>
          <w:tcPr>
            <w:tcW w:w="3380" w:type="dxa"/>
            <w:tcBorders>
              <w:top w:val="single" w:sz="8" w:space="0" w:color="000000"/>
              <w:left w:val="single" w:sz="8" w:space="0" w:color="000000"/>
              <w:bottom w:val="single" w:sz="8" w:space="0" w:color="000000"/>
              <w:right w:val="single" w:sz="8" w:space="0" w:color="000000"/>
            </w:tcBorders>
            <w:vAlign w:val="center"/>
          </w:tcPr>
          <w:p w:rsidR="00617125" w:rsidRPr="00D3639B" w:rsidRDefault="00617125" w:rsidP="00532DB7">
            <w:pPr>
              <w:jc w:val="right"/>
              <w:rPr>
                <w:rFonts w:eastAsiaTheme="minorEastAsia"/>
                <w:color w:val="000000" w:themeColor="text1"/>
                <w:kern w:val="0"/>
                <w:szCs w:val="21"/>
              </w:rPr>
            </w:pPr>
            <w:r w:rsidRPr="00D3639B">
              <w:rPr>
                <w:rFonts w:eastAsiaTheme="minorEastAsia"/>
                <w:color w:val="000000" w:themeColor="text1"/>
                <w:szCs w:val="21"/>
              </w:rPr>
              <w:t>57.98</w:t>
            </w:r>
          </w:p>
        </w:tc>
      </w:tr>
    </w:tbl>
    <w:p w:rsidR="00617125" w:rsidRPr="00D3639B" w:rsidRDefault="00617125" w:rsidP="001D0DE3">
      <w:pPr>
        <w:spacing w:beforeLines="100" w:line="360" w:lineRule="auto"/>
        <w:jc w:val="left"/>
        <w:rPr>
          <w:rFonts w:eastAsiaTheme="minorEastAsia"/>
          <w:color w:val="000000" w:themeColor="text1"/>
          <w:szCs w:val="21"/>
        </w:rPr>
      </w:pPr>
      <w:r w:rsidRPr="00D3639B">
        <w:rPr>
          <w:rFonts w:eastAsiaTheme="minorEastAsia"/>
          <w:b/>
          <w:color w:val="000000" w:themeColor="text1"/>
          <w:szCs w:val="21"/>
        </w:rPr>
        <w:t xml:space="preserve">7.2 </w:t>
      </w:r>
      <w:r w:rsidRPr="00D3639B">
        <w:rPr>
          <w:rFonts w:eastAsiaTheme="minorEastAsia"/>
          <w:b/>
          <w:color w:val="000000" w:themeColor="text1"/>
          <w:szCs w:val="21"/>
        </w:rPr>
        <w:t>基金管理人运用固有资金投资本基金交易明细</w:t>
      </w:r>
      <w:bookmarkStart w:id="3" w:name="_GoBack"/>
      <w:bookmarkEnd w:id="3"/>
    </w:p>
    <w:p w:rsidR="00617125" w:rsidRPr="00D3639B" w:rsidRDefault="00617125" w:rsidP="004B54B8">
      <w:pPr>
        <w:autoSpaceDE w:val="0"/>
        <w:autoSpaceDN w:val="0"/>
        <w:adjustRightInd w:val="0"/>
        <w:spacing w:line="360" w:lineRule="auto"/>
        <w:ind w:firstLineChars="200" w:firstLine="420"/>
        <w:jc w:val="left"/>
        <w:rPr>
          <w:rFonts w:eastAsiaTheme="minorEastAsia"/>
          <w:color w:val="000000" w:themeColor="text1"/>
          <w:szCs w:val="21"/>
        </w:rPr>
      </w:pPr>
      <w:r w:rsidRPr="00D3639B">
        <w:rPr>
          <w:rFonts w:eastAsiaTheme="minorEastAsia"/>
          <w:color w:val="000000" w:themeColor="text1"/>
          <w:szCs w:val="21"/>
        </w:rPr>
        <w:t>本报告期内，基金管理人不存在运用固有资金（认）申购、赎回或买卖本基金的情况。</w:t>
      </w:r>
    </w:p>
    <w:p w:rsidR="00B47574" w:rsidRPr="00D3639B" w:rsidRDefault="00B47574" w:rsidP="001D0DE3">
      <w:pPr>
        <w:pStyle w:val="1"/>
        <w:spacing w:beforeLines="100" w:afterLines="100" w:line="360" w:lineRule="auto"/>
        <w:jc w:val="center"/>
        <w:rPr>
          <w:rFonts w:eastAsiaTheme="minorEastAsia"/>
          <w:b w:val="0"/>
          <w:color w:val="000000" w:themeColor="text1"/>
          <w:sz w:val="21"/>
          <w:szCs w:val="21"/>
        </w:rPr>
      </w:pPr>
      <w:r w:rsidRPr="00D3639B">
        <w:rPr>
          <w:rFonts w:eastAsiaTheme="minorEastAsia"/>
          <w:color w:val="000000" w:themeColor="text1"/>
          <w:kern w:val="0"/>
          <w:sz w:val="21"/>
          <w:szCs w:val="21"/>
        </w:rPr>
        <w:t xml:space="preserve">§8  </w:t>
      </w:r>
      <w:r w:rsidR="00EA7533" w:rsidRPr="00D3639B">
        <w:rPr>
          <w:rFonts w:eastAsiaTheme="minorEastAsia"/>
          <w:color w:val="000000" w:themeColor="text1"/>
          <w:kern w:val="0"/>
          <w:sz w:val="21"/>
          <w:szCs w:val="21"/>
        </w:rPr>
        <w:t>报告期末</w:t>
      </w:r>
      <w:r w:rsidRPr="00D3639B">
        <w:rPr>
          <w:rFonts w:eastAsiaTheme="minorEastAsia"/>
          <w:color w:val="000000" w:themeColor="text1"/>
          <w:kern w:val="0"/>
          <w:sz w:val="21"/>
          <w:szCs w:val="21"/>
        </w:rPr>
        <w:t>发起式基金发起资金持有份额情况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1"/>
        <w:gridCol w:w="1157"/>
        <w:gridCol w:w="1314"/>
        <w:gridCol w:w="1065"/>
        <w:gridCol w:w="1458"/>
        <w:gridCol w:w="1495"/>
      </w:tblGrid>
      <w:tr w:rsidR="00D3639B" w:rsidRPr="00D3639B" w:rsidTr="00975D18">
        <w:trPr>
          <w:trHeight w:val="543"/>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D3639B" w:rsidRDefault="00B47574" w:rsidP="00973B57">
            <w:pPr>
              <w:widowControl/>
              <w:jc w:val="left"/>
              <w:rPr>
                <w:rFonts w:eastAsiaTheme="minorEastAsia"/>
                <w:color w:val="000000" w:themeColor="text1"/>
                <w:szCs w:val="21"/>
              </w:rPr>
            </w:pPr>
            <w:r w:rsidRPr="00D3639B">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widowControl/>
              <w:jc w:val="left"/>
              <w:rPr>
                <w:rFonts w:eastAsiaTheme="minorEastAsia"/>
                <w:color w:val="000000" w:themeColor="text1"/>
                <w:szCs w:val="21"/>
              </w:rPr>
            </w:pPr>
            <w:r w:rsidRPr="00D3639B">
              <w:rPr>
                <w:rFonts w:eastAsiaTheme="minorEastAsia"/>
                <w:color w:val="000000" w:themeColor="text1"/>
                <w:szCs w:val="21"/>
              </w:rPr>
              <w:t>发起份额承诺持有期限</w:t>
            </w:r>
          </w:p>
        </w:tc>
      </w:tr>
      <w:tr w:rsidR="00D3639B" w:rsidRPr="00D3639B" w:rsidTr="00975D18">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10,000,200.02</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57.98%</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10,000,200.02</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57.98%</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三年</w:t>
            </w:r>
          </w:p>
        </w:tc>
      </w:tr>
      <w:tr w:rsidR="00D3639B" w:rsidRPr="00D3639B" w:rsidTr="00975D18">
        <w:trPr>
          <w:trHeight w:val="790"/>
        </w:trPr>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rPr>
                <w:rFonts w:eastAsiaTheme="minorEastAsia"/>
                <w:color w:val="000000" w:themeColor="text1"/>
                <w:szCs w:val="21"/>
              </w:rPr>
            </w:pPr>
            <w:r w:rsidRPr="00D3639B">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left"/>
              <w:rPr>
                <w:rFonts w:eastAsiaTheme="minorEastAsia"/>
                <w:color w:val="000000" w:themeColor="text1"/>
                <w:szCs w:val="21"/>
              </w:rPr>
            </w:pPr>
            <w:r w:rsidRPr="00D3639B">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left"/>
              <w:rPr>
                <w:rFonts w:eastAsiaTheme="minorEastAsia"/>
                <w:color w:val="000000" w:themeColor="text1"/>
                <w:szCs w:val="21"/>
              </w:rPr>
            </w:pPr>
            <w:r w:rsidRPr="00D3639B">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left"/>
              <w:rPr>
                <w:rFonts w:eastAsiaTheme="minorEastAsia"/>
                <w:color w:val="000000" w:themeColor="text1"/>
                <w:szCs w:val="21"/>
              </w:rPr>
            </w:pPr>
            <w:r w:rsidRPr="00D3639B">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w:t>
            </w:r>
          </w:p>
        </w:tc>
      </w:tr>
      <w:tr w:rsidR="00D3639B" w:rsidRPr="00D3639B" w:rsidTr="00975D18">
        <w:tc>
          <w:tcPr>
            <w:tcW w:w="2391"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left"/>
              <w:rPr>
                <w:rFonts w:eastAsiaTheme="minorEastAsia"/>
                <w:color w:val="000000" w:themeColor="text1"/>
                <w:szCs w:val="21"/>
              </w:rPr>
            </w:pPr>
            <w:r w:rsidRPr="00D3639B">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10,000,200.02</w:t>
            </w:r>
          </w:p>
        </w:tc>
        <w:tc>
          <w:tcPr>
            <w:tcW w:w="1314"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57.98%</w:t>
            </w:r>
          </w:p>
        </w:tc>
        <w:tc>
          <w:tcPr>
            <w:tcW w:w="106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10,000,200.02</w:t>
            </w:r>
          </w:p>
        </w:tc>
        <w:tc>
          <w:tcPr>
            <w:tcW w:w="1458"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57.98%</w:t>
            </w:r>
          </w:p>
        </w:tc>
        <w:tc>
          <w:tcPr>
            <w:tcW w:w="1495" w:type="dxa"/>
            <w:tcBorders>
              <w:top w:val="single" w:sz="4" w:space="0" w:color="auto"/>
              <w:left w:val="single" w:sz="4" w:space="0" w:color="auto"/>
              <w:bottom w:val="single" w:sz="4" w:space="0" w:color="auto"/>
              <w:right w:val="single" w:sz="4" w:space="0" w:color="auto"/>
            </w:tcBorders>
            <w:hideMark/>
          </w:tcPr>
          <w:p w:rsidR="00B47574" w:rsidRPr="00D3639B" w:rsidRDefault="00B47574" w:rsidP="00973B57">
            <w:pPr>
              <w:adjustRightInd w:val="0"/>
              <w:snapToGrid w:val="0"/>
              <w:spacing w:line="360" w:lineRule="exact"/>
              <w:jc w:val="right"/>
              <w:rPr>
                <w:rFonts w:eastAsiaTheme="minorEastAsia"/>
                <w:color w:val="000000" w:themeColor="text1"/>
                <w:kern w:val="0"/>
                <w:szCs w:val="21"/>
              </w:rPr>
            </w:pPr>
            <w:r w:rsidRPr="00D3639B">
              <w:rPr>
                <w:rFonts w:eastAsiaTheme="minorEastAsia"/>
                <w:color w:val="000000" w:themeColor="text1"/>
                <w:kern w:val="0"/>
                <w:szCs w:val="21"/>
              </w:rPr>
              <w:t>三年</w:t>
            </w:r>
          </w:p>
        </w:tc>
      </w:tr>
    </w:tbl>
    <w:p w:rsidR="00FB3C94" w:rsidRPr="00D3639B" w:rsidRDefault="00FB3C94"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w:t>
      </w:r>
      <w:r w:rsidR="00D13A01" w:rsidRPr="00D3639B">
        <w:rPr>
          <w:rFonts w:eastAsiaTheme="minorEastAsia"/>
          <w:color w:val="000000" w:themeColor="text1"/>
          <w:kern w:val="0"/>
          <w:sz w:val="21"/>
          <w:szCs w:val="21"/>
        </w:rPr>
        <w:t>9</w:t>
      </w:r>
      <w:r w:rsidRPr="00D3639B">
        <w:rPr>
          <w:rFonts w:eastAsiaTheme="minorEastAsia"/>
          <w:color w:val="000000" w:themeColor="text1"/>
          <w:kern w:val="0"/>
          <w:sz w:val="21"/>
          <w:szCs w:val="21"/>
        </w:rPr>
        <w:t>影响投资者决策的其他重要信息</w:t>
      </w:r>
    </w:p>
    <w:p w:rsidR="00531CB5" w:rsidRPr="00531CB5" w:rsidRDefault="00531CB5" w:rsidP="00531CB5">
      <w:pPr>
        <w:autoSpaceDE w:val="0"/>
        <w:autoSpaceDN w:val="0"/>
        <w:adjustRightInd w:val="0"/>
        <w:spacing w:line="360" w:lineRule="auto"/>
        <w:jc w:val="left"/>
        <w:rPr>
          <w:rFonts w:eastAsiaTheme="minorEastAsia"/>
          <w:b/>
          <w:bCs/>
          <w:color w:val="000000" w:themeColor="text1"/>
          <w:kern w:val="0"/>
          <w:szCs w:val="21"/>
        </w:rPr>
      </w:pPr>
      <w:r w:rsidRPr="00531CB5">
        <w:rPr>
          <w:rFonts w:eastAsiaTheme="minorEastAsia"/>
          <w:b/>
          <w:bCs/>
          <w:color w:val="000000" w:themeColor="text1"/>
          <w:kern w:val="0"/>
          <w:szCs w:val="21"/>
        </w:rPr>
        <w:t>9.</w:t>
      </w:r>
      <w:r w:rsidRPr="00531CB5">
        <w:rPr>
          <w:rFonts w:eastAsiaTheme="minorEastAsia" w:hint="eastAsia"/>
          <w:b/>
          <w:bCs/>
          <w:color w:val="000000" w:themeColor="text1"/>
          <w:kern w:val="0"/>
          <w:szCs w:val="21"/>
        </w:rPr>
        <w:t xml:space="preserve">1 </w:t>
      </w:r>
      <w:r w:rsidRPr="00531CB5">
        <w:rPr>
          <w:rFonts w:eastAsiaTheme="minorEastAsia" w:hint="eastAsia"/>
          <w:b/>
          <w:bCs/>
          <w:color w:val="000000" w:themeColor="text1"/>
          <w:kern w:val="0"/>
          <w:szCs w:val="21"/>
        </w:rPr>
        <w:t>报告期内单一投资者持有基金份额比例达到或超过</w:t>
      </w:r>
      <w:r w:rsidRPr="00531CB5">
        <w:rPr>
          <w:rFonts w:eastAsiaTheme="minorEastAsia" w:hint="eastAsia"/>
          <w:b/>
          <w:bCs/>
          <w:color w:val="000000" w:themeColor="text1"/>
          <w:kern w:val="0"/>
          <w:szCs w:val="21"/>
        </w:rPr>
        <w:t>20%</w:t>
      </w:r>
      <w:r w:rsidRPr="00531CB5">
        <w:rPr>
          <w:rFonts w:eastAsiaTheme="minorEastAsia" w:hint="eastAsia"/>
          <w:b/>
          <w:bCs/>
          <w:color w:val="000000" w:themeColor="text1"/>
          <w:kern w:val="0"/>
          <w:szCs w:val="21"/>
        </w:rPr>
        <w:t>的情况</w:t>
      </w:r>
    </w:p>
    <w:tbl>
      <w:tblPr>
        <w:tblStyle w:val="af2"/>
        <w:tblW w:w="9212" w:type="dxa"/>
        <w:tblInd w:w="-176" w:type="dxa"/>
        <w:tblLayout w:type="fixed"/>
        <w:tblLook w:val="04A0"/>
      </w:tblPr>
      <w:tblGrid>
        <w:gridCol w:w="993"/>
        <w:gridCol w:w="992"/>
        <w:gridCol w:w="1843"/>
        <w:gridCol w:w="851"/>
        <w:gridCol w:w="850"/>
        <w:gridCol w:w="1134"/>
        <w:gridCol w:w="1419"/>
        <w:gridCol w:w="1130"/>
      </w:tblGrid>
      <w:tr w:rsidR="00531CB5" w:rsidRPr="00531CB5" w:rsidTr="0026304E">
        <w:tc>
          <w:tcPr>
            <w:tcW w:w="993" w:type="dxa"/>
            <w:vMerge w:val="restart"/>
            <w:vAlign w:val="center"/>
          </w:tcPr>
          <w:p w:rsidR="00531CB5" w:rsidRPr="00531CB5" w:rsidRDefault="00531CB5" w:rsidP="0026304E">
            <w:pPr>
              <w:autoSpaceDE w:val="0"/>
              <w:autoSpaceDN w:val="0"/>
              <w:adjustRightInd w:val="0"/>
              <w:jc w:val="center"/>
              <w:rPr>
                <w:rFonts w:eastAsiaTheme="minorEastAsia"/>
                <w:b/>
                <w:bCs/>
                <w:color w:val="000000" w:themeColor="text1"/>
                <w:szCs w:val="21"/>
              </w:rPr>
            </w:pPr>
            <w:r w:rsidRPr="00531CB5">
              <w:rPr>
                <w:rFonts w:asciiTheme="minorEastAsia" w:eastAsiaTheme="minorEastAsia" w:hAnsiTheme="minorEastAsia" w:hint="eastAsia"/>
                <w:color w:val="000000"/>
                <w:szCs w:val="21"/>
              </w:rPr>
              <w:t>投资者类别</w:t>
            </w:r>
          </w:p>
        </w:tc>
        <w:tc>
          <w:tcPr>
            <w:tcW w:w="5670" w:type="dxa"/>
            <w:gridSpan w:val="5"/>
            <w:vAlign w:val="center"/>
          </w:tcPr>
          <w:p w:rsidR="00531CB5" w:rsidRPr="00531CB5" w:rsidRDefault="00531CB5" w:rsidP="0026304E">
            <w:pPr>
              <w:autoSpaceDE w:val="0"/>
              <w:autoSpaceDN w:val="0"/>
              <w:adjustRightInd w:val="0"/>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报告期内持有基金份额变化情况</w:t>
            </w:r>
          </w:p>
        </w:tc>
        <w:tc>
          <w:tcPr>
            <w:tcW w:w="2549" w:type="dxa"/>
            <w:gridSpan w:val="2"/>
            <w:vAlign w:val="center"/>
          </w:tcPr>
          <w:p w:rsidR="00531CB5" w:rsidRPr="00531CB5" w:rsidRDefault="00531CB5" w:rsidP="0026304E">
            <w:pPr>
              <w:autoSpaceDE w:val="0"/>
              <w:autoSpaceDN w:val="0"/>
              <w:adjustRightInd w:val="0"/>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报告期末持有基金情况</w:t>
            </w:r>
          </w:p>
        </w:tc>
      </w:tr>
      <w:tr w:rsidR="00531CB5" w:rsidRPr="00531CB5" w:rsidTr="0026304E">
        <w:tc>
          <w:tcPr>
            <w:tcW w:w="993" w:type="dxa"/>
            <w:vMerge/>
            <w:vAlign w:val="center"/>
          </w:tcPr>
          <w:p w:rsidR="00531CB5" w:rsidRPr="00531CB5" w:rsidRDefault="00531CB5" w:rsidP="0026304E">
            <w:pPr>
              <w:autoSpaceDE w:val="0"/>
              <w:autoSpaceDN w:val="0"/>
              <w:adjustRightInd w:val="0"/>
              <w:jc w:val="center"/>
              <w:rPr>
                <w:rFonts w:eastAsiaTheme="minorEastAsia"/>
                <w:b/>
                <w:bCs/>
                <w:color w:val="000000" w:themeColor="text1"/>
                <w:szCs w:val="21"/>
              </w:rPr>
            </w:pPr>
          </w:p>
        </w:tc>
        <w:tc>
          <w:tcPr>
            <w:tcW w:w="992" w:type="dxa"/>
            <w:vAlign w:val="center"/>
          </w:tcPr>
          <w:p w:rsidR="00531CB5" w:rsidRPr="00531CB5" w:rsidRDefault="00531CB5" w:rsidP="0026304E">
            <w:pPr>
              <w:autoSpaceDE w:val="0"/>
              <w:autoSpaceDN w:val="0"/>
              <w:adjustRightInd w:val="0"/>
              <w:jc w:val="center"/>
              <w:rPr>
                <w:rFonts w:eastAsiaTheme="minorEastAsia"/>
                <w:b/>
                <w:bCs/>
                <w:color w:val="000000" w:themeColor="text1"/>
                <w:szCs w:val="21"/>
              </w:rPr>
            </w:pPr>
            <w:r w:rsidRPr="00531CB5">
              <w:rPr>
                <w:rFonts w:ascii="宋体" w:hAnsi="宋体" w:hint="eastAsia"/>
                <w:color w:val="000000"/>
                <w:szCs w:val="21"/>
              </w:rPr>
              <w:t>序号</w:t>
            </w:r>
          </w:p>
        </w:tc>
        <w:tc>
          <w:tcPr>
            <w:tcW w:w="1843" w:type="dxa"/>
            <w:vAlign w:val="center"/>
          </w:tcPr>
          <w:p w:rsidR="00531CB5" w:rsidRPr="00531CB5" w:rsidRDefault="00531CB5" w:rsidP="0026304E">
            <w:pPr>
              <w:autoSpaceDE w:val="0"/>
              <w:autoSpaceDN w:val="0"/>
              <w:adjustRightInd w:val="0"/>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持有基金份额比例达到或者超过20%的时间区间</w:t>
            </w:r>
          </w:p>
        </w:tc>
        <w:tc>
          <w:tcPr>
            <w:tcW w:w="851" w:type="dxa"/>
            <w:vAlign w:val="center"/>
          </w:tcPr>
          <w:p w:rsidR="00531CB5" w:rsidRPr="00531CB5" w:rsidRDefault="00531CB5" w:rsidP="0026304E">
            <w:pPr>
              <w:widowControl/>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期初份额</w:t>
            </w:r>
          </w:p>
        </w:tc>
        <w:tc>
          <w:tcPr>
            <w:tcW w:w="850" w:type="dxa"/>
            <w:vAlign w:val="center"/>
          </w:tcPr>
          <w:p w:rsidR="00531CB5" w:rsidRPr="00531CB5" w:rsidRDefault="00531CB5" w:rsidP="0026304E">
            <w:pPr>
              <w:widowControl/>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申购份额</w:t>
            </w:r>
          </w:p>
        </w:tc>
        <w:tc>
          <w:tcPr>
            <w:tcW w:w="1134" w:type="dxa"/>
            <w:vAlign w:val="center"/>
          </w:tcPr>
          <w:p w:rsidR="00531CB5" w:rsidRPr="00531CB5" w:rsidRDefault="00531CB5" w:rsidP="0026304E">
            <w:pPr>
              <w:widowControl/>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赎回份额</w:t>
            </w:r>
          </w:p>
        </w:tc>
        <w:tc>
          <w:tcPr>
            <w:tcW w:w="1419" w:type="dxa"/>
            <w:vAlign w:val="center"/>
          </w:tcPr>
          <w:p w:rsidR="00531CB5" w:rsidRPr="00531CB5" w:rsidRDefault="00531CB5" w:rsidP="0026304E">
            <w:pPr>
              <w:autoSpaceDE w:val="0"/>
              <w:autoSpaceDN w:val="0"/>
              <w:adjustRightInd w:val="0"/>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持有份额</w:t>
            </w:r>
          </w:p>
        </w:tc>
        <w:tc>
          <w:tcPr>
            <w:tcW w:w="1130" w:type="dxa"/>
            <w:vAlign w:val="center"/>
          </w:tcPr>
          <w:p w:rsidR="00531CB5" w:rsidRPr="00531CB5" w:rsidRDefault="00531CB5" w:rsidP="0026304E">
            <w:pPr>
              <w:autoSpaceDE w:val="0"/>
              <w:autoSpaceDN w:val="0"/>
              <w:adjustRightInd w:val="0"/>
              <w:jc w:val="center"/>
              <w:rPr>
                <w:rFonts w:asciiTheme="minorEastAsia" w:eastAsiaTheme="minorEastAsia" w:hAnsiTheme="minorEastAsia"/>
                <w:b/>
                <w:bCs/>
                <w:color w:val="000000" w:themeColor="text1"/>
                <w:szCs w:val="21"/>
              </w:rPr>
            </w:pPr>
            <w:r w:rsidRPr="00531CB5">
              <w:rPr>
                <w:rFonts w:asciiTheme="minorEastAsia" w:eastAsiaTheme="minorEastAsia" w:hAnsiTheme="minorEastAsia" w:hint="eastAsia"/>
                <w:color w:val="000000"/>
                <w:szCs w:val="21"/>
              </w:rPr>
              <w:t>份额占比</w:t>
            </w:r>
          </w:p>
        </w:tc>
      </w:tr>
      <w:tr w:rsidR="008C5FCF">
        <w:tc>
          <w:tcPr>
            <w:tcW w:w="993" w:type="dxa"/>
            <w:vMerge w:val="restart"/>
          </w:tcPr>
          <w:p w:rsidR="008C5FCF" w:rsidRDefault="008C5FCF"/>
          <w:p w:rsidR="008C5FCF" w:rsidRDefault="001D0DE3">
            <w:r>
              <w:rPr>
                <w:rFonts w:eastAsiaTheme="minorEastAsia" w:hint="eastAsia"/>
                <w:bCs/>
                <w:color w:val="000000" w:themeColor="text1"/>
                <w:szCs w:val="21"/>
              </w:rPr>
              <w:t>机构</w:t>
            </w:r>
          </w:p>
        </w:tc>
        <w:tc>
          <w:tcPr>
            <w:tcW w:w="992" w:type="dxa"/>
            <w:vAlign w:val="center"/>
          </w:tcPr>
          <w:p w:rsidR="008C5FCF" w:rsidRDefault="001D0DE3">
            <w:pPr>
              <w:jc w:val="center"/>
            </w:pPr>
            <w:r>
              <w:rPr>
                <w:color w:val="000000"/>
                <w:szCs w:val="21"/>
              </w:rPr>
              <w:t>1</w:t>
            </w:r>
          </w:p>
        </w:tc>
        <w:tc>
          <w:tcPr>
            <w:tcW w:w="1843" w:type="dxa"/>
            <w:vAlign w:val="center"/>
          </w:tcPr>
          <w:p w:rsidR="008C5FCF" w:rsidRDefault="001D0DE3">
            <w:pPr>
              <w:jc w:val="center"/>
            </w:pPr>
            <w:r>
              <w:rPr>
                <w:color w:val="000000"/>
                <w:szCs w:val="21"/>
              </w:rPr>
              <w:t>20180701-20180930</w:t>
            </w:r>
          </w:p>
        </w:tc>
        <w:tc>
          <w:tcPr>
            <w:tcW w:w="851" w:type="dxa"/>
            <w:vAlign w:val="center"/>
          </w:tcPr>
          <w:p w:rsidR="008C5FCF" w:rsidRDefault="001D0DE3">
            <w:pPr>
              <w:jc w:val="center"/>
            </w:pPr>
            <w:r>
              <w:rPr>
                <w:color w:val="000000"/>
                <w:szCs w:val="21"/>
              </w:rPr>
              <w:t>10,000,200.02</w:t>
            </w:r>
          </w:p>
        </w:tc>
        <w:tc>
          <w:tcPr>
            <w:tcW w:w="850" w:type="dxa"/>
            <w:vAlign w:val="center"/>
          </w:tcPr>
          <w:p w:rsidR="008C5FCF" w:rsidRDefault="001D0DE3">
            <w:pPr>
              <w:jc w:val="center"/>
            </w:pPr>
            <w:r>
              <w:rPr>
                <w:color w:val="000000"/>
                <w:szCs w:val="21"/>
              </w:rPr>
              <w:t>0.00</w:t>
            </w:r>
          </w:p>
        </w:tc>
        <w:tc>
          <w:tcPr>
            <w:tcW w:w="1134" w:type="dxa"/>
            <w:vAlign w:val="center"/>
          </w:tcPr>
          <w:p w:rsidR="008C5FCF" w:rsidRDefault="001D0DE3">
            <w:pPr>
              <w:jc w:val="center"/>
            </w:pPr>
            <w:r>
              <w:rPr>
                <w:color w:val="000000"/>
                <w:szCs w:val="21"/>
              </w:rPr>
              <w:t>0.00</w:t>
            </w:r>
          </w:p>
        </w:tc>
        <w:tc>
          <w:tcPr>
            <w:tcW w:w="1419" w:type="dxa"/>
            <w:vAlign w:val="center"/>
          </w:tcPr>
          <w:p w:rsidR="008C5FCF" w:rsidRDefault="001D0DE3">
            <w:pPr>
              <w:jc w:val="center"/>
            </w:pPr>
            <w:r>
              <w:rPr>
                <w:color w:val="000000"/>
                <w:szCs w:val="21"/>
              </w:rPr>
              <w:t>10,000,200.02</w:t>
            </w:r>
          </w:p>
        </w:tc>
        <w:tc>
          <w:tcPr>
            <w:tcW w:w="1130" w:type="dxa"/>
            <w:vAlign w:val="center"/>
          </w:tcPr>
          <w:p w:rsidR="008C5FCF" w:rsidRDefault="001D0DE3">
            <w:pPr>
              <w:jc w:val="center"/>
            </w:pPr>
            <w:r>
              <w:rPr>
                <w:color w:val="000000"/>
                <w:szCs w:val="21"/>
              </w:rPr>
              <w:t>57.98%</w:t>
            </w:r>
          </w:p>
        </w:tc>
      </w:tr>
      <w:tr w:rsidR="00531CB5" w:rsidRPr="00531CB5" w:rsidTr="0026304E">
        <w:tc>
          <w:tcPr>
            <w:tcW w:w="9212" w:type="dxa"/>
            <w:gridSpan w:val="8"/>
            <w:vAlign w:val="center"/>
          </w:tcPr>
          <w:p w:rsidR="00531CB5" w:rsidRPr="00531CB5" w:rsidRDefault="00531CB5" w:rsidP="0026304E">
            <w:pPr>
              <w:autoSpaceDE w:val="0"/>
              <w:autoSpaceDN w:val="0"/>
              <w:adjustRightInd w:val="0"/>
              <w:jc w:val="center"/>
              <w:rPr>
                <w:szCs w:val="21"/>
              </w:rPr>
            </w:pPr>
            <w:r w:rsidRPr="00531CB5">
              <w:rPr>
                <w:color w:val="000000"/>
                <w:szCs w:val="21"/>
              </w:rPr>
              <w:t>产品特有风险</w:t>
            </w:r>
          </w:p>
        </w:tc>
      </w:tr>
      <w:tr w:rsidR="00531CB5" w:rsidRPr="00531CB5" w:rsidTr="0026304E">
        <w:tc>
          <w:tcPr>
            <w:tcW w:w="9212" w:type="dxa"/>
            <w:gridSpan w:val="8"/>
            <w:vAlign w:val="center"/>
          </w:tcPr>
          <w:p w:rsidR="00531CB5" w:rsidRPr="00531CB5" w:rsidRDefault="00531CB5" w:rsidP="0026304E">
            <w:pPr>
              <w:autoSpaceDE w:val="0"/>
              <w:autoSpaceDN w:val="0"/>
              <w:adjustRightInd w:val="0"/>
              <w:jc w:val="left"/>
              <w:rPr>
                <w:szCs w:val="21"/>
              </w:rPr>
            </w:pPr>
            <w:r w:rsidRPr="00531CB5">
              <w:rPr>
                <w:rFonts w:hint="eastAsia"/>
                <w:szCs w:val="21"/>
              </w:rPr>
              <w:t>报告期内，本基金存在单一投资者持有份额比例达到或超过</w:t>
            </w:r>
            <w:r w:rsidRPr="00531CB5">
              <w:rPr>
                <w:rFonts w:hint="eastAsia"/>
                <w:szCs w:val="21"/>
              </w:rPr>
              <w:t>20%</w:t>
            </w:r>
            <w:r w:rsidRPr="00531CB5">
              <w:rPr>
                <w:rFonts w:hint="eastAsia"/>
                <w:szCs w:val="21"/>
              </w:rPr>
              <w:t>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w:t>
            </w:r>
            <w:r w:rsidRPr="00531CB5">
              <w:rPr>
                <w:rFonts w:hint="eastAsia"/>
                <w:szCs w:val="21"/>
              </w:rPr>
              <w:t xml:space="preserve"> 5000 </w:t>
            </w:r>
            <w:r w:rsidRPr="00531CB5">
              <w:rPr>
                <w:rFonts w:hint="eastAsia"/>
                <w:szCs w:val="21"/>
              </w:rPr>
              <w:t>万元，基金还可能面临转换运作方式、与其他基金合并或者终止基金合同等情形。本基金管理人将对基金的大额申赎进行审慎评估并合理应对，完善流动性风险管控机制，切实保护持有人利益。</w:t>
            </w:r>
          </w:p>
        </w:tc>
      </w:tr>
    </w:tbl>
    <w:p w:rsidR="00531CB5" w:rsidRPr="00531CB5" w:rsidRDefault="00531CB5" w:rsidP="00531CB5">
      <w:pPr>
        <w:autoSpaceDE w:val="0"/>
        <w:autoSpaceDN w:val="0"/>
        <w:adjustRightInd w:val="0"/>
        <w:spacing w:line="360" w:lineRule="auto"/>
        <w:jc w:val="left"/>
        <w:rPr>
          <w:rFonts w:eastAsiaTheme="minorEastAsia"/>
          <w:b/>
          <w:bCs/>
          <w:color w:val="000000" w:themeColor="text1"/>
          <w:kern w:val="0"/>
          <w:szCs w:val="21"/>
        </w:rPr>
      </w:pPr>
      <w:r w:rsidRPr="00531CB5">
        <w:rPr>
          <w:rFonts w:eastAsiaTheme="minorEastAsia" w:hint="eastAsia"/>
          <w:b/>
          <w:bCs/>
          <w:color w:val="000000" w:themeColor="text1"/>
          <w:kern w:val="0"/>
          <w:szCs w:val="21"/>
        </w:rPr>
        <w:t xml:space="preserve">9.2 </w:t>
      </w:r>
      <w:r w:rsidRPr="00531CB5">
        <w:rPr>
          <w:rFonts w:eastAsiaTheme="minorEastAsia" w:hint="eastAsia"/>
          <w:b/>
          <w:bCs/>
          <w:color w:val="000000" w:themeColor="text1"/>
          <w:kern w:val="0"/>
          <w:szCs w:val="21"/>
        </w:rPr>
        <w:t>影响投资者决策的其他重要信息</w:t>
      </w:r>
    </w:p>
    <w:p w:rsidR="00531CB5" w:rsidRPr="00531CB5" w:rsidRDefault="00531CB5" w:rsidP="00531CB5">
      <w:pPr>
        <w:spacing w:line="360" w:lineRule="auto"/>
        <w:ind w:firstLineChars="200" w:firstLine="420"/>
        <w:rPr>
          <w:rFonts w:eastAsiaTheme="minorEastAsia"/>
          <w:color w:val="000000" w:themeColor="text1"/>
          <w:szCs w:val="21"/>
        </w:rPr>
      </w:pPr>
      <w:r w:rsidRPr="00531CB5">
        <w:rPr>
          <w:rFonts w:eastAsiaTheme="minorEastAsia"/>
          <w:color w:val="000000" w:themeColor="text1"/>
          <w:szCs w:val="21"/>
        </w:rPr>
        <w:t>广发中证全指原材料交易型开放式指数证券投资基金发起式联接基金（以下简称</w:t>
      </w:r>
      <w:r w:rsidRPr="00531CB5">
        <w:rPr>
          <w:rFonts w:eastAsiaTheme="minorEastAsia"/>
          <w:color w:val="000000" w:themeColor="text1"/>
          <w:szCs w:val="21"/>
        </w:rPr>
        <w:t>“</w:t>
      </w:r>
      <w:r w:rsidRPr="00531CB5">
        <w:rPr>
          <w:rFonts w:eastAsiaTheme="minorEastAsia"/>
          <w:color w:val="000000" w:themeColor="text1"/>
          <w:szCs w:val="21"/>
        </w:rPr>
        <w:t>本基金</w:t>
      </w:r>
      <w:r w:rsidRPr="00531CB5">
        <w:rPr>
          <w:rFonts w:eastAsiaTheme="minorEastAsia"/>
          <w:color w:val="000000" w:themeColor="text1"/>
          <w:szCs w:val="21"/>
        </w:rPr>
        <w:t>”</w:t>
      </w:r>
      <w:r w:rsidRPr="00531CB5">
        <w:rPr>
          <w:rFonts w:eastAsiaTheme="minorEastAsia"/>
          <w:color w:val="000000" w:themeColor="text1"/>
          <w:szCs w:val="21"/>
        </w:rPr>
        <w:t>）于</w:t>
      </w:r>
      <w:r w:rsidRPr="00531CB5">
        <w:rPr>
          <w:rFonts w:eastAsiaTheme="minorEastAsia"/>
          <w:color w:val="000000" w:themeColor="text1"/>
          <w:szCs w:val="21"/>
        </w:rPr>
        <w:t>2015</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18</w:t>
      </w:r>
      <w:r w:rsidRPr="00531CB5">
        <w:rPr>
          <w:rFonts w:eastAsiaTheme="minorEastAsia"/>
          <w:color w:val="000000" w:themeColor="text1"/>
          <w:szCs w:val="21"/>
        </w:rPr>
        <w:t>日正式成立，基金合同生效满三年之日为</w:t>
      </w:r>
      <w:r w:rsidRPr="00531CB5">
        <w:rPr>
          <w:rFonts w:eastAsiaTheme="minorEastAsia"/>
          <w:color w:val="000000" w:themeColor="text1"/>
          <w:szCs w:val="21"/>
        </w:rPr>
        <w:t>2018</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18</w:t>
      </w:r>
      <w:r w:rsidRPr="00531CB5">
        <w:rPr>
          <w:rFonts w:eastAsiaTheme="minorEastAsia"/>
          <w:color w:val="000000" w:themeColor="text1"/>
          <w:szCs w:val="21"/>
        </w:rPr>
        <w:t>日。由于该日为非交易日不进行基金估值，为保证估值公允以准确计算基金规模，并充分维护基金份额持有人利益，故顺延至</w:t>
      </w:r>
      <w:r w:rsidRPr="00531CB5">
        <w:rPr>
          <w:rFonts w:eastAsiaTheme="minorEastAsia"/>
          <w:color w:val="000000" w:themeColor="text1"/>
          <w:szCs w:val="21"/>
        </w:rPr>
        <w:t>2018</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20</w:t>
      </w:r>
      <w:r w:rsidRPr="00531CB5">
        <w:rPr>
          <w:rFonts w:eastAsiaTheme="minorEastAsia"/>
          <w:color w:val="000000" w:themeColor="text1"/>
          <w:szCs w:val="21"/>
        </w:rPr>
        <w:t>日。截至该日（即</w:t>
      </w:r>
      <w:r w:rsidRPr="00531CB5">
        <w:rPr>
          <w:rFonts w:eastAsiaTheme="minorEastAsia"/>
          <w:color w:val="000000" w:themeColor="text1"/>
          <w:szCs w:val="21"/>
        </w:rPr>
        <w:t>2018</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20</w:t>
      </w:r>
      <w:r w:rsidRPr="00531CB5">
        <w:rPr>
          <w:rFonts w:eastAsiaTheme="minorEastAsia"/>
          <w:color w:val="000000" w:themeColor="text1"/>
          <w:szCs w:val="21"/>
        </w:rPr>
        <w:t>日）日终，本基金出现触发基金合同自动终止的情形（即本基金基金资产净值低于</w:t>
      </w:r>
      <w:r w:rsidRPr="00531CB5">
        <w:rPr>
          <w:rFonts w:eastAsiaTheme="minorEastAsia"/>
          <w:color w:val="000000" w:themeColor="text1"/>
          <w:szCs w:val="21"/>
        </w:rPr>
        <w:t>2</w:t>
      </w:r>
      <w:r w:rsidRPr="00531CB5">
        <w:rPr>
          <w:rFonts w:eastAsiaTheme="minorEastAsia"/>
          <w:color w:val="000000" w:themeColor="text1"/>
          <w:szCs w:val="21"/>
        </w:rPr>
        <w:t>亿元），本基金管理人将终止《基金合同》，自</w:t>
      </w:r>
      <w:r w:rsidRPr="00531CB5">
        <w:rPr>
          <w:rFonts w:eastAsiaTheme="minorEastAsia"/>
          <w:color w:val="000000" w:themeColor="text1"/>
          <w:szCs w:val="21"/>
        </w:rPr>
        <w:t>2018</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21</w:t>
      </w:r>
      <w:r w:rsidRPr="00531CB5">
        <w:rPr>
          <w:rFonts w:eastAsiaTheme="minorEastAsia"/>
          <w:color w:val="000000" w:themeColor="text1"/>
          <w:szCs w:val="21"/>
        </w:rPr>
        <w:t>日起根据相关法律法规、基金合同等规定履行基金财产清算程序，无须召开基金份额持有人大会。有关重要事项详情可见本基金管理人于</w:t>
      </w:r>
      <w:r w:rsidRPr="00531CB5">
        <w:rPr>
          <w:rFonts w:eastAsiaTheme="minorEastAsia"/>
          <w:color w:val="000000" w:themeColor="text1"/>
          <w:szCs w:val="21"/>
        </w:rPr>
        <w:t>2018</w:t>
      </w:r>
      <w:r w:rsidRPr="00531CB5">
        <w:rPr>
          <w:rFonts w:eastAsiaTheme="minorEastAsia"/>
          <w:color w:val="000000" w:themeColor="text1"/>
          <w:szCs w:val="21"/>
        </w:rPr>
        <w:t>年</w:t>
      </w:r>
      <w:r w:rsidRPr="00531CB5">
        <w:rPr>
          <w:rFonts w:eastAsiaTheme="minorEastAsia"/>
          <w:color w:val="000000" w:themeColor="text1"/>
          <w:szCs w:val="21"/>
        </w:rPr>
        <w:t>8</w:t>
      </w:r>
      <w:r w:rsidRPr="00531CB5">
        <w:rPr>
          <w:rFonts w:eastAsiaTheme="minorEastAsia"/>
          <w:color w:val="000000" w:themeColor="text1"/>
          <w:szCs w:val="21"/>
        </w:rPr>
        <w:t>月</w:t>
      </w:r>
      <w:r w:rsidRPr="00531CB5">
        <w:rPr>
          <w:rFonts w:eastAsiaTheme="minorEastAsia"/>
          <w:color w:val="000000" w:themeColor="text1"/>
          <w:szCs w:val="21"/>
        </w:rPr>
        <w:t>21</w:t>
      </w:r>
      <w:r w:rsidRPr="00531CB5">
        <w:rPr>
          <w:rFonts w:eastAsiaTheme="minorEastAsia"/>
          <w:color w:val="000000" w:themeColor="text1"/>
          <w:szCs w:val="21"/>
        </w:rPr>
        <w:t>日在《中国证券报》、《上海证券报》、《证券时报》及本公司网站（</w:t>
      </w:r>
      <w:r w:rsidRPr="00531CB5">
        <w:rPr>
          <w:rFonts w:eastAsiaTheme="minorEastAsia"/>
          <w:color w:val="000000" w:themeColor="text1"/>
          <w:szCs w:val="21"/>
        </w:rPr>
        <w:t>www.gffunds.com.cn</w:t>
      </w:r>
      <w:r w:rsidRPr="00531CB5">
        <w:rPr>
          <w:rFonts w:eastAsiaTheme="minorEastAsia"/>
          <w:color w:val="000000" w:themeColor="text1"/>
          <w:szCs w:val="21"/>
        </w:rPr>
        <w:t>）刊登的《广发基金管理有限公司关于广发中证全指原材料交易型开放式指数证券投资基金发起式联接基金基金合同终止及基金财产清算的公告》。</w:t>
      </w:r>
    </w:p>
    <w:p w:rsidR="009238DB" w:rsidRPr="00D3639B" w:rsidRDefault="009238DB" w:rsidP="001D0DE3">
      <w:pPr>
        <w:pStyle w:val="1"/>
        <w:spacing w:beforeLines="100" w:afterLines="100" w:line="360" w:lineRule="auto"/>
        <w:jc w:val="center"/>
        <w:rPr>
          <w:rFonts w:eastAsiaTheme="minorEastAsia"/>
          <w:color w:val="000000" w:themeColor="text1"/>
          <w:kern w:val="0"/>
          <w:sz w:val="21"/>
          <w:szCs w:val="21"/>
        </w:rPr>
      </w:pPr>
      <w:r w:rsidRPr="00D3639B">
        <w:rPr>
          <w:rFonts w:eastAsiaTheme="minorEastAsia"/>
          <w:color w:val="000000" w:themeColor="text1"/>
          <w:kern w:val="0"/>
          <w:sz w:val="21"/>
          <w:szCs w:val="21"/>
        </w:rPr>
        <w:t>§</w:t>
      </w:r>
      <w:r w:rsidR="00A14399" w:rsidRPr="00D3639B">
        <w:rPr>
          <w:rFonts w:eastAsiaTheme="minorEastAsia"/>
          <w:color w:val="000000" w:themeColor="text1"/>
          <w:kern w:val="0"/>
          <w:sz w:val="21"/>
          <w:szCs w:val="21"/>
        </w:rPr>
        <w:t>10</w:t>
      </w:r>
      <w:r w:rsidRPr="00D3639B">
        <w:rPr>
          <w:rFonts w:eastAsiaTheme="minorEastAsia"/>
          <w:color w:val="000000" w:themeColor="text1"/>
          <w:kern w:val="0"/>
          <w:sz w:val="21"/>
          <w:szCs w:val="21"/>
        </w:rPr>
        <w:t>备查文件目录</w:t>
      </w:r>
    </w:p>
    <w:p w:rsidR="00FB3C94" w:rsidRPr="00D3639B" w:rsidRDefault="00A14399" w:rsidP="00FC13C8">
      <w:pPr>
        <w:autoSpaceDE w:val="0"/>
        <w:autoSpaceDN w:val="0"/>
        <w:adjustRightInd w:val="0"/>
        <w:spacing w:line="360" w:lineRule="auto"/>
        <w:jc w:val="left"/>
        <w:rPr>
          <w:rFonts w:eastAsiaTheme="minorEastAsia"/>
          <w:b/>
          <w:bCs/>
          <w:color w:val="000000" w:themeColor="text1"/>
          <w:kern w:val="0"/>
          <w:szCs w:val="21"/>
        </w:rPr>
      </w:pPr>
      <w:r w:rsidRPr="00D3639B">
        <w:rPr>
          <w:rFonts w:eastAsiaTheme="minorEastAsia"/>
          <w:b/>
          <w:bCs/>
          <w:color w:val="000000" w:themeColor="text1"/>
          <w:kern w:val="0"/>
          <w:szCs w:val="21"/>
        </w:rPr>
        <w:t>10.</w:t>
      </w:r>
      <w:r w:rsidR="00D13A01" w:rsidRPr="00D3639B">
        <w:rPr>
          <w:rFonts w:eastAsiaTheme="minorEastAsia"/>
          <w:b/>
          <w:bCs/>
          <w:color w:val="000000" w:themeColor="text1"/>
          <w:kern w:val="0"/>
          <w:szCs w:val="21"/>
        </w:rPr>
        <w:t>1</w:t>
      </w:r>
      <w:r w:rsidR="00FB3C94" w:rsidRPr="00D3639B">
        <w:rPr>
          <w:rFonts w:eastAsiaTheme="minorEastAsia"/>
          <w:b/>
          <w:bCs/>
          <w:color w:val="000000" w:themeColor="text1"/>
          <w:kern w:val="0"/>
          <w:szCs w:val="21"/>
        </w:rPr>
        <w:t>备查文件目录</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（一）中国证监会批准广发中证全指原材料交易型开放式指数证券投资基金发起式联接基金募集的文件</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（二）《广发中证全指原材料交易型开放式指数证券投资基金发起式联接基金基金合同》</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（三）《广发基金管理有限公司开放式基金业务规则》</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（四）《广发中证全指原材料交易型开放式指数证券投资基金发起式联接基金托管协议》</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（五）法律意见书</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（六）基金管理人业务资格批件、营业执照</w:t>
      </w:r>
    </w:p>
    <w:p w:rsidR="00F11783" w:rsidRPr="00D3639B" w:rsidRDefault="00FB3C94"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（七）基金托管人业务资格批件、营业执照</w:t>
      </w:r>
    </w:p>
    <w:p w:rsidR="00FB3C94" w:rsidRPr="00D3639B" w:rsidRDefault="00D13A01" w:rsidP="001D0DE3">
      <w:pPr>
        <w:autoSpaceDE w:val="0"/>
        <w:autoSpaceDN w:val="0"/>
        <w:adjustRightInd w:val="0"/>
        <w:spacing w:beforeLines="100" w:line="360" w:lineRule="auto"/>
        <w:jc w:val="left"/>
        <w:rPr>
          <w:rFonts w:eastAsiaTheme="minorEastAsia"/>
          <w:b/>
          <w:bCs/>
          <w:color w:val="000000" w:themeColor="text1"/>
          <w:kern w:val="0"/>
          <w:szCs w:val="21"/>
        </w:rPr>
      </w:pPr>
      <w:r w:rsidRPr="00D3639B">
        <w:rPr>
          <w:rFonts w:eastAsiaTheme="minorEastAsia"/>
          <w:b/>
          <w:bCs/>
          <w:color w:val="000000" w:themeColor="text1"/>
          <w:kern w:val="0"/>
          <w:szCs w:val="21"/>
        </w:rPr>
        <w:t>10.2</w:t>
      </w:r>
      <w:r w:rsidR="00FB3C94" w:rsidRPr="00D3639B">
        <w:rPr>
          <w:rFonts w:eastAsiaTheme="minorEastAsia"/>
          <w:b/>
          <w:bCs/>
          <w:color w:val="000000" w:themeColor="text1"/>
          <w:kern w:val="0"/>
          <w:szCs w:val="21"/>
        </w:rPr>
        <w:t>存放地点</w:t>
      </w:r>
    </w:p>
    <w:p w:rsidR="00F11783" w:rsidRPr="00D3639B" w:rsidRDefault="00FB3C94"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广州市海珠区琶洲大道东</w:t>
      </w:r>
      <w:r w:rsidRPr="00D3639B">
        <w:rPr>
          <w:rFonts w:eastAsiaTheme="minorEastAsia"/>
          <w:color w:val="000000" w:themeColor="text1"/>
          <w:szCs w:val="21"/>
        </w:rPr>
        <w:t>1</w:t>
      </w:r>
      <w:r w:rsidRPr="00D3639B">
        <w:rPr>
          <w:rFonts w:eastAsiaTheme="minorEastAsia"/>
          <w:color w:val="000000" w:themeColor="text1"/>
          <w:szCs w:val="21"/>
        </w:rPr>
        <w:t>号保利国际广场南塔</w:t>
      </w:r>
      <w:r w:rsidRPr="00D3639B">
        <w:rPr>
          <w:rFonts w:eastAsiaTheme="minorEastAsia"/>
          <w:color w:val="000000" w:themeColor="text1"/>
          <w:szCs w:val="21"/>
        </w:rPr>
        <w:t>31-33</w:t>
      </w:r>
      <w:r w:rsidRPr="00D3639B">
        <w:rPr>
          <w:rFonts w:eastAsiaTheme="minorEastAsia"/>
          <w:color w:val="000000" w:themeColor="text1"/>
          <w:szCs w:val="21"/>
        </w:rPr>
        <w:t>楼</w:t>
      </w:r>
    </w:p>
    <w:p w:rsidR="00FB3C94" w:rsidRPr="00D3639B" w:rsidRDefault="00D13A01" w:rsidP="001D0DE3">
      <w:pPr>
        <w:autoSpaceDE w:val="0"/>
        <w:autoSpaceDN w:val="0"/>
        <w:adjustRightInd w:val="0"/>
        <w:spacing w:beforeLines="100" w:line="360" w:lineRule="auto"/>
        <w:jc w:val="left"/>
        <w:rPr>
          <w:rFonts w:eastAsiaTheme="minorEastAsia"/>
          <w:b/>
          <w:bCs/>
          <w:color w:val="000000" w:themeColor="text1"/>
          <w:kern w:val="0"/>
          <w:szCs w:val="21"/>
        </w:rPr>
      </w:pPr>
      <w:r w:rsidRPr="00D3639B">
        <w:rPr>
          <w:rFonts w:eastAsiaTheme="minorEastAsia"/>
          <w:b/>
          <w:bCs/>
          <w:color w:val="000000" w:themeColor="text1"/>
          <w:kern w:val="0"/>
          <w:szCs w:val="21"/>
        </w:rPr>
        <w:t>10.3</w:t>
      </w:r>
      <w:r w:rsidR="00FB3C94" w:rsidRPr="00D3639B">
        <w:rPr>
          <w:rFonts w:eastAsiaTheme="minorEastAsia"/>
          <w:b/>
          <w:bCs/>
          <w:color w:val="000000" w:themeColor="text1"/>
          <w:kern w:val="0"/>
          <w:szCs w:val="21"/>
        </w:rPr>
        <w:t>查阅方式</w:t>
      </w:r>
    </w:p>
    <w:p w:rsidR="008C5FCF" w:rsidRDefault="001D0DE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书面查阅：查阅时间为每工作日</w:t>
      </w:r>
      <w:r>
        <w:rPr>
          <w:rFonts w:eastAsiaTheme="minorEastAsia"/>
          <w:color w:val="000000" w:themeColor="text1"/>
          <w:szCs w:val="21"/>
        </w:rPr>
        <w:t>8:30-11:30</w:t>
      </w:r>
      <w:r>
        <w:rPr>
          <w:rFonts w:eastAsiaTheme="minorEastAsia"/>
          <w:color w:val="000000" w:themeColor="text1"/>
          <w:szCs w:val="21"/>
        </w:rPr>
        <w:t>，</w:t>
      </w:r>
      <w:r>
        <w:rPr>
          <w:rFonts w:eastAsiaTheme="minorEastAsia"/>
          <w:color w:val="000000" w:themeColor="text1"/>
          <w:szCs w:val="21"/>
        </w:rPr>
        <w:t>13:30-17:00</w:t>
      </w:r>
      <w:r>
        <w:rPr>
          <w:rFonts w:eastAsiaTheme="minorEastAsia"/>
          <w:color w:val="000000" w:themeColor="text1"/>
          <w:szCs w:val="21"/>
        </w:rPr>
        <w:t>。投资者可免费查阅，也可按工本费购买</w:t>
      </w:r>
      <w:r>
        <w:rPr>
          <w:rFonts w:eastAsiaTheme="minorEastAsia"/>
          <w:color w:val="000000" w:themeColor="text1"/>
          <w:szCs w:val="21"/>
        </w:rPr>
        <w:t>复印件；</w:t>
      </w:r>
    </w:p>
    <w:p w:rsidR="00FB3C94" w:rsidRPr="00D3639B" w:rsidRDefault="00FB3C94" w:rsidP="004B54B8">
      <w:pPr>
        <w:spacing w:line="360" w:lineRule="auto"/>
        <w:ind w:firstLineChars="200" w:firstLine="420"/>
        <w:rPr>
          <w:rFonts w:eastAsiaTheme="minorEastAsia"/>
          <w:color w:val="000000" w:themeColor="text1"/>
          <w:szCs w:val="21"/>
        </w:rPr>
      </w:pPr>
      <w:r w:rsidRPr="00D3639B">
        <w:rPr>
          <w:rFonts w:eastAsiaTheme="minorEastAsia"/>
          <w:color w:val="000000" w:themeColor="text1"/>
          <w:szCs w:val="21"/>
        </w:rPr>
        <w:t>2.</w:t>
      </w:r>
      <w:r w:rsidRPr="00D3639B">
        <w:rPr>
          <w:rFonts w:eastAsiaTheme="minorEastAsia"/>
          <w:color w:val="000000" w:themeColor="text1"/>
          <w:szCs w:val="21"/>
        </w:rPr>
        <w:t>网站查阅：基金管理人网址：</w:t>
      </w:r>
      <w:r w:rsidRPr="00D3639B">
        <w:rPr>
          <w:rFonts w:eastAsiaTheme="minorEastAsia"/>
          <w:color w:val="000000" w:themeColor="text1"/>
          <w:szCs w:val="21"/>
        </w:rPr>
        <w:t>http://www.gffunds.com.cn</w:t>
      </w:r>
      <w:r w:rsidRPr="00D3639B">
        <w:rPr>
          <w:rFonts w:eastAsiaTheme="minorEastAsia"/>
          <w:color w:val="000000" w:themeColor="text1"/>
          <w:szCs w:val="21"/>
        </w:rPr>
        <w:t>。</w:t>
      </w:r>
    </w:p>
    <w:p w:rsidR="00FB3C94" w:rsidRPr="00D3639B" w:rsidRDefault="00FB3C94" w:rsidP="00FB3C94">
      <w:pPr>
        <w:spacing w:line="360" w:lineRule="auto"/>
        <w:ind w:left="840"/>
        <w:jc w:val="right"/>
        <w:rPr>
          <w:rFonts w:eastAsiaTheme="minorEastAsia"/>
          <w:color w:val="000000" w:themeColor="text1"/>
          <w:szCs w:val="21"/>
        </w:rPr>
      </w:pPr>
    </w:p>
    <w:p w:rsidR="00AF3AF9" w:rsidRPr="00D3639B" w:rsidRDefault="00AF3AF9" w:rsidP="00053FFD">
      <w:pPr>
        <w:spacing w:line="360" w:lineRule="auto"/>
        <w:ind w:left="840"/>
        <w:jc w:val="center"/>
        <w:rPr>
          <w:rFonts w:eastAsiaTheme="minorEastAsia"/>
          <w:b/>
          <w:color w:val="000000" w:themeColor="text1"/>
          <w:szCs w:val="21"/>
        </w:rPr>
      </w:pPr>
    </w:p>
    <w:p w:rsidR="00FB3C94" w:rsidRPr="00D3639B" w:rsidRDefault="00FB3C94" w:rsidP="00B1493B">
      <w:pPr>
        <w:spacing w:line="360" w:lineRule="auto"/>
        <w:jc w:val="right"/>
        <w:rPr>
          <w:rFonts w:eastAsiaTheme="minorEastAsia"/>
          <w:b/>
          <w:bCs/>
          <w:color w:val="000000" w:themeColor="text1"/>
          <w:szCs w:val="21"/>
        </w:rPr>
      </w:pPr>
      <w:r w:rsidRPr="00D3639B">
        <w:rPr>
          <w:rFonts w:eastAsiaTheme="minorEastAsia"/>
          <w:b/>
          <w:bCs/>
          <w:color w:val="000000" w:themeColor="text1"/>
          <w:szCs w:val="21"/>
        </w:rPr>
        <w:t>广发基金管理有限公司</w:t>
      </w:r>
    </w:p>
    <w:p w:rsidR="009238DB" w:rsidRPr="00D3639B" w:rsidRDefault="00D04410" w:rsidP="00B1493B">
      <w:pPr>
        <w:spacing w:line="360" w:lineRule="auto"/>
        <w:jc w:val="right"/>
        <w:rPr>
          <w:rFonts w:eastAsiaTheme="minorEastAsia"/>
          <w:b/>
          <w:bCs/>
          <w:color w:val="000000" w:themeColor="text1"/>
          <w:szCs w:val="21"/>
        </w:rPr>
      </w:pPr>
      <w:r w:rsidRPr="00D3639B">
        <w:rPr>
          <w:rFonts w:eastAsiaTheme="minorEastAsia"/>
          <w:b/>
          <w:bCs/>
          <w:color w:val="000000" w:themeColor="text1"/>
          <w:szCs w:val="21"/>
        </w:rPr>
        <w:t>二〇一八年十月二十五日</w:t>
      </w:r>
    </w:p>
    <w:sectPr w:rsidR="009238DB" w:rsidRPr="00D3639B"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C8D" w:rsidRDefault="00AA5C8D">
      <w:r>
        <w:separator/>
      </w:r>
    </w:p>
  </w:endnote>
  <w:endnote w:type="continuationSeparator" w:id="1">
    <w:p w:rsidR="00AA5C8D" w:rsidRDefault="00AA5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8C5FCF">
      <w:rPr>
        <w:kern w:val="0"/>
        <w:szCs w:val="21"/>
      </w:rPr>
      <w:fldChar w:fldCharType="begin"/>
    </w:r>
    <w:r>
      <w:rPr>
        <w:kern w:val="0"/>
        <w:szCs w:val="21"/>
      </w:rPr>
      <w:instrText xml:space="preserve"> PAGE </w:instrText>
    </w:r>
    <w:r w:rsidR="008C5FCF">
      <w:rPr>
        <w:kern w:val="0"/>
        <w:szCs w:val="21"/>
      </w:rPr>
      <w:fldChar w:fldCharType="separate"/>
    </w:r>
    <w:r w:rsidR="001D0DE3">
      <w:rPr>
        <w:noProof/>
        <w:kern w:val="0"/>
        <w:szCs w:val="21"/>
      </w:rPr>
      <w:t>1</w:t>
    </w:r>
    <w:r w:rsidR="008C5FCF">
      <w:rPr>
        <w:kern w:val="0"/>
        <w:szCs w:val="21"/>
      </w:rPr>
      <w:fldChar w:fldCharType="end"/>
    </w:r>
    <w:r>
      <w:rPr>
        <w:rFonts w:hint="eastAsia"/>
        <w:kern w:val="0"/>
        <w:szCs w:val="21"/>
      </w:rPr>
      <w:t>页共</w:t>
    </w:r>
    <w:r w:rsidR="008C5FCF">
      <w:rPr>
        <w:kern w:val="0"/>
        <w:szCs w:val="21"/>
      </w:rPr>
      <w:fldChar w:fldCharType="begin"/>
    </w:r>
    <w:r>
      <w:rPr>
        <w:kern w:val="0"/>
        <w:szCs w:val="21"/>
      </w:rPr>
      <w:instrText xml:space="preserve"> NUMPAGES </w:instrText>
    </w:r>
    <w:r w:rsidR="008C5FCF">
      <w:rPr>
        <w:kern w:val="0"/>
        <w:szCs w:val="21"/>
      </w:rPr>
      <w:fldChar w:fldCharType="separate"/>
    </w:r>
    <w:r w:rsidR="001D0DE3">
      <w:rPr>
        <w:noProof/>
        <w:kern w:val="0"/>
        <w:szCs w:val="21"/>
      </w:rPr>
      <w:t>3</w:t>
    </w:r>
    <w:r w:rsidR="008C5FCF">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8C5FCF">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8C5FCF">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1D0DE3">
      <w:rPr>
        <w:rStyle w:val="a7"/>
        <w:noProof/>
      </w:rPr>
      <w:t>2</w: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C8D" w:rsidRDefault="00AA5C8D">
      <w:r>
        <w:separator/>
      </w:r>
    </w:p>
  </w:footnote>
  <w:footnote w:type="continuationSeparator" w:id="1">
    <w:p w:rsidR="00AA5C8D" w:rsidRDefault="00AA5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7C1122" w:rsidP="001207F2">
    <w:pPr>
      <w:pStyle w:val="a9"/>
      <w:pBdr>
        <w:bottom w:val="single" w:sz="6" w:space="0" w:color="auto"/>
      </w:pBdr>
      <w:jc w:val="right"/>
    </w:pPr>
    <w:r>
      <w:rPr>
        <w:sz w:val="21"/>
        <w:szCs w:val="21"/>
      </w:rPr>
      <w:t>广发中证全指原材料交易型开放式指数证券投资基金发起式联接基金</w:t>
    </w:r>
    <w:r>
      <w:rPr>
        <w:sz w:val="21"/>
        <w:szCs w:val="21"/>
      </w:rPr>
      <w:t>2018</w:t>
    </w:r>
    <w:r>
      <w:rPr>
        <w:sz w:val="21"/>
        <w:szCs w:val="21"/>
      </w:rPr>
      <w:t>年第</w:t>
    </w:r>
    <w:r>
      <w:rPr>
        <w:sz w:val="21"/>
        <w:szCs w:val="21"/>
      </w:rPr>
      <w:t>3</w:t>
    </w:r>
    <w:r>
      <w:rPr>
        <w:sz w:val="21"/>
        <w:szCs w:val="21"/>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18EE"/>
    <w:rsid w:val="00154FA5"/>
    <w:rsid w:val="0015531A"/>
    <w:rsid w:val="00156F9D"/>
    <w:rsid w:val="001602E3"/>
    <w:rsid w:val="00160539"/>
    <w:rsid w:val="00161548"/>
    <w:rsid w:val="0017176A"/>
    <w:rsid w:val="00172B54"/>
    <w:rsid w:val="00176874"/>
    <w:rsid w:val="0017725A"/>
    <w:rsid w:val="0018052A"/>
    <w:rsid w:val="00180952"/>
    <w:rsid w:val="0018191A"/>
    <w:rsid w:val="001837D3"/>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DE3"/>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1A2"/>
    <w:rsid w:val="00407F66"/>
    <w:rsid w:val="004113B4"/>
    <w:rsid w:val="0041220A"/>
    <w:rsid w:val="00413B96"/>
    <w:rsid w:val="00413C2C"/>
    <w:rsid w:val="00415168"/>
    <w:rsid w:val="00415B04"/>
    <w:rsid w:val="00416A6B"/>
    <w:rsid w:val="0042044C"/>
    <w:rsid w:val="004206D0"/>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E5040"/>
    <w:rsid w:val="004F521C"/>
    <w:rsid w:val="00502CD8"/>
    <w:rsid w:val="0050361C"/>
    <w:rsid w:val="00506A40"/>
    <w:rsid w:val="0051064F"/>
    <w:rsid w:val="00513A0E"/>
    <w:rsid w:val="00515D7B"/>
    <w:rsid w:val="00515F29"/>
    <w:rsid w:val="0052009E"/>
    <w:rsid w:val="00524880"/>
    <w:rsid w:val="00530161"/>
    <w:rsid w:val="00531CB5"/>
    <w:rsid w:val="0054389B"/>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5FCF"/>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349"/>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97B"/>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C8D"/>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3E1E"/>
    <w:rsid w:val="00B4515C"/>
    <w:rsid w:val="00B46220"/>
    <w:rsid w:val="00B464EA"/>
    <w:rsid w:val="00B47574"/>
    <w:rsid w:val="00B530E3"/>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B9A"/>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BF"/>
    <w:rsid w:val="00C57512"/>
    <w:rsid w:val="00C57607"/>
    <w:rsid w:val="00C61133"/>
    <w:rsid w:val="00C64009"/>
    <w:rsid w:val="00C7016D"/>
    <w:rsid w:val="00C7619D"/>
    <w:rsid w:val="00C767B3"/>
    <w:rsid w:val="00C76C07"/>
    <w:rsid w:val="00C80F23"/>
    <w:rsid w:val="00C835B4"/>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134E"/>
    <w:rsid w:val="00DA13F3"/>
    <w:rsid w:val="00DA2DE3"/>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FE0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869C-6BAA-4654-991D-95FE8CEA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1407</Words>
  <Characters>8024</Characters>
  <Application>Microsoft Office Word</Application>
  <DocSecurity>4</DocSecurity>
  <Lines>66</Lines>
  <Paragraphs>18</Paragraphs>
  <ScaleCrop>false</ScaleCrop>
  <Company>TRT. Ltd. Co.</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2018-10-24T17:48:00Z</dcterms:created>
  <dcterms:modified xsi:type="dcterms:W3CDTF">2018-10-24T17:48:00Z</dcterms:modified>
</cp:coreProperties>
</file>