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广发集鑫债券型证券投资基金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2018年第3季度报告</w:t>
      </w:r>
    </w:p>
    <w:p w:rsidR="009A2283" w:rsidRPr="003F7026" w:rsidRDefault="00121533"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hint="eastAsia"/>
          <w:b/>
          <w:sz w:val="24"/>
        </w:rPr>
        <w:t>2018年9月30日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中国工商银行股份有限公司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8"/>
          <w:footerReference w:type="default" r:id="rId9"/>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二〇一八年十月二十五日</w:t>
      </w:r>
    </w:p>
    <w:p w:rsidR="009238DB" w:rsidRPr="00B75DF8" w:rsidRDefault="009238DB" w:rsidP="00A51189">
      <w:pPr>
        <w:pStyle w:val="1"/>
        <w:spacing w:beforeLines="100" w:afterLines="100"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基金托管人中国工商银行股份有限公司根据本基金合同规定，于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w:t>
      </w:r>
      <w:r>
        <w:rPr>
          <w:rFonts w:eastAsiaTheme="minorEastAsia"/>
          <w:color w:val="000000"/>
          <w:sz w:val="24"/>
        </w:rPr>
        <w:t>募说明书。</w:t>
      </w:r>
      <w:r>
        <w:rPr>
          <w:rFonts w:eastAsiaTheme="minorEastAsia"/>
          <w:color w:val="000000"/>
          <w:sz w:val="24"/>
        </w:rPr>
        <w:t xml:space="preserve"> </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7</w:t>
      </w:r>
      <w:r w:rsidRPr="00264591">
        <w:rPr>
          <w:rFonts w:eastAsiaTheme="minorEastAsia"/>
          <w:color w:val="000000"/>
          <w:sz w:val="24"/>
        </w:rPr>
        <w:t>月</w:t>
      </w:r>
      <w:r w:rsidRPr="00264591">
        <w:rPr>
          <w:rFonts w:eastAsiaTheme="minorEastAsia"/>
          <w:color w:val="000000"/>
          <w:sz w:val="24"/>
        </w:rPr>
        <w:t>1</w:t>
      </w:r>
      <w:r w:rsidRPr="00264591">
        <w:rPr>
          <w:rFonts w:eastAsiaTheme="minorEastAsia"/>
          <w:color w:val="000000"/>
          <w:sz w:val="24"/>
        </w:rPr>
        <w:t>日起至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30</w:t>
      </w:r>
      <w:r w:rsidRPr="00264591">
        <w:rPr>
          <w:rFonts w:eastAsiaTheme="minorEastAsia"/>
          <w:color w:val="000000"/>
          <w:sz w:val="24"/>
        </w:rPr>
        <w:t>日止。</w:t>
      </w:r>
    </w:p>
    <w:p w:rsidR="009238DB" w:rsidRPr="00B75DF8" w:rsidRDefault="009238DB" w:rsidP="00A5118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广发集鑫债券</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000473</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2014</w:t>
            </w:r>
            <w:r w:rsidRPr="00D32161">
              <w:rPr>
                <w:rFonts w:eastAsiaTheme="minorEastAsia"/>
                <w:color w:val="000000"/>
                <w:kern w:val="0"/>
                <w:sz w:val="24"/>
              </w:rPr>
              <w:t>年</w:t>
            </w:r>
            <w:r w:rsidRPr="00D32161">
              <w:rPr>
                <w:rFonts w:eastAsiaTheme="minorEastAsia"/>
                <w:color w:val="000000"/>
                <w:kern w:val="0"/>
                <w:sz w:val="24"/>
              </w:rPr>
              <w:t>1</w:t>
            </w:r>
            <w:r w:rsidRPr="00D32161">
              <w:rPr>
                <w:rFonts w:eastAsiaTheme="minorEastAsia"/>
                <w:color w:val="000000"/>
                <w:kern w:val="0"/>
                <w:sz w:val="24"/>
              </w:rPr>
              <w:t>月</w:t>
            </w:r>
            <w:r w:rsidRPr="00D32161">
              <w:rPr>
                <w:rFonts w:eastAsiaTheme="minorEastAsia"/>
                <w:color w:val="000000"/>
                <w:kern w:val="0"/>
                <w:sz w:val="24"/>
              </w:rPr>
              <w:t>27</w:t>
            </w:r>
            <w:r w:rsidRPr="00D32161">
              <w:rPr>
                <w:rFonts w:eastAsiaTheme="minorEastAsia"/>
                <w:color w:val="000000"/>
                <w:kern w:val="0"/>
                <w:sz w:val="24"/>
              </w:rPr>
              <w:t>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2,929,550.13</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在严格控制风险和保持资产流动性的基础上，通过灵活的资产配置，力求实现基金资产的持续稳健增值。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w:t>
            </w:r>
            <w:r w:rsidRPr="00D32161">
              <w:rPr>
                <w:rFonts w:eastAsiaTheme="minorEastAsia"/>
                <w:color w:val="000000"/>
                <w:kern w:val="0"/>
                <w:sz w:val="24"/>
              </w:rPr>
              <w:lastRenderedPageBreak/>
              <w:t>值，对各大类资产的风险收益特征进行评估，从而确定固定收益类资产和权益类资产的配置比例，并依据各因素的动态变化进行及时调整。</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lastRenderedPageBreak/>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本基金业绩比较基准：中债总全价指数收益率。</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本基金为债券型基金，其长期平均风险和预期收益率低于股票型基金、混合型基金，高于货币市场基金。</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中国工商银行股份有限公司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广发集鑫债券</w:t>
            </w:r>
            <w:r w:rsidRPr="00D32161">
              <w:rPr>
                <w:rFonts w:eastAsiaTheme="minorEastAsia"/>
                <w:sz w:val="24"/>
              </w:rPr>
              <w:t>A</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广发集鑫债券</w:t>
            </w:r>
            <w:r w:rsidRPr="00D32161">
              <w:rPr>
                <w:rFonts w:eastAsiaTheme="minorEastAsia"/>
                <w:sz w:val="24"/>
              </w:rPr>
              <w:t>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级基金的交易代码</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000473</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000474</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sz w:val="24"/>
              </w:rPr>
              <w:t>1,009,930.91</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sz w:val="24"/>
              </w:rPr>
              <w:t>1,919,619.22</w:t>
            </w:r>
            <w:r w:rsidRPr="00D32161">
              <w:rPr>
                <w:rFonts w:eastAsiaTheme="minorEastAsia"/>
                <w:color w:val="000000"/>
                <w:kern w:val="0"/>
                <w:sz w:val="24"/>
              </w:rPr>
              <w:t>份</w:t>
            </w:r>
          </w:p>
        </w:tc>
      </w:tr>
    </w:tbl>
    <w:p w:rsidR="009238DB" w:rsidRPr="00B75DF8" w:rsidRDefault="009238DB" w:rsidP="00A5118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7</w:t>
            </w:r>
            <w:r w:rsidRPr="00D32161">
              <w:rPr>
                <w:rFonts w:eastAsiaTheme="minorEastAsia"/>
                <w:color w:val="000000"/>
                <w:sz w:val="24"/>
              </w:rPr>
              <w:t>月</w:t>
            </w:r>
            <w:r w:rsidRPr="00D32161">
              <w:rPr>
                <w:rFonts w:eastAsiaTheme="minorEastAsia"/>
                <w:color w:val="000000"/>
                <w:sz w:val="24"/>
              </w:rPr>
              <w:t>1</w:t>
            </w:r>
            <w:r w:rsidRPr="00D32161">
              <w:rPr>
                <w:rFonts w:eastAsiaTheme="minorEastAsia"/>
                <w:color w:val="000000"/>
                <w:sz w:val="24"/>
              </w:rPr>
              <w:t>日</w:t>
            </w: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9</w:t>
            </w:r>
            <w:r w:rsidRPr="00D32161">
              <w:rPr>
                <w:rFonts w:eastAsiaTheme="minorEastAsia"/>
                <w:color w:val="000000"/>
                <w:sz w:val="24"/>
              </w:rPr>
              <w:t>月</w:t>
            </w:r>
            <w:r w:rsidRPr="00D32161">
              <w:rPr>
                <w:rFonts w:eastAsiaTheme="minorEastAsia"/>
                <w:color w:val="000000"/>
                <w:sz w:val="24"/>
              </w:rPr>
              <w:t>30</w:t>
            </w:r>
            <w:r w:rsidRPr="00D32161">
              <w:rPr>
                <w:rFonts w:eastAsiaTheme="minorEastAsia"/>
                <w:color w:val="000000"/>
                <w:sz w:val="24"/>
              </w:rPr>
              <w:t>日</w:t>
            </w:r>
            <w:r w:rsidRPr="00D32161">
              <w:rPr>
                <w:rFonts w:eastAsiaTheme="minorEastAsia"/>
                <w:color w:val="000000"/>
                <w:sz w:val="24"/>
              </w:rPr>
              <w:t>)</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sz w:val="24"/>
              </w:rPr>
              <w:t>广发集鑫债券</w:t>
            </w:r>
            <w:r w:rsidRPr="00D32161">
              <w:rPr>
                <w:rFonts w:eastAsiaTheme="minorEastAsia"/>
                <w:sz w:val="24"/>
              </w:rPr>
              <w:t>A</w:t>
            </w:r>
          </w:p>
        </w:tc>
        <w:tc>
          <w:tcPr>
            <w:tcW w:w="2481" w:type="dxa"/>
            <w:vAlign w:val="center"/>
          </w:tcPr>
          <w:p w:rsidR="009E549D" w:rsidRPr="00D32161" w:rsidRDefault="00FE7FBD" w:rsidP="00E205AA">
            <w:pPr>
              <w:adjustRightInd w:val="0"/>
              <w:spacing w:before="29" w:line="360" w:lineRule="auto"/>
              <w:ind w:left="17"/>
              <w:jc w:val="center"/>
              <w:rPr>
                <w:rFonts w:eastAsiaTheme="minorEastAsia"/>
                <w:color w:val="000000"/>
                <w:sz w:val="24"/>
              </w:rPr>
            </w:pPr>
            <w:r w:rsidRPr="00D32161">
              <w:rPr>
                <w:rFonts w:eastAsiaTheme="minorEastAsia"/>
                <w:sz w:val="24"/>
              </w:rPr>
              <w:t>广发集鑫债券</w:t>
            </w:r>
            <w:r w:rsidRPr="00D32161">
              <w:rPr>
                <w:rFonts w:eastAsiaTheme="minorEastAsia"/>
                <w:sz w:val="24"/>
              </w:rPr>
              <w:t>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95,612.05</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250,285.60</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142,806.01</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141,113.07</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0.0207</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0.0305</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1,210,400.87</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2,361,000.87</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1.198</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1.230</w:t>
            </w:r>
          </w:p>
        </w:tc>
      </w:tr>
    </w:tbl>
    <w:p w:rsidR="00F7261E" w:rsidRDefault="00A51189">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本报告期基金份额净值增长率及其与同期业绩比较基准收益率的比较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广发集鑫债券A</w:t>
      </w:r>
      <w:r w:rsidRPr="00B75DF8">
        <w:rPr>
          <w:rFonts w:asciiTheme="minorEastAsia" w:eastAsiaTheme="minorEastAsia" w:hAnsiTheme="minorEastAsia"/>
          <w:b/>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F7261E">
        <w:tc>
          <w:tcPr>
            <w:tcW w:w="1290" w:type="dxa"/>
            <w:vAlign w:val="center"/>
          </w:tcPr>
          <w:p w:rsidR="00F7261E" w:rsidRDefault="00A51189">
            <w:pPr>
              <w:jc w:val="left"/>
            </w:pPr>
            <w:r>
              <w:rPr>
                <w:rFonts w:eastAsiaTheme="minorEastAsia"/>
                <w:color w:val="000000"/>
                <w:sz w:val="24"/>
              </w:rPr>
              <w:t>过去三个月</w:t>
            </w:r>
          </w:p>
        </w:tc>
        <w:tc>
          <w:tcPr>
            <w:tcW w:w="1291" w:type="dxa"/>
            <w:vAlign w:val="center"/>
          </w:tcPr>
          <w:p w:rsidR="00F7261E" w:rsidRDefault="00A51189">
            <w:pPr>
              <w:jc w:val="center"/>
            </w:pPr>
            <w:r>
              <w:rPr>
                <w:rFonts w:eastAsiaTheme="minorEastAsia"/>
                <w:color w:val="000000"/>
                <w:sz w:val="24"/>
              </w:rPr>
              <w:t>1.10%</w:t>
            </w:r>
          </w:p>
        </w:tc>
        <w:tc>
          <w:tcPr>
            <w:tcW w:w="1291" w:type="dxa"/>
            <w:vAlign w:val="center"/>
          </w:tcPr>
          <w:p w:rsidR="00F7261E" w:rsidRDefault="00A51189">
            <w:pPr>
              <w:jc w:val="center"/>
            </w:pPr>
            <w:r>
              <w:rPr>
                <w:rFonts w:eastAsiaTheme="minorEastAsia"/>
                <w:color w:val="000000"/>
                <w:sz w:val="24"/>
              </w:rPr>
              <w:t>0.11%</w:t>
            </w:r>
          </w:p>
        </w:tc>
        <w:tc>
          <w:tcPr>
            <w:tcW w:w="1291" w:type="dxa"/>
            <w:vAlign w:val="center"/>
          </w:tcPr>
          <w:p w:rsidR="00F7261E" w:rsidRDefault="00A51189">
            <w:pPr>
              <w:jc w:val="center"/>
            </w:pPr>
            <w:r>
              <w:rPr>
                <w:rFonts w:eastAsiaTheme="minorEastAsia"/>
                <w:color w:val="000000"/>
                <w:sz w:val="24"/>
              </w:rPr>
              <w:t>0.17%</w:t>
            </w:r>
          </w:p>
        </w:tc>
        <w:tc>
          <w:tcPr>
            <w:tcW w:w="1291" w:type="dxa"/>
            <w:vAlign w:val="center"/>
          </w:tcPr>
          <w:p w:rsidR="00F7261E" w:rsidRDefault="00A51189">
            <w:pPr>
              <w:jc w:val="center"/>
            </w:pPr>
            <w:r>
              <w:rPr>
                <w:rFonts w:eastAsiaTheme="minorEastAsia"/>
                <w:color w:val="000000"/>
                <w:sz w:val="24"/>
              </w:rPr>
              <w:t>0.10%</w:t>
            </w:r>
          </w:p>
        </w:tc>
        <w:tc>
          <w:tcPr>
            <w:tcW w:w="1291" w:type="dxa"/>
            <w:vAlign w:val="center"/>
          </w:tcPr>
          <w:p w:rsidR="00F7261E" w:rsidRDefault="00A51189">
            <w:pPr>
              <w:jc w:val="center"/>
            </w:pPr>
            <w:r>
              <w:rPr>
                <w:rFonts w:eastAsiaTheme="minorEastAsia"/>
                <w:color w:val="000000"/>
                <w:sz w:val="24"/>
              </w:rPr>
              <w:t>0.93%</w:t>
            </w:r>
          </w:p>
        </w:tc>
        <w:tc>
          <w:tcPr>
            <w:tcW w:w="1291" w:type="dxa"/>
            <w:vAlign w:val="center"/>
          </w:tcPr>
          <w:p w:rsidR="00F7261E" w:rsidRDefault="00A51189">
            <w:pPr>
              <w:jc w:val="center"/>
            </w:pPr>
            <w:r>
              <w:rPr>
                <w:rFonts w:eastAsiaTheme="minorEastAsia"/>
                <w:color w:val="000000"/>
                <w:sz w:val="24"/>
              </w:rPr>
              <w:t>0.01%</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FE7FBD" w:rsidRPr="00B75DF8">
        <w:rPr>
          <w:rFonts w:asciiTheme="minorEastAsia" w:eastAsiaTheme="minorEastAsia" w:hAnsiTheme="minorEastAsia" w:cs="Arial" w:hint="eastAsia"/>
          <w:b/>
          <w:color w:val="000000"/>
          <w:kern w:val="0"/>
          <w:sz w:val="24"/>
        </w:rPr>
        <w:t>广发集鑫债券C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F7261E">
        <w:tc>
          <w:tcPr>
            <w:tcW w:w="1290" w:type="dxa"/>
            <w:vAlign w:val="center"/>
          </w:tcPr>
          <w:p w:rsidR="00F7261E" w:rsidRDefault="00A51189">
            <w:pPr>
              <w:jc w:val="left"/>
            </w:pPr>
            <w:r>
              <w:rPr>
                <w:rFonts w:eastAsiaTheme="minorEastAsia"/>
                <w:color w:val="000000"/>
                <w:sz w:val="24"/>
              </w:rPr>
              <w:t>过去三个月</w:t>
            </w:r>
          </w:p>
        </w:tc>
        <w:tc>
          <w:tcPr>
            <w:tcW w:w="1291" w:type="dxa"/>
            <w:vAlign w:val="center"/>
          </w:tcPr>
          <w:p w:rsidR="00F7261E" w:rsidRDefault="00A51189">
            <w:pPr>
              <w:jc w:val="center"/>
            </w:pPr>
            <w:r>
              <w:rPr>
                <w:rFonts w:eastAsiaTheme="minorEastAsia"/>
                <w:color w:val="000000"/>
                <w:sz w:val="24"/>
              </w:rPr>
              <w:t>2.24%</w:t>
            </w:r>
          </w:p>
        </w:tc>
        <w:tc>
          <w:tcPr>
            <w:tcW w:w="1291" w:type="dxa"/>
            <w:vAlign w:val="center"/>
          </w:tcPr>
          <w:p w:rsidR="00F7261E" w:rsidRDefault="00A51189">
            <w:pPr>
              <w:jc w:val="center"/>
            </w:pPr>
            <w:r>
              <w:rPr>
                <w:rFonts w:eastAsiaTheme="minorEastAsia"/>
                <w:color w:val="000000"/>
                <w:sz w:val="24"/>
              </w:rPr>
              <w:t>0.20%</w:t>
            </w:r>
          </w:p>
        </w:tc>
        <w:tc>
          <w:tcPr>
            <w:tcW w:w="1291" w:type="dxa"/>
            <w:vAlign w:val="center"/>
          </w:tcPr>
          <w:p w:rsidR="00F7261E" w:rsidRDefault="00A51189">
            <w:pPr>
              <w:jc w:val="center"/>
            </w:pPr>
            <w:r>
              <w:rPr>
                <w:rFonts w:eastAsiaTheme="minorEastAsia"/>
                <w:color w:val="000000"/>
                <w:sz w:val="24"/>
              </w:rPr>
              <w:t>0.17%</w:t>
            </w:r>
          </w:p>
        </w:tc>
        <w:tc>
          <w:tcPr>
            <w:tcW w:w="1291" w:type="dxa"/>
            <w:vAlign w:val="center"/>
          </w:tcPr>
          <w:p w:rsidR="00F7261E" w:rsidRDefault="00A51189">
            <w:pPr>
              <w:jc w:val="center"/>
            </w:pPr>
            <w:r>
              <w:rPr>
                <w:rFonts w:eastAsiaTheme="minorEastAsia"/>
                <w:color w:val="000000"/>
                <w:sz w:val="24"/>
              </w:rPr>
              <w:t>0.10%</w:t>
            </w:r>
          </w:p>
        </w:tc>
        <w:tc>
          <w:tcPr>
            <w:tcW w:w="1291" w:type="dxa"/>
            <w:vAlign w:val="center"/>
          </w:tcPr>
          <w:p w:rsidR="00F7261E" w:rsidRDefault="00A51189">
            <w:pPr>
              <w:jc w:val="center"/>
            </w:pPr>
            <w:r>
              <w:rPr>
                <w:rFonts w:eastAsiaTheme="minorEastAsia"/>
                <w:color w:val="000000"/>
                <w:sz w:val="24"/>
              </w:rPr>
              <w:t>2.07%</w:t>
            </w:r>
          </w:p>
        </w:tc>
        <w:tc>
          <w:tcPr>
            <w:tcW w:w="1291" w:type="dxa"/>
            <w:vAlign w:val="center"/>
          </w:tcPr>
          <w:p w:rsidR="00F7261E" w:rsidRDefault="00A51189">
            <w:pPr>
              <w:jc w:val="center"/>
            </w:pPr>
            <w:r>
              <w:rPr>
                <w:rFonts w:eastAsiaTheme="minorEastAsia"/>
                <w:color w:val="000000"/>
                <w:sz w:val="24"/>
              </w:rPr>
              <w:t>0.10%</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广发集鑫债券型证券投资基金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2014</w:t>
      </w:r>
      <w:r w:rsidR="00D04410" w:rsidRPr="00D32161">
        <w:rPr>
          <w:rFonts w:ascii="Times New Roman" w:eastAsiaTheme="minorEastAsia" w:hAnsi="Times New Roman"/>
          <w:sz w:val="24"/>
          <w:szCs w:val="24"/>
        </w:rPr>
        <w:t>年</w:t>
      </w:r>
      <w:r w:rsidR="00D04410" w:rsidRPr="00D32161">
        <w:rPr>
          <w:rFonts w:ascii="Times New Roman" w:eastAsiaTheme="minorEastAsia" w:hAnsi="Times New Roman"/>
          <w:sz w:val="24"/>
          <w:szCs w:val="24"/>
        </w:rPr>
        <w:t>1</w:t>
      </w:r>
      <w:r w:rsidR="00D04410" w:rsidRPr="00D32161">
        <w:rPr>
          <w:rFonts w:ascii="Times New Roman" w:eastAsiaTheme="minorEastAsia" w:hAnsi="Times New Roman"/>
          <w:sz w:val="24"/>
          <w:szCs w:val="24"/>
        </w:rPr>
        <w:t>月</w:t>
      </w:r>
      <w:r w:rsidR="00D04410" w:rsidRPr="00D32161">
        <w:rPr>
          <w:rFonts w:ascii="Times New Roman" w:eastAsiaTheme="minorEastAsia" w:hAnsi="Times New Roman"/>
          <w:sz w:val="24"/>
          <w:szCs w:val="24"/>
        </w:rPr>
        <w:t>27</w:t>
      </w:r>
      <w:r w:rsidR="00D04410" w:rsidRPr="00D32161">
        <w:rPr>
          <w:rFonts w:ascii="Times New Roman" w:eastAsiaTheme="minorEastAsia" w:hAnsi="Times New Roman"/>
          <w:sz w:val="24"/>
          <w:szCs w:val="24"/>
        </w:rPr>
        <w:t>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2018</w:t>
      </w:r>
      <w:r w:rsidRPr="00D32161">
        <w:rPr>
          <w:rFonts w:ascii="Times New Roman" w:eastAsiaTheme="minorEastAsia" w:hAnsi="Times New Roman"/>
          <w:sz w:val="24"/>
          <w:szCs w:val="24"/>
        </w:rPr>
        <w:t>年</w:t>
      </w:r>
      <w:r w:rsidRPr="00D32161">
        <w:rPr>
          <w:rFonts w:ascii="Times New Roman" w:eastAsiaTheme="minorEastAsia" w:hAnsi="Times New Roman"/>
          <w:sz w:val="24"/>
          <w:szCs w:val="24"/>
        </w:rPr>
        <w:t>9</w:t>
      </w:r>
      <w:r w:rsidRPr="00D32161">
        <w:rPr>
          <w:rFonts w:ascii="Times New Roman" w:eastAsiaTheme="minorEastAsia" w:hAnsi="Times New Roman"/>
          <w:sz w:val="24"/>
          <w:szCs w:val="24"/>
        </w:rPr>
        <w:t>月</w:t>
      </w:r>
      <w:r w:rsidRPr="00D32161">
        <w:rPr>
          <w:rFonts w:ascii="Times New Roman" w:eastAsiaTheme="minorEastAsia" w:hAnsi="Times New Roman"/>
          <w:sz w:val="24"/>
          <w:szCs w:val="24"/>
        </w:rPr>
        <w:t>30</w:t>
      </w:r>
      <w:r w:rsidRPr="00D32161">
        <w:rPr>
          <w:rFonts w:ascii="Times New Roman" w:eastAsiaTheme="minorEastAsia" w:hAnsi="Times New Roman"/>
          <w:sz w:val="24"/>
          <w:szCs w:val="24"/>
        </w:rPr>
        <w:t>日</w:t>
      </w:r>
      <w:r w:rsidRPr="00D32161">
        <w:rPr>
          <w:rFonts w:ascii="Times New Roman" w:eastAsiaTheme="minorEastAsia" w:hAnsi="Times New Roman"/>
          <w:sz w:val="24"/>
          <w:szCs w:val="24"/>
        </w:rPr>
        <w:t>)</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广发集鑫债券</w:t>
      </w:r>
      <w:r w:rsidR="0042785F" w:rsidRPr="00D32161">
        <w:rPr>
          <w:rFonts w:eastAsiaTheme="minorEastAsia"/>
          <w:color w:val="000000"/>
          <w:sz w:val="24"/>
        </w:rPr>
        <w:t>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FE7FBD" w:rsidRPr="00D32161">
        <w:rPr>
          <w:rFonts w:eastAsiaTheme="minorEastAsia"/>
          <w:color w:val="000000"/>
          <w:sz w:val="24"/>
        </w:rPr>
        <w:t>广发集鑫债券</w:t>
      </w:r>
      <w:r w:rsidR="00FE7FBD" w:rsidRPr="00D32161">
        <w:rPr>
          <w:rFonts w:eastAsiaTheme="minorEastAsia"/>
          <w:color w:val="000000"/>
          <w:sz w:val="24"/>
        </w:rPr>
        <w:t>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2161" w:rsidRDefault="00973B57" w:rsidP="00D32161">
      <w:pPr>
        <w:spacing w:line="360" w:lineRule="auto"/>
        <w:ind w:firstLineChars="200" w:firstLine="480"/>
        <w:rPr>
          <w:rFonts w:eastAsiaTheme="minorEastAsia"/>
          <w:color w:val="000000"/>
          <w:sz w:val="24"/>
        </w:rPr>
      </w:pPr>
    </w:p>
    <w:p w:rsidR="006C5BC9" w:rsidRPr="00B75DF8" w:rsidRDefault="006C5BC9" w:rsidP="006C5BC9">
      <w:pPr>
        <w:tabs>
          <w:tab w:val="left" w:pos="1800"/>
        </w:tabs>
        <w:spacing w:line="288" w:lineRule="auto"/>
        <w:rPr>
          <w:rFonts w:asciiTheme="minorEastAsia" w:eastAsiaTheme="minorEastAsia" w:hAnsiTheme="minorEastAsia"/>
          <w:color w:val="000000"/>
          <w:sz w:val="24"/>
        </w:rPr>
      </w:pPr>
    </w:p>
    <w:p w:rsidR="009238DB" w:rsidRPr="00B75DF8" w:rsidRDefault="009238DB" w:rsidP="00A5118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rsidR="00F7261E">
        <w:tc>
          <w:tcPr>
            <w:tcW w:w="952" w:type="dxa"/>
            <w:vAlign w:val="center"/>
          </w:tcPr>
          <w:p w:rsidR="00F7261E" w:rsidRDefault="00A51189">
            <w:pPr>
              <w:jc w:val="center"/>
            </w:pPr>
            <w:r>
              <w:rPr>
                <w:rFonts w:eastAsiaTheme="minorEastAsia"/>
                <w:color w:val="000000"/>
                <w:sz w:val="24"/>
              </w:rPr>
              <w:t>刘志辉</w:t>
            </w:r>
          </w:p>
        </w:tc>
        <w:tc>
          <w:tcPr>
            <w:tcW w:w="1600" w:type="dxa"/>
            <w:vAlign w:val="center"/>
          </w:tcPr>
          <w:p w:rsidR="00F7261E" w:rsidRDefault="00A51189">
            <w:pPr>
              <w:jc w:val="center"/>
            </w:pPr>
            <w:r>
              <w:rPr>
                <w:rFonts w:eastAsiaTheme="minorEastAsia"/>
                <w:color w:val="000000"/>
                <w:sz w:val="24"/>
              </w:rPr>
              <w:t>本基金的基金经理；广发集源债券基金的基金经理；广发安泽回报纯债基金的基金经理；广发汇吉定开债基金的基金经理；广发聚惠混合基金的基金经理</w:t>
            </w:r>
          </w:p>
        </w:tc>
        <w:tc>
          <w:tcPr>
            <w:tcW w:w="850" w:type="dxa"/>
            <w:vAlign w:val="center"/>
          </w:tcPr>
          <w:p w:rsidR="00F7261E" w:rsidRDefault="00A51189">
            <w:pPr>
              <w:jc w:val="center"/>
            </w:pPr>
            <w:r>
              <w:rPr>
                <w:rFonts w:eastAsiaTheme="minorEastAsia"/>
                <w:color w:val="000000"/>
                <w:sz w:val="24"/>
              </w:rPr>
              <w:t>2016-11-17</w:t>
            </w:r>
          </w:p>
        </w:tc>
        <w:tc>
          <w:tcPr>
            <w:tcW w:w="999" w:type="dxa"/>
            <w:vAlign w:val="center"/>
          </w:tcPr>
          <w:p w:rsidR="00F7261E" w:rsidRDefault="00A51189">
            <w:pPr>
              <w:jc w:val="center"/>
            </w:pPr>
            <w:r>
              <w:rPr>
                <w:rFonts w:eastAsiaTheme="minorEastAsia"/>
                <w:color w:val="000000"/>
                <w:sz w:val="24"/>
              </w:rPr>
              <w:t>-</w:t>
            </w:r>
          </w:p>
        </w:tc>
        <w:tc>
          <w:tcPr>
            <w:tcW w:w="1254" w:type="dxa"/>
            <w:vAlign w:val="center"/>
          </w:tcPr>
          <w:p w:rsidR="00F7261E" w:rsidRDefault="00A51189">
            <w:pPr>
              <w:jc w:val="center"/>
            </w:pPr>
            <w:r>
              <w:rPr>
                <w:rFonts w:eastAsiaTheme="minorEastAsia"/>
                <w:color w:val="000000"/>
                <w:sz w:val="24"/>
              </w:rPr>
              <w:t>6</w:t>
            </w:r>
            <w:r>
              <w:rPr>
                <w:rFonts w:eastAsiaTheme="minorEastAsia"/>
                <w:color w:val="000000"/>
                <w:sz w:val="24"/>
              </w:rPr>
              <w:t>年</w:t>
            </w:r>
          </w:p>
        </w:tc>
        <w:tc>
          <w:tcPr>
            <w:tcW w:w="3276" w:type="dxa"/>
            <w:vAlign w:val="center"/>
          </w:tcPr>
          <w:p w:rsidR="00F7261E" w:rsidRDefault="00A51189">
            <w:r>
              <w:rPr>
                <w:rFonts w:eastAsiaTheme="minorEastAsia"/>
                <w:color w:val="000000"/>
                <w:sz w:val="24"/>
              </w:rPr>
              <w:t>刘志辉先生，金融学硕士，持有中国证券投资基金业从业证书。曾任广发基金管理有限公司固定收益部研究员。现任广发集鑫债券型证券投资基金基金经理（自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17</w:t>
            </w:r>
            <w:r>
              <w:rPr>
                <w:rFonts w:eastAsiaTheme="minorEastAsia"/>
                <w:color w:val="000000"/>
                <w:sz w:val="24"/>
              </w:rPr>
              <w:t>日起任职）、广发集源债券型证券投资基金基金经理（自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6</w:t>
            </w:r>
            <w:r>
              <w:rPr>
                <w:rFonts w:eastAsiaTheme="minorEastAsia"/>
                <w:color w:val="000000"/>
                <w:sz w:val="24"/>
              </w:rPr>
              <w:t>日起任职）、广发安泽回报纯债债券型证券投资基金基金经理（自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12</w:t>
            </w:r>
            <w:r>
              <w:rPr>
                <w:rFonts w:eastAsiaTheme="minorEastAsia"/>
                <w:color w:val="000000"/>
                <w:sz w:val="24"/>
              </w:rPr>
              <w:t>日起任职）、广发汇吉</w:t>
            </w:r>
            <w:r>
              <w:rPr>
                <w:rFonts w:eastAsiaTheme="minorEastAsia"/>
                <w:color w:val="000000"/>
                <w:sz w:val="24"/>
              </w:rPr>
              <w:t>3</w:t>
            </w:r>
            <w:r>
              <w:rPr>
                <w:rFonts w:eastAsiaTheme="minorEastAsia"/>
                <w:color w:val="000000"/>
                <w:sz w:val="24"/>
              </w:rPr>
              <w:t>个月定期开放债券型发起式证券投资基金基金经理（自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29</w:t>
            </w:r>
            <w:r>
              <w:rPr>
                <w:rFonts w:eastAsiaTheme="minorEastAsia"/>
                <w:color w:val="000000"/>
                <w:sz w:val="24"/>
              </w:rPr>
              <w:t>日起任职）、广发聚惠灵活配置混合型证券投资基金基金经理（自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13</w:t>
            </w:r>
            <w:r>
              <w:rPr>
                <w:rFonts w:eastAsiaTheme="minorEastAsia"/>
                <w:color w:val="000000"/>
                <w:sz w:val="24"/>
              </w:rPr>
              <w:t>日起任职）。</w:t>
            </w:r>
          </w:p>
        </w:tc>
      </w:tr>
      <w:tr w:rsidR="00F7261E">
        <w:tc>
          <w:tcPr>
            <w:tcW w:w="952" w:type="dxa"/>
            <w:vAlign w:val="center"/>
          </w:tcPr>
          <w:p w:rsidR="00F7261E" w:rsidRDefault="00A51189">
            <w:pPr>
              <w:jc w:val="center"/>
            </w:pPr>
            <w:r>
              <w:rPr>
                <w:rFonts w:eastAsiaTheme="minorEastAsia"/>
                <w:color w:val="000000"/>
                <w:sz w:val="24"/>
              </w:rPr>
              <w:t>张芊</w:t>
            </w:r>
          </w:p>
        </w:tc>
        <w:tc>
          <w:tcPr>
            <w:tcW w:w="1600" w:type="dxa"/>
            <w:vAlign w:val="center"/>
          </w:tcPr>
          <w:p w:rsidR="00F7261E" w:rsidRDefault="00A51189">
            <w:pPr>
              <w:jc w:val="center"/>
            </w:pPr>
            <w:r>
              <w:rPr>
                <w:rFonts w:eastAsiaTheme="minorEastAsia"/>
                <w:color w:val="000000"/>
                <w:sz w:val="24"/>
              </w:rPr>
              <w:t>本基金的基金经理；广发纯债债券基金的基金经理；广发聚鑫债券基金的基金经理；广发鑫裕混合基金的基金经理；广发集裕债券基金的基金经理；广发集丰债券基金的基金经理；广发集安基金的基金经理；广发集源债券基金的基金经理；公司副总经理、固定收益投资总监、固定收益管理总部总经理</w:t>
            </w:r>
          </w:p>
        </w:tc>
        <w:tc>
          <w:tcPr>
            <w:tcW w:w="850" w:type="dxa"/>
            <w:vAlign w:val="center"/>
          </w:tcPr>
          <w:p w:rsidR="00F7261E" w:rsidRDefault="00A51189">
            <w:pPr>
              <w:jc w:val="center"/>
            </w:pPr>
            <w:r>
              <w:rPr>
                <w:rFonts w:eastAsiaTheme="minorEastAsia"/>
                <w:color w:val="000000"/>
                <w:sz w:val="24"/>
              </w:rPr>
              <w:t>2015-12-25</w:t>
            </w:r>
          </w:p>
        </w:tc>
        <w:tc>
          <w:tcPr>
            <w:tcW w:w="999" w:type="dxa"/>
            <w:vAlign w:val="center"/>
          </w:tcPr>
          <w:p w:rsidR="00F7261E" w:rsidRDefault="00A51189">
            <w:pPr>
              <w:jc w:val="center"/>
            </w:pPr>
            <w:r>
              <w:rPr>
                <w:rFonts w:eastAsiaTheme="minorEastAsia"/>
                <w:color w:val="000000"/>
                <w:sz w:val="24"/>
              </w:rPr>
              <w:t>-</w:t>
            </w:r>
          </w:p>
        </w:tc>
        <w:tc>
          <w:tcPr>
            <w:tcW w:w="1254" w:type="dxa"/>
            <w:vAlign w:val="center"/>
          </w:tcPr>
          <w:p w:rsidR="00F7261E" w:rsidRDefault="00A51189">
            <w:pPr>
              <w:jc w:val="center"/>
            </w:pPr>
            <w:r>
              <w:rPr>
                <w:rFonts w:eastAsiaTheme="minorEastAsia"/>
                <w:color w:val="000000"/>
                <w:sz w:val="24"/>
              </w:rPr>
              <w:t>17</w:t>
            </w:r>
            <w:r>
              <w:rPr>
                <w:rFonts w:eastAsiaTheme="minorEastAsia"/>
                <w:color w:val="000000"/>
                <w:sz w:val="24"/>
              </w:rPr>
              <w:t>年</w:t>
            </w:r>
          </w:p>
        </w:tc>
        <w:tc>
          <w:tcPr>
            <w:tcW w:w="3276" w:type="dxa"/>
            <w:vAlign w:val="center"/>
          </w:tcPr>
          <w:p w:rsidR="00F7261E" w:rsidRDefault="00A51189">
            <w:r>
              <w:rPr>
                <w:rFonts w:eastAsiaTheme="minorEastAsia"/>
                <w:color w:val="000000"/>
                <w:sz w:val="24"/>
              </w:rPr>
              <w:t>张芊女士，经济学和工商管理双硕士，持有中国证券投资基金业从业证书。曾任中国银河证券研究中心研究员，中国人保资产管理有限公司高级研究员、投资主管，工银瑞信基金管理有限公司研究员，长盛基金管理有限公司投资经理，广发基</w:t>
            </w:r>
            <w:r>
              <w:rPr>
                <w:rFonts w:eastAsiaTheme="minorEastAsia"/>
                <w:color w:val="000000"/>
                <w:sz w:val="24"/>
              </w:rPr>
              <w:t>金管理有限公司固定收益部总经理、广发聚盛灵活配置混合型证券投资基金基金经理（自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23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8</w:t>
            </w:r>
            <w:r>
              <w:rPr>
                <w:rFonts w:eastAsiaTheme="minorEastAsia"/>
                <w:color w:val="000000"/>
                <w:sz w:val="24"/>
              </w:rPr>
              <w:t>日）、广发安宏回报灵活配置混合型证券投资基金基金经理（自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30</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6</w:t>
            </w:r>
            <w:r>
              <w:rPr>
                <w:rFonts w:eastAsiaTheme="minorEastAsia"/>
                <w:color w:val="000000"/>
                <w:sz w:val="24"/>
              </w:rPr>
              <w:t>日）、广发安富回报灵活配置混合型证券投资基金基金经理（自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29</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6</w:t>
            </w:r>
            <w:r>
              <w:rPr>
                <w:rFonts w:eastAsiaTheme="minorEastAsia"/>
                <w:color w:val="000000"/>
                <w:sz w:val="24"/>
              </w:rPr>
              <w:t>日）。现任广发基金管理有限公司副总经理、固定收益投资总监、固定收益管理总部总经理、广发纯债债券型证券投资基金基金经理（自</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14</w:t>
            </w:r>
            <w:r>
              <w:rPr>
                <w:rFonts w:eastAsiaTheme="minorEastAsia"/>
                <w:color w:val="000000"/>
                <w:sz w:val="24"/>
              </w:rPr>
              <w:t>日起任职）、广发聚鑫债券型证券投资基金基金经理（自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12</w:t>
            </w:r>
            <w:r>
              <w:rPr>
                <w:rFonts w:eastAsiaTheme="minorEastAsia"/>
                <w:color w:val="000000"/>
                <w:sz w:val="24"/>
              </w:rPr>
              <w:t>日起任职）、广发集鑫债券型证券投资基金基金经理（自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25</w:t>
            </w:r>
            <w:r>
              <w:rPr>
                <w:rFonts w:eastAsiaTheme="minorEastAsia"/>
                <w:color w:val="000000"/>
                <w:sz w:val="24"/>
              </w:rPr>
              <w:t>日起任职）、广发鑫裕灵活配置混合型证券投资基金基金经理（自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w:t>
            </w:r>
            <w:r>
              <w:rPr>
                <w:rFonts w:eastAsiaTheme="minorEastAsia"/>
                <w:color w:val="000000"/>
                <w:sz w:val="24"/>
              </w:rPr>
              <w:t>日起任职）、广发集裕债券型证券投资基金基金经理（自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11</w:t>
            </w:r>
            <w:r>
              <w:rPr>
                <w:rFonts w:eastAsiaTheme="minorEastAsia"/>
                <w:color w:val="000000"/>
                <w:sz w:val="24"/>
              </w:rPr>
              <w:t>日起任职）、广发集丰债券型证券投资基金基金经理（自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w:t>
            </w:r>
            <w:r>
              <w:rPr>
                <w:rFonts w:eastAsiaTheme="minorEastAsia"/>
                <w:color w:val="000000"/>
                <w:sz w:val="24"/>
              </w:rPr>
              <w:t>日起任职）、广发集安债券型证券投资基金基金经理（自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日起任职）、广发集源债券型证券投资基金基金经理（自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日起任职）。</w:t>
            </w:r>
          </w:p>
        </w:tc>
      </w:tr>
    </w:tbl>
    <w:p w:rsidR="00F7261E" w:rsidRDefault="00A51189">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任职日期</w:t>
      </w:r>
      <w:r>
        <w:rPr>
          <w:rFonts w:eastAsiaTheme="minorEastAsia"/>
          <w:color w:val="000000"/>
          <w:sz w:val="24"/>
        </w:rPr>
        <w:t>”</w:t>
      </w:r>
      <w:r>
        <w:rPr>
          <w:rFonts w:eastAsiaTheme="minorEastAsia"/>
          <w:color w:val="000000"/>
          <w:sz w:val="24"/>
        </w:rPr>
        <w:t>和</w:t>
      </w:r>
      <w:r>
        <w:rPr>
          <w:rFonts w:eastAsiaTheme="minorEastAsia"/>
          <w:color w:val="000000"/>
          <w:sz w:val="24"/>
        </w:rPr>
        <w:t>“</w:t>
      </w:r>
      <w:r>
        <w:rPr>
          <w:rFonts w:eastAsiaTheme="minorEastAsia"/>
          <w:color w:val="000000"/>
          <w:sz w:val="24"/>
        </w:rPr>
        <w:t>离职日期</w:t>
      </w:r>
      <w:r>
        <w:rPr>
          <w:rFonts w:eastAsiaTheme="minorEastAsia"/>
          <w:color w:val="000000"/>
          <w:sz w:val="24"/>
        </w:rPr>
        <w:t>”</w:t>
      </w:r>
      <w:r>
        <w:rPr>
          <w:rFonts w:eastAsiaTheme="minorEastAsia"/>
          <w:color w:val="000000"/>
          <w:sz w:val="24"/>
        </w:rPr>
        <w:t>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color w:val="000000"/>
          <w:sz w:val="24"/>
        </w:rPr>
        <w:t>2.</w:t>
      </w:r>
      <w:r w:rsidRPr="00264591">
        <w:rPr>
          <w:rFonts w:eastAsiaTheme="minorEastAsia"/>
          <w:color w:val="000000"/>
          <w:sz w:val="24"/>
        </w:rPr>
        <w:t>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集鑫债券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公司通过建立科学、制衡的投资决策体系，加强交易分配环节的内部控制，并通过实时的行为监控与及时的分析评估，保证公平交易原则的实现。</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rPr>
        <w:t>“</w:t>
      </w:r>
      <w:r>
        <w:rPr>
          <w:rFonts w:eastAsiaTheme="minorEastAsia"/>
          <w:color w:val="000000"/>
          <w:sz w:val="24"/>
        </w:rPr>
        <w:t>时间优先、价格优先、比例分配、综合平衡</w:t>
      </w:r>
      <w:r>
        <w:rPr>
          <w:rFonts w:eastAsiaTheme="minorEastAsia"/>
          <w:color w:val="000000"/>
          <w:sz w:val="24"/>
        </w:rPr>
        <w:t>”</w:t>
      </w:r>
      <w:r>
        <w:rPr>
          <w:rFonts w:eastAsiaTheme="minorEastAsia"/>
          <w:color w:val="000000"/>
          <w:sz w:val="24"/>
        </w:rPr>
        <w:t>的原则，公平分配投资指令。金融工程与风险管理部风险控制岗通过投资交易系统对投资交易过程进行实时监控及预警，实现投资风险的事中风险控制；稽核岗通过对投资、研究及交易等全流程的独立监察稽核，实</w:t>
      </w:r>
      <w:r>
        <w:rPr>
          <w:rFonts w:eastAsiaTheme="minorEastAsia"/>
          <w:color w:val="000000"/>
          <w:sz w:val="24"/>
        </w:rPr>
        <w:t>现投资风险的事后控制。</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本报告期内，上述公平交易制度总体执行情况良好，不同的投资组合受到了公平对待，未发生任何不公平的交易事项。</w:t>
      </w:r>
    </w:p>
    <w:p w:rsidR="00F7261E" w:rsidRDefault="00F7261E">
      <w:pPr>
        <w:spacing w:line="360" w:lineRule="auto"/>
        <w:ind w:firstLineChars="200" w:firstLine="480"/>
        <w:rPr>
          <w:rFonts w:eastAsiaTheme="minorEastAsia"/>
          <w:color w:val="000000"/>
          <w:sz w:val="24"/>
        </w:rPr>
      </w:pPr>
    </w:p>
    <w:p w:rsidR="00F7261E" w:rsidRDefault="00F7261E">
      <w:pPr>
        <w:spacing w:line="360" w:lineRule="auto"/>
        <w:ind w:firstLineChars="200" w:firstLine="480"/>
        <w:rPr>
          <w:rFonts w:eastAsiaTheme="minorEastAsia"/>
          <w:color w:val="000000"/>
          <w:sz w:val="24"/>
        </w:rPr>
      </w:pP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rsidR="00F7261E" w:rsidRDefault="00A51189">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本报告期内，本投资组合与本公司管理的其他投资组合未发生过同日反向交易的情况。</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本季度初受益于流动性的宽松，中短端债券收益率快速下行，季中流动性边际收紧带动收益率有所调整；中长端债券收益率在本季内维持震荡，略有上行。信用债高等级表现较好，中低等级信用利差有所走阔。本季度基金适当参与了中短端债券的行情，获得了一定的资本利得。权益市场波动较大，组合权益保持低仓位，优选个股。</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广发集鑫债券</w:t>
      </w:r>
      <w:r w:rsidRPr="00264591">
        <w:rPr>
          <w:rFonts w:eastAsiaTheme="minorEastAsia"/>
          <w:color w:val="000000"/>
          <w:sz w:val="24"/>
        </w:rPr>
        <w:t>A</w:t>
      </w:r>
      <w:r w:rsidRPr="00264591">
        <w:rPr>
          <w:rFonts w:eastAsiaTheme="minorEastAsia"/>
          <w:color w:val="000000"/>
          <w:sz w:val="24"/>
        </w:rPr>
        <w:t>类净值增长率为</w:t>
      </w:r>
      <w:r w:rsidRPr="00264591">
        <w:rPr>
          <w:rFonts w:eastAsiaTheme="minorEastAsia"/>
          <w:color w:val="000000"/>
          <w:sz w:val="24"/>
        </w:rPr>
        <w:t>1.10%,</w:t>
      </w:r>
      <w:r w:rsidRPr="00264591">
        <w:rPr>
          <w:rFonts w:eastAsiaTheme="minorEastAsia"/>
          <w:color w:val="000000"/>
          <w:sz w:val="24"/>
        </w:rPr>
        <w:t>广发集鑫债券</w:t>
      </w:r>
      <w:r w:rsidRPr="00264591">
        <w:rPr>
          <w:rFonts w:eastAsiaTheme="minorEastAsia"/>
          <w:color w:val="000000"/>
          <w:sz w:val="24"/>
        </w:rPr>
        <w:t>C</w:t>
      </w:r>
      <w:r w:rsidRPr="00264591">
        <w:rPr>
          <w:rFonts w:eastAsiaTheme="minorEastAsia"/>
          <w:color w:val="000000"/>
          <w:sz w:val="24"/>
        </w:rPr>
        <w:t>类净值增长率为</w:t>
      </w:r>
      <w:r w:rsidRPr="00264591">
        <w:rPr>
          <w:rFonts w:eastAsiaTheme="minorEastAsia"/>
          <w:color w:val="000000"/>
          <w:sz w:val="24"/>
        </w:rPr>
        <w:t>2.24%,</w:t>
      </w:r>
      <w:r w:rsidRPr="00264591">
        <w:rPr>
          <w:rFonts w:eastAsiaTheme="minorEastAsia"/>
          <w:color w:val="000000"/>
          <w:sz w:val="24"/>
        </w:rPr>
        <w:t>同期业绩比较基准收益率为</w:t>
      </w:r>
      <w:r w:rsidRPr="00264591">
        <w:rPr>
          <w:rFonts w:eastAsiaTheme="minorEastAsia"/>
          <w:color w:val="000000"/>
          <w:sz w:val="24"/>
        </w:rPr>
        <w:t>0.17%</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F7261E" w:rsidRDefault="00A51189">
      <w:pPr>
        <w:spacing w:line="360" w:lineRule="auto"/>
        <w:ind w:firstLineChars="200" w:firstLine="480"/>
        <w:rPr>
          <w:rFonts w:eastAsiaTheme="minorEastAsia"/>
          <w:color w:val="000000"/>
          <w:sz w:val="24"/>
        </w:rPr>
      </w:pPr>
      <w:r>
        <w:rPr>
          <w:rFonts w:eastAsiaTheme="minorEastAsia"/>
          <w:color w:val="000000" w:themeColor="text1"/>
          <w:kern w:val="0"/>
          <w:sz w:val="24"/>
        </w:rPr>
        <w:t>本报告期内</w:t>
      </w:r>
      <w:r>
        <w:rPr>
          <w:rFonts w:eastAsiaTheme="minorEastAsia"/>
          <w:color w:val="000000" w:themeColor="text1"/>
          <w:kern w:val="0"/>
          <w:sz w:val="24"/>
        </w:rPr>
        <w:t>，本基金于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7</w:t>
      </w:r>
      <w:r>
        <w:rPr>
          <w:rFonts w:eastAsiaTheme="minorEastAsia"/>
          <w:color w:val="000000" w:themeColor="text1"/>
          <w:kern w:val="0"/>
          <w:sz w:val="24"/>
        </w:rPr>
        <w:t>月</w:t>
      </w:r>
      <w:r>
        <w:rPr>
          <w:rFonts w:eastAsiaTheme="minorEastAsia"/>
          <w:color w:val="000000" w:themeColor="text1"/>
          <w:kern w:val="0"/>
          <w:sz w:val="24"/>
        </w:rPr>
        <w:t>2</w:t>
      </w:r>
      <w:r>
        <w:rPr>
          <w:rFonts w:eastAsiaTheme="minorEastAsia"/>
          <w:color w:val="000000" w:themeColor="text1"/>
          <w:kern w:val="0"/>
          <w:sz w:val="24"/>
        </w:rPr>
        <w:t>日至</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9</w:t>
      </w:r>
      <w:r>
        <w:rPr>
          <w:rFonts w:eastAsiaTheme="minorEastAsia"/>
          <w:color w:val="000000" w:themeColor="text1"/>
          <w:kern w:val="0"/>
          <w:sz w:val="24"/>
        </w:rPr>
        <w:t>月</w:t>
      </w:r>
      <w:r>
        <w:rPr>
          <w:rFonts w:eastAsiaTheme="minorEastAsia"/>
          <w:color w:val="000000" w:themeColor="text1"/>
          <w:kern w:val="0"/>
          <w:sz w:val="24"/>
        </w:rPr>
        <w:t>28</w:t>
      </w:r>
      <w:r>
        <w:rPr>
          <w:rFonts w:eastAsiaTheme="minorEastAsia"/>
          <w:color w:val="000000" w:themeColor="text1"/>
          <w:kern w:val="0"/>
          <w:sz w:val="24"/>
        </w:rPr>
        <w:t>日连续</w:t>
      </w:r>
      <w:r>
        <w:rPr>
          <w:rFonts w:eastAsiaTheme="minorEastAsia"/>
          <w:color w:val="000000" w:themeColor="text1"/>
          <w:kern w:val="0"/>
          <w:sz w:val="24"/>
        </w:rPr>
        <w:t>64</w:t>
      </w:r>
      <w:r>
        <w:rPr>
          <w:rFonts w:eastAsiaTheme="minorEastAsia"/>
          <w:color w:val="000000" w:themeColor="text1"/>
          <w:kern w:val="0"/>
          <w:sz w:val="24"/>
        </w:rPr>
        <w:t>个工作日出现了基金资产净值低于五千万的情形。</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本基金管理人已于本报告期内召开基金份额持有人大会，表决通过了终止本基金基金合同的议案，本基金已于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8</w:t>
      </w:r>
      <w:r w:rsidRPr="00C61B41">
        <w:rPr>
          <w:rFonts w:eastAsiaTheme="minorEastAsia"/>
          <w:color w:val="000000" w:themeColor="text1"/>
          <w:kern w:val="0"/>
          <w:sz w:val="24"/>
        </w:rPr>
        <w:t>月</w:t>
      </w:r>
      <w:r w:rsidRPr="00C61B41">
        <w:rPr>
          <w:rFonts w:eastAsiaTheme="minorEastAsia"/>
          <w:color w:val="000000" w:themeColor="text1"/>
          <w:kern w:val="0"/>
          <w:sz w:val="24"/>
        </w:rPr>
        <w:t>16</w:t>
      </w:r>
      <w:r w:rsidRPr="00C61B41">
        <w:rPr>
          <w:rFonts w:eastAsiaTheme="minorEastAsia"/>
          <w:color w:val="000000" w:themeColor="text1"/>
          <w:kern w:val="0"/>
          <w:sz w:val="24"/>
        </w:rPr>
        <w:t>日进入清算期。</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A5118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3,570,758.96</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99.98</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642.78</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0.02</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3,571,401.74</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A51189">
      <w:pPr>
        <w:autoSpaceDE w:val="0"/>
        <w:autoSpaceDN w:val="0"/>
        <w:adjustRightInd w:val="0"/>
        <w:spacing w:beforeLines="100"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p w:rsidR="009238DB"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9552FC" w:rsidRPr="009552FC" w:rsidRDefault="009552FC" w:rsidP="009552FC">
      <w:pPr>
        <w:jc w:val="left"/>
        <w:rPr>
          <w:rFonts w:asciiTheme="minorEastAsia" w:eastAsiaTheme="minorEastAsia" w:hAnsiTheme="minorEastAsia"/>
          <w:sz w:val="24"/>
        </w:rPr>
      </w:pPr>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p w:rsidR="009238DB" w:rsidRPr="00D32161"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B76AA9" w:rsidRPr="00B76AA9" w:rsidRDefault="009238DB" w:rsidP="00A51189">
      <w:pPr>
        <w:autoSpaceDE w:val="0"/>
        <w:autoSpaceDN w:val="0"/>
        <w:adjustRightInd w:val="0"/>
        <w:spacing w:beforeLines="100"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本基金本报告期末未持有贵金属。</w:t>
      </w:r>
    </w:p>
    <w:p w:rsidR="009238DB" w:rsidRPr="00B75DF8" w:rsidRDefault="001D5CD0"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rsidR="00F7261E" w:rsidRDefault="00A51189">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1</w:t>
      </w:r>
      <w:r>
        <w:rPr>
          <w:rFonts w:eastAsiaTheme="minorEastAsia" w:hint="eastAsia"/>
          <w:color w:val="000000"/>
          <w:sz w:val="24"/>
        </w:rPr>
        <w:t>）本基金本报告期末未持有股指期货。</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w:t>
      </w:r>
      <w:r w:rsidRPr="00264591">
        <w:rPr>
          <w:rFonts w:eastAsiaTheme="minorEastAsia" w:hint="eastAsia"/>
          <w:color w:val="000000"/>
          <w:sz w:val="24"/>
        </w:rPr>
        <w:t>2</w:t>
      </w:r>
      <w:r w:rsidRPr="00264591">
        <w:rPr>
          <w:rFonts w:eastAsiaTheme="minorEastAsia" w:hint="eastAsia"/>
          <w:color w:val="000000"/>
          <w:sz w:val="24"/>
        </w:rPr>
        <w:t>）本基金本报告期内未进行股指期货交易。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rsidR="00F7261E" w:rsidRDefault="00A51189">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tblPr>
      <w:tblGrid>
        <w:gridCol w:w="944"/>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642.78</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642.78</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本基金本报告期末前十名股票中不存在流通受限情况。</w:t>
      </w:r>
    </w:p>
    <w:p w:rsidR="009238DB" w:rsidRPr="00B75DF8" w:rsidRDefault="009238DB" w:rsidP="00A5118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广发集鑫债券</w:t>
            </w:r>
            <w:r w:rsidRPr="008B4AB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广发集鑫债券</w:t>
            </w:r>
            <w:r w:rsidRPr="008B4ABA">
              <w:rPr>
                <w:rFonts w:eastAsiaTheme="minorEastAsia"/>
                <w:sz w:val="24"/>
              </w:rPr>
              <w:t>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19,847,354.13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9,934,882.29</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19,636.80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37,657.19</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18,857,060.02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8,052,920.26</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1,009,930.91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1,919,619.22</w:t>
            </w:r>
          </w:p>
        </w:tc>
      </w:tr>
    </w:tbl>
    <w:p w:rsidR="00935FB1" w:rsidRPr="00B75DF8" w:rsidRDefault="00935FB1" w:rsidP="00A51189">
      <w:pPr>
        <w:pStyle w:val="1"/>
        <w:tabs>
          <w:tab w:val="center" w:pos="4156"/>
          <w:tab w:val="right" w:pos="8312"/>
        </w:tabs>
        <w:spacing w:beforeLines="100" w:afterLines="100" w:line="360" w:lineRule="auto"/>
        <w:jc w:val="center"/>
        <w:rPr>
          <w:rFonts w:ascii="方正仿宋简体"/>
          <w:sz w:val="24"/>
          <w:szCs w:val="24"/>
        </w:rPr>
      </w:pP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color w:val="000000"/>
          <w:sz w:val="24"/>
        </w:rPr>
        <w:t>本报告期内，基金管理人不存在运用固有资金（认）申购、赎回或买卖本基金的情况。</w:t>
      </w:r>
    </w:p>
    <w:p w:rsidR="009E31C4" w:rsidRPr="009E31C4" w:rsidRDefault="009E31C4" w:rsidP="00A51189">
      <w:pPr>
        <w:pStyle w:val="1"/>
        <w:spacing w:beforeLines="100" w:afterLines="100"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bCs/>
          <w:color w:val="000000" w:themeColor="text1"/>
          <w:kern w:val="0"/>
          <w:sz w:val="24"/>
        </w:rPr>
        <w:t>8.</w:t>
      </w:r>
      <w:r w:rsidRPr="009E31C4">
        <w:rPr>
          <w:rFonts w:eastAsiaTheme="minorEastAsia" w:hint="eastAsia"/>
          <w:b/>
          <w:bCs/>
          <w:color w:val="000000" w:themeColor="text1"/>
          <w:kern w:val="0"/>
          <w:sz w:val="24"/>
        </w:rPr>
        <w:t xml:space="preserve">1 </w:t>
      </w:r>
      <w:r w:rsidRPr="009E31C4">
        <w:rPr>
          <w:rFonts w:eastAsiaTheme="minorEastAsia" w:hint="eastAsia"/>
          <w:b/>
          <w:bCs/>
          <w:color w:val="000000" w:themeColor="text1"/>
          <w:kern w:val="0"/>
          <w:sz w:val="24"/>
        </w:rPr>
        <w:t>报告期内单一投资者持有基金份额比例达到或超过</w:t>
      </w:r>
      <w:r w:rsidRPr="009E31C4">
        <w:rPr>
          <w:rFonts w:eastAsiaTheme="minorEastAsia" w:hint="eastAsia"/>
          <w:b/>
          <w:bCs/>
          <w:color w:val="000000" w:themeColor="text1"/>
          <w:kern w:val="0"/>
          <w:sz w:val="24"/>
        </w:rPr>
        <w:t>20%</w:t>
      </w:r>
      <w:r w:rsidRPr="009E31C4">
        <w:rPr>
          <w:rFonts w:eastAsiaTheme="minorEastAsia" w:hint="eastAsia"/>
          <w:b/>
          <w:bCs/>
          <w:color w:val="000000" w:themeColor="text1"/>
          <w:kern w:val="0"/>
          <w:sz w:val="24"/>
        </w:rPr>
        <w:t>的情况</w:t>
      </w:r>
    </w:p>
    <w:tbl>
      <w:tblPr>
        <w:tblStyle w:val="af2"/>
        <w:tblW w:w="9212" w:type="dxa"/>
        <w:tblInd w:w="-176" w:type="dxa"/>
        <w:tblLayout w:type="fixed"/>
        <w:tblLook w:val="04A0"/>
      </w:tblPr>
      <w:tblGrid>
        <w:gridCol w:w="993"/>
        <w:gridCol w:w="992"/>
        <w:gridCol w:w="1843"/>
        <w:gridCol w:w="851"/>
        <w:gridCol w:w="850"/>
        <w:gridCol w:w="1134"/>
        <w:gridCol w:w="1419"/>
        <w:gridCol w:w="1130"/>
      </w:tblGrid>
      <w:tr w:rsidR="009E31C4" w:rsidRPr="009E31C4" w:rsidTr="00530D34">
        <w:tc>
          <w:tcPr>
            <w:tcW w:w="993" w:type="dxa"/>
            <w:vMerge w:val="restart"/>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Theme="minorEastAsia" w:eastAsiaTheme="minorEastAsia" w:hAnsiTheme="minorEastAsia" w:hint="eastAsia"/>
                <w:color w:val="000000"/>
                <w:sz w:val="24"/>
              </w:rPr>
              <w:t>投资者类别</w:t>
            </w:r>
          </w:p>
        </w:tc>
        <w:tc>
          <w:tcPr>
            <w:tcW w:w="5670" w:type="dxa"/>
            <w:gridSpan w:val="5"/>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报告期内持有基金份额变化情况</w:t>
            </w:r>
          </w:p>
        </w:tc>
        <w:tc>
          <w:tcPr>
            <w:tcW w:w="2549" w:type="dxa"/>
            <w:gridSpan w:val="2"/>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报告期末持有基金情况</w:t>
            </w:r>
          </w:p>
        </w:tc>
      </w:tr>
      <w:tr w:rsidR="009E31C4" w:rsidRPr="009E31C4" w:rsidTr="00530D34">
        <w:tc>
          <w:tcPr>
            <w:tcW w:w="993" w:type="dxa"/>
            <w:vMerge/>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p>
        </w:tc>
        <w:tc>
          <w:tcPr>
            <w:tcW w:w="992" w:type="dxa"/>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宋体" w:hAnsi="宋体" w:hint="eastAsia"/>
                <w:color w:val="000000"/>
                <w:sz w:val="24"/>
              </w:rPr>
              <w:t>序号</w:t>
            </w:r>
          </w:p>
        </w:tc>
        <w:tc>
          <w:tcPr>
            <w:tcW w:w="1843"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持有基金份额比例达到或者超过20%的时间区间</w:t>
            </w:r>
          </w:p>
        </w:tc>
        <w:tc>
          <w:tcPr>
            <w:tcW w:w="851"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期初份额</w:t>
            </w:r>
          </w:p>
        </w:tc>
        <w:tc>
          <w:tcPr>
            <w:tcW w:w="850"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申购份额</w:t>
            </w:r>
          </w:p>
        </w:tc>
        <w:tc>
          <w:tcPr>
            <w:tcW w:w="1134"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赎回份额</w:t>
            </w:r>
          </w:p>
        </w:tc>
        <w:tc>
          <w:tcPr>
            <w:tcW w:w="1419"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持有份额</w:t>
            </w:r>
          </w:p>
        </w:tc>
        <w:tc>
          <w:tcPr>
            <w:tcW w:w="1130"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份额占比</w:t>
            </w:r>
          </w:p>
        </w:tc>
      </w:tr>
      <w:tr w:rsidR="00F7261E">
        <w:tc>
          <w:tcPr>
            <w:tcW w:w="993" w:type="dxa"/>
            <w:vMerge w:val="restart"/>
          </w:tcPr>
          <w:p w:rsidR="00F7261E" w:rsidRDefault="00F7261E"/>
          <w:p w:rsidR="00F7261E" w:rsidRDefault="00A51189">
            <w:r>
              <w:rPr>
                <w:rFonts w:eastAsiaTheme="minorEastAsia" w:hint="eastAsia"/>
                <w:bCs/>
                <w:color w:val="000000" w:themeColor="text1"/>
                <w:sz w:val="24"/>
              </w:rPr>
              <w:t>机构</w:t>
            </w:r>
          </w:p>
        </w:tc>
        <w:tc>
          <w:tcPr>
            <w:tcW w:w="992" w:type="dxa"/>
            <w:vAlign w:val="center"/>
          </w:tcPr>
          <w:p w:rsidR="00F7261E" w:rsidRDefault="00A51189">
            <w:pPr>
              <w:jc w:val="center"/>
            </w:pPr>
            <w:r>
              <w:rPr>
                <w:color w:val="000000"/>
                <w:sz w:val="24"/>
              </w:rPr>
              <w:t>1</w:t>
            </w:r>
          </w:p>
        </w:tc>
        <w:tc>
          <w:tcPr>
            <w:tcW w:w="1843" w:type="dxa"/>
            <w:vAlign w:val="center"/>
          </w:tcPr>
          <w:p w:rsidR="00F7261E" w:rsidRDefault="00A51189">
            <w:pPr>
              <w:jc w:val="center"/>
            </w:pPr>
            <w:r>
              <w:rPr>
                <w:color w:val="000000"/>
                <w:sz w:val="24"/>
              </w:rPr>
              <w:t>20180701-20180930</w:t>
            </w:r>
          </w:p>
        </w:tc>
        <w:tc>
          <w:tcPr>
            <w:tcW w:w="851" w:type="dxa"/>
            <w:vAlign w:val="center"/>
          </w:tcPr>
          <w:p w:rsidR="00F7261E" w:rsidRDefault="00A51189">
            <w:pPr>
              <w:jc w:val="center"/>
            </w:pPr>
            <w:r>
              <w:rPr>
                <w:color w:val="000000"/>
                <w:sz w:val="24"/>
              </w:rPr>
              <w:t>7,196,112.05</w:t>
            </w:r>
          </w:p>
        </w:tc>
        <w:tc>
          <w:tcPr>
            <w:tcW w:w="850" w:type="dxa"/>
            <w:vAlign w:val="center"/>
          </w:tcPr>
          <w:p w:rsidR="00F7261E" w:rsidRDefault="00A51189">
            <w:pPr>
              <w:jc w:val="center"/>
            </w:pPr>
            <w:r>
              <w:rPr>
                <w:color w:val="000000"/>
                <w:sz w:val="24"/>
              </w:rPr>
              <w:t>0.00</w:t>
            </w:r>
          </w:p>
        </w:tc>
        <w:tc>
          <w:tcPr>
            <w:tcW w:w="1134" w:type="dxa"/>
            <w:vAlign w:val="center"/>
          </w:tcPr>
          <w:p w:rsidR="00F7261E" w:rsidRDefault="00A51189">
            <w:pPr>
              <w:jc w:val="center"/>
            </w:pPr>
            <w:r>
              <w:rPr>
                <w:color w:val="000000"/>
                <w:sz w:val="24"/>
              </w:rPr>
              <w:t>6,200,000.00</w:t>
            </w:r>
          </w:p>
        </w:tc>
        <w:tc>
          <w:tcPr>
            <w:tcW w:w="1419" w:type="dxa"/>
            <w:vAlign w:val="center"/>
          </w:tcPr>
          <w:p w:rsidR="00F7261E" w:rsidRDefault="00A51189">
            <w:pPr>
              <w:jc w:val="center"/>
            </w:pPr>
            <w:r>
              <w:rPr>
                <w:color w:val="000000"/>
                <w:sz w:val="24"/>
              </w:rPr>
              <w:t>996,112.05</w:t>
            </w:r>
          </w:p>
        </w:tc>
        <w:tc>
          <w:tcPr>
            <w:tcW w:w="1130" w:type="dxa"/>
            <w:vAlign w:val="center"/>
          </w:tcPr>
          <w:p w:rsidR="00F7261E" w:rsidRDefault="00A51189">
            <w:pPr>
              <w:jc w:val="center"/>
            </w:pPr>
            <w:r>
              <w:rPr>
                <w:color w:val="000000"/>
                <w:sz w:val="24"/>
              </w:rPr>
              <w:t>34.00%</w:t>
            </w:r>
          </w:p>
        </w:tc>
      </w:tr>
      <w:tr w:rsidR="00F7261E">
        <w:tc>
          <w:tcPr>
            <w:tcW w:w="993" w:type="dxa"/>
            <w:vMerge w:val="restart"/>
          </w:tcPr>
          <w:p w:rsidR="00F7261E" w:rsidRDefault="00F7261E"/>
          <w:p w:rsidR="00F7261E" w:rsidRDefault="00A51189">
            <w:r>
              <w:rPr>
                <w:rFonts w:eastAsiaTheme="minorEastAsia" w:hint="eastAsia"/>
                <w:bCs/>
                <w:color w:val="000000" w:themeColor="text1"/>
                <w:sz w:val="24"/>
              </w:rPr>
              <w:t>个人</w:t>
            </w:r>
          </w:p>
        </w:tc>
        <w:tc>
          <w:tcPr>
            <w:tcW w:w="992" w:type="dxa"/>
            <w:vAlign w:val="center"/>
          </w:tcPr>
          <w:p w:rsidR="00F7261E" w:rsidRDefault="00A51189">
            <w:pPr>
              <w:jc w:val="center"/>
            </w:pPr>
            <w:r>
              <w:rPr>
                <w:sz w:val="24"/>
              </w:rPr>
              <w:t>1</w:t>
            </w:r>
          </w:p>
        </w:tc>
        <w:tc>
          <w:tcPr>
            <w:tcW w:w="1843" w:type="dxa"/>
            <w:vAlign w:val="center"/>
          </w:tcPr>
          <w:p w:rsidR="00F7261E" w:rsidRDefault="00A51189">
            <w:pPr>
              <w:jc w:val="center"/>
            </w:pPr>
            <w:r>
              <w:rPr>
                <w:sz w:val="24"/>
              </w:rPr>
              <w:t>20180701-20180726</w:t>
            </w:r>
          </w:p>
        </w:tc>
        <w:tc>
          <w:tcPr>
            <w:tcW w:w="851" w:type="dxa"/>
            <w:vAlign w:val="center"/>
          </w:tcPr>
          <w:p w:rsidR="00F7261E" w:rsidRDefault="00A51189">
            <w:pPr>
              <w:jc w:val="center"/>
            </w:pPr>
            <w:r>
              <w:rPr>
                <w:sz w:val="24"/>
              </w:rPr>
              <w:t>6,747,877.76</w:t>
            </w:r>
          </w:p>
        </w:tc>
        <w:tc>
          <w:tcPr>
            <w:tcW w:w="850" w:type="dxa"/>
            <w:vAlign w:val="center"/>
          </w:tcPr>
          <w:p w:rsidR="00F7261E" w:rsidRDefault="00A51189">
            <w:pPr>
              <w:jc w:val="center"/>
            </w:pPr>
            <w:r>
              <w:rPr>
                <w:sz w:val="24"/>
              </w:rPr>
              <w:t>0.00</w:t>
            </w:r>
          </w:p>
        </w:tc>
        <w:tc>
          <w:tcPr>
            <w:tcW w:w="1134" w:type="dxa"/>
            <w:vAlign w:val="center"/>
          </w:tcPr>
          <w:p w:rsidR="00F7261E" w:rsidRDefault="00A51189">
            <w:pPr>
              <w:jc w:val="center"/>
            </w:pPr>
            <w:r>
              <w:rPr>
                <w:sz w:val="24"/>
              </w:rPr>
              <w:t>6,747,877.76</w:t>
            </w:r>
          </w:p>
        </w:tc>
        <w:tc>
          <w:tcPr>
            <w:tcW w:w="1419" w:type="dxa"/>
            <w:vAlign w:val="center"/>
          </w:tcPr>
          <w:p w:rsidR="00F7261E" w:rsidRDefault="00A51189">
            <w:pPr>
              <w:jc w:val="center"/>
            </w:pPr>
            <w:r>
              <w:rPr>
                <w:sz w:val="24"/>
              </w:rPr>
              <w:t>0.00</w:t>
            </w:r>
          </w:p>
        </w:tc>
        <w:tc>
          <w:tcPr>
            <w:tcW w:w="1130" w:type="dxa"/>
            <w:vAlign w:val="center"/>
          </w:tcPr>
          <w:p w:rsidR="00F7261E" w:rsidRDefault="00A51189">
            <w:pPr>
              <w:jc w:val="center"/>
            </w:pPr>
            <w:r>
              <w:rPr>
                <w:sz w:val="24"/>
              </w:rPr>
              <w:t>0.00%</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center"/>
              <w:rPr>
                <w:sz w:val="24"/>
              </w:rPr>
            </w:pPr>
            <w:r w:rsidRPr="009E31C4">
              <w:rPr>
                <w:color w:val="000000"/>
                <w:sz w:val="24"/>
              </w:rPr>
              <w:t>产品特有风险</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left"/>
              <w:rPr>
                <w:sz w:val="24"/>
              </w:rPr>
            </w:pPr>
            <w:r w:rsidRPr="009E31C4">
              <w:rPr>
                <w:rFonts w:hint="eastAsia"/>
                <w:sz w:val="24"/>
              </w:rPr>
              <w:t>报告期内，本基金存在单一投资者持有份额比例达到或超过</w:t>
            </w:r>
            <w:r w:rsidRPr="009E31C4">
              <w:rPr>
                <w:rFonts w:hint="eastAsia"/>
                <w:sz w:val="24"/>
              </w:rPr>
              <w:t>20%</w:t>
            </w:r>
            <w:r w:rsidRPr="009E31C4">
              <w:rPr>
                <w:rFonts w:hint="eastAsia"/>
                <w:sz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9E31C4">
              <w:rPr>
                <w:rFonts w:hint="eastAsia"/>
                <w:sz w:val="24"/>
              </w:rPr>
              <w:t xml:space="preserve"> 5000 </w:t>
            </w:r>
            <w:r w:rsidRPr="009E31C4">
              <w:rPr>
                <w:rFonts w:hint="eastAsia"/>
                <w:sz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hint="eastAsia"/>
          <w:b/>
          <w:bCs/>
          <w:color w:val="000000" w:themeColor="text1"/>
          <w:kern w:val="0"/>
          <w:sz w:val="24"/>
        </w:rPr>
        <w:t xml:space="preserve">8.2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7</w:t>
      </w:r>
      <w:r w:rsidRPr="009E31C4">
        <w:rPr>
          <w:rFonts w:eastAsiaTheme="minorEastAsia"/>
          <w:color w:val="000000" w:themeColor="text1"/>
          <w:sz w:val="24"/>
        </w:rPr>
        <w:t>月</w:t>
      </w:r>
      <w:r w:rsidRPr="009E31C4">
        <w:rPr>
          <w:rFonts w:eastAsiaTheme="minorEastAsia"/>
          <w:color w:val="000000" w:themeColor="text1"/>
          <w:sz w:val="24"/>
        </w:rPr>
        <w:t>11</w:t>
      </w:r>
      <w:r w:rsidRPr="009E31C4">
        <w:rPr>
          <w:rFonts w:eastAsiaTheme="minorEastAsia"/>
          <w:color w:val="000000" w:themeColor="text1"/>
          <w:sz w:val="24"/>
        </w:rPr>
        <w:t>日至</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9</w:t>
      </w:r>
      <w:r w:rsidRPr="009E31C4">
        <w:rPr>
          <w:rFonts w:eastAsiaTheme="minorEastAsia"/>
          <w:color w:val="000000" w:themeColor="text1"/>
          <w:sz w:val="24"/>
        </w:rPr>
        <w:t>日</w:t>
      </w:r>
      <w:r w:rsidRPr="009E31C4">
        <w:rPr>
          <w:rFonts w:eastAsiaTheme="minorEastAsia"/>
          <w:color w:val="000000" w:themeColor="text1"/>
          <w:sz w:val="24"/>
        </w:rPr>
        <w:t>15</w:t>
      </w:r>
      <w:r w:rsidRPr="009E31C4">
        <w:rPr>
          <w:rFonts w:eastAsiaTheme="minorEastAsia"/>
          <w:color w:val="000000" w:themeColor="text1"/>
          <w:sz w:val="24"/>
        </w:rPr>
        <w:t>：</w:t>
      </w:r>
      <w:r w:rsidRPr="009E31C4">
        <w:rPr>
          <w:rFonts w:eastAsiaTheme="minorEastAsia"/>
          <w:color w:val="000000" w:themeColor="text1"/>
          <w:sz w:val="24"/>
        </w:rPr>
        <w:t>00</w:t>
      </w:r>
      <w:r w:rsidRPr="009E31C4">
        <w:rPr>
          <w:rFonts w:eastAsiaTheme="minorEastAsia"/>
          <w:color w:val="000000" w:themeColor="text1"/>
          <w:sz w:val="24"/>
        </w:rPr>
        <w:t>止，广发集鑫债券型证券投资基金以通讯方式召开了基金份额持有人大会，本次会议议案《关于终止广发集鑫债券型证券投资基金基金合同相关事项的议案》在</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13</w:t>
      </w:r>
      <w:r w:rsidRPr="009E31C4">
        <w:rPr>
          <w:rFonts w:eastAsiaTheme="minorEastAsia"/>
          <w:color w:val="000000" w:themeColor="text1"/>
          <w:sz w:val="24"/>
        </w:rPr>
        <w:t>日的计票会议上获得通过。根据持有人大会通过的议案，自</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16</w:t>
      </w:r>
      <w:r w:rsidRPr="009E31C4">
        <w:rPr>
          <w:rFonts w:eastAsiaTheme="minorEastAsia"/>
          <w:color w:val="000000" w:themeColor="text1"/>
          <w:sz w:val="24"/>
        </w:rPr>
        <w:t>日起，本基金进入清算期，基金管理人将组织成立基金财产清算小组履行基金财产清算程序，并将清算结果及时予以公告。有关重要事项详情可见本基金管理人</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15</w:t>
      </w:r>
      <w:r w:rsidRPr="009E31C4">
        <w:rPr>
          <w:rFonts w:eastAsiaTheme="minorEastAsia"/>
          <w:color w:val="000000" w:themeColor="text1"/>
          <w:sz w:val="24"/>
        </w:rPr>
        <w:t>日在《中国证券报》、《上海证券报》、《证券时报》及本公司网站（</w:t>
      </w:r>
      <w:r w:rsidRPr="009E31C4">
        <w:rPr>
          <w:rFonts w:eastAsiaTheme="minorEastAsia"/>
          <w:color w:val="000000" w:themeColor="text1"/>
          <w:sz w:val="24"/>
        </w:rPr>
        <w:t>www.gffunds.com.cn</w:t>
      </w:r>
      <w:r w:rsidRPr="009E31C4">
        <w:rPr>
          <w:rFonts w:eastAsiaTheme="minorEastAsia"/>
          <w:color w:val="000000" w:themeColor="text1"/>
          <w:sz w:val="24"/>
        </w:rPr>
        <w:t>）刊登的《广发基金管理有限公司关于广发集鑫债券型证券投资基金基金份额持有人大会表决结果暨决议生效的公告》。</w:t>
      </w:r>
    </w:p>
    <w:p w:rsidR="009238DB" w:rsidRPr="00B75DF8" w:rsidRDefault="009238DB" w:rsidP="00A5118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9</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rsidR="00F7261E" w:rsidRDefault="00A51189">
      <w:pPr>
        <w:spacing w:line="360" w:lineRule="auto"/>
        <w:ind w:firstLineChars="200" w:firstLine="480"/>
        <w:rPr>
          <w:rFonts w:eastAsiaTheme="minorEastAsia"/>
          <w:color w:val="000000"/>
          <w:sz w:val="24"/>
        </w:rPr>
      </w:pPr>
      <w:r>
        <w:rPr>
          <w:rFonts w:eastAsiaTheme="minorEastAsia" w:hint="eastAsia"/>
          <w:color w:val="000000"/>
          <w:sz w:val="24"/>
        </w:rPr>
        <w:t>1.</w:t>
      </w:r>
      <w:r>
        <w:rPr>
          <w:rFonts w:eastAsiaTheme="minorEastAsia" w:hint="eastAsia"/>
          <w:color w:val="000000"/>
          <w:sz w:val="24"/>
        </w:rPr>
        <w:t>中国证监会批准广发集鑫债券型证券投资基金募集的文件；</w:t>
      </w:r>
    </w:p>
    <w:p w:rsidR="00F7261E" w:rsidRDefault="00A51189">
      <w:pPr>
        <w:spacing w:line="360" w:lineRule="auto"/>
        <w:ind w:firstLineChars="200" w:firstLine="480"/>
        <w:rPr>
          <w:rFonts w:eastAsiaTheme="minorEastAsia"/>
          <w:color w:val="000000"/>
          <w:sz w:val="24"/>
        </w:rPr>
      </w:pPr>
      <w:r>
        <w:rPr>
          <w:rFonts w:eastAsiaTheme="minorEastAsia" w:hint="eastAsia"/>
          <w:color w:val="000000"/>
          <w:sz w:val="24"/>
        </w:rPr>
        <w:t>2.</w:t>
      </w:r>
      <w:r>
        <w:rPr>
          <w:rFonts w:eastAsiaTheme="minorEastAsia" w:hint="eastAsia"/>
          <w:color w:val="000000"/>
          <w:sz w:val="24"/>
        </w:rPr>
        <w:t>《广发集鑫债券型证券投资基金基金合同》；</w:t>
      </w:r>
    </w:p>
    <w:p w:rsidR="00F7261E" w:rsidRDefault="00A51189">
      <w:pPr>
        <w:spacing w:line="360" w:lineRule="auto"/>
        <w:ind w:firstLineChars="200" w:firstLine="480"/>
        <w:rPr>
          <w:rFonts w:eastAsiaTheme="minorEastAsia"/>
          <w:color w:val="000000"/>
          <w:sz w:val="24"/>
        </w:rPr>
      </w:pPr>
      <w:r>
        <w:rPr>
          <w:rFonts w:eastAsiaTheme="minorEastAsia" w:hint="eastAsia"/>
          <w:color w:val="000000"/>
          <w:sz w:val="24"/>
        </w:rPr>
        <w:t>3.</w:t>
      </w:r>
      <w:r>
        <w:rPr>
          <w:rFonts w:eastAsiaTheme="minorEastAsia" w:hint="eastAsia"/>
          <w:color w:val="000000"/>
          <w:sz w:val="24"/>
        </w:rPr>
        <w:t>《广发基金管理有限公司开放式基金业务规则》；</w:t>
      </w:r>
    </w:p>
    <w:p w:rsidR="00F7261E" w:rsidRDefault="00A51189">
      <w:pPr>
        <w:spacing w:line="360" w:lineRule="auto"/>
        <w:ind w:firstLineChars="200" w:firstLine="480"/>
        <w:rPr>
          <w:rFonts w:eastAsiaTheme="minorEastAsia"/>
          <w:color w:val="000000"/>
          <w:sz w:val="24"/>
        </w:rPr>
      </w:pPr>
      <w:r>
        <w:rPr>
          <w:rFonts w:eastAsiaTheme="minorEastAsia" w:hint="eastAsia"/>
          <w:color w:val="000000"/>
          <w:sz w:val="24"/>
        </w:rPr>
        <w:t>4.</w:t>
      </w:r>
      <w:r>
        <w:rPr>
          <w:rFonts w:eastAsiaTheme="minorEastAsia" w:hint="eastAsia"/>
          <w:color w:val="000000"/>
          <w:sz w:val="24"/>
        </w:rPr>
        <w:t>《广发集鑫债券型证券投资基金托管协议》；</w:t>
      </w:r>
    </w:p>
    <w:p w:rsidR="00F7261E" w:rsidRDefault="00A51189">
      <w:pPr>
        <w:spacing w:line="360" w:lineRule="auto"/>
        <w:ind w:firstLineChars="200" w:firstLine="480"/>
        <w:rPr>
          <w:rFonts w:eastAsiaTheme="minorEastAsia"/>
          <w:color w:val="000000"/>
          <w:sz w:val="24"/>
        </w:rPr>
      </w:pPr>
      <w:r>
        <w:rPr>
          <w:rFonts w:eastAsiaTheme="minorEastAsia" w:hint="eastAsia"/>
          <w:color w:val="000000"/>
          <w:sz w:val="24"/>
        </w:rPr>
        <w:t>5.</w:t>
      </w:r>
      <w:r>
        <w:rPr>
          <w:rFonts w:eastAsiaTheme="minorEastAsia" w:hint="eastAsia"/>
          <w:color w:val="000000"/>
          <w:sz w:val="24"/>
        </w:rPr>
        <w:t>法律意见书；</w:t>
      </w:r>
    </w:p>
    <w:p w:rsidR="00F7261E" w:rsidRDefault="00A51189">
      <w:pPr>
        <w:spacing w:line="360" w:lineRule="auto"/>
        <w:ind w:firstLineChars="200" w:firstLine="480"/>
        <w:rPr>
          <w:rFonts w:eastAsiaTheme="minorEastAsia"/>
          <w:color w:val="000000"/>
          <w:sz w:val="24"/>
        </w:rPr>
      </w:pPr>
      <w:r>
        <w:rPr>
          <w:rFonts w:eastAsiaTheme="minorEastAsia" w:hint="eastAsia"/>
          <w:color w:val="000000"/>
          <w:sz w:val="24"/>
        </w:rPr>
        <w:t>6.</w:t>
      </w:r>
      <w:r>
        <w:rPr>
          <w:rFonts w:eastAsiaTheme="minorEastAsia" w:hint="eastAsia"/>
          <w:color w:val="000000"/>
          <w:sz w:val="24"/>
        </w:rPr>
        <w:t>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7.</w:t>
      </w:r>
      <w:r w:rsidRPr="00264591">
        <w:rPr>
          <w:rFonts w:eastAsiaTheme="minorEastAsia" w:hint="eastAsia"/>
          <w:color w:val="000000"/>
          <w:sz w:val="24"/>
        </w:rPr>
        <w:t>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广州市海珠区琶洲大道东</w:t>
      </w:r>
      <w:r w:rsidRPr="00264591">
        <w:rPr>
          <w:rFonts w:eastAsiaTheme="minorEastAsia" w:hint="eastAsia"/>
          <w:color w:val="000000"/>
          <w:sz w:val="24"/>
        </w:rPr>
        <w:t>1</w:t>
      </w:r>
      <w:r w:rsidRPr="00264591">
        <w:rPr>
          <w:rFonts w:eastAsiaTheme="minorEastAsia" w:hint="eastAsia"/>
          <w:color w:val="000000"/>
          <w:sz w:val="24"/>
        </w:rPr>
        <w:t>号保利国际广场南塔</w:t>
      </w:r>
      <w:r w:rsidRPr="00264591">
        <w:rPr>
          <w:rFonts w:eastAsiaTheme="minorEastAsia" w:hint="eastAsia"/>
          <w:color w:val="000000"/>
          <w:sz w:val="24"/>
        </w:rPr>
        <w:t>31-33</w:t>
      </w:r>
      <w:r w:rsidRPr="00264591">
        <w:rPr>
          <w:rFonts w:eastAsiaTheme="minorEastAsia" w:hint="eastAsia"/>
          <w:color w:val="000000"/>
          <w:sz w:val="24"/>
        </w:rPr>
        <w:t>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9.3</w:t>
      </w:r>
      <w:r w:rsidR="00FB3C94" w:rsidRPr="00B75DF8">
        <w:rPr>
          <w:rFonts w:asciiTheme="minorEastAsia" w:eastAsiaTheme="minorEastAsia" w:hAnsiTheme="minorEastAsia" w:hint="eastAsia"/>
          <w:b/>
          <w:bCs/>
          <w:color w:val="000000"/>
          <w:kern w:val="0"/>
          <w:sz w:val="24"/>
        </w:rPr>
        <w:t>查阅方式</w:t>
      </w:r>
    </w:p>
    <w:p w:rsidR="00F7261E" w:rsidRDefault="00A51189">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w:t>
      </w:r>
      <w:r>
        <w:rPr>
          <w:rFonts w:eastAsiaTheme="minorEastAsia" w:hint="eastAsia"/>
          <w:color w:val="000000"/>
          <w:sz w:val="24"/>
        </w:rPr>
        <w:t>书面查阅：查阅时间为每工作日</w:t>
      </w:r>
      <w:r>
        <w:rPr>
          <w:rFonts w:eastAsiaTheme="minorEastAsia" w:hint="eastAsia"/>
          <w:color w:val="000000"/>
          <w:sz w:val="24"/>
        </w:rPr>
        <w:t>8:30-11:30</w:t>
      </w:r>
      <w:r>
        <w:rPr>
          <w:rFonts w:eastAsiaTheme="minorEastAsia" w:hint="eastAsia"/>
          <w:color w:val="000000"/>
          <w:sz w:val="24"/>
        </w:rPr>
        <w:t>，</w:t>
      </w:r>
      <w:r>
        <w:rPr>
          <w:rFonts w:eastAsiaTheme="minorEastAsia" w:hint="eastAsia"/>
          <w:color w:val="000000"/>
          <w:sz w:val="24"/>
        </w:rPr>
        <w:t>13:30-17:00</w:t>
      </w:r>
      <w:r>
        <w:rPr>
          <w:rFonts w:eastAsiaTheme="minorEastAsia" w:hint="eastAsia"/>
          <w:color w:val="000000"/>
          <w:sz w:val="24"/>
        </w:rPr>
        <w:t>。投资者可免费查阅，也可按工本费购买复印件；</w:t>
      </w:r>
    </w:p>
    <w:p w:rsidR="00F7261E" w:rsidRDefault="00A51189">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2.</w:t>
      </w:r>
      <w:r>
        <w:rPr>
          <w:rFonts w:eastAsiaTheme="minorEastAsia" w:hint="eastAsia"/>
          <w:color w:val="000000"/>
          <w:sz w:val="24"/>
        </w:rPr>
        <w:t>网站查阅：基金管理人网址：</w:t>
      </w:r>
      <w:r>
        <w:rPr>
          <w:rFonts w:eastAsiaTheme="minorEastAsia" w:hint="eastAsia"/>
          <w:color w:val="000000"/>
          <w:sz w:val="24"/>
        </w:rPr>
        <w:t>http://www.gffunds.com.cn</w:t>
      </w:r>
      <w:r>
        <w:rPr>
          <w:rFonts w:eastAsiaTheme="minorEastAsia" w:hint="eastAsia"/>
          <w:color w:val="000000"/>
          <w:sz w:val="24"/>
        </w:rPr>
        <w:t>。</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投资者如对本报告有疑问，可咨询本基金管理人广发基金管理有限公司，咨询电话</w:t>
      </w:r>
      <w:r w:rsidRPr="00264591">
        <w:rPr>
          <w:rFonts w:eastAsiaTheme="minorEastAsia" w:hint="eastAsia"/>
          <w:color w:val="000000"/>
          <w:sz w:val="24"/>
        </w:rPr>
        <w:t>95105828</w:t>
      </w:r>
      <w:r w:rsidRPr="00264591">
        <w:rPr>
          <w:rFonts w:eastAsiaTheme="minorEastAsia" w:hint="eastAsia"/>
          <w:color w:val="000000"/>
          <w:sz w:val="24"/>
        </w:rPr>
        <w:t>或</w:t>
      </w:r>
      <w:r w:rsidRPr="00264591">
        <w:rPr>
          <w:rFonts w:eastAsiaTheme="minorEastAsia" w:hint="eastAsia"/>
          <w:color w:val="000000"/>
          <w:sz w:val="24"/>
        </w:rPr>
        <w:t>020-83936999</w:t>
      </w:r>
      <w:r w:rsidRPr="00264591">
        <w:rPr>
          <w:rFonts w:eastAsiaTheme="minorEastAsia" w:hint="eastAsia"/>
          <w:color w:val="000000"/>
          <w:sz w:val="24"/>
        </w:rPr>
        <w:t>，或发电子邮件：</w:t>
      </w:r>
      <w:r w:rsidRPr="00264591">
        <w:rPr>
          <w:rFonts w:eastAsiaTheme="minorEastAsia" w:hint="eastAsia"/>
          <w:color w:val="000000"/>
          <w:sz w:val="24"/>
        </w:rPr>
        <w:t>services@gf-funds.com.cn</w:t>
      </w:r>
      <w:r w:rsidRPr="00264591">
        <w:rPr>
          <w:rFonts w:eastAsiaTheme="minorEastAsia" w:hint="eastAsia"/>
          <w:color w:val="000000"/>
          <w:sz w:val="24"/>
        </w:rPr>
        <w:t>。</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二〇一八年十月二十五日</w:t>
      </w:r>
    </w:p>
    <w:sectPr w:rsidR="009238DB" w:rsidRPr="00B75DF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1E" w:rsidRDefault="0079351E">
      <w:r>
        <w:separator/>
      </w:r>
    </w:p>
  </w:endnote>
  <w:endnote w:type="continuationSeparator" w:id="1">
    <w:p w:rsidR="0079351E" w:rsidRDefault="007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1D0DB0" w:rsidRDefault="00F22F9F" w:rsidP="00F7094A">
    <w:pPr>
      <w:pStyle w:val="a6"/>
      <w:jc w:val="center"/>
    </w:pPr>
    <w:r>
      <w:rPr>
        <w:rFonts w:hint="eastAsia"/>
        <w:kern w:val="0"/>
        <w:szCs w:val="21"/>
      </w:rPr>
      <w:t>第</w:t>
    </w:r>
    <w:r w:rsidR="00F7261E">
      <w:rPr>
        <w:kern w:val="0"/>
        <w:szCs w:val="21"/>
      </w:rPr>
      <w:fldChar w:fldCharType="begin"/>
    </w:r>
    <w:r>
      <w:rPr>
        <w:kern w:val="0"/>
        <w:szCs w:val="21"/>
      </w:rPr>
      <w:instrText xml:space="preserve"> PAGE </w:instrText>
    </w:r>
    <w:r w:rsidR="00F7261E">
      <w:rPr>
        <w:kern w:val="0"/>
        <w:szCs w:val="21"/>
      </w:rPr>
      <w:fldChar w:fldCharType="separate"/>
    </w:r>
    <w:r w:rsidR="00A51189">
      <w:rPr>
        <w:noProof/>
        <w:kern w:val="0"/>
        <w:szCs w:val="21"/>
      </w:rPr>
      <w:t>1</w:t>
    </w:r>
    <w:r w:rsidR="00F7261E">
      <w:rPr>
        <w:kern w:val="0"/>
        <w:szCs w:val="21"/>
      </w:rPr>
      <w:fldChar w:fldCharType="end"/>
    </w:r>
    <w:r>
      <w:rPr>
        <w:rFonts w:hint="eastAsia"/>
        <w:kern w:val="0"/>
        <w:szCs w:val="21"/>
      </w:rPr>
      <w:t>页共</w:t>
    </w:r>
    <w:r w:rsidR="00F7261E">
      <w:rPr>
        <w:kern w:val="0"/>
        <w:szCs w:val="21"/>
      </w:rPr>
      <w:fldChar w:fldCharType="begin"/>
    </w:r>
    <w:r>
      <w:rPr>
        <w:kern w:val="0"/>
        <w:szCs w:val="21"/>
      </w:rPr>
      <w:instrText xml:space="preserve"> NUMPAGES </w:instrText>
    </w:r>
    <w:r w:rsidR="00F7261E">
      <w:rPr>
        <w:kern w:val="0"/>
        <w:szCs w:val="21"/>
      </w:rPr>
      <w:fldChar w:fldCharType="separate"/>
    </w:r>
    <w:r w:rsidR="00A51189">
      <w:rPr>
        <w:noProof/>
        <w:kern w:val="0"/>
        <w:szCs w:val="21"/>
      </w:rPr>
      <w:t>3</w:t>
    </w:r>
    <w:r w:rsidR="00F7261E">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F7261E">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F7261E">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A51189">
      <w:rPr>
        <w:rStyle w:val="a7"/>
        <w:noProof/>
      </w:rPr>
      <w:t>2</w:t>
    </w:r>
    <w:r>
      <w:rPr>
        <w:rStyle w:val="a7"/>
      </w:rPr>
      <w:fldChar w:fldCharType="end"/>
    </w:r>
  </w:p>
  <w:p w:rsidR="00F22F9F" w:rsidRDefault="00F22F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1E" w:rsidRDefault="0079351E">
      <w:r>
        <w:separator/>
      </w:r>
    </w:p>
  </w:footnote>
  <w:footnote w:type="continuationSeparator" w:id="1">
    <w:p w:rsidR="0079351E" w:rsidRDefault="0079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63693D" w:rsidRDefault="00F22F9F" w:rsidP="001207F2">
    <w:pPr>
      <w:pStyle w:val="a9"/>
      <w:pBdr>
        <w:bottom w:val="single" w:sz="6" w:space="0" w:color="auto"/>
      </w:pBdr>
      <w:jc w:val="right"/>
    </w:pPr>
    <w:r w:rsidRPr="0063693D">
      <w:t>广发集鑫债券型证券投资基金</w:t>
    </w:r>
    <w:r w:rsidRPr="0063693D">
      <w:t>2018</w:t>
    </w:r>
    <w:r w:rsidRPr="0063693D">
      <w:t>年第</w:t>
    </w:r>
    <w:r w:rsidRPr="0063693D">
      <w:t>3</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3B4"/>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1E"/>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1189"/>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261E"/>
    <w:rsid w:val="00F75D7B"/>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29E4-7E3D-4FF8-92F7-A22D2228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1027</Words>
  <Characters>5854</Characters>
  <Application>Microsoft Office Word</Application>
  <DocSecurity>4</DocSecurity>
  <Lines>48</Lines>
  <Paragraphs>13</Paragraphs>
  <ScaleCrop>false</ScaleCrop>
  <Company>TRT. Ltd. Co.</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2018-10-24T18:00:00Z</dcterms:created>
  <dcterms:modified xsi:type="dcterms:W3CDTF">2018-10-24T18:00:00Z</dcterms:modified>
</cp:coreProperties>
</file>