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新华健康生活主题灵活配置混合型证券投资基金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2018年第3季度报告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2018年9月30日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新华基金管理股份有限公司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中国工商银行股份有限公司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92C11" w:rsidRPr="00F92C11">
        <w:rPr>
          <w:rFonts w:asciiTheme="minorEastAsia" w:eastAsiaTheme="minorEastAsia" w:hAnsiTheme="minorEastAsia"/>
          <w:b/>
          <w:sz w:val="24"/>
          <w:szCs w:val="24"/>
        </w:rPr>
        <w:t>二〇一八年十月二十四日</w:t>
      </w:r>
    </w:p>
    <w:p w:rsidR="004061AC" w:rsidRPr="00220C32" w:rsidRDefault="004061AC" w:rsidP="00930507">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基金托管人中国工商银行股份有限公司根据本基金合同规定，于2018年10月22日复核了本报告中的财务指标、净值表现和投资组合报告等内容，保证复核内容不存在虚假记载、误导性陈述或者重大遗漏。 </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本报告期自2018年7月1日起至9月30日止。</w:t>
      </w:r>
    </w:p>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新华健康生活主题灵活配置混合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002715</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002715</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2016年6月16日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3,164,529.14</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重点关注国家健康生活产业发展过程中带来的投资机会，综合运用多种投资策略，精选健康生活产业及其相关产业中的优质企业进行投资，在严格控制基金资产净值下行风险的基础上，力争为投资人提供长期稳定的回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投资策略方面，本基金将以大类资产配置策略为基础，采取积极的股票投资策略和稳健的债券投资策略。大类资产配置策略主要运用战略性资产配置策略和战术性资产配</w:t>
            </w:r>
            <w:r w:rsidRPr="00220C32">
              <w:rPr>
                <w:rFonts w:asciiTheme="minorEastAsia" w:eastAsiaTheme="minorEastAsia" w:hAnsiTheme="minorEastAsia"/>
                <w:color w:val="000000" w:themeColor="text1"/>
                <w:kern w:val="0"/>
              </w:rPr>
              <w:lastRenderedPageBreak/>
              <w:t>置策略。股票投资策略指通过对健康生活产业发展状况的持续跟踪，以研究员以及基金经理的实地调研、密切跟踪以及扎实的案头分析工作为基础，采用自上而下与自下而上相结合的选股策略，动态精选能够充分受益于健康生活产业为主题的优质股票进行投资。具体运作方法包括对健康生活主题产业界定、行业配置策略、健康生活产业个股挖掘等方法。债券投资策略主要运用久期调整策略、收益率曲线配置策略、债券类属配置策略、骑乘策略等。</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沪深300指数收益率×60%＋中国债券总指数收益率×40%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本基金为混合型基金，属于证券投资基金中的中等预期风险中等预期收益品种，预期风险和预期收益低于股票型基金，高于债券型基金和货币市场基金。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新华基金管理股份有限公司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中国工商银行股份有限公司</w:t>
            </w:r>
          </w:p>
        </w:tc>
      </w:tr>
    </w:tbl>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F92C11" w:rsidRPr="00220C32" w:rsidTr="00F92C11">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2018年7月1日-2018年9月30日</w:t>
            </w:r>
            <w:r w:rsidRPr="00220C32">
              <w:rPr>
                <w:rFonts w:asciiTheme="minorEastAsia" w:eastAsiaTheme="minorEastAsia" w:hAnsiTheme="minorEastAsia" w:cs="宋体" w:hint="eastAsia"/>
                <w:color w:val="000000" w:themeColor="text1"/>
              </w:rPr>
              <w:t>)</w:t>
            </w:r>
          </w:p>
        </w:tc>
      </w:tr>
      <w:tr w:rsidR="00F92C11" w:rsidRPr="00220C32" w:rsidTr="00F92C11">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-1,515,830.30</w:t>
            </w:r>
          </w:p>
        </w:tc>
      </w:tr>
      <w:tr w:rsidR="00F92C11" w:rsidRPr="00220C32" w:rsidTr="00F92C11">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-550,737.96</w:t>
            </w:r>
          </w:p>
        </w:tc>
      </w:tr>
      <w:tr w:rsidR="00F92C11" w:rsidRPr="00220C32" w:rsidTr="00F92C11">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-0.0633</w:t>
            </w:r>
          </w:p>
        </w:tc>
      </w:tr>
      <w:tr w:rsidR="00F92C11" w:rsidRPr="00220C32" w:rsidTr="00F92C11">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2,839,102.28</w:t>
            </w:r>
          </w:p>
        </w:tc>
      </w:tr>
      <w:tr w:rsidR="00F92C11" w:rsidRPr="00220C32" w:rsidTr="00F92C11">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0.897</w:t>
            </w:r>
          </w:p>
        </w:tc>
      </w:tr>
    </w:tbl>
    <w:p w:rsidR="00670AD5" w:rsidRDefault="00A0667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2、以上所述基金业绩指标不包括持有人认购或交易基金的各项费用（例如基金申购费赎回费等），计入费用后实际收益水平要低于所列数字。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670AD5">
        <w:tc>
          <w:tcPr>
            <w:tcW w:w="1395" w:type="dxa"/>
            <w:vAlign w:val="center"/>
          </w:tcPr>
          <w:p w:rsidR="00670AD5" w:rsidRDefault="00A06677">
            <w:pPr>
              <w:jc w:val="left"/>
            </w:pPr>
            <w:r>
              <w:rPr>
                <w:rFonts w:asciiTheme="minorEastAsia" w:eastAsiaTheme="minorEastAsia" w:hAnsiTheme="minorEastAsia"/>
                <w:color w:val="000000" w:themeColor="text1"/>
                <w:sz w:val="21"/>
              </w:rPr>
              <w:t>过去三个月</w:t>
            </w:r>
          </w:p>
        </w:tc>
        <w:tc>
          <w:tcPr>
            <w:tcW w:w="1092" w:type="dxa"/>
            <w:vAlign w:val="center"/>
          </w:tcPr>
          <w:p w:rsidR="00670AD5" w:rsidRDefault="00A06677">
            <w:pPr>
              <w:jc w:val="center"/>
            </w:pPr>
            <w:r>
              <w:rPr>
                <w:rFonts w:asciiTheme="minorEastAsia" w:eastAsiaTheme="minorEastAsia" w:hAnsiTheme="minorEastAsia"/>
                <w:color w:val="000000" w:themeColor="text1"/>
                <w:sz w:val="21"/>
              </w:rPr>
              <w:t>-6.95%</w:t>
            </w:r>
          </w:p>
        </w:tc>
        <w:tc>
          <w:tcPr>
            <w:tcW w:w="1161" w:type="dxa"/>
            <w:vAlign w:val="center"/>
          </w:tcPr>
          <w:p w:rsidR="00670AD5" w:rsidRDefault="00A06677">
            <w:pPr>
              <w:jc w:val="center"/>
            </w:pPr>
            <w:r>
              <w:rPr>
                <w:rFonts w:asciiTheme="minorEastAsia" w:eastAsiaTheme="minorEastAsia" w:hAnsiTheme="minorEastAsia"/>
                <w:color w:val="000000" w:themeColor="text1"/>
                <w:sz w:val="21"/>
              </w:rPr>
              <w:t>0.75%</w:t>
            </w:r>
          </w:p>
        </w:tc>
        <w:tc>
          <w:tcPr>
            <w:tcW w:w="1181" w:type="dxa"/>
            <w:vAlign w:val="center"/>
          </w:tcPr>
          <w:p w:rsidR="00670AD5" w:rsidRDefault="00A06677">
            <w:pPr>
              <w:jc w:val="center"/>
            </w:pPr>
            <w:r>
              <w:rPr>
                <w:rFonts w:asciiTheme="minorEastAsia" w:eastAsiaTheme="minorEastAsia" w:hAnsiTheme="minorEastAsia"/>
                <w:color w:val="000000" w:themeColor="text1"/>
                <w:sz w:val="21"/>
              </w:rPr>
              <w:t>-1.03%</w:t>
            </w:r>
          </w:p>
        </w:tc>
        <w:tc>
          <w:tcPr>
            <w:tcW w:w="1188" w:type="dxa"/>
            <w:vAlign w:val="center"/>
          </w:tcPr>
          <w:p w:rsidR="00670AD5" w:rsidRDefault="00A06677">
            <w:pPr>
              <w:jc w:val="center"/>
            </w:pPr>
            <w:r>
              <w:rPr>
                <w:rFonts w:asciiTheme="minorEastAsia" w:eastAsiaTheme="minorEastAsia" w:hAnsiTheme="minorEastAsia"/>
                <w:color w:val="000000" w:themeColor="text1"/>
                <w:sz w:val="21"/>
              </w:rPr>
              <w:t>0.81%</w:t>
            </w:r>
          </w:p>
        </w:tc>
        <w:tc>
          <w:tcPr>
            <w:tcW w:w="1199" w:type="dxa"/>
            <w:vAlign w:val="center"/>
          </w:tcPr>
          <w:p w:rsidR="00670AD5" w:rsidRDefault="00A06677">
            <w:pPr>
              <w:jc w:val="center"/>
            </w:pPr>
            <w:r>
              <w:rPr>
                <w:rFonts w:asciiTheme="minorEastAsia" w:eastAsiaTheme="minorEastAsia" w:hAnsiTheme="minorEastAsia"/>
                <w:color w:val="000000" w:themeColor="text1"/>
                <w:sz w:val="21"/>
              </w:rPr>
              <w:t>-5.92%</w:t>
            </w:r>
          </w:p>
        </w:tc>
        <w:tc>
          <w:tcPr>
            <w:tcW w:w="1204" w:type="dxa"/>
            <w:vAlign w:val="center"/>
          </w:tcPr>
          <w:p w:rsidR="00670AD5" w:rsidRDefault="00A06677">
            <w:pPr>
              <w:jc w:val="center"/>
            </w:pPr>
            <w:r>
              <w:rPr>
                <w:rFonts w:asciiTheme="minorEastAsia" w:eastAsiaTheme="minorEastAsia" w:hAnsiTheme="minorEastAsia"/>
                <w:color w:val="000000" w:themeColor="text1"/>
                <w:sz w:val="21"/>
              </w:rPr>
              <w:t>-0.06%</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新华健康生活主题灵活配置混合型证券投资基金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2016年6月16日</w:t>
      </w:r>
      <w:r w:rsidRPr="00220C32">
        <w:rPr>
          <w:rFonts w:asciiTheme="minorEastAsia" w:eastAsiaTheme="minorEastAsia" w:hAnsiTheme="minorEastAsia" w:hint="eastAsia"/>
          <w:color w:val="000000" w:themeColor="text1"/>
        </w:rPr>
        <w:t>至2018年9月30日)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 xmlns:o="urn:schemas-microsoft-com:office:office" xmlns:v="urn:schemas-microsoft-com:vml" xmlns:w="http://schemas.openxmlformats.org/wordprocessingml/2006/main" xmlns:w10="urn:schemas-microsoft-com:office:word" xmlns:a14="http://schemas.microsoft.com/office/drawing/2010/main" xmlns:mc="http://schemas.openxmlformats.org/markup-compatibility/2006"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注：报告期内本基金的各项资产配置比例符合基金合同的有关约定。</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670AD5">
        <w:tc>
          <w:tcPr>
            <w:tcW w:w="851" w:type="dxa"/>
            <w:vAlign w:val="center"/>
          </w:tcPr>
          <w:p w:rsidR="00670AD5" w:rsidRDefault="00A06677">
            <w:pPr>
              <w:jc w:val="center"/>
            </w:pPr>
            <w:r>
              <w:rPr>
                <w:rFonts w:asciiTheme="minorEastAsia" w:eastAsiaTheme="minorEastAsia" w:hAnsiTheme="minorEastAsia"/>
                <w:color w:val="000000" w:themeColor="text1"/>
              </w:rPr>
              <w:t>张永超</w:t>
            </w:r>
          </w:p>
        </w:tc>
        <w:tc>
          <w:tcPr>
            <w:tcW w:w="850" w:type="dxa"/>
            <w:vAlign w:val="center"/>
          </w:tcPr>
          <w:p w:rsidR="00670AD5" w:rsidRDefault="00A06677">
            <w:pPr>
              <w:jc w:val="center"/>
            </w:pPr>
            <w:r>
              <w:rPr>
                <w:rFonts w:asciiTheme="minorEastAsia" w:eastAsiaTheme="minorEastAsia" w:hAnsiTheme="minorEastAsia"/>
                <w:color w:val="000000" w:themeColor="text1"/>
              </w:rPr>
              <w:t>本基金基金经理，新华鑫锐混合型证券投资基金基金经理、新华鑫弘灵活配置混合型证券投资基金基金经理、新华华瑞灵活配置混合型证券投资基金基金经理、新华科技创新主题灵活配置混合型证券投资基金基金经理、新华恒益量化灵活配置混合型证券投资基金基金经理、新华华丰灵活配置混合型证券投资基金基金经理。</w:t>
            </w:r>
          </w:p>
        </w:tc>
        <w:tc>
          <w:tcPr>
            <w:tcW w:w="1560" w:type="dxa"/>
            <w:vAlign w:val="center"/>
          </w:tcPr>
          <w:p w:rsidR="00670AD5" w:rsidRDefault="00A06677">
            <w:pPr>
              <w:jc w:val="center"/>
            </w:pPr>
            <w:r>
              <w:rPr>
                <w:rFonts w:asciiTheme="minorEastAsia" w:eastAsiaTheme="minorEastAsia" w:hAnsiTheme="minorEastAsia"/>
                <w:color w:val="000000" w:themeColor="text1"/>
              </w:rPr>
              <w:t>2016-11-03</w:t>
            </w:r>
          </w:p>
        </w:tc>
        <w:tc>
          <w:tcPr>
            <w:tcW w:w="1559" w:type="dxa"/>
            <w:vAlign w:val="center"/>
          </w:tcPr>
          <w:p w:rsidR="00670AD5" w:rsidRDefault="00A06677">
            <w:pPr>
              <w:jc w:val="center"/>
            </w:pPr>
            <w:r>
              <w:rPr>
                <w:rFonts w:asciiTheme="minorEastAsia" w:eastAsiaTheme="minorEastAsia" w:hAnsiTheme="minorEastAsia"/>
                <w:color w:val="000000" w:themeColor="text1"/>
              </w:rPr>
              <w:t>-</w:t>
            </w:r>
          </w:p>
        </w:tc>
        <w:tc>
          <w:tcPr>
            <w:tcW w:w="1417" w:type="dxa"/>
            <w:vAlign w:val="center"/>
          </w:tcPr>
          <w:p w:rsidR="00670AD5" w:rsidRDefault="00A06677">
            <w:pPr>
              <w:jc w:val="center"/>
            </w:pPr>
            <w:r>
              <w:rPr>
                <w:rFonts w:asciiTheme="minorEastAsia" w:eastAsiaTheme="minorEastAsia" w:hAnsiTheme="minorEastAsia"/>
                <w:color w:val="000000" w:themeColor="text1"/>
              </w:rPr>
              <w:t>8</w:t>
            </w:r>
          </w:p>
        </w:tc>
        <w:tc>
          <w:tcPr>
            <w:tcW w:w="2694" w:type="dxa"/>
            <w:vAlign w:val="center"/>
          </w:tcPr>
          <w:p w:rsidR="00670AD5" w:rsidRDefault="00A06677">
            <w:r>
              <w:rPr>
                <w:rFonts w:asciiTheme="minorEastAsia" w:eastAsiaTheme="minorEastAsia" w:hAnsiTheme="minorEastAsia"/>
                <w:color w:val="000000" w:themeColor="text1"/>
              </w:rPr>
              <w:t>工商管理硕士，历任中信证券股份有限公司量化投资经理、北京乐正资本管理有限公司高级投资经理、中融国际信托有限公司投资经理。</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新华基金管理股份有限公司作为新华健康生活主题灵活配置混合型证券投资基金的管理人按照《中华人民共和国证券投资基金法》、《新华健康生活主题灵活配置混合型证券投资基金基金合同》以及其它有关法律法规的规定，本着诚实信用、勤勉尽责的原则管理和运用基金资产，在严格控制风险的基础上为持有人谋求最大利益。运作整体合法合规，无损害基金持有人利益的行为。</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颁布的《证券投资基金管理公司公平交易制度指导意见》（2011年修订），公司制定了《新华基金管理股份有限公司公平交易管理制度》。制度的范围包括境内上市股票、债券的一级市场申购、二级市场交易等所有投资管理活动，同时包括授权、研究分析、投资决策、交易执行等投资管理活动相关的各个环节。</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场内交易，投资指令统一由交易部下达，并且启动交易系统公平交易模块。根据公司制度，严格禁止不同投资组合之间互为对手方的交易，严格控制不同投资组合之间的同日反向交易。</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场外交易中，对于部分债券一级市场申购、非公开发行股票申购等交易，交易部根据各投资组合经理申报的满足价格条件的数量进行比例分配。如有异议，由交易部报投资总监、督察长、金融工程部和监察稽核部，再次进行审核并确定最终分配结果。如果督察长认为有必要，可以召开风险管理委员会会议，对公平交易的结果进行评估和审议。对于银行间市场交易、固定收益平台、交易所大宗交易，投资组合经理以该投资组合的名义向交易部下达投资指令，交易部向银行间市场或交易对手询价、成交确认，并根据“时间优先、价格优先”的原则保证各投资组合获得公平的交易机会</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公司对不同组合不同时间段的同向交易价差进行了溢价率样本的采集，通过平均溢价率、买入/卖出溢价率以及利益输送金额等多个层面来判断不同投资组合之间在某一时间段是否存在违反公平交易原则的异常情况，未发现重大异常情况，且不存在报告期内所有投资组合参与的交易所公开竞价同日反向交易成交较少的单边成交量超过该证券当日成交量的5%的情况。</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2018年三季度，市场震荡下跌，创业板跌幅大于主板和沪深300。市场成交量继续低迷，成交量一度跌至2016年以来低点，说明参与者热情不高，市场整体处于震荡寻底阶段。贸易摩擦、股权质押等不利因素逐步增多，市场波动持续增大。在风险因素没有完全释放之前，在悲观预期之下，预计市场会继续弱势。</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截至2018年9月30日，本基金份额净值为0.897元，本报告期份额净值增长率为-6.95%，同期比较基准的增长率为-1.03%。</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6360D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4061AC" w:rsidRPr="00220C32" w:rsidRDefault="00C77AEF"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xml:space="preserve">中美贸易摩擦在三季度不断升级，宏观经济指标趋弱的背景下，市场难有大幅上涨。但仍有积极因素出现，密切关注减税政策以及货币市场的变化。 </w:t>
      </w:r>
    </w:p>
    <w:p w:rsidR="00A04F76" w:rsidRPr="00220C32" w:rsidRDefault="00A04F76" w:rsidP="00A04F76">
      <w:pPr>
        <w:spacing w:line="360" w:lineRule="auto"/>
        <w:rPr>
          <w:rFonts w:asciiTheme="minorEastAsia" w:eastAsiaTheme="minorEastAsia" w:hAnsiTheme="minorEastAsia"/>
          <w:color w:val="000000" w:themeColor="text1"/>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.6</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本报告期本基金自2018年7月02日至2018年9月28日连续六十个工作日不足五千万元整。</w:t>
      </w:r>
    </w:p>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489,911.35</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15.15</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489,911.35</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15.15</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1,626,798.01</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50.30</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1,117,714.91</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34.56</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3,234,424.27</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8A409E"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269,933.35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9.51</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219,978.00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7.75</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489,911.35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17.26</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220C32" w:rsidTr="00D57B7C">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842"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670AD5">
        <w:tc>
          <w:tcPr>
            <w:tcW w:w="817" w:type="dxa"/>
            <w:vAlign w:val="center"/>
          </w:tcPr>
          <w:p w:rsidR="00670AD5" w:rsidRDefault="00A06677">
            <w:pPr>
              <w:jc w:val="center"/>
            </w:pPr>
            <w:r>
              <w:rPr>
                <w:rFonts w:asciiTheme="minorEastAsia" w:eastAsiaTheme="minorEastAsia" w:hAnsiTheme="minorEastAsia" w:cs="宋体"/>
                <w:color w:val="000000" w:themeColor="text1"/>
                <w:sz w:val="21"/>
              </w:rPr>
              <w:t>1</w:t>
            </w:r>
          </w:p>
        </w:tc>
        <w:tc>
          <w:tcPr>
            <w:tcW w:w="1276" w:type="dxa"/>
            <w:vAlign w:val="center"/>
          </w:tcPr>
          <w:p w:rsidR="00670AD5" w:rsidRDefault="00A06677">
            <w:pPr>
              <w:jc w:val="center"/>
            </w:pPr>
            <w:r>
              <w:rPr>
                <w:rFonts w:asciiTheme="minorEastAsia" w:eastAsiaTheme="minorEastAsia" w:hAnsiTheme="minorEastAsia" w:cs="宋体"/>
                <w:color w:val="000000" w:themeColor="text1"/>
                <w:sz w:val="21"/>
              </w:rPr>
              <w:t>600485</w:t>
            </w:r>
          </w:p>
        </w:tc>
        <w:tc>
          <w:tcPr>
            <w:tcW w:w="1701" w:type="dxa"/>
            <w:vAlign w:val="center"/>
          </w:tcPr>
          <w:p w:rsidR="00670AD5" w:rsidRDefault="00A06677">
            <w:pPr>
              <w:jc w:val="center"/>
            </w:pPr>
            <w:r>
              <w:rPr>
                <w:rFonts w:asciiTheme="minorEastAsia" w:eastAsiaTheme="minorEastAsia" w:hAnsiTheme="minorEastAsia" w:cs="宋体"/>
                <w:color w:val="000000" w:themeColor="text1"/>
                <w:sz w:val="21"/>
              </w:rPr>
              <w:t>信威集团</w:t>
            </w:r>
          </w:p>
        </w:tc>
        <w:tc>
          <w:tcPr>
            <w:tcW w:w="1276" w:type="dxa"/>
            <w:vAlign w:val="center"/>
          </w:tcPr>
          <w:p w:rsidR="00670AD5" w:rsidRDefault="00A06677">
            <w:pPr>
              <w:jc w:val="right"/>
            </w:pPr>
            <w:r>
              <w:rPr>
                <w:rFonts w:asciiTheme="minorEastAsia" w:eastAsiaTheme="minorEastAsia" w:hAnsiTheme="minorEastAsia" w:cs="宋体"/>
                <w:color w:val="000000" w:themeColor="text1"/>
                <w:sz w:val="21"/>
              </w:rPr>
              <w:t>20,557</w:t>
            </w:r>
          </w:p>
        </w:tc>
        <w:tc>
          <w:tcPr>
            <w:tcW w:w="1842" w:type="dxa"/>
            <w:vAlign w:val="center"/>
          </w:tcPr>
          <w:p w:rsidR="00670AD5" w:rsidRDefault="00A06677">
            <w:pPr>
              <w:jc w:val="right"/>
            </w:pPr>
            <w:r>
              <w:rPr>
                <w:rFonts w:asciiTheme="minorEastAsia" w:eastAsiaTheme="minorEastAsia" w:hAnsiTheme="minorEastAsia" w:cs="宋体"/>
                <w:color w:val="000000" w:themeColor="text1"/>
                <w:sz w:val="21"/>
              </w:rPr>
              <w:t>237,433.35</w:t>
            </w:r>
          </w:p>
        </w:tc>
        <w:tc>
          <w:tcPr>
            <w:tcW w:w="1616" w:type="dxa"/>
            <w:vAlign w:val="center"/>
          </w:tcPr>
          <w:p w:rsidR="00670AD5" w:rsidRDefault="00A06677">
            <w:pPr>
              <w:jc w:val="right"/>
            </w:pPr>
            <w:r>
              <w:rPr>
                <w:rFonts w:asciiTheme="minorEastAsia" w:eastAsiaTheme="minorEastAsia" w:hAnsiTheme="minorEastAsia" w:cs="宋体"/>
                <w:color w:val="000000" w:themeColor="text1"/>
                <w:sz w:val="21"/>
              </w:rPr>
              <w:t>8.36</w:t>
            </w:r>
          </w:p>
        </w:tc>
      </w:tr>
      <w:tr w:rsidR="00670AD5">
        <w:tc>
          <w:tcPr>
            <w:tcW w:w="817" w:type="dxa"/>
            <w:vAlign w:val="center"/>
          </w:tcPr>
          <w:p w:rsidR="00670AD5" w:rsidRDefault="00A06677">
            <w:pPr>
              <w:jc w:val="center"/>
            </w:pPr>
            <w:r>
              <w:rPr>
                <w:rFonts w:asciiTheme="minorEastAsia" w:eastAsiaTheme="minorEastAsia" w:hAnsiTheme="minorEastAsia" w:cs="宋体"/>
                <w:color w:val="000000" w:themeColor="text1"/>
                <w:sz w:val="21"/>
              </w:rPr>
              <w:t>2</w:t>
            </w:r>
          </w:p>
        </w:tc>
        <w:tc>
          <w:tcPr>
            <w:tcW w:w="1276" w:type="dxa"/>
            <w:vAlign w:val="center"/>
          </w:tcPr>
          <w:p w:rsidR="00670AD5" w:rsidRDefault="00A06677">
            <w:pPr>
              <w:jc w:val="center"/>
            </w:pPr>
            <w:r>
              <w:rPr>
                <w:rFonts w:asciiTheme="minorEastAsia" w:eastAsiaTheme="minorEastAsia" w:hAnsiTheme="minorEastAsia" w:cs="宋体"/>
                <w:color w:val="000000" w:themeColor="text1"/>
                <w:sz w:val="21"/>
              </w:rPr>
              <w:t>002739</w:t>
            </w:r>
          </w:p>
        </w:tc>
        <w:tc>
          <w:tcPr>
            <w:tcW w:w="1701" w:type="dxa"/>
            <w:vAlign w:val="center"/>
          </w:tcPr>
          <w:p w:rsidR="00670AD5" w:rsidRDefault="00A06677">
            <w:pPr>
              <w:jc w:val="center"/>
            </w:pPr>
            <w:r>
              <w:rPr>
                <w:rFonts w:asciiTheme="minorEastAsia" w:eastAsiaTheme="minorEastAsia" w:hAnsiTheme="minorEastAsia" w:cs="宋体"/>
                <w:color w:val="000000" w:themeColor="text1"/>
                <w:sz w:val="21"/>
              </w:rPr>
              <w:t>万达电影</w:t>
            </w:r>
          </w:p>
        </w:tc>
        <w:tc>
          <w:tcPr>
            <w:tcW w:w="1276" w:type="dxa"/>
            <w:vAlign w:val="center"/>
          </w:tcPr>
          <w:p w:rsidR="00670AD5" w:rsidRDefault="00A06677">
            <w:pPr>
              <w:jc w:val="right"/>
            </w:pPr>
            <w:r>
              <w:rPr>
                <w:rFonts w:asciiTheme="minorEastAsia" w:eastAsiaTheme="minorEastAsia" w:hAnsiTheme="minorEastAsia" w:cs="宋体"/>
                <w:color w:val="000000" w:themeColor="text1"/>
                <w:sz w:val="21"/>
              </w:rPr>
              <w:t>9,900</w:t>
            </w:r>
          </w:p>
        </w:tc>
        <w:tc>
          <w:tcPr>
            <w:tcW w:w="1842" w:type="dxa"/>
            <w:vAlign w:val="center"/>
          </w:tcPr>
          <w:p w:rsidR="00670AD5" w:rsidRDefault="00A06677">
            <w:pPr>
              <w:jc w:val="right"/>
            </w:pPr>
            <w:r>
              <w:rPr>
                <w:rFonts w:asciiTheme="minorEastAsia" w:eastAsiaTheme="minorEastAsia" w:hAnsiTheme="minorEastAsia" w:cs="宋体"/>
                <w:color w:val="000000" w:themeColor="text1"/>
                <w:sz w:val="21"/>
              </w:rPr>
              <w:t>219,978.00</w:t>
            </w:r>
          </w:p>
        </w:tc>
        <w:tc>
          <w:tcPr>
            <w:tcW w:w="1616" w:type="dxa"/>
            <w:vAlign w:val="center"/>
          </w:tcPr>
          <w:p w:rsidR="00670AD5" w:rsidRDefault="00A06677">
            <w:pPr>
              <w:jc w:val="right"/>
            </w:pPr>
            <w:r>
              <w:rPr>
                <w:rFonts w:asciiTheme="minorEastAsia" w:eastAsiaTheme="minorEastAsia" w:hAnsiTheme="minorEastAsia" w:cs="宋体"/>
                <w:color w:val="000000" w:themeColor="text1"/>
                <w:sz w:val="21"/>
              </w:rPr>
              <w:t>7.75</w:t>
            </w:r>
          </w:p>
        </w:tc>
      </w:tr>
      <w:tr w:rsidR="00670AD5">
        <w:tc>
          <w:tcPr>
            <w:tcW w:w="817" w:type="dxa"/>
            <w:vAlign w:val="center"/>
          </w:tcPr>
          <w:p w:rsidR="00670AD5" w:rsidRDefault="00A06677">
            <w:pPr>
              <w:jc w:val="center"/>
            </w:pPr>
            <w:r>
              <w:rPr>
                <w:rFonts w:asciiTheme="minorEastAsia" w:eastAsiaTheme="minorEastAsia" w:hAnsiTheme="minorEastAsia" w:cs="宋体"/>
                <w:color w:val="000000" w:themeColor="text1"/>
                <w:sz w:val="21"/>
              </w:rPr>
              <w:t>3</w:t>
            </w:r>
          </w:p>
        </w:tc>
        <w:tc>
          <w:tcPr>
            <w:tcW w:w="1276" w:type="dxa"/>
            <w:vAlign w:val="center"/>
          </w:tcPr>
          <w:p w:rsidR="00670AD5" w:rsidRDefault="00A06677">
            <w:pPr>
              <w:jc w:val="center"/>
            </w:pPr>
            <w:r>
              <w:rPr>
                <w:rFonts w:asciiTheme="minorEastAsia" w:eastAsiaTheme="minorEastAsia" w:hAnsiTheme="minorEastAsia" w:cs="宋体"/>
                <w:color w:val="000000" w:themeColor="text1"/>
                <w:sz w:val="21"/>
              </w:rPr>
              <w:t>002602</w:t>
            </w:r>
          </w:p>
        </w:tc>
        <w:tc>
          <w:tcPr>
            <w:tcW w:w="1701" w:type="dxa"/>
            <w:vAlign w:val="center"/>
          </w:tcPr>
          <w:p w:rsidR="00670AD5" w:rsidRDefault="00A06677">
            <w:pPr>
              <w:jc w:val="center"/>
            </w:pPr>
            <w:r>
              <w:rPr>
                <w:rFonts w:asciiTheme="minorEastAsia" w:eastAsiaTheme="minorEastAsia" w:hAnsiTheme="minorEastAsia" w:cs="宋体"/>
                <w:color w:val="000000" w:themeColor="text1"/>
                <w:sz w:val="21"/>
              </w:rPr>
              <w:t>世纪华通</w:t>
            </w:r>
          </w:p>
        </w:tc>
        <w:tc>
          <w:tcPr>
            <w:tcW w:w="1276" w:type="dxa"/>
            <w:vAlign w:val="center"/>
          </w:tcPr>
          <w:p w:rsidR="00670AD5" w:rsidRDefault="00A06677">
            <w:pPr>
              <w:jc w:val="right"/>
            </w:pPr>
            <w:r>
              <w:rPr>
                <w:rFonts w:asciiTheme="minorEastAsia" w:eastAsiaTheme="minorEastAsia" w:hAnsiTheme="minorEastAsia" w:cs="宋体"/>
                <w:color w:val="000000" w:themeColor="text1"/>
                <w:sz w:val="21"/>
              </w:rPr>
              <w:t>1,000</w:t>
            </w:r>
          </w:p>
        </w:tc>
        <w:tc>
          <w:tcPr>
            <w:tcW w:w="1842" w:type="dxa"/>
            <w:vAlign w:val="center"/>
          </w:tcPr>
          <w:p w:rsidR="00670AD5" w:rsidRDefault="00A06677">
            <w:pPr>
              <w:jc w:val="right"/>
            </w:pPr>
            <w:r>
              <w:rPr>
                <w:rFonts w:asciiTheme="minorEastAsia" w:eastAsiaTheme="minorEastAsia" w:hAnsiTheme="minorEastAsia" w:cs="宋体"/>
                <w:color w:val="000000" w:themeColor="text1"/>
                <w:sz w:val="21"/>
              </w:rPr>
              <w:t>32,500.00</w:t>
            </w:r>
          </w:p>
        </w:tc>
        <w:tc>
          <w:tcPr>
            <w:tcW w:w="1616" w:type="dxa"/>
            <w:vAlign w:val="center"/>
          </w:tcPr>
          <w:p w:rsidR="00670AD5" w:rsidRDefault="00A06677">
            <w:pPr>
              <w:jc w:val="right"/>
            </w:pPr>
            <w:r>
              <w:rPr>
                <w:rFonts w:asciiTheme="minorEastAsia" w:eastAsiaTheme="minorEastAsia" w:hAnsiTheme="minorEastAsia" w:cs="宋体"/>
                <w:color w:val="000000" w:themeColor="text1"/>
                <w:sz w:val="21"/>
              </w:rPr>
              <w:t>1.14</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275745" w:rsidRPr="00220C32" w:rsidRDefault="00275745"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本基金合同尚无股指期货投资政策。</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本基金合同中尚无国债期货的投资政策。</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本基金本报告期末未持有国债期货。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5.10.3 本期国债期货投资评价</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本基金本报告期末未持有国债期货。</w:t>
      </w:r>
    </w:p>
    <w:p w:rsidR="00312A9F" w:rsidRPr="00220C32" w:rsidRDefault="00312A9F"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本报告期内，本基金投资的前十名证券的发行主体没有出现被监管部门立案或在报告编制前一年内受到公开谴责、处罚的情形。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本报告期，本基金投资的前十名股票没有超出基金合同规定的备选股票库。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15,496.88</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1,101,124.11</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-403.83</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1,497.75</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1,117,714.91</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本基金本报告期末未持有处于转股期的可转债。</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220C32" w:rsidRPr="00220C32" w:rsidTr="00BD7703">
        <w:tc>
          <w:tcPr>
            <w:tcW w:w="1083"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02"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301"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80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流通受限部分的公允价值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5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Pr="00220C32">
              <w:rPr>
                <w:rFonts w:asciiTheme="minorEastAsia" w:eastAsiaTheme="minorEastAsia" w:hAnsiTheme="minorEastAsia" w:cs="宋体"/>
                <w:color w:val="000000" w:themeColor="text1"/>
                <w:sz w:val="21"/>
              </w:rPr>
              <w:t>(%)</w:t>
            </w:r>
          </w:p>
        </w:tc>
        <w:tc>
          <w:tcPr>
            <w:tcW w:w="1367"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流通受限情况说明</w:t>
            </w:r>
          </w:p>
        </w:tc>
      </w:tr>
      <w:tr w:rsidR="00670AD5">
        <w:tc>
          <w:tcPr>
            <w:tcW w:w="1083" w:type="dxa"/>
            <w:vAlign w:val="center"/>
          </w:tcPr>
          <w:p w:rsidR="00670AD5" w:rsidRDefault="00A06677">
            <w:pPr>
              <w:jc w:val="center"/>
            </w:pPr>
            <w:r>
              <w:rPr>
                <w:rFonts w:asciiTheme="minorEastAsia" w:eastAsiaTheme="minorEastAsia" w:hAnsiTheme="minorEastAsia" w:cs="宋体"/>
                <w:color w:val="000000" w:themeColor="text1"/>
                <w:sz w:val="21"/>
              </w:rPr>
              <w:t>1</w:t>
            </w:r>
          </w:p>
        </w:tc>
        <w:tc>
          <w:tcPr>
            <w:tcW w:w="1302" w:type="dxa"/>
            <w:vAlign w:val="center"/>
          </w:tcPr>
          <w:p w:rsidR="00670AD5" w:rsidRDefault="00A06677">
            <w:pPr>
              <w:jc w:val="center"/>
            </w:pPr>
            <w:r>
              <w:rPr>
                <w:rFonts w:asciiTheme="minorEastAsia" w:eastAsiaTheme="minorEastAsia" w:hAnsiTheme="minorEastAsia" w:cs="宋体"/>
                <w:color w:val="000000" w:themeColor="text1"/>
                <w:sz w:val="21"/>
              </w:rPr>
              <w:t>600485</w:t>
            </w:r>
          </w:p>
        </w:tc>
        <w:tc>
          <w:tcPr>
            <w:tcW w:w="1301" w:type="dxa"/>
            <w:vAlign w:val="center"/>
          </w:tcPr>
          <w:p w:rsidR="00670AD5" w:rsidRDefault="00A06677">
            <w:pPr>
              <w:jc w:val="center"/>
            </w:pPr>
            <w:r>
              <w:rPr>
                <w:rFonts w:asciiTheme="minorEastAsia" w:eastAsiaTheme="minorEastAsia" w:hAnsiTheme="minorEastAsia" w:cs="宋体"/>
                <w:color w:val="000000" w:themeColor="text1"/>
                <w:sz w:val="21"/>
              </w:rPr>
              <w:t>信威集团</w:t>
            </w:r>
          </w:p>
        </w:tc>
        <w:tc>
          <w:tcPr>
            <w:tcW w:w="1805" w:type="dxa"/>
            <w:vAlign w:val="center"/>
          </w:tcPr>
          <w:p w:rsidR="00670AD5" w:rsidRDefault="00A06677">
            <w:pPr>
              <w:jc w:val="right"/>
            </w:pPr>
            <w:r>
              <w:rPr>
                <w:rFonts w:asciiTheme="minorEastAsia" w:eastAsiaTheme="minorEastAsia" w:hAnsiTheme="minorEastAsia" w:cs="宋体"/>
                <w:color w:val="000000" w:themeColor="text1"/>
                <w:sz w:val="21"/>
              </w:rPr>
              <w:t>237,433.35</w:t>
            </w:r>
          </w:p>
        </w:tc>
        <w:tc>
          <w:tcPr>
            <w:tcW w:w="1655" w:type="dxa"/>
            <w:vAlign w:val="center"/>
          </w:tcPr>
          <w:p w:rsidR="00670AD5" w:rsidRDefault="00A06677">
            <w:pPr>
              <w:jc w:val="right"/>
            </w:pPr>
            <w:r>
              <w:rPr>
                <w:rFonts w:asciiTheme="minorEastAsia" w:eastAsiaTheme="minorEastAsia" w:hAnsiTheme="minorEastAsia" w:cs="宋体"/>
                <w:color w:val="000000" w:themeColor="text1"/>
                <w:sz w:val="21"/>
              </w:rPr>
              <w:t>8.36</w:t>
            </w:r>
          </w:p>
        </w:tc>
        <w:tc>
          <w:tcPr>
            <w:tcW w:w="1367" w:type="dxa"/>
            <w:vAlign w:val="center"/>
          </w:tcPr>
          <w:p w:rsidR="00670AD5" w:rsidRDefault="00A06677">
            <w:pPr>
              <w:jc w:val="right"/>
            </w:pPr>
            <w:r>
              <w:rPr>
                <w:rFonts w:asciiTheme="minorEastAsia" w:eastAsiaTheme="minorEastAsia" w:hAnsiTheme="minorEastAsia" w:cs="宋体"/>
                <w:color w:val="000000" w:themeColor="text1"/>
                <w:sz w:val="21"/>
              </w:rPr>
              <w:t>重大资产重组停牌</w:t>
            </w:r>
          </w:p>
        </w:tc>
      </w:tr>
      <w:tr w:rsidR="00670AD5">
        <w:tc>
          <w:tcPr>
            <w:tcW w:w="1083" w:type="dxa"/>
            <w:vAlign w:val="center"/>
          </w:tcPr>
          <w:p w:rsidR="00670AD5" w:rsidRDefault="00A06677">
            <w:pPr>
              <w:jc w:val="center"/>
            </w:pPr>
            <w:r>
              <w:rPr>
                <w:rFonts w:asciiTheme="minorEastAsia" w:eastAsiaTheme="minorEastAsia" w:hAnsiTheme="minorEastAsia" w:cs="宋体"/>
                <w:color w:val="000000" w:themeColor="text1"/>
                <w:sz w:val="21"/>
              </w:rPr>
              <w:t>2</w:t>
            </w:r>
          </w:p>
        </w:tc>
        <w:tc>
          <w:tcPr>
            <w:tcW w:w="1302" w:type="dxa"/>
            <w:vAlign w:val="center"/>
          </w:tcPr>
          <w:p w:rsidR="00670AD5" w:rsidRDefault="00A06677">
            <w:pPr>
              <w:jc w:val="center"/>
            </w:pPr>
            <w:r>
              <w:rPr>
                <w:rFonts w:asciiTheme="minorEastAsia" w:eastAsiaTheme="minorEastAsia" w:hAnsiTheme="minorEastAsia" w:cs="宋体"/>
                <w:color w:val="000000" w:themeColor="text1"/>
                <w:sz w:val="21"/>
              </w:rPr>
              <w:t>002739</w:t>
            </w:r>
          </w:p>
        </w:tc>
        <w:tc>
          <w:tcPr>
            <w:tcW w:w="1301" w:type="dxa"/>
            <w:vAlign w:val="center"/>
          </w:tcPr>
          <w:p w:rsidR="00670AD5" w:rsidRDefault="00A06677">
            <w:pPr>
              <w:jc w:val="center"/>
            </w:pPr>
            <w:r>
              <w:rPr>
                <w:rFonts w:asciiTheme="minorEastAsia" w:eastAsiaTheme="minorEastAsia" w:hAnsiTheme="minorEastAsia" w:cs="宋体"/>
                <w:color w:val="000000" w:themeColor="text1"/>
                <w:sz w:val="21"/>
              </w:rPr>
              <w:t>万达电影</w:t>
            </w:r>
          </w:p>
        </w:tc>
        <w:tc>
          <w:tcPr>
            <w:tcW w:w="1805" w:type="dxa"/>
            <w:vAlign w:val="center"/>
          </w:tcPr>
          <w:p w:rsidR="00670AD5" w:rsidRDefault="00A06677">
            <w:pPr>
              <w:jc w:val="right"/>
            </w:pPr>
            <w:r>
              <w:rPr>
                <w:rFonts w:asciiTheme="minorEastAsia" w:eastAsiaTheme="minorEastAsia" w:hAnsiTheme="minorEastAsia" w:cs="宋体"/>
                <w:color w:val="000000" w:themeColor="text1"/>
                <w:sz w:val="21"/>
              </w:rPr>
              <w:t>219,978.00</w:t>
            </w:r>
          </w:p>
        </w:tc>
        <w:tc>
          <w:tcPr>
            <w:tcW w:w="1655" w:type="dxa"/>
            <w:vAlign w:val="center"/>
          </w:tcPr>
          <w:p w:rsidR="00670AD5" w:rsidRDefault="00A06677">
            <w:pPr>
              <w:jc w:val="right"/>
            </w:pPr>
            <w:r>
              <w:rPr>
                <w:rFonts w:asciiTheme="minorEastAsia" w:eastAsiaTheme="minorEastAsia" w:hAnsiTheme="minorEastAsia" w:cs="宋体"/>
                <w:color w:val="000000" w:themeColor="text1"/>
                <w:sz w:val="21"/>
              </w:rPr>
              <w:t>7.75</w:t>
            </w:r>
          </w:p>
        </w:tc>
        <w:tc>
          <w:tcPr>
            <w:tcW w:w="1367" w:type="dxa"/>
            <w:vAlign w:val="center"/>
          </w:tcPr>
          <w:p w:rsidR="00670AD5" w:rsidRDefault="00A06677">
            <w:pPr>
              <w:jc w:val="right"/>
            </w:pPr>
            <w:r>
              <w:rPr>
                <w:rFonts w:asciiTheme="minorEastAsia" w:eastAsiaTheme="minorEastAsia" w:hAnsiTheme="minorEastAsia" w:cs="宋体"/>
                <w:color w:val="000000" w:themeColor="text1"/>
                <w:sz w:val="21"/>
              </w:rPr>
              <w:t>重大资产重组停牌</w:t>
            </w:r>
          </w:p>
        </w:tc>
      </w:tr>
      <w:tr w:rsidR="00670AD5">
        <w:tc>
          <w:tcPr>
            <w:tcW w:w="1083" w:type="dxa"/>
            <w:vAlign w:val="center"/>
          </w:tcPr>
          <w:p w:rsidR="00670AD5" w:rsidRDefault="00A06677">
            <w:pPr>
              <w:jc w:val="center"/>
            </w:pPr>
            <w:r>
              <w:rPr>
                <w:rFonts w:asciiTheme="minorEastAsia" w:eastAsiaTheme="minorEastAsia" w:hAnsiTheme="minorEastAsia" w:cs="宋体"/>
                <w:color w:val="000000" w:themeColor="text1"/>
                <w:sz w:val="21"/>
              </w:rPr>
              <w:t>3</w:t>
            </w:r>
          </w:p>
        </w:tc>
        <w:tc>
          <w:tcPr>
            <w:tcW w:w="1302" w:type="dxa"/>
            <w:vAlign w:val="center"/>
          </w:tcPr>
          <w:p w:rsidR="00670AD5" w:rsidRDefault="00A06677">
            <w:pPr>
              <w:jc w:val="center"/>
            </w:pPr>
            <w:r>
              <w:rPr>
                <w:rFonts w:asciiTheme="minorEastAsia" w:eastAsiaTheme="minorEastAsia" w:hAnsiTheme="minorEastAsia" w:cs="宋体"/>
                <w:color w:val="000000" w:themeColor="text1"/>
                <w:sz w:val="21"/>
              </w:rPr>
              <w:t>002602</w:t>
            </w:r>
          </w:p>
        </w:tc>
        <w:tc>
          <w:tcPr>
            <w:tcW w:w="1301" w:type="dxa"/>
            <w:vAlign w:val="center"/>
          </w:tcPr>
          <w:p w:rsidR="00670AD5" w:rsidRDefault="00A06677">
            <w:pPr>
              <w:jc w:val="center"/>
            </w:pPr>
            <w:r>
              <w:rPr>
                <w:rFonts w:asciiTheme="minorEastAsia" w:eastAsiaTheme="minorEastAsia" w:hAnsiTheme="minorEastAsia" w:cs="宋体"/>
                <w:color w:val="000000" w:themeColor="text1"/>
                <w:sz w:val="21"/>
              </w:rPr>
              <w:t>世纪华通</w:t>
            </w:r>
          </w:p>
        </w:tc>
        <w:tc>
          <w:tcPr>
            <w:tcW w:w="1805" w:type="dxa"/>
            <w:vAlign w:val="center"/>
          </w:tcPr>
          <w:p w:rsidR="00670AD5" w:rsidRDefault="00A06677">
            <w:pPr>
              <w:jc w:val="right"/>
            </w:pPr>
            <w:r>
              <w:rPr>
                <w:rFonts w:asciiTheme="minorEastAsia" w:eastAsiaTheme="minorEastAsia" w:hAnsiTheme="minorEastAsia" w:cs="宋体"/>
                <w:color w:val="000000" w:themeColor="text1"/>
                <w:sz w:val="21"/>
              </w:rPr>
              <w:t>32,500.00</w:t>
            </w:r>
          </w:p>
        </w:tc>
        <w:tc>
          <w:tcPr>
            <w:tcW w:w="1655" w:type="dxa"/>
            <w:vAlign w:val="center"/>
          </w:tcPr>
          <w:p w:rsidR="00670AD5" w:rsidRDefault="00A06677">
            <w:pPr>
              <w:jc w:val="right"/>
            </w:pPr>
            <w:r>
              <w:rPr>
                <w:rFonts w:asciiTheme="minorEastAsia" w:eastAsiaTheme="minorEastAsia" w:hAnsiTheme="minorEastAsia" w:cs="宋体"/>
                <w:color w:val="000000" w:themeColor="text1"/>
                <w:sz w:val="21"/>
              </w:rPr>
              <w:t>1.14</w:t>
            </w:r>
          </w:p>
        </w:tc>
        <w:tc>
          <w:tcPr>
            <w:tcW w:w="1367" w:type="dxa"/>
            <w:vAlign w:val="center"/>
          </w:tcPr>
          <w:p w:rsidR="00670AD5" w:rsidRDefault="00A06677">
            <w:pPr>
              <w:jc w:val="right"/>
            </w:pPr>
            <w:r>
              <w:rPr>
                <w:rFonts w:asciiTheme="minorEastAsia" w:eastAsiaTheme="minorEastAsia" w:hAnsiTheme="minorEastAsia" w:cs="宋体"/>
                <w:color w:val="000000" w:themeColor="text1"/>
                <w:sz w:val="21"/>
              </w:rPr>
              <w:t>重大资产重组停牌</w:t>
            </w:r>
          </w:p>
        </w:tc>
      </w:tr>
    </w:tbl>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由于四舍五入的原因，分项之和与合计项之间可能存在尾差。</w:t>
      </w:r>
    </w:p>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10,831,689.93</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115,288.40</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7,782,449.19</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3,164,529.14</w:t>
            </w:r>
          </w:p>
        </w:tc>
      </w:tr>
    </w:tbl>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676095" w:rsidRPr="00220C32">
        <w:rPr>
          <w:rFonts w:asciiTheme="minorEastAsia" w:eastAsiaTheme="minorEastAsia" w:hAnsiTheme="minorEastAsia" w:hint="eastAsia"/>
          <w:color w:val="000000" w:themeColor="text1"/>
          <w:kern w:val="0"/>
          <w:sz w:val="24"/>
          <w:szCs w:val="24"/>
        </w:rPr>
        <w:t>7</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bCs/>
          <w:color w:val="000000"/>
          <w:kern w:val="0"/>
          <w:sz w:val="24"/>
          <w:szCs w:val="24"/>
        </w:rPr>
        <w:t>7.</w:t>
      </w:r>
      <w:r w:rsidRPr="008D7928">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8D7928" w:rsidRPr="009D271F" w:rsidTr="00A249C6">
        <w:tc>
          <w:tcPr>
            <w:tcW w:w="993" w:type="dxa"/>
            <w:vMerge w:val="restart"/>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投资者类别</w:t>
            </w:r>
            <w:r w:rsidRPr="009D271F">
              <w:rPr>
                <w:rFonts w:ascii="宋体" w:hAnsi="宋体"/>
                <w:color w:val="000000"/>
                <w:kern w:val="0"/>
              </w:rPr>
              <w:t xml:space="preserve">  </w:t>
            </w:r>
          </w:p>
        </w:tc>
        <w:tc>
          <w:tcPr>
            <w:tcW w:w="5670" w:type="dxa"/>
            <w:gridSpan w:val="5"/>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报告期内持有基金份额变化情况</w:t>
            </w:r>
          </w:p>
        </w:tc>
        <w:tc>
          <w:tcPr>
            <w:tcW w:w="2549" w:type="dxa"/>
            <w:gridSpan w:val="2"/>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报告期末持有基金情况</w:t>
            </w:r>
          </w:p>
        </w:tc>
      </w:tr>
      <w:tr w:rsidR="008D7928" w:rsidRPr="009D271F" w:rsidTr="00A249C6">
        <w:tc>
          <w:tcPr>
            <w:tcW w:w="993" w:type="dxa"/>
            <w:vMerge/>
            <w:vAlign w:val="center"/>
          </w:tcPr>
          <w:p w:rsidR="008D7928" w:rsidRPr="009D271F" w:rsidRDefault="008D7928" w:rsidP="00A249C6">
            <w:pPr>
              <w:autoSpaceDE w:val="0"/>
              <w:autoSpaceDN w:val="0"/>
              <w:adjustRightInd w:val="0"/>
              <w:jc w:val="center"/>
              <w:rPr>
                <w:rFonts w:ascii="宋体" w:hAnsi="宋体"/>
                <w:b/>
                <w:bCs/>
                <w:color w:val="000000"/>
                <w:kern w:val="0"/>
              </w:rPr>
            </w:pPr>
          </w:p>
        </w:tc>
        <w:tc>
          <w:tcPr>
            <w:tcW w:w="992"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序号</w:t>
            </w:r>
          </w:p>
        </w:tc>
        <w:tc>
          <w:tcPr>
            <w:tcW w:w="1843"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持有基金份额比例达到或者超过20%的时间区间</w:t>
            </w:r>
          </w:p>
        </w:tc>
        <w:tc>
          <w:tcPr>
            <w:tcW w:w="851"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期初份额</w:t>
            </w:r>
          </w:p>
        </w:tc>
        <w:tc>
          <w:tcPr>
            <w:tcW w:w="850"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申购份额</w:t>
            </w:r>
          </w:p>
        </w:tc>
        <w:tc>
          <w:tcPr>
            <w:tcW w:w="1134"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赎回份额</w:t>
            </w:r>
          </w:p>
        </w:tc>
        <w:tc>
          <w:tcPr>
            <w:tcW w:w="1419"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持有份额</w:t>
            </w:r>
          </w:p>
        </w:tc>
        <w:tc>
          <w:tcPr>
            <w:tcW w:w="1130"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份额占比</w:t>
            </w:r>
          </w:p>
        </w:tc>
      </w:tr>
      <w:tr w:rsidR="00670AD5">
        <w:tc>
          <w:tcPr>
            <w:tcW w:w="993" w:type="dxa"/>
            <w:vMerge w:val="restart"/>
          </w:tcPr>
          <w:p w:rsidR="00670AD5" w:rsidRDefault="00670AD5"/>
          <w:p w:rsidR="00670AD5" w:rsidRDefault="00A06677">
            <w:r>
              <w:rPr>
                <w:rFonts w:ascii="宋体" w:hAnsi="宋体" w:hint="eastAsia"/>
                <w:bCs/>
                <w:color w:val="000000"/>
                <w:kern w:val="0"/>
              </w:rPr>
              <w:t>机构</w:t>
            </w:r>
          </w:p>
        </w:tc>
        <w:tc>
          <w:tcPr>
            <w:tcW w:w="992" w:type="dxa"/>
            <w:vAlign w:val="center"/>
          </w:tcPr>
          <w:p w:rsidR="00670AD5" w:rsidRDefault="00A06677">
            <w:pPr>
              <w:jc w:val="center"/>
            </w:pPr>
            <w:r>
              <w:rPr>
                <w:rFonts w:ascii="宋体" w:hAnsi="宋体"/>
                <w:color w:val="000000"/>
                <w:kern w:val="0"/>
              </w:rPr>
              <w:t>1</w:t>
            </w:r>
          </w:p>
        </w:tc>
        <w:tc>
          <w:tcPr>
            <w:tcW w:w="1843" w:type="dxa"/>
            <w:vAlign w:val="center"/>
          </w:tcPr>
          <w:p w:rsidR="00670AD5" w:rsidRDefault="00A06677">
            <w:pPr>
              <w:jc w:val="center"/>
            </w:pPr>
            <w:r>
              <w:rPr>
                <w:rFonts w:ascii="宋体" w:hAnsi="宋体"/>
                <w:color w:val="000000"/>
                <w:kern w:val="0"/>
              </w:rPr>
              <w:t>20180701-20180904</w:t>
            </w:r>
          </w:p>
        </w:tc>
        <w:tc>
          <w:tcPr>
            <w:tcW w:w="851" w:type="dxa"/>
            <w:vAlign w:val="center"/>
          </w:tcPr>
          <w:p w:rsidR="00670AD5" w:rsidRDefault="00A06677">
            <w:pPr>
              <w:jc w:val="center"/>
            </w:pPr>
            <w:r>
              <w:rPr>
                <w:rFonts w:ascii="宋体" w:hAnsi="宋体"/>
                <w:color w:val="000000"/>
                <w:kern w:val="0"/>
              </w:rPr>
              <w:t>4,481,398.47</w:t>
            </w:r>
          </w:p>
        </w:tc>
        <w:tc>
          <w:tcPr>
            <w:tcW w:w="850" w:type="dxa"/>
            <w:vAlign w:val="center"/>
          </w:tcPr>
          <w:p w:rsidR="00670AD5" w:rsidRDefault="00A06677">
            <w:pPr>
              <w:jc w:val="center"/>
            </w:pPr>
            <w:r>
              <w:rPr>
                <w:rFonts w:ascii="宋体" w:hAnsi="宋体"/>
                <w:color w:val="000000"/>
                <w:kern w:val="0"/>
              </w:rPr>
              <w:t>0.00</w:t>
            </w:r>
          </w:p>
        </w:tc>
        <w:tc>
          <w:tcPr>
            <w:tcW w:w="1134" w:type="dxa"/>
            <w:vAlign w:val="center"/>
          </w:tcPr>
          <w:p w:rsidR="00670AD5" w:rsidRDefault="00A06677">
            <w:pPr>
              <w:jc w:val="center"/>
            </w:pPr>
            <w:r>
              <w:rPr>
                <w:rFonts w:ascii="宋体" w:hAnsi="宋体"/>
                <w:color w:val="000000"/>
                <w:kern w:val="0"/>
              </w:rPr>
              <w:t>4,481,398.47</w:t>
            </w:r>
          </w:p>
        </w:tc>
        <w:tc>
          <w:tcPr>
            <w:tcW w:w="1419" w:type="dxa"/>
            <w:vAlign w:val="center"/>
          </w:tcPr>
          <w:p w:rsidR="00670AD5" w:rsidRDefault="00A06677">
            <w:pPr>
              <w:jc w:val="center"/>
            </w:pPr>
            <w:r>
              <w:rPr>
                <w:rFonts w:ascii="宋体" w:hAnsi="宋体"/>
                <w:color w:val="000000"/>
                <w:kern w:val="0"/>
              </w:rPr>
              <w:t>0.00</w:t>
            </w:r>
          </w:p>
        </w:tc>
        <w:tc>
          <w:tcPr>
            <w:tcW w:w="1130" w:type="dxa"/>
            <w:vAlign w:val="center"/>
          </w:tcPr>
          <w:p w:rsidR="00670AD5" w:rsidRDefault="00A06677">
            <w:pPr>
              <w:jc w:val="center"/>
            </w:pPr>
            <w:r>
              <w:rPr>
                <w:rFonts w:ascii="宋体" w:hAnsi="宋体"/>
                <w:color w:val="000000"/>
                <w:kern w:val="0"/>
              </w:rPr>
              <w:t>0.00%</w:t>
            </w:r>
          </w:p>
        </w:tc>
      </w:tr>
      <w:tr w:rsidR="008D7928" w:rsidRPr="009D271F" w:rsidTr="00A249C6">
        <w:tc>
          <w:tcPr>
            <w:tcW w:w="9212" w:type="dxa"/>
            <w:gridSpan w:val="8"/>
            <w:vAlign w:val="center"/>
          </w:tcPr>
          <w:p w:rsidR="008D7928" w:rsidRPr="009D271F" w:rsidRDefault="008D7928" w:rsidP="00A249C6">
            <w:pPr>
              <w:autoSpaceDE w:val="0"/>
              <w:autoSpaceDN w:val="0"/>
              <w:adjustRightInd w:val="0"/>
              <w:jc w:val="center"/>
              <w:rPr>
                <w:rFonts w:ascii="宋体" w:hAnsi="宋体"/>
                <w:kern w:val="0"/>
              </w:rPr>
            </w:pPr>
            <w:r w:rsidRPr="009D271F">
              <w:rPr>
                <w:rFonts w:ascii="宋体" w:hAnsi="宋体"/>
                <w:color w:val="000000"/>
                <w:kern w:val="0"/>
              </w:rPr>
              <w:t>产品特有风险</w:t>
            </w:r>
          </w:p>
        </w:tc>
      </w:tr>
      <w:tr w:rsidR="008D7928" w:rsidRPr="009D271F" w:rsidTr="00A249C6">
        <w:tc>
          <w:tcPr>
            <w:tcW w:w="9212" w:type="dxa"/>
            <w:gridSpan w:val="8"/>
            <w:vAlign w:val="center"/>
          </w:tcPr>
          <w:p w:rsidR="00670AD5" w:rsidRDefault="00A06677">
            <w:pPr>
              <w:autoSpaceDE w:val="0"/>
              <w:autoSpaceDN w:val="0"/>
              <w:adjustRightInd w:val="0"/>
              <w:jc w:val="left"/>
              <w:rPr>
                <w:rFonts w:ascii="宋体" w:hAnsi="宋体"/>
                <w:kern w:val="0"/>
              </w:rPr>
            </w:pPr>
            <w:r>
              <w:rPr>
                <w:rFonts w:ascii="宋体" w:hAnsi="宋体" w:hint="eastAsia"/>
                <w:kern w:val="0"/>
              </w:rPr>
              <w:t>1、赎回申请延期办理的风险</w:t>
            </w:r>
          </w:p>
          <w:p w:rsidR="00670AD5" w:rsidRDefault="00A06677">
            <w:pPr>
              <w:autoSpaceDE w:val="0"/>
              <w:autoSpaceDN w:val="0"/>
              <w:adjustRightInd w:val="0"/>
              <w:jc w:val="left"/>
              <w:rPr>
                <w:rFonts w:ascii="宋体" w:hAnsi="宋体"/>
                <w:kern w:val="0"/>
              </w:rPr>
            </w:pPr>
            <w:r>
              <w:rPr>
                <w:rFonts w:ascii="宋体" w:hAnsi="宋体" w:hint="eastAsia"/>
                <w:kern w:val="0"/>
              </w:rPr>
              <w:t>机构投资者大额赎回时易构成本基金发生巨额赎回，中小投资者可能面临小额赎回，中小投资者可能面临小额赎回申请也需要与机构投资者按同比例部分延期办理的风险；</w:t>
            </w:r>
          </w:p>
          <w:p w:rsidR="00670AD5" w:rsidRDefault="00A06677">
            <w:pPr>
              <w:autoSpaceDE w:val="0"/>
              <w:autoSpaceDN w:val="0"/>
              <w:adjustRightInd w:val="0"/>
              <w:jc w:val="left"/>
              <w:rPr>
                <w:rFonts w:ascii="宋体" w:hAnsi="宋体"/>
                <w:kern w:val="0"/>
              </w:rPr>
            </w:pPr>
            <w:r>
              <w:rPr>
                <w:rFonts w:ascii="宋体" w:hAnsi="宋体" w:hint="eastAsia"/>
                <w:kern w:val="0"/>
              </w:rPr>
              <w:t>2、基金净值大幅波动的风险</w:t>
            </w:r>
          </w:p>
          <w:p w:rsidR="00670AD5" w:rsidRDefault="00A06677">
            <w:pPr>
              <w:autoSpaceDE w:val="0"/>
              <w:autoSpaceDN w:val="0"/>
              <w:adjustRightInd w:val="0"/>
              <w:jc w:val="left"/>
              <w:rPr>
                <w:rFonts w:ascii="宋体" w:hAnsi="宋体"/>
                <w:kern w:val="0"/>
              </w:rPr>
            </w:pPr>
            <w:r>
              <w:rPr>
                <w:rFonts w:ascii="宋体" w:hAnsi="宋体" w:hint="eastAsia"/>
                <w:kern w:val="0"/>
              </w:rPr>
              <w:t>机构投资者大额赎回时，基金管理人进行基金财产变现可能会对基金资产净值造成较大波动；</w:t>
            </w:r>
          </w:p>
          <w:p w:rsidR="00670AD5" w:rsidRDefault="00A06677">
            <w:pPr>
              <w:autoSpaceDE w:val="0"/>
              <w:autoSpaceDN w:val="0"/>
              <w:adjustRightInd w:val="0"/>
              <w:jc w:val="left"/>
              <w:rPr>
                <w:rFonts w:ascii="宋体" w:hAnsi="宋体"/>
                <w:kern w:val="0"/>
              </w:rPr>
            </w:pPr>
            <w:r>
              <w:rPr>
                <w:rFonts w:ascii="宋体" w:hAnsi="宋体" w:hint="eastAsia"/>
                <w:kern w:val="0"/>
              </w:rPr>
              <w:t>3、提前终止基金合同的风险</w:t>
            </w:r>
          </w:p>
          <w:p w:rsidR="00670AD5" w:rsidRDefault="00A06677">
            <w:pPr>
              <w:autoSpaceDE w:val="0"/>
              <w:autoSpaceDN w:val="0"/>
              <w:adjustRightInd w:val="0"/>
              <w:jc w:val="left"/>
              <w:rPr>
                <w:rFonts w:ascii="宋体" w:hAnsi="宋体"/>
                <w:kern w:val="0"/>
              </w:rPr>
            </w:pPr>
            <w:r>
              <w:rPr>
                <w:rFonts w:ascii="宋体" w:hAnsi="宋体" w:hint="eastAsia"/>
                <w:kern w:val="0"/>
              </w:rPr>
              <w:t>机构投资者赎回后，可能出现基金资产净值低于5000万元的情形，若连续六十个工作日出现基金资产净值低于5000万元情形的，基金管理人可能提前终止基金合同，基金财产将进行清算；</w:t>
            </w:r>
          </w:p>
          <w:p w:rsidR="00670AD5" w:rsidRDefault="00A06677">
            <w:pPr>
              <w:autoSpaceDE w:val="0"/>
              <w:autoSpaceDN w:val="0"/>
              <w:adjustRightInd w:val="0"/>
              <w:jc w:val="left"/>
              <w:rPr>
                <w:rFonts w:ascii="宋体" w:hAnsi="宋体"/>
                <w:kern w:val="0"/>
              </w:rPr>
            </w:pPr>
            <w:r>
              <w:rPr>
                <w:rFonts w:ascii="宋体" w:hAnsi="宋体" w:hint="eastAsia"/>
                <w:kern w:val="0"/>
              </w:rPr>
              <w:t>4、基金规模过小导致的风险</w:t>
            </w:r>
          </w:p>
          <w:p w:rsidR="008D7928" w:rsidRPr="009D271F" w:rsidRDefault="008D7928" w:rsidP="00A249C6">
            <w:pPr>
              <w:autoSpaceDE w:val="0"/>
              <w:autoSpaceDN w:val="0"/>
              <w:adjustRightInd w:val="0"/>
              <w:jc w:val="left"/>
              <w:rPr>
                <w:rFonts w:ascii="宋体" w:hAnsi="宋体"/>
                <w:kern w:val="0"/>
              </w:rPr>
            </w:pPr>
            <w:r w:rsidRPr="009D271F">
              <w:rPr>
                <w:rFonts w:ascii="宋体" w:hAnsi="宋体" w:hint="eastAsia"/>
                <w:kern w:val="0"/>
              </w:rPr>
              <w:t>机构投资者赎回后，可能导致基金规模过小。基金可能会面临投资银行间债券、交易所债券时交易困难的情形。</w:t>
            </w:r>
          </w:p>
        </w:tc>
      </w:tr>
    </w:tbl>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hint="eastAsia"/>
          <w:b/>
          <w:bCs/>
          <w:color w:val="000000"/>
          <w:kern w:val="0"/>
          <w:sz w:val="24"/>
          <w:szCs w:val="24"/>
        </w:rPr>
        <w:t>7.2 影响投资者决策的其他重要信息</w:t>
      </w:r>
    </w:p>
    <w:p w:rsidR="008D7928" w:rsidRPr="009D271F" w:rsidRDefault="008D7928" w:rsidP="008D7928">
      <w:pPr>
        <w:spacing w:line="360" w:lineRule="auto"/>
        <w:ind w:firstLineChars="200" w:firstLine="420"/>
        <w:rPr>
          <w:rFonts w:ascii="宋体" w:hAnsi="宋体"/>
          <w:color w:val="000000"/>
        </w:rPr>
      </w:pPr>
      <w:r w:rsidRPr="009D271F">
        <w:rPr>
          <w:rFonts w:ascii="宋体" w:hAnsi="宋体"/>
          <w:color w:val="000000"/>
        </w:rPr>
        <w:t>本基金本报告期未有影响投资者决策的其他重要信息。</w:t>
      </w:r>
    </w:p>
    <w:p w:rsidR="004061AC" w:rsidRPr="00220C32" w:rsidRDefault="004061AC" w:rsidP="00930507">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（一）中国证监会批准新华健康生活主题灵活配置混合型证券投资基金募集的文件</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（二）关于申请募集新华健康生活主题灵活配置混合型证券投资基金之法律意见书</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（三）《新华健康生活主题灵活配置混合型证券投资基金托管协议》</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（四）《新华健康生活主题灵活配置混合型证券投资基金基金合同》</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（五）《新华基金管理股份有限公司开放式基金业务规则》</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（六）更新的《新华健康生活主题灵活配置混合型证券投资基金招募说明书》</w:t>
      </w:r>
    </w:p>
    <w:p w:rsidR="00670AD5" w:rsidRDefault="00A0667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 基金管理人业务资格批件、营业执照和公司章程</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（八） 基金托管人业务资格批件及营业执照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基金管理人、基金托管人住所。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投资者可在营业时间内免费查阅，也可按工本费购买复印件，或通过本基金管理人网站查阅。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新华基金管理股份有限公司</w:t>
      </w:r>
    </w:p>
    <w:p w:rsidR="004061AC" w:rsidRPr="00220C32" w:rsidRDefault="00F92C11" w:rsidP="00C71497">
      <w:pPr>
        <w:spacing w:line="360" w:lineRule="auto"/>
        <w:jc w:val="right"/>
        <w:rPr>
          <w:rFonts w:asciiTheme="minorEastAsia" w:eastAsiaTheme="minorEastAsia" w:hAnsiTheme="minorEastAsia"/>
          <w:b/>
          <w:bCs/>
          <w:color w:val="000000" w:themeColor="text1"/>
          <w:sz w:val="24"/>
          <w:szCs w:val="24"/>
        </w:rPr>
      </w:pPr>
      <w:r w:rsidRPr="00F92C11">
        <w:rPr>
          <w:rFonts w:asciiTheme="minorEastAsia" w:eastAsiaTheme="minorEastAsia" w:hAnsiTheme="minorEastAsia"/>
          <w:b/>
          <w:bCs/>
          <w:sz w:val="24"/>
          <w:szCs w:val="24"/>
        </w:rPr>
        <w:t>二〇一八年十月二十四日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77" w:rsidRDefault="00A06677" w:rsidP="00876D65">
      <w:r>
        <w:separator/>
      </w:r>
    </w:p>
  </w:endnote>
  <w:endnote w:type="continuationSeparator" w:id="1">
    <w:p w:rsidR="00A06677" w:rsidRDefault="00A06677"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B744DC" w:rsidRPr="00B744DC">
      <w:fldChar w:fldCharType="begin"/>
    </w:r>
    <w:r>
      <w:instrText xml:space="preserve"> PAGE   \* MERGEFORMAT </w:instrText>
    </w:r>
    <w:r w:rsidR="00B744DC" w:rsidRPr="00B744DC">
      <w:fldChar w:fldCharType="separate"/>
    </w:r>
    <w:r w:rsidR="00930507" w:rsidRPr="00930507">
      <w:rPr>
        <w:noProof/>
        <w:lang w:val="zh-CN"/>
      </w:rPr>
      <w:t>1</w:t>
    </w:r>
    <w:r w:rsidR="00B744DC">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B744DC">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930507">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77" w:rsidRDefault="00A06677" w:rsidP="00876D65">
      <w:r>
        <w:separator/>
      </w:r>
    </w:p>
  </w:footnote>
  <w:footnote w:type="continuationSeparator" w:id="1">
    <w:p w:rsidR="00A06677" w:rsidRDefault="00A06677"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新华健康生活主题灵活配置混合型证券投资基金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60D"/>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8635F"/>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1D54"/>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0AD5"/>
    <w:rsid w:val="006757DC"/>
    <w:rsid w:val="00676095"/>
    <w:rsid w:val="00693843"/>
    <w:rsid w:val="0069426C"/>
    <w:rsid w:val="00694DFB"/>
    <w:rsid w:val="006A1C62"/>
    <w:rsid w:val="006A48FD"/>
    <w:rsid w:val="006A67F8"/>
    <w:rsid w:val="006A7AF1"/>
    <w:rsid w:val="006B11BB"/>
    <w:rsid w:val="006B3C1C"/>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3B9B"/>
    <w:rsid w:val="008C75E7"/>
    <w:rsid w:val="008C7CA8"/>
    <w:rsid w:val="008D09EC"/>
    <w:rsid w:val="008D7928"/>
    <w:rsid w:val="008E07EB"/>
    <w:rsid w:val="008E2DCB"/>
    <w:rsid w:val="008E326D"/>
    <w:rsid w:val="008F5F67"/>
    <w:rsid w:val="008F60F2"/>
    <w:rsid w:val="0090217D"/>
    <w:rsid w:val="00905C5E"/>
    <w:rsid w:val="009078DC"/>
    <w:rsid w:val="00921AC7"/>
    <w:rsid w:val="00924582"/>
    <w:rsid w:val="00930507"/>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06677"/>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744DC"/>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6DE5"/>
    <w:rsid w:val="00D57B7C"/>
    <w:rsid w:val="00D65B44"/>
    <w:rsid w:val="00D8099B"/>
    <w:rsid w:val="00D809B9"/>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2C11"/>
    <w:rsid w:val="00F93C2F"/>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5486</Characters>
  <Application>Microsoft Office Word</Application>
  <DocSecurity>4</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2018-10-23T17:35:00Z</dcterms:created>
  <dcterms:modified xsi:type="dcterms:W3CDTF">2018-10-23T17:35:00Z</dcterms:modified>
</cp:coreProperties>
</file>