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21488F">
      <w:pPr>
        <w:spacing w:line="360" w:lineRule="auto"/>
        <w:jc w:val="center"/>
        <w:rPr>
          <w:b/>
          <w:color w:val="000000" w:themeColor="text1"/>
          <w:sz w:val="32"/>
          <w:szCs w:val="32"/>
        </w:rPr>
      </w:pPr>
      <w:r>
        <w:rPr>
          <w:b/>
          <w:color w:val="000000" w:themeColor="text1"/>
          <w:sz w:val="32"/>
          <w:szCs w:val="32"/>
        </w:rPr>
        <w:t>上投摩根岁岁盈定期开放债券型证券投资基金</w:t>
      </w:r>
    </w:p>
    <w:p w:rsidR="00CB1D6F" w:rsidRDefault="0021488F">
      <w:pPr>
        <w:spacing w:line="360" w:lineRule="auto"/>
        <w:jc w:val="center"/>
        <w:rPr>
          <w:b/>
          <w:color w:val="000000" w:themeColor="text1"/>
          <w:sz w:val="32"/>
          <w:szCs w:val="32"/>
        </w:rPr>
      </w:pPr>
      <w:r>
        <w:rPr>
          <w:b/>
          <w:color w:val="000000" w:themeColor="text1"/>
          <w:sz w:val="32"/>
          <w:szCs w:val="32"/>
        </w:rPr>
        <w:t>2018</w:t>
      </w:r>
      <w:r>
        <w:rPr>
          <w:b/>
          <w:color w:val="000000" w:themeColor="text1"/>
          <w:sz w:val="32"/>
          <w:szCs w:val="32"/>
        </w:rPr>
        <w:t>年第</w:t>
      </w:r>
      <w:r>
        <w:rPr>
          <w:b/>
          <w:color w:val="000000" w:themeColor="text1"/>
          <w:sz w:val="32"/>
          <w:szCs w:val="32"/>
        </w:rPr>
        <w:t>3</w:t>
      </w:r>
      <w:r>
        <w:rPr>
          <w:b/>
          <w:color w:val="000000" w:themeColor="text1"/>
          <w:sz w:val="32"/>
          <w:szCs w:val="32"/>
        </w:rPr>
        <w:t>季度报告</w:t>
      </w:r>
    </w:p>
    <w:p w:rsidR="00CB1D6F" w:rsidRDefault="0021488F">
      <w:pPr>
        <w:spacing w:line="360" w:lineRule="auto"/>
        <w:jc w:val="center"/>
        <w:rPr>
          <w:b/>
          <w:color w:val="000000" w:themeColor="text1"/>
          <w:sz w:val="32"/>
          <w:szCs w:val="32"/>
        </w:rPr>
      </w:pPr>
      <w:r>
        <w:rPr>
          <w:b/>
          <w:color w:val="000000" w:themeColor="text1"/>
          <w:sz w:val="32"/>
          <w:szCs w:val="32"/>
        </w:rPr>
        <w:t>2018</w:t>
      </w:r>
      <w:r>
        <w:rPr>
          <w:b/>
          <w:color w:val="000000" w:themeColor="text1"/>
          <w:sz w:val="32"/>
          <w:szCs w:val="32"/>
        </w:rPr>
        <w:t>年</w:t>
      </w:r>
      <w:r>
        <w:rPr>
          <w:b/>
          <w:color w:val="000000" w:themeColor="text1"/>
          <w:sz w:val="32"/>
          <w:szCs w:val="32"/>
        </w:rPr>
        <w:t>9</w:t>
      </w:r>
      <w:r>
        <w:rPr>
          <w:b/>
          <w:color w:val="000000" w:themeColor="text1"/>
          <w:sz w:val="32"/>
          <w:szCs w:val="32"/>
        </w:rPr>
        <w:t>月</w:t>
      </w:r>
      <w:r>
        <w:rPr>
          <w:b/>
          <w:color w:val="000000" w:themeColor="text1"/>
          <w:sz w:val="32"/>
          <w:szCs w:val="32"/>
        </w:rPr>
        <w:t>30</w:t>
      </w:r>
      <w:r>
        <w:rPr>
          <w:b/>
          <w:color w:val="000000" w:themeColor="text1"/>
          <w:sz w:val="32"/>
          <w:szCs w:val="32"/>
        </w:rPr>
        <w:t>日</w:t>
      </w: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CB1D6F">
      <w:pPr>
        <w:spacing w:line="360" w:lineRule="auto"/>
        <w:jc w:val="left"/>
        <w:rPr>
          <w:rFonts w:asciiTheme="minorEastAsia" w:eastAsiaTheme="minorEastAsia" w:hAnsiTheme="minorEastAsia"/>
          <w:b/>
          <w:color w:val="000000" w:themeColor="text1"/>
          <w:sz w:val="24"/>
        </w:rPr>
      </w:pPr>
    </w:p>
    <w:p w:rsidR="00CB1D6F" w:rsidRDefault="0021488F">
      <w:pPr>
        <w:spacing w:line="360" w:lineRule="auto"/>
        <w:ind w:firstLineChars="700" w:firstLine="2108"/>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基金管理人</w:t>
      </w:r>
      <w:r>
        <w:rPr>
          <w:rFonts w:eastAsiaTheme="minorEastAsia"/>
          <w:b/>
          <w:color w:val="000000" w:themeColor="text1"/>
          <w:sz w:val="30"/>
          <w:szCs w:val="30"/>
        </w:rPr>
        <w:t>：上投摩根基金管理有限公司</w:t>
      </w:r>
    </w:p>
    <w:p w:rsidR="00CB1D6F" w:rsidRDefault="0021488F">
      <w:pPr>
        <w:spacing w:line="360" w:lineRule="auto"/>
        <w:ind w:firstLineChars="700" w:firstLine="2108"/>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基金托管人：</w:t>
      </w:r>
      <w:r>
        <w:rPr>
          <w:rFonts w:eastAsiaTheme="minorEastAsia"/>
          <w:b/>
          <w:color w:val="000000" w:themeColor="text1"/>
          <w:sz w:val="30"/>
          <w:szCs w:val="30"/>
        </w:rPr>
        <w:t>交通银行股份有限公司</w:t>
      </w:r>
    </w:p>
    <w:p w:rsidR="00CB1D6F" w:rsidRDefault="0021488F">
      <w:pPr>
        <w:spacing w:line="360" w:lineRule="auto"/>
        <w:ind w:firstLineChars="700" w:firstLine="2108"/>
        <w:rPr>
          <w:rFonts w:asciiTheme="minorEastAsia" w:eastAsiaTheme="minorEastAsia" w:hAnsiTheme="minorEastAsia"/>
          <w:color w:val="000000" w:themeColor="text1"/>
          <w:sz w:val="24"/>
        </w:rPr>
        <w:sectPr w:rsidR="00CB1D6F">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30"/>
          <w:szCs w:val="30"/>
        </w:rPr>
        <w:t>报告</w:t>
      </w:r>
      <w:r>
        <w:rPr>
          <w:rFonts w:asciiTheme="minorEastAsia" w:eastAsiaTheme="minorEastAsia" w:hAnsiTheme="minorEastAsia"/>
          <w:b/>
          <w:color w:val="000000" w:themeColor="text1"/>
          <w:sz w:val="30"/>
          <w:szCs w:val="30"/>
        </w:rPr>
        <w:t>送出日期：</w:t>
      </w:r>
      <w:r>
        <w:rPr>
          <w:rFonts w:eastAsiaTheme="minorEastAsia"/>
          <w:b/>
          <w:color w:val="000000" w:themeColor="text1"/>
          <w:sz w:val="30"/>
          <w:szCs w:val="30"/>
        </w:rPr>
        <w:t>二〇一八年十月二十四日</w:t>
      </w:r>
    </w:p>
    <w:p w:rsidR="00CB1D6F" w:rsidRDefault="0021488F" w:rsidP="005B7C25">
      <w:pPr>
        <w:pStyle w:val="1"/>
        <w:spacing w:beforeLines="100" w:afterLines="100" w:line="360" w:lineRule="auto"/>
        <w:jc w:val="center"/>
        <w:rPr>
          <w:rFonts w:asciiTheme="minorEastAsia" w:eastAsiaTheme="minorEastAsia" w:hAnsiTheme="minorEastAsia" w:cs="Arial"/>
          <w:b w:val="0"/>
          <w:color w:val="000000" w:themeColor="text1"/>
          <w:kern w:val="0"/>
          <w:sz w:val="24"/>
          <w:szCs w:val="24"/>
        </w:rPr>
      </w:pPr>
      <w:r>
        <w:rPr>
          <w:rFonts w:eastAsiaTheme="minorEastAsia"/>
          <w:color w:val="000000" w:themeColor="text1"/>
          <w:kern w:val="0"/>
          <w:sz w:val="24"/>
          <w:szCs w:val="24"/>
        </w:rPr>
        <w:lastRenderedPageBreak/>
        <w:t>§1</w:t>
      </w:r>
      <w:r>
        <w:rPr>
          <w:rFonts w:asciiTheme="minorEastAsia" w:eastAsiaTheme="minorEastAsia" w:hAnsiTheme="minorEastAsia" w:cs="Arial" w:hint="eastAsia"/>
          <w:color w:val="000000" w:themeColor="text1"/>
          <w:kern w:val="0"/>
          <w:sz w:val="28"/>
          <w:szCs w:val="28"/>
        </w:rPr>
        <w:t>重要提示</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CB1D6F" w:rsidRDefault="0021488F" w:rsidP="005B7C25">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Pr>
          <w:rFonts w:eastAsiaTheme="minorEastAsia"/>
          <w:color w:val="000000" w:themeColor="text1"/>
          <w:kern w:val="0"/>
          <w:sz w:val="28"/>
          <w:szCs w:val="28"/>
        </w:rPr>
        <w:t>§2</w:t>
      </w:r>
      <w:r>
        <w:rPr>
          <w:rFonts w:ascii="宋体" w:hAnsi="宋体" w:cs="Arial" w:hint="eastAsia"/>
          <w:color w:val="000000" w:themeColor="text1"/>
          <w:kern w:val="0"/>
          <w:sz w:val="28"/>
          <w:szCs w:val="28"/>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701"/>
        <w:gridCol w:w="1417"/>
        <w:gridCol w:w="1510"/>
      </w:tblGrid>
      <w:tr w:rsidR="00CB1D6F">
        <w:tc>
          <w:tcPr>
            <w:tcW w:w="1985" w:type="dxa"/>
            <w:vAlign w:val="center"/>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6329" w:type="dxa"/>
            <w:gridSpan w:val="4"/>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上投摩根岁岁盈定期开放债券</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6329" w:type="dxa"/>
            <w:gridSpan w:val="4"/>
            <w:tcBorders>
              <w:bottom w:val="single" w:sz="4" w:space="0" w:color="auto"/>
            </w:tcBorders>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000257</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6329" w:type="dxa"/>
            <w:gridSpan w:val="4"/>
            <w:tcBorders>
              <w:top w:val="single" w:sz="4" w:space="0" w:color="auto"/>
            </w:tcBorders>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6329" w:type="dxa"/>
            <w:gridSpan w:val="4"/>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57,918,235.42</w:t>
            </w:r>
            <w:r>
              <w:rPr>
                <w:rFonts w:eastAsiaTheme="minorEastAsia"/>
                <w:color w:val="000000" w:themeColor="text1"/>
                <w:kern w:val="0"/>
                <w:szCs w:val="21"/>
              </w:rPr>
              <w:t>份</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本基金将对不同类型固定收益品种的信用风险、税赋水平、市场流动性、市场风险等因素进行分析，评估不同债券板块之间的相对投资价值，确定债券类属配置策略，并根据市场变化及时进行调整。</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、久期管理策略</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本基金通过对影响债券投资的宏观经济变量和宏观经济政策等因素的综合分析，预测未来的市场利率的变动趋势，判断债券市场对上述因素及其变化的反应，并据此积极调整债券组合的久期。</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本基金在确定固定收益资产组合平均久期的基础上，将结合收益率曲线变化的预测，适时采用跟踪收益率曲线的骑乘策略或者基于收益率曲线变化的子弹、杠铃及梯形策略构造组合，并进行动态调整。</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一年期银行定期存款利率（税后）</w:t>
            </w:r>
            <w:r>
              <w:rPr>
                <w:rFonts w:eastAsiaTheme="minorEastAsia"/>
                <w:color w:val="000000" w:themeColor="text1"/>
                <w:kern w:val="0"/>
                <w:szCs w:val="21"/>
              </w:rPr>
              <w:t>+0.5%</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6329" w:type="dxa"/>
            <w:gridSpan w:val="4"/>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kern w:val="0"/>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级基金的基金简称</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417" w:type="dxa"/>
          </w:tcPr>
          <w:p w:rsidR="00CB1D6F" w:rsidRDefault="0021488F">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510" w:type="dxa"/>
          </w:tcPr>
          <w:p w:rsidR="00CB1D6F" w:rsidRDefault="0021488F">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000257</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000765</w:t>
            </w:r>
          </w:p>
        </w:tc>
        <w:tc>
          <w:tcPr>
            <w:tcW w:w="1417" w:type="dxa"/>
          </w:tcPr>
          <w:p w:rsidR="00CB1D6F" w:rsidRDefault="0021488F">
            <w:pPr>
              <w:rPr>
                <w:rFonts w:eastAsiaTheme="minorEastAsia"/>
                <w:color w:val="000000" w:themeColor="text1"/>
                <w:szCs w:val="21"/>
              </w:rPr>
            </w:pPr>
            <w:r>
              <w:rPr>
                <w:rFonts w:eastAsiaTheme="minorEastAsia"/>
                <w:color w:val="000000" w:themeColor="text1"/>
                <w:szCs w:val="21"/>
              </w:rPr>
              <w:t>000258</w:t>
            </w:r>
          </w:p>
        </w:tc>
        <w:tc>
          <w:tcPr>
            <w:tcW w:w="1510" w:type="dxa"/>
          </w:tcPr>
          <w:p w:rsidR="00CB1D6F" w:rsidRDefault="0021488F">
            <w:pPr>
              <w:rPr>
                <w:rFonts w:eastAsiaTheme="minorEastAsia"/>
                <w:color w:val="000000" w:themeColor="text1"/>
                <w:szCs w:val="21"/>
              </w:rPr>
            </w:pPr>
            <w:r>
              <w:rPr>
                <w:rFonts w:eastAsiaTheme="minorEastAsia"/>
                <w:color w:val="000000" w:themeColor="text1"/>
                <w:szCs w:val="21"/>
              </w:rPr>
              <w:t>000766</w:t>
            </w:r>
          </w:p>
        </w:tc>
      </w:tr>
      <w:tr w:rsidR="00CB1D6F">
        <w:tc>
          <w:tcPr>
            <w:tcW w:w="1985" w:type="dxa"/>
            <w:vAlign w:val="center"/>
          </w:tcPr>
          <w:p w:rsidR="00CB1D6F"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55,311,588.34</w:t>
            </w:r>
            <w:r>
              <w:rPr>
                <w:rFonts w:eastAsiaTheme="minorEastAsia"/>
                <w:color w:val="000000" w:themeColor="text1"/>
                <w:kern w:val="0"/>
                <w:szCs w:val="21"/>
              </w:rPr>
              <w:t>份</w:t>
            </w:r>
          </w:p>
        </w:tc>
        <w:tc>
          <w:tcPr>
            <w:tcW w:w="1701" w:type="dxa"/>
          </w:tcPr>
          <w:p w:rsidR="00CB1D6F" w:rsidRDefault="0021488F">
            <w:pPr>
              <w:rPr>
                <w:rFonts w:eastAsiaTheme="minorEastAsia"/>
                <w:color w:val="000000" w:themeColor="text1"/>
                <w:szCs w:val="21"/>
              </w:rPr>
            </w:pPr>
            <w:r>
              <w:rPr>
                <w:rFonts w:eastAsiaTheme="minorEastAsia"/>
                <w:color w:val="000000" w:themeColor="text1"/>
                <w:szCs w:val="21"/>
              </w:rPr>
              <w:t>199.81</w:t>
            </w:r>
            <w:r>
              <w:rPr>
                <w:rFonts w:eastAsiaTheme="minorEastAsia"/>
                <w:color w:val="000000" w:themeColor="text1"/>
                <w:kern w:val="0"/>
                <w:szCs w:val="21"/>
              </w:rPr>
              <w:t>份</w:t>
            </w:r>
          </w:p>
        </w:tc>
        <w:tc>
          <w:tcPr>
            <w:tcW w:w="1417" w:type="dxa"/>
          </w:tcPr>
          <w:p w:rsidR="00CB1D6F" w:rsidRDefault="0021488F">
            <w:pPr>
              <w:rPr>
                <w:rFonts w:eastAsiaTheme="minorEastAsia"/>
                <w:color w:val="000000" w:themeColor="text1"/>
                <w:szCs w:val="21"/>
              </w:rPr>
            </w:pPr>
            <w:r>
              <w:rPr>
                <w:rFonts w:eastAsiaTheme="minorEastAsia"/>
                <w:color w:val="000000" w:themeColor="text1"/>
                <w:szCs w:val="21"/>
              </w:rPr>
              <w:t>2,606,235.36</w:t>
            </w:r>
            <w:r>
              <w:rPr>
                <w:rFonts w:eastAsiaTheme="minorEastAsia"/>
                <w:color w:val="000000" w:themeColor="text1"/>
                <w:kern w:val="0"/>
                <w:szCs w:val="21"/>
              </w:rPr>
              <w:t>份</w:t>
            </w:r>
          </w:p>
        </w:tc>
        <w:tc>
          <w:tcPr>
            <w:tcW w:w="1510" w:type="dxa"/>
          </w:tcPr>
          <w:p w:rsidR="00CB1D6F" w:rsidRDefault="0021488F">
            <w:pPr>
              <w:rPr>
                <w:rFonts w:eastAsiaTheme="minorEastAsia"/>
                <w:color w:val="000000" w:themeColor="text1"/>
                <w:szCs w:val="21"/>
              </w:rPr>
            </w:pPr>
            <w:r>
              <w:rPr>
                <w:rFonts w:eastAsiaTheme="minorEastAsia"/>
                <w:color w:val="000000" w:themeColor="text1"/>
                <w:szCs w:val="21"/>
              </w:rPr>
              <w:t>211.91</w:t>
            </w:r>
            <w:r>
              <w:rPr>
                <w:rFonts w:eastAsiaTheme="minorEastAsia"/>
                <w:color w:val="000000" w:themeColor="text1"/>
                <w:kern w:val="0"/>
                <w:szCs w:val="21"/>
              </w:rPr>
              <w:t>份</w:t>
            </w:r>
          </w:p>
        </w:tc>
      </w:tr>
    </w:tbl>
    <w:p w:rsidR="00CB1D6F" w:rsidRDefault="0021488F" w:rsidP="005B7C25">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Pr>
          <w:rFonts w:eastAsiaTheme="minorEastAsia"/>
          <w:color w:val="000000" w:themeColor="text1"/>
          <w:kern w:val="0"/>
          <w:sz w:val="24"/>
          <w:szCs w:val="24"/>
        </w:rPr>
        <w:t>§3</w:t>
      </w:r>
      <w:r>
        <w:rPr>
          <w:rFonts w:asciiTheme="minorEastAsia" w:eastAsiaTheme="minorEastAsia" w:hAnsiTheme="minorEastAsia" w:cs="Arial"/>
          <w:color w:val="000000" w:themeColor="text1"/>
          <w:kern w:val="0"/>
          <w:sz w:val="24"/>
          <w:szCs w:val="24"/>
        </w:rPr>
        <w:t xml:space="preserve"> </w:t>
      </w:r>
      <w:r>
        <w:rPr>
          <w:rFonts w:asciiTheme="minorEastAsia" w:eastAsiaTheme="minorEastAsia" w:hAnsiTheme="minorEastAsia" w:cs="Arial" w:hint="eastAsia"/>
          <w:color w:val="000000" w:themeColor="text1"/>
          <w:kern w:val="0"/>
          <w:sz w:val="28"/>
          <w:szCs w:val="28"/>
        </w:rPr>
        <w:t>主要财务指标和基金净值表现</w:t>
      </w: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3.1</w:t>
      </w:r>
      <w:r>
        <w:rPr>
          <w:rFonts w:asciiTheme="minorEastAsia" w:eastAsiaTheme="minorEastAsia" w:hAnsiTheme="minorEastAsia" w:cs="Arial" w:hint="eastAsia"/>
          <w:b/>
          <w:color w:val="000000" w:themeColor="text1"/>
          <w:kern w:val="0"/>
          <w:szCs w:val="21"/>
        </w:rPr>
        <w:t>主要财务指标</w:t>
      </w:r>
    </w:p>
    <w:p w:rsidR="00CB1D6F" w:rsidRDefault="0021488F">
      <w:pPr>
        <w:autoSpaceDE w:val="0"/>
        <w:autoSpaceDN w:val="0"/>
        <w:adjustRightInd w:val="0"/>
        <w:spacing w:before="29" w:line="288" w:lineRule="auto"/>
        <w:ind w:left="15" w:right="480"/>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701"/>
        <w:gridCol w:w="1559"/>
        <w:gridCol w:w="1560"/>
      </w:tblGrid>
      <w:tr w:rsidR="00CB1D6F">
        <w:tc>
          <w:tcPr>
            <w:tcW w:w="1843" w:type="dxa"/>
            <w:vMerge w:val="restart"/>
            <w:vAlign w:val="center"/>
          </w:tcPr>
          <w:p w:rsidR="00CB1D6F" w:rsidRDefault="0021488F">
            <w:pPr>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主要财务指标</w:t>
            </w:r>
          </w:p>
        </w:tc>
        <w:tc>
          <w:tcPr>
            <w:tcW w:w="6521" w:type="dxa"/>
            <w:gridSpan w:val="4"/>
            <w:vAlign w:val="center"/>
          </w:tcPr>
          <w:p w:rsidR="00CB1D6F" w:rsidRDefault="0021488F">
            <w:pPr>
              <w:adjustRightInd w:val="0"/>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报告期</w:t>
            </w:r>
          </w:p>
          <w:p w:rsidR="00CB1D6F" w:rsidRDefault="002148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CB1D6F">
        <w:tc>
          <w:tcPr>
            <w:tcW w:w="1843" w:type="dxa"/>
            <w:vMerge/>
            <w:vAlign w:val="center"/>
          </w:tcPr>
          <w:p w:rsidR="00CB1D6F" w:rsidRDefault="00CB1D6F">
            <w:pPr>
              <w:adjustRightInd w:val="0"/>
              <w:spacing w:before="29" w:line="360" w:lineRule="auto"/>
              <w:ind w:left="17"/>
              <w:rPr>
                <w:rFonts w:asciiTheme="minorEastAsia" w:eastAsiaTheme="minorEastAsia" w:hAnsiTheme="minorEastAsia" w:cs="宋体"/>
                <w:color w:val="000000" w:themeColor="text1"/>
                <w:kern w:val="0"/>
                <w:szCs w:val="21"/>
              </w:rPr>
            </w:pPr>
          </w:p>
        </w:tc>
        <w:tc>
          <w:tcPr>
            <w:tcW w:w="1701" w:type="dxa"/>
            <w:vAlign w:val="center"/>
          </w:tcPr>
          <w:p w:rsidR="00CB1D6F" w:rsidRDefault="002148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701" w:type="dxa"/>
            <w:vAlign w:val="center"/>
          </w:tcPr>
          <w:p w:rsidR="00CB1D6F" w:rsidRDefault="002148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559" w:type="dxa"/>
            <w:vAlign w:val="center"/>
          </w:tcPr>
          <w:p w:rsidR="00CB1D6F" w:rsidRDefault="002148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560" w:type="dxa"/>
            <w:vAlign w:val="center"/>
          </w:tcPr>
          <w:p w:rsidR="00CB1D6F" w:rsidRDefault="002148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CB1D6F">
        <w:tc>
          <w:tcPr>
            <w:tcW w:w="1843" w:type="dxa"/>
            <w:vAlign w:val="center"/>
          </w:tcPr>
          <w:p w:rsidR="00CB1D6F" w:rsidRDefault="0021488F">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1.</w:t>
            </w:r>
            <w:r>
              <w:rPr>
                <w:rFonts w:asciiTheme="minorEastAsia" w:eastAsiaTheme="minorEastAsia" w:hAnsiTheme="minorEastAsia" w:cs="宋体" w:hint="eastAsia"/>
                <w:color w:val="000000" w:themeColor="text1"/>
                <w:kern w:val="0"/>
                <w:szCs w:val="21"/>
              </w:rPr>
              <w:t>本期已实现收益</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737,478.48</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2.81</w:t>
            </w:r>
          </w:p>
        </w:tc>
        <w:tc>
          <w:tcPr>
            <w:tcW w:w="1559"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31,832.71</w:t>
            </w:r>
          </w:p>
        </w:tc>
        <w:tc>
          <w:tcPr>
            <w:tcW w:w="1560"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3.16</w:t>
            </w:r>
          </w:p>
        </w:tc>
      </w:tr>
      <w:tr w:rsidR="00CB1D6F">
        <w:tc>
          <w:tcPr>
            <w:tcW w:w="1843" w:type="dxa"/>
            <w:vAlign w:val="center"/>
          </w:tcPr>
          <w:p w:rsidR="00CB1D6F" w:rsidRDefault="0021488F">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2.</w:t>
            </w:r>
            <w:r>
              <w:rPr>
                <w:rFonts w:asciiTheme="minorEastAsia" w:eastAsiaTheme="minorEastAsia" w:hAnsiTheme="minorEastAsia" w:cs="宋体" w:hint="eastAsia"/>
                <w:color w:val="000000" w:themeColor="text1"/>
                <w:kern w:val="0"/>
                <w:szCs w:val="21"/>
              </w:rPr>
              <w:t>本期利润</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897,770.80</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3.40</w:t>
            </w:r>
          </w:p>
        </w:tc>
        <w:tc>
          <w:tcPr>
            <w:tcW w:w="1559"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39,337.86</w:t>
            </w:r>
          </w:p>
        </w:tc>
        <w:tc>
          <w:tcPr>
            <w:tcW w:w="1560"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3.76</w:t>
            </w:r>
          </w:p>
        </w:tc>
      </w:tr>
      <w:tr w:rsidR="00CB1D6F">
        <w:tc>
          <w:tcPr>
            <w:tcW w:w="1843" w:type="dxa"/>
            <w:vAlign w:val="center"/>
          </w:tcPr>
          <w:p w:rsidR="00CB1D6F" w:rsidRDefault="0021488F">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3.</w:t>
            </w:r>
            <w:r>
              <w:rPr>
                <w:rFonts w:asciiTheme="minorEastAsia" w:eastAsiaTheme="minorEastAsia" w:hAnsiTheme="minorEastAsia" w:cs="宋体" w:hint="eastAsia"/>
                <w:color w:val="000000" w:themeColor="text1"/>
                <w:kern w:val="0"/>
                <w:szCs w:val="21"/>
              </w:rPr>
              <w:t>加权平均基金份额本期利润</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0.0162</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0.0170</w:t>
            </w:r>
          </w:p>
        </w:tc>
        <w:tc>
          <w:tcPr>
            <w:tcW w:w="1559"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0.0151</w:t>
            </w:r>
          </w:p>
        </w:tc>
        <w:tc>
          <w:tcPr>
            <w:tcW w:w="1560"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0.0177</w:t>
            </w:r>
          </w:p>
        </w:tc>
      </w:tr>
      <w:tr w:rsidR="00CB1D6F">
        <w:tc>
          <w:tcPr>
            <w:tcW w:w="1843" w:type="dxa"/>
            <w:vAlign w:val="center"/>
          </w:tcPr>
          <w:p w:rsidR="00CB1D6F" w:rsidRDefault="0021488F">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4.</w:t>
            </w:r>
            <w:r>
              <w:rPr>
                <w:rFonts w:asciiTheme="minorEastAsia" w:eastAsiaTheme="minorEastAsia" w:hAnsiTheme="minorEastAsia" w:cs="宋体" w:hint="eastAsia"/>
                <w:color w:val="000000" w:themeColor="text1"/>
                <w:kern w:val="0"/>
                <w:szCs w:val="21"/>
              </w:rPr>
              <w:t>期末基金资产净值</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57,095,037.99</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206.85</w:t>
            </w:r>
          </w:p>
        </w:tc>
        <w:tc>
          <w:tcPr>
            <w:tcW w:w="1559"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2,670,330.54</w:t>
            </w:r>
          </w:p>
        </w:tc>
        <w:tc>
          <w:tcPr>
            <w:tcW w:w="1560"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218.76</w:t>
            </w:r>
          </w:p>
        </w:tc>
      </w:tr>
      <w:tr w:rsidR="00CB1D6F">
        <w:trPr>
          <w:trHeight w:val="158"/>
        </w:trPr>
        <w:tc>
          <w:tcPr>
            <w:tcW w:w="1843" w:type="dxa"/>
            <w:vAlign w:val="center"/>
          </w:tcPr>
          <w:p w:rsidR="00CB1D6F" w:rsidRDefault="0021488F">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5.</w:t>
            </w:r>
            <w:r>
              <w:rPr>
                <w:rFonts w:asciiTheme="minorEastAsia" w:eastAsiaTheme="minorEastAsia" w:hAnsiTheme="minorEastAsia" w:cs="宋体" w:hint="eastAsia"/>
                <w:color w:val="000000" w:themeColor="text1"/>
                <w:kern w:val="0"/>
                <w:szCs w:val="21"/>
              </w:rPr>
              <w:t>期末基金份额净值</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1.032</w:t>
            </w:r>
          </w:p>
        </w:tc>
        <w:tc>
          <w:tcPr>
            <w:tcW w:w="1701"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1.035</w:t>
            </w:r>
          </w:p>
        </w:tc>
        <w:tc>
          <w:tcPr>
            <w:tcW w:w="1559"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1.025</w:t>
            </w:r>
          </w:p>
        </w:tc>
        <w:tc>
          <w:tcPr>
            <w:tcW w:w="1560" w:type="dxa"/>
            <w:vAlign w:val="center"/>
          </w:tcPr>
          <w:p w:rsidR="00CB1D6F" w:rsidRDefault="002148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1.032</w:t>
            </w:r>
          </w:p>
        </w:tc>
      </w:tr>
    </w:tbl>
    <w:p w:rsidR="00CB1D6F" w:rsidRDefault="0021488F">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注：本期已实现收益指基金本期利息收入、投资收益、其他收入（不含公允价值变动收益）扣除相关费用后的余额，本期利润为本期已实现收益加上本期公允价值变动收益。</w:t>
      </w:r>
      <w:r>
        <w:rPr>
          <w:rFonts w:eastAsiaTheme="minorEastAsia"/>
          <w:color w:val="000000" w:themeColor="text1"/>
          <w:sz w:val="18"/>
          <w:szCs w:val="18"/>
        </w:rPr>
        <w:t xml:space="preserve"> </w:t>
      </w:r>
    </w:p>
    <w:p w:rsidR="00CB1D6F" w:rsidRDefault="0021488F">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上述基金业绩指标不包括持有人认购或交易基金的各项费用（例如，开放式基金的申购赎回费、红利再投资费、基金转换费等），计入费用后实际收益水平要低于所列数字。</w:t>
      </w: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3.2</w:t>
      </w:r>
      <w:r>
        <w:rPr>
          <w:rFonts w:asciiTheme="minorEastAsia" w:eastAsiaTheme="minorEastAsia" w:hAnsiTheme="minorEastAsia" w:cs="Arial" w:hint="eastAsia"/>
          <w:b/>
          <w:color w:val="000000" w:themeColor="text1"/>
          <w:kern w:val="0"/>
          <w:szCs w:val="21"/>
        </w:rPr>
        <w:t>基金净值表现</w:t>
      </w:r>
    </w:p>
    <w:p w:rsidR="00CB1D6F" w:rsidRDefault="002148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CB1D6F" w:rsidRDefault="0021488F">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Layout w:type="fixed"/>
        <w:tblLook w:val="04A0"/>
      </w:tblPr>
      <w:tblGrid>
        <w:gridCol w:w="1290"/>
        <w:gridCol w:w="1291"/>
        <w:gridCol w:w="1291"/>
        <w:gridCol w:w="1291"/>
        <w:gridCol w:w="1291"/>
        <w:gridCol w:w="1291"/>
        <w:gridCol w:w="1291"/>
      </w:tblGrid>
      <w:tr w:rsidR="00CB1D6F">
        <w:tc>
          <w:tcPr>
            <w:tcW w:w="1290"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B1D6F">
        <w:tc>
          <w:tcPr>
            <w:tcW w:w="1290" w:type="dxa"/>
            <w:vAlign w:val="center"/>
          </w:tcPr>
          <w:p w:rsidR="00CB1D6F" w:rsidRDefault="0021488F">
            <w:pPr>
              <w:jc w:val="left"/>
            </w:pPr>
            <w:r>
              <w:rPr>
                <w:rFonts w:eastAsiaTheme="minorEastAsia"/>
                <w:color w:val="000000" w:themeColor="text1"/>
                <w:szCs w:val="21"/>
              </w:rPr>
              <w:t>过去三个月</w:t>
            </w:r>
          </w:p>
        </w:tc>
        <w:tc>
          <w:tcPr>
            <w:tcW w:w="1291" w:type="dxa"/>
            <w:vAlign w:val="center"/>
          </w:tcPr>
          <w:p w:rsidR="00CB1D6F" w:rsidRDefault="0021488F">
            <w:pPr>
              <w:jc w:val="center"/>
            </w:pPr>
            <w:r>
              <w:rPr>
                <w:rFonts w:eastAsiaTheme="minorEastAsia"/>
                <w:color w:val="000000" w:themeColor="text1"/>
                <w:szCs w:val="21"/>
              </w:rPr>
              <w:t>1.57%</w:t>
            </w:r>
          </w:p>
        </w:tc>
        <w:tc>
          <w:tcPr>
            <w:tcW w:w="1291" w:type="dxa"/>
            <w:vAlign w:val="center"/>
          </w:tcPr>
          <w:p w:rsidR="00CB1D6F" w:rsidRDefault="0021488F">
            <w:pPr>
              <w:jc w:val="center"/>
            </w:pPr>
            <w:r>
              <w:rPr>
                <w:rFonts w:eastAsiaTheme="minorEastAsia"/>
                <w:color w:val="000000" w:themeColor="text1"/>
                <w:szCs w:val="21"/>
              </w:rPr>
              <w:t>0.07%</w:t>
            </w:r>
          </w:p>
        </w:tc>
        <w:tc>
          <w:tcPr>
            <w:tcW w:w="1291" w:type="dxa"/>
            <w:vAlign w:val="center"/>
          </w:tcPr>
          <w:p w:rsidR="00CB1D6F" w:rsidRDefault="0021488F">
            <w:pPr>
              <w:jc w:val="center"/>
            </w:pPr>
            <w:r>
              <w:rPr>
                <w:rFonts w:eastAsiaTheme="minorEastAsia"/>
                <w:color w:val="000000" w:themeColor="text1"/>
                <w:szCs w:val="21"/>
              </w:rPr>
              <w:t>0.58%</w:t>
            </w:r>
          </w:p>
        </w:tc>
        <w:tc>
          <w:tcPr>
            <w:tcW w:w="1291" w:type="dxa"/>
            <w:vAlign w:val="center"/>
          </w:tcPr>
          <w:p w:rsidR="00CB1D6F" w:rsidRDefault="0021488F">
            <w:pPr>
              <w:jc w:val="center"/>
            </w:pPr>
            <w:r>
              <w:rPr>
                <w:rFonts w:eastAsiaTheme="minorEastAsia"/>
                <w:color w:val="000000" w:themeColor="text1"/>
                <w:szCs w:val="21"/>
              </w:rPr>
              <w:t>0.01%</w:t>
            </w:r>
          </w:p>
        </w:tc>
        <w:tc>
          <w:tcPr>
            <w:tcW w:w="1291" w:type="dxa"/>
            <w:vAlign w:val="center"/>
          </w:tcPr>
          <w:p w:rsidR="00CB1D6F" w:rsidRDefault="0021488F">
            <w:pPr>
              <w:jc w:val="center"/>
            </w:pPr>
            <w:r>
              <w:rPr>
                <w:rFonts w:eastAsiaTheme="minorEastAsia"/>
                <w:color w:val="000000" w:themeColor="text1"/>
                <w:szCs w:val="21"/>
              </w:rPr>
              <w:t>0.99%</w:t>
            </w:r>
          </w:p>
        </w:tc>
        <w:tc>
          <w:tcPr>
            <w:tcW w:w="1291" w:type="dxa"/>
            <w:vAlign w:val="center"/>
          </w:tcPr>
          <w:p w:rsidR="00CB1D6F" w:rsidRDefault="0021488F">
            <w:pPr>
              <w:jc w:val="center"/>
            </w:pPr>
            <w:r>
              <w:rPr>
                <w:rFonts w:eastAsiaTheme="minorEastAsia"/>
                <w:color w:val="000000" w:themeColor="text1"/>
                <w:szCs w:val="21"/>
              </w:rPr>
              <w:t>0.06%</w:t>
            </w:r>
          </w:p>
        </w:tc>
      </w:tr>
    </w:tbl>
    <w:p w:rsidR="00CB1D6F" w:rsidRDefault="00CB1D6F">
      <w:pPr>
        <w:pStyle w:val="20"/>
        <w:spacing w:line="288" w:lineRule="auto"/>
        <w:ind w:firstLineChars="0" w:firstLine="0"/>
        <w:rPr>
          <w:rFonts w:ascii="Times New Roman" w:eastAsiaTheme="minorEastAsia" w:hAnsi="Times New Roman"/>
          <w:color w:val="000000" w:themeColor="text1"/>
          <w:sz w:val="21"/>
          <w:szCs w:val="21"/>
        </w:rPr>
      </w:pPr>
    </w:p>
    <w:p w:rsidR="00CB1D6F" w:rsidRDefault="0021488F">
      <w:pPr>
        <w:adjustRightInd w:val="0"/>
        <w:spacing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Layout w:type="fixed"/>
        <w:tblLook w:val="04A0"/>
      </w:tblPr>
      <w:tblGrid>
        <w:gridCol w:w="1290"/>
        <w:gridCol w:w="1291"/>
        <w:gridCol w:w="1291"/>
        <w:gridCol w:w="1291"/>
        <w:gridCol w:w="1291"/>
        <w:gridCol w:w="1291"/>
        <w:gridCol w:w="1291"/>
      </w:tblGrid>
      <w:tr w:rsidR="00CB1D6F">
        <w:tc>
          <w:tcPr>
            <w:tcW w:w="1290"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B1D6F" w:rsidRDefault="002148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B1D6F" w:rsidRDefault="002148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B1D6F">
        <w:tc>
          <w:tcPr>
            <w:tcW w:w="1290" w:type="dxa"/>
            <w:vAlign w:val="center"/>
          </w:tcPr>
          <w:p w:rsidR="00CB1D6F" w:rsidRDefault="0021488F">
            <w:pPr>
              <w:jc w:val="left"/>
            </w:pPr>
            <w:r>
              <w:rPr>
                <w:rFonts w:eastAsiaTheme="minorEastAsia"/>
                <w:color w:val="000000" w:themeColor="text1"/>
                <w:szCs w:val="21"/>
              </w:rPr>
              <w:t>过去三个月</w:t>
            </w:r>
          </w:p>
        </w:tc>
        <w:tc>
          <w:tcPr>
            <w:tcW w:w="1291" w:type="dxa"/>
            <w:vAlign w:val="center"/>
          </w:tcPr>
          <w:p w:rsidR="00CB1D6F" w:rsidRDefault="0021488F">
            <w:pPr>
              <w:jc w:val="center"/>
            </w:pPr>
            <w:r>
              <w:rPr>
                <w:rFonts w:eastAsiaTheme="minorEastAsia"/>
                <w:color w:val="000000" w:themeColor="text1"/>
                <w:szCs w:val="21"/>
              </w:rPr>
              <w:t>1.67%</w:t>
            </w:r>
          </w:p>
        </w:tc>
        <w:tc>
          <w:tcPr>
            <w:tcW w:w="1291" w:type="dxa"/>
            <w:vAlign w:val="center"/>
          </w:tcPr>
          <w:p w:rsidR="00CB1D6F" w:rsidRDefault="0021488F">
            <w:pPr>
              <w:jc w:val="center"/>
            </w:pPr>
            <w:r>
              <w:rPr>
                <w:rFonts w:eastAsiaTheme="minorEastAsia"/>
                <w:color w:val="000000" w:themeColor="text1"/>
                <w:szCs w:val="21"/>
              </w:rPr>
              <w:t>0.07%</w:t>
            </w:r>
          </w:p>
        </w:tc>
        <w:tc>
          <w:tcPr>
            <w:tcW w:w="1291" w:type="dxa"/>
            <w:vAlign w:val="center"/>
          </w:tcPr>
          <w:p w:rsidR="00CB1D6F" w:rsidRDefault="0021488F">
            <w:pPr>
              <w:jc w:val="center"/>
            </w:pPr>
            <w:r>
              <w:rPr>
                <w:rFonts w:eastAsiaTheme="minorEastAsia"/>
                <w:color w:val="000000" w:themeColor="text1"/>
                <w:szCs w:val="21"/>
              </w:rPr>
              <w:t>0.58%</w:t>
            </w:r>
          </w:p>
        </w:tc>
        <w:tc>
          <w:tcPr>
            <w:tcW w:w="1291" w:type="dxa"/>
            <w:vAlign w:val="center"/>
          </w:tcPr>
          <w:p w:rsidR="00CB1D6F" w:rsidRDefault="0021488F">
            <w:pPr>
              <w:jc w:val="center"/>
            </w:pPr>
            <w:r>
              <w:rPr>
                <w:rFonts w:eastAsiaTheme="minorEastAsia"/>
                <w:color w:val="000000" w:themeColor="text1"/>
                <w:szCs w:val="21"/>
              </w:rPr>
              <w:t>0.01%</w:t>
            </w:r>
          </w:p>
        </w:tc>
        <w:tc>
          <w:tcPr>
            <w:tcW w:w="1291" w:type="dxa"/>
            <w:vAlign w:val="center"/>
          </w:tcPr>
          <w:p w:rsidR="00CB1D6F" w:rsidRDefault="0021488F">
            <w:pPr>
              <w:jc w:val="center"/>
            </w:pPr>
            <w:r>
              <w:rPr>
                <w:rFonts w:eastAsiaTheme="minorEastAsia"/>
                <w:color w:val="000000" w:themeColor="text1"/>
                <w:szCs w:val="21"/>
              </w:rPr>
              <w:t>1.09%</w:t>
            </w:r>
          </w:p>
        </w:tc>
        <w:tc>
          <w:tcPr>
            <w:tcW w:w="1291" w:type="dxa"/>
            <w:vAlign w:val="center"/>
          </w:tcPr>
          <w:p w:rsidR="00CB1D6F" w:rsidRDefault="0021488F">
            <w:pPr>
              <w:jc w:val="center"/>
            </w:pPr>
            <w:r>
              <w:rPr>
                <w:rFonts w:eastAsiaTheme="minorEastAsia"/>
                <w:color w:val="000000" w:themeColor="text1"/>
                <w:szCs w:val="21"/>
              </w:rPr>
              <w:t>0.06%</w:t>
            </w:r>
          </w:p>
        </w:tc>
      </w:tr>
    </w:tbl>
    <w:p w:rsidR="00CB1D6F" w:rsidRDefault="00CB1D6F">
      <w:pPr>
        <w:autoSpaceDE w:val="0"/>
        <w:autoSpaceDN w:val="0"/>
        <w:adjustRightInd w:val="0"/>
        <w:spacing w:line="360" w:lineRule="auto"/>
        <w:jc w:val="left"/>
        <w:rPr>
          <w:rFonts w:eastAsiaTheme="minorEastAsia"/>
          <w:color w:val="000000" w:themeColor="text1"/>
          <w:szCs w:val="21"/>
        </w:rPr>
      </w:pPr>
    </w:p>
    <w:p w:rsidR="00CB1D6F" w:rsidRDefault="0021488F">
      <w:pPr>
        <w:spacing w:line="360" w:lineRule="auto"/>
        <w:rPr>
          <w:rFonts w:eastAsiaTheme="minorEastAsia"/>
          <w:b/>
          <w:color w:val="000000" w:themeColor="text1"/>
          <w:szCs w:val="21"/>
        </w:rPr>
      </w:pPr>
      <w:r>
        <w:rPr>
          <w:rFonts w:eastAsiaTheme="minorEastAsia"/>
          <w:b/>
          <w:color w:val="000000" w:themeColor="text1"/>
          <w:szCs w:val="21"/>
        </w:rPr>
        <w:t>3</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C</w:t>
      </w:r>
      <w:r>
        <w:rPr>
          <w:rFonts w:eastAsiaTheme="minorEastAsia"/>
          <w:b/>
          <w:color w:val="000000" w:themeColor="text1"/>
          <w:szCs w:val="21"/>
        </w:rPr>
        <w:t>：</w:t>
      </w:r>
    </w:p>
    <w:tbl>
      <w:tblPr>
        <w:tblStyle w:val="af6"/>
        <w:tblW w:w="9036" w:type="dxa"/>
        <w:tblLayout w:type="fixed"/>
        <w:tblLook w:val="04A0"/>
      </w:tblPr>
      <w:tblGrid>
        <w:gridCol w:w="1290"/>
        <w:gridCol w:w="1291"/>
        <w:gridCol w:w="1291"/>
        <w:gridCol w:w="1291"/>
        <w:gridCol w:w="1291"/>
        <w:gridCol w:w="1291"/>
        <w:gridCol w:w="1291"/>
      </w:tblGrid>
      <w:tr w:rsidR="00CB1D6F">
        <w:tc>
          <w:tcPr>
            <w:tcW w:w="1290"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B1D6F">
        <w:tc>
          <w:tcPr>
            <w:tcW w:w="1290" w:type="dxa"/>
            <w:vAlign w:val="center"/>
          </w:tcPr>
          <w:p w:rsidR="00CB1D6F" w:rsidRDefault="0021488F">
            <w:pPr>
              <w:jc w:val="left"/>
            </w:pPr>
            <w:r>
              <w:rPr>
                <w:rFonts w:eastAsiaTheme="minorEastAsia"/>
                <w:color w:val="000000" w:themeColor="text1"/>
                <w:szCs w:val="21"/>
              </w:rPr>
              <w:t>过去三个月</w:t>
            </w:r>
          </w:p>
        </w:tc>
        <w:tc>
          <w:tcPr>
            <w:tcW w:w="1291" w:type="dxa"/>
            <w:vAlign w:val="center"/>
          </w:tcPr>
          <w:p w:rsidR="00CB1D6F" w:rsidRDefault="0021488F">
            <w:pPr>
              <w:jc w:val="center"/>
            </w:pPr>
            <w:r>
              <w:rPr>
                <w:rFonts w:eastAsiaTheme="minorEastAsia"/>
                <w:color w:val="000000" w:themeColor="text1"/>
                <w:szCs w:val="21"/>
              </w:rPr>
              <w:t>1.59%</w:t>
            </w:r>
          </w:p>
        </w:tc>
        <w:tc>
          <w:tcPr>
            <w:tcW w:w="1291" w:type="dxa"/>
            <w:vAlign w:val="center"/>
          </w:tcPr>
          <w:p w:rsidR="00CB1D6F" w:rsidRDefault="0021488F">
            <w:pPr>
              <w:jc w:val="center"/>
            </w:pPr>
            <w:r>
              <w:rPr>
                <w:rFonts w:eastAsiaTheme="minorEastAsia"/>
                <w:color w:val="000000" w:themeColor="text1"/>
                <w:szCs w:val="21"/>
              </w:rPr>
              <w:t>0.07%</w:t>
            </w:r>
          </w:p>
        </w:tc>
        <w:tc>
          <w:tcPr>
            <w:tcW w:w="1291" w:type="dxa"/>
            <w:vAlign w:val="center"/>
          </w:tcPr>
          <w:p w:rsidR="00CB1D6F" w:rsidRDefault="0021488F">
            <w:pPr>
              <w:jc w:val="center"/>
            </w:pPr>
            <w:r>
              <w:rPr>
                <w:rFonts w:eastAsiaTheme="minorEastAsia"/>
                <w:color w:val="000000" w:themeColor="text1"/>
                <w:szCs w:val="21"/>
              </w:rPr>
              <w:t>0.58%</w:t>
            </w:r>
          </w:p>
        </w:tc>
        <w:tc>
          <w:tcPr>
            <w:tcW w:w="1291" w:type="dxa"/>
            <w:vAlign w:val="center"/>
          </w:tcPr>
          <w:p w:rsidR="00CB1D6F" w:rsidRDefault="0021488F">
            <w:pPr>
              <w:jc w:val="center"/>
            </w:pPr>
            <w:r>
              <w:rPr>
                <w:rFonts w:eastAsiaTheme="minorEastAsia"/>
                <w:color w:val="000000" w:themeColor="text1"/>
                <w:szCs w:val="21"/>
              </w:rPr>
              <w:t>0.01%</w:t>
            </w:r>
          </w:p>
        </w:tc>
        <w:tc>
          <w:tcPr>
            <w:tcW w:w="1291" w:type="dxa"/>
            <w:vAlign w:val="center"/>
          </w:tcPr>
          <w:p w:rsidR="00CB1D6F" w:rsidRDefault="0021488F">
            <w:pPr>
              <w:jc w:val="center"/>
            </w:pPr>
            <w:r>
              <w:rPr>
                <w:rFonts w:eastAsiaTheme="minorEastAsia"/>
                <w:color w:val="000000" w:themeColor="text1"/>
                <w:szCs w:val="21"/>
              </w:rPr>
              <w:t>1.01%</w:t>
            </w:r>
          </w:p>
        </w:tc>
        <w:tc>
          <w:tcPr>
            <w:tcW w:w="1291" w:type="dxa"/>
            <w:vAlign w:val="center"/>
          </w:tcPr>
          <w:p w:rsidR="00CB1D6F" w:rsidRDefault="0021488F">
            <w:pPr>
              <w:jc w:val="center"/>
            </w:pPr>
            <w:r>
              <w:rPr>
                <w:rFonts w:eastAsiaTheme="minorEastAsia"/>
                <w:color w:val="000000" w:themeColor="text1"/>
                <w:szCs w:val="21"/>
              </w:rPr>
              <w:t>0.06%</w:t>
            </w:r>
          </w:p>
        </w:tc>
      </w:tr>
    </w:tbl>
    <w:p w:rsidR="00CB1D6F" w:rsidRDefault="00CB1D6F">
      <w:pPr>
        <w:pStyle w:val="20"/>
        <w:spacing w:line="288" w:lineRule="auto"/>
        <w:ind w:firstLineChars="0" w:firstLine="0"/>
        <w:rPr>
          <w:rFonts w:ascii="Times New Roman" w:eastAsiaTheme="minorEastAsia" w:hAnsi="Times New Roman"/>
          <w:color w:val="000000" w:themeColor="text1"/>
          <w:sz w:val="21"/>
          <w:szCs w:val="21"/>
        </w:rPr>
      </w:pPr>
    </w:p>
    <w:p w:rsidR="00CB1D6F" w:rsidRDefault="0021488F">
      <w:pPr>
        <w:adjustRightInd w:val="0"/>
        <w:spacing w:line="360" w:lineRule="auto"/>
        <w:rPr>
          <w:rFonts w:eastAsiaTheme="minorEastAsia"/>
          <w:b/>
          <w:color w:val="000000" w:themeColor="text1"/>
          <w:kern w:val="0"/>
          <w:szCs w:val="21"/>
        </w:rPr>
      </w:pPr>
      <w:r>
        <w:rPr>
          <w:rFonts w:eastAsiaTheme="minorEastAsia"/>
          <w:b/>
          <w:color w:val="000000" w:themeColor="text1"/>
          <w:szCs w:val="21"/>
        </w:rPr>
        <w:t>4</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D</w:t>
      </w:r>
      <w:r>
        <w:rPr>
          <w:rFonts w:eastAsiaTheme="minorEastAsia"/>
          <w:b/>
          <w:color w:val="000000" w:themeColor="text1"/>
          <w:kern w:val="0"/>
          <w:szCs w:val="21"/>
        </w:rPr>
        <w:t>：</w:t>
      </w:r>
    </w:p>
    <w:tbl>
      <w:tblPr>
        <w:tblStyle w:val="af6"/>
        <w:tblW w:w="9036" w:type="dxa"/>
        <w:tblLayout w:type="fixed"/>
        <w:tblLook w:val="04A0"/>
      </w:tblPr>
      <w:tblGrid>
        <w:gridCol w:w="1290"/>
        <w:gridCol w:w="1291"/>
        <w:gridCol w:w="1291"/>
        <w:gridCol w:w="1291"/>
        <w:gridCol w:w="1291"/>
        <w:gridCol w:w="1291"/>
        <w:gridCol w:w="1291"/>
      </w:tblGrid>
      <w:tr w:rsidR="00CB1D6F">
        <w:tc>
          <w:tcPr>
            <w:tcW w:w="1290"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B1D6F" w:rsidRDefault="002148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B1D6F" w:rsidRDefault="002148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B1D6F" w:rsidRDefault="002148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B1D6F">
        <w:tc>
          <w:tcPr>
            <w:tcW w:w="1290" w:type="dxa"/>
            <w:vAlign w:val="center"/>
          </w:tcPr>
          <w:p w:rsidR="00CB1D6F" w:rsidRDefault="0021488F">
            <w:pPr>
              <w:jc w:val="left"/>
            </w:pPr>
            <w:r>
              <w:rPr>
                <w:rFonts w:eastAsiaTheme="minorEastAsia"/>
                <w:color w:val="000000" w:themeColor="text1"/>
                <w:szCs w:val="21"/>
              </w:rPr>
              <w:t>过去三个月</w:t>
            </w:r>
          </w:p>
        </w:tc>
        <w:tc>
          <w:tcPr>
            <w:tcW w:w="1291" w:type="dxa"/>
            <w:vAlign w:val="center"/>
          </w:tcPr>
          <w:p w:rsidR="00CB1D6F" w:rsidRDefault="0021488F">
            <w:pPr>
              <w:jc w:val="center"/>
            </w:pPr>
            <w:r>
              <w:rPr>
                <w:rFonts w:eastAsiaTheme="minorEastAsia"/>
                <w:color w:val="000000" w:themeColor="text1"/>
                <w:szCs w:val="21"/>
              </w:rPr>
              <w:t>1.67%</w:t>
            </w:r>
          </w:p>
        </w:tc>
        <w:tc>
          <w:tcPr>
            <w:tcW w:w="1291" w:type="dxa"/>
            <w:vAlign w:val="center"/>
          </w:tcPr>
          <w:p w:rsidR="00CB1D6F" w:rsidRDefault="0021488F">
            <w:pPr>
              <w:jc w:val="center"/>
            </w:pPr>
            <w:r>
              <w:rPr>
                <w:rFonts w:eastAsiaTheme="minorEastAsia"/>
                <w:color w:val="000000" w:themeColor="text1"/>
                <w:szCs w:val="21"/>
              </w:rPr>
              <w:t>0.07%</w:t>
            </w:r>
          </w:p>
        </w:tc>
        <w:tc>
          <w:tcPr>
            <w:tcW w:w="1291" w:type="dxa"/>
            <w:vAlign w:val="center"/>
          </w:tcPr>
          <w:p w:rsidR="00CB1D6F" w:rsidRDefault="0021488F">
            <w:pPr>
              <w:jc w:val="center"/>
            </w:pPr>
            <w:r>
              <w:rPr>
                <w:rFonts w:eastAsiaTheme="minorEastAsia"/>
                <w:color w:val="000000" w:themeColor="text1"/>
                <w:szCs w:val="21"/>
              </w:rPr>
              <w:t>0.58%</w:t>
            </w:r>
          </w:p>
        </w:tc>
        <w:tc>
          <w:tcPr>
            <w:tcW w:w="1291" w:type="dxa"/>
            <w:vAlign w:val="center"/>
          </w:tcPr>
          <w:p w:rsidR="00CB1D6F" w:rsidRDefault="0021488F">
            <w:pPr>
              <w:jc w:val="center"/>
            </w:pPr>
            <w:r>
              <w:rPr>
                <w:rFonts w:eastAsiaTheme="minorEastAsia"/>
                <w:color w:val="000000" w:themeColor="text1"/>
                <w:szCs w:val="21"/>
              </w:rPr>
              <w:t>0.01%</w:t>
            </w:r>
          </w:p>
        </w:tc>
        <w:tc>
          <w:tcPr>
            <w:tcW w:w="1291" w:type="dxa"/>
            <w:vAlign w:val="center"/>
          </w:tcPr>
          <w:p w:rsidR="00CB1D6F" w:rsidRDefault="0021488F">
            <w:pPr>
              <w:jc w:val="center"/>
            </w:pPr>
            <w:r>
              <w:rPr>
                <w:rFonts w:eastAsiaTheme="minorEastAsia"/>
                <w:color w:val="000000" w:themeColor="text1"/>
                <w:szCs w:val="21"/>
              </w:rPr>
              <w:t>1.09%</w:t>
            </w:r>
          </w:p>
        </w:tc>
        <w:tc>
          <w:tcPr>
            <w:tcW w:w="1291" w:type="dxa"/>
            <w:vAlign w:val="center"/>
          </w:tcPr>
          <w:p w:rsidR="00CB1D6F" w:rsidRDefault="0021488F">
            <w:pPr>
              <w:jc w:val="center"/>
            </w:pPr>
            <w:r>
              <w:rPr>
                <w:rFonts w:eastAsiaTheme="minorEastAsia"/>
                <w:color w:val="000000" w:themeColor="text1"/>
                <w:szCs w:val="21"/>
              </w:rPr>
              <w:t>0.06%</w:t>
            </w:r>
          </w:p>
        </w:tc>
      </w:tr>
    </w:tbl>
    <w:p w:rsidR="00CB1D6F" w:rsidRDefault="00CB1D6F">
      <w:pPr>
        <w:autoSpaceDE w:val="0"/>
        <w:autoSpaceDN w:val="0"/>
        <w:adjustRightInd w:val="0"/>
        <w:spacing w:before="29" w:line="288" w:lineRule="auto"/>
        <w:ind w:left="15"/>
        <w:jc w:val="left"/>
        <w:rPr>
          <w:rFonts w:asciiTheme="minorEastAsia" w:eastAsiaTheme="minorEastAsia" w:hAnsiTheme="minorEastAsia" w:cs="Arial"/>
          <w:b/>
          <w:color w:val="000000" w:themeColor="text1"/>
          <w:kern w:val="0"/>
          <w:sz w:val="24"/>
        </w:rPr>
      </w:pPr>
    </w:p>
    <w:p w:rsidR="00CB1D6F" w:rsidRDefault="0021488F">
      <w:pPr>
        <w:spacing w:line="360" w:lineRule="auto"/>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3.2.2</w:t>
      </w:r>
      <w:r>
        <w:rPr>
          <w:rStyle w:val="af1"/>
          <w:rFonts w:hint="eastAsia"/>
          <w:color w:val="000000" w:themeColor="text1"/>
          <w:szCs w:val="21"/>
          <w:shd w:val="clear" w:color="auto" w:fill="FFFFFF"/>
        </w:rPr>
        <w:t>自基金合同生效以来</w:t>
      </w:r>
      <w:r>
        <w:rPr>
          <w:rFonts w:asciiTheme="minorEastAsia" w:eastAsiaTheme="minorEastAsia" w:hAnsiTheme="minorEastAsia" w:hint="eastAsia"/>
          <w:b/>
          <w:color w:val="000000" w:themeColor="text1"/>
          <w:szCs w:val="21"/>
        </w:rPr>
        <w:t>基金累计净值增长率变动及其与同期业绩比较基准收益率变动的比较</w:t>
      </w:r>
    </w:p>
    <w:p w:rsidR="00CB1D6F" w:rsidRDefault="0021488F">
      <w:pPr>
        <w:spacing w:line="360" w:lineRule="auto"/>
        <w:jc w:val="center"/>
        <w:rPr>
          <w:rFonts w:asciiTheme="minorEastAsia" w:eastAsiaTheme="minorEastAsia" w:hAnsiTheme="minorEastAsia"/>
          <w:color w:val="000000" w:themeColor="text1"/>
          <w:szCs w:val="21"/>
        </w:rPr>
      </w:pPr>
      <w:r>
        <w:rPr>
          <w:rFonts w:eastAsiaTheme="minorEastAsia"/>
          <w:color w:val="000000" w:themeColor="text1"/>
          <w:szCs w:val="21"/>
        </w:rPr>
        <w:t>上投摩根岁岁盈定期开放债券型证券投资基金</w:t>
      </w:r>
    </w:p>
    <w:p w:rsidR="00CB1D6F" w:rsidRDefault="0021488F">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累计净值增长率与业绩比较基准收益率的历史走势对比图</w:t>
      </w:r>
    </w:p>
    <w:p w:rsidR="00CB1D6F" w:rsidRDefault="0021488F">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(2013</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28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CB1D6F" w:rsidRDefault="0021488F">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．上投摩根岁岁盈定期开放债券</w:t>
      </w:r>
      <w:r>
        <w:rPr>
          <w:rFonts w:eastAsiaTheme="minorEastAsia"/>
          <w:color w:val="000000" w:themeColor="text1"/>
          <w:szCs w:val="21"/>
        </w:rPr>
        <w:t>A</w:t>
      </w:r>
      <w:r>
        <w:rPr>
          <w:rFonts w:eastAsiaTheme="minorEastAsia"/>
          <w:color w:val="000000" w:themeColor="text1"/>
          <w:szCs w:val="21"/>
        </w:rPr>
        <w:t>：</w:t>
      </w:r>
    </w:p>
    <w:p w:rsidR="00CB1D6F" w:rsidRDefault="0021488F">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本基金合同生效日为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日，图示时间段为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9</w:t>
      </w:r>
      <w:r>
        <w:rPr>
          <w:rFonts w:eastAsiaTheme="minorEastAsia"/>
          <w:color w:val="000000" w:themeColor="text1"/>
          <w:sz w:val="18"/>
          <w:szCs w:val="18"/>
        </w:rPr>
        <w:t>月</w:t>
      </w:r>
      <w:r>
        <w:rPr>
          <w:rFonts w:eastAsiaTheme="minorEastAsia"/>
          <w:color w:val="000000" w:themeColor="text1"/>
          <w:sz w:val="18"/>
          <w:szCs w:val="18"/>
        </w:rPr>
        <w:t>30</w:t>
      </w:r>
      <w:r>
        <w:rPr>
          <w:rFonts w:eastAsiaTheme="minorEastAsia"/>
          <w:color w:val="000000" w:themeColor="text1"/>
          <w:sz w:val="18"/>
          <w:szCs w:val="18"/>
        </w:rPr>
        <w:t>日。</w:t>
      </w:r>
    </w:p>
    <w:p w:rsidR="00CB1D6F" w:rsidRDefault="00CB1D6F">
      <w:pPr>
        <w:pStyle w:val="20"/>
        <w:spacing w:line="288" w:lineRule="auto"/>
        <w:ind w:firstLineChars="0" w:firstLine="0"/>
        <w:rPr>
          <w:rFonts w:ascii="Times New Roman" w:eastAsiaTheme="minorEastAsia" w:hAnsi="Times New Roman"/>
          <w:color w:val="000000" w:themeColor="text1"/>
        </w:rPr>
      </w:pPr>
    </w:p>
    <w:p w:rsidR="00CB1D6F" w:rsidRDefault="0021488F">
      <w:pPr>
        <w:snapToGrid w:val="0"/>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．上投摩根岁岁盈定期开放债券</w:t>
      </w:r>
      <w:r>
        <w:rPr>
          <w:rFonts w:eastAsiaTheme="minorEastAsia"/>
          <w:color w:val="000000" w:themeColor="text1"/>
          <w:szCs w:val="21"/>
        </w:rPr>
        <w:t>B</w:t>
      </w:r>
      <w:r>
        <w:rPr>
          <w:rFonts w:eastAsiaTheme="minorEastAsia"/>
          <w:color w:val="000000" w:themeColor="text1"/>
          <w:szCs w:val="21"/>
        </w:rPr>
        <w:t>：</w:t>
      </w:r>
    </w:p>
    <w:p w:rsidR="00CB1D6F" w:rsidRDefault="0021488F">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本类份额生效日为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日，图示时间段为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9</w:t>
      </w:r>
      <w:r>
        <w:rPr>
          <w:rFonts w:eastAsiaTheme="minorEastAsia"/>
          <w:color w:val="000000" w:themeColor="text1"/>
          <w:sz w:val="18"/>
          <w:szCs w:val="18"/>
        </w:rPr>
        <w:t>月</w:t>
      </w:r>
      <w:r>
        <w:rPr>
          <w:rFonts w:eastAsiaTheme="minorEastAsia"/>
          <w:color w:val="000000" w:themeColor="text1"/>
          <w:sz w:val="18"/>
          <w:szCs w:val="18"/>
        </w:rPr>
        <w:t>30</w:t>
      </w:r>
      <w:r>
        <w:rPr>
          <w:rFonts w:eastAsiaTheme="minorEastAsia"/>
          <w:color w:val="000000" w:themeColor="text1"/>
          <w:sz w:val="18"/>
          <w:szCs w:val="18"/>
        </w:rPr>
        <w:t>日。</w:t>
      </w:r>
    </w:p>
    <w:p w:rsidR="00CB1D6F" w:rsidRDefault="0021488F">
      <w:pPr>
        <w:snapToGrid w:val="0"/>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．上投摩根岁岁盈定期开放债券</w:t>
      </w:r>
      <w:r>
        <w:rPr>
          <w:rFonts w:eastAsiaTheme="minorEastAsia"/>
          <w:color w:val="000000" w:themeColor="text1"/>
          <w:szCs w:val="21"/>
        </w:rPr>
        <w:t>C</w:t>
      </w:r>
      <w:r>
        <w:rPr>
          <w:rFonts w:eastAsiaTheme="minorEastAsia"/>
          <w:color w:val="000000" w:themeColor="text1"/>
          <w:szCs w:val="21"/>
        </w:rPr>
        <w:t>：</w:t>
      </w:r>
    </w:p>
    <w:p w:rsidR="00CB1D6F" w:rsidRDefault="0021488F">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600700" cy="3280938"/>
                    </a:xfrm>
                    <a:prstGeom prst="rect">
                      <a:avLst/>
                    </a:prstGeom>
                    <a:noFill/>
                    <a:ln>
                      <a:noFill/>
                    </a:ln>
                  </pic:spPr>
                </pic:pic>
              </a:graphicData>
            </a:graphic>
          </wp:inline>
        </w:drawing>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本基金合同生效日为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日，图示时间段为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9</w:t>
      </w:r>
      <w:r>
        <w:rPr>
          <w:rFonts w:eastAsiaTheme="minorEastAsia"/>
          <w:color w:val="000000" w:themeColor="text1"/>
          <w:sz w:val="18"/>
          <w:szCs w:val="18"/>
        </w:rPr>
        <w:t>月</w:t>
      </w:r>
      <w:r>
        <w:rPr>
          <w:rFonts w:eastAsiaTheme="minorEastAsia"/>
          <w:color w:val="000000" w:themeColor="text1"/>
          <w:sz w:val="18"/>
          <w:szCs w:val="18"/>
        </w:rPr>
        <w:t>30</w:t>
      </w:r>
      <w:r>
        <w:rPr>
          <w:rFonts w:eastAsiaTheme="minorEastAsia"/>
          <w:color w:val="000000" w:themeColor="text1"/>
          <w:sz w:val="18"/>
          <w:szCs w:val="18"/>
        </w:rPr>
        <w:t>日。</w:t>
      </w:r>
    </w:p>
    <w:p w:rsidR="00CB1D6F" w:rsidRDefault="00CB1D6F">
      <w:pPr>
        <w:pStyle w:val="20"/>
        <w:spacing w:line="288" w:lineRule="auto"/>
        <w:ind w:firstLineChars="0" w:firstLine="0"/>
        <w:rPr>
          <w:rFonts w:ascii="Times New Roman" w:eastAsiaTheme="minorEastAsia" w:hAnsi="Times New Roman"/>
          <w:color w:val="000000" w:themeColor="text1"/>
        </w:rPr>
      </w:pPr>
    </w:p>
    <w:p w:rsidR="00CB1D6F" w:rsidRDefault="0021488F">
      <w:pPr>
        <w:snapToGrid w:val="0"/>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．上投摩根岁岁盈定期开放债券</w:t>
      </w:r>
      <w:r>
        <w:rPr>
          <w:rFonts w:eastAsiaTheme="minorEastAsia"/>
          <w:color w:val="000000" w:themeColor="text1"/>
          <w:szCs w:val="21"/>
        </w:rPr>
        <w:t>D</w:t>
      </w:r>
      <w:r>
        <w:rPr>
          <w:rFonts w:eastAsiaTheme="minorEastAsia"/>
          <w:color w:val="000000" w:themeColor="text1"/>
          <w:szCs w:val="21"/>
        </w:rPr>
        <w:t>：</w:t>
      </w:r>
    </w:p>
    <w:p w:rsidR="00CB1D6F" w:rsidRDefault="0021488F">
      <w:pPr>
        <w:pStyle w:val="20"/>
        <w:spacing w:line="288"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b/>
          <w:noProof/>
          <w:color w:val="000000" w:themeColor="text1"/>
        </w:rPr>
        <w:drawing>
          <wp:inline distT="0" distB="0" distL="0" distR="0">
            <wp:extent cx="5600700" cy="3279775"/>
            <wp:effectExtent l="0" t="0" r="0" b="0"/>
            <wp:docPr id="1" name="图片 1"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4.jpg"/>
                    <pic:cNvPicPr>
                      <a:picLocks noChangeAspect="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CB1D6F" w:rsidRDefault="0021488F">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本类份额生效日为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日，图示时间段为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9</w:t>
      </w:r>
      <w:r>
        <w:rPr>
          <w:rFonts w:eastAsiaTheme="minorEastAsia"/>
          <w:color w:val="000000" w:themeColor="text1"/>
          <w:sz w:val="18"/>
          <w:szCs w:val="18"/>
        </w:rPr>
        <w:t>月</w:t>
      </w:r>
      <w:r>
        <w:rPr>
          <w:rFonts w:eastAsiaTheme="minorEastAsia"/>
          <w:color w:val="000000" w:themeColor="text1"/>
          <w:sz w:val="18"/>
          <w:szCs w:val="18"/>
        </w:rPr>
        <w:t>30</w:t>
      </w:r>
      <w:r>
        <w:rPr>
          <w:rFonts w:eastAsiaTheme="minorEastAsia"/>
          <w:color w:val="000000" w:themeColor="text1"/>
          <w:sz w:val="18"/>
          <w:szCs w:val="18"/>
        </w:rPr>
        <w:t>日。</w:t>
      </w:r>
    </w:p>
    <w:p w:rsidR="00CB1D6F" w:rsidRDefault="00CB1D6F">
      <w:pPr>
        <w:spacing w:line="360" w:lineRule="auto"/>
        <w:ind w:firstLineChars="200" w:firstLine="360"/>
        <w:rPr>
          <w:rFonts w:eastAsiaTheme="minorEastAsia"/>
          <w:color w:val="000000" w:themeColor="text1"/>
          <w:sz w:val="18"/>
          <w:szCs w:val="18"/>
        </w:rPr>
      </w:pPr>
    </w:p>
    <w:p w:rsidR="00CB1D6F" w:rsidRDefault="00CB1D6F">
      <w:pPr>
        <w:pStyle w:val="20"/>
        <w:spacing w:line="288" w:lineRule="auto"/>
        <w:ind w:firstLineChars="0" w:firstLine="0"/>
        <w:jc w:val="left"/>
        <w:rPr>
          <w:rFonts w:asciiTheme="minorEastAsia" w:eastAsiaTheme="minorEastAsia" w:hAnsiTheme="minorEastAsia"/>
          <w:color w:val="000000" w:themeColor="text1"/>
        </w:rPr>
      </w:pPr>
    </w:p>
    <w:p w:rsidR="00CB1D6F" w:rsidRDefault="0021488F" w:rsidP="005B7C25">
      <w:pPr>
        <w:pStyle w:val="1"/>
        <w:spacing w:beforeLines="100" w:afterLines="100" w:line="360" w:lineRule="auto"/>
        <w:jc w:val="center"/>
        <w:rPr>
          <w:rFonts w:ascii="宋体" w:hAnsi="宋体" w:cs="Arial"/>
          <w:color w:val="000000" w:themeColor="text1"/>
          <w:kern w:val="0"/>
          <w:sz w:val="28"/>
          <w:szCs w:val="28"/>
        </w:rPr>
      </w:pPr>
      <w:r>
        <w:rPr>
          <w:rFonts w:ascii="宋体" w:hAnsi="宋体" w:cs="Arial" w:hint="eastAsia"/>
          <w:color w:val="000000" w:themeColor="text1"/>
          <w:kern w:val="0"/>
          <w:sz w:val="28"/>
          <w:szCs w:val="28"/>
        </w:rPr>
        <w:t>§</w:t>
      </w:r>
      <w:r>
        <w:rPr>
          <w:color w:val="000000" w:themeColor="text1"/>
          <w:kern w:val="0"/>
          <w:sz w:val="28"/>
          <w:szCs w:val="28"/>
        </w:rPr>
        <w:t>4</w:t>
      </w:r>
      <w:r>
        <w:rPr>
          <w:rFonts w:ascii="宋体" w:hAnsi="宋体" w:cs="Arial" w:hint="eastAsia"/>
          <w:color w:val="000000" w:themeColor="text1"/>
          <w:kern w:val="0"/>
          <w:sz w:val="28"/>
          <w:szCs w:val="28"/>
        </w:rPr>
        <w:t>管理人报告</w:t>
      </w:r>
    </w:p>
    <w:p w:rsidR="00CB1D6F" w:rsidRDefault="0021488F">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4.1</w:t>
      </w:r>
      <w:r>
        <w:rPr>
          <w:rFonts w:ascii="宋体" w:hAnsi="宋体" w:cs="Arial" w:hint="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CB1D6F">
        <w:trPr>
          <w:cantSplit/>
        </w:trPr>
        <w:tc>
          <w:tcPr>
            <w:tcW w:w="952" w:type="dxa"/>
            <w:vMerge w:val="restart"/>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姓名</w:t>
            </w:r>
          </w:p>
        </w:tc>
        <w:tc>
          <w:tcPr>
            <w:tcW w:w="930" w:type="dxa"/>
            <w:vMerge w:val="restart"/>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职务</w:t>
            </w:r>
          </w:p>
        </w:tc>
        <w:tc>
          <w:tcPr>
            <w:tcW w:w="2519" w:type="dxa"/>
            <w:gridSpan w:val="2"/>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任本基金的基金经理期限</w:t>
            </w:r>
          </w:p>
        </w:tc>
        <w:tc>
          <w:tcPr>
            <w:tcW w:w="1254" w:type="dxa"/>
            <w:vMerge w:val="restart"/>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证券从业年限</w:t>
            </w:r>
          </w:p>
        </w:tc>
        <w:tc>
          <w:tcPr>
            <w:tcW w:w="3276" w:type="dxa"/>
            <w:vMerge w:val="restart"/>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说明</w:t>
            </w:r>
          </w:p>
        </w:tc>
      </w:tr>
      <w:tr w:rsidR="00CB1D6F">
        <w:trPr>
          <w:cantSplit/>
        </w:trPr>
        <w:tc>
          <w:tcPr>
            <w:tcW w:w="952" w:type="dxa"/>
            <w:vMerge/>
            <w:vAlign w:val="center"/>
          </w:tcPr>
          <w:p w:rsidR="00CB1D6F" w:rsidRDefault="00CB1D6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930" w:type="dxa"/>
            <w:vMerge/>
          </w:tcPr>
          <w:p w:rsidR="00CB1D6F" w:rsidRDefault="00CB1D6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1210"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任职日期</w:t>
            </w:r>
          </w:p>
        </w:tc>
        <w:tc>
          <w:tcPr>
            <w:tcW w:w="1309"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离任日期</w:t>
            </w:r>
          </w:p>
        </w:tc>
        <w:tc>
          <w:tcPr>
            <w:tcW w:w="1254" w:type="dxa"/>
            <w:vMerge/>
            <w:vAlign w:val="center"/>
          </w:tcPr>
          <w:p w:rsidR="00CB1D6F" w:rsidRDefault="00CB1D6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3276" w:type="dxa"/>
            <w:vMerge/>
            <w:vAlign w:val="center"/>
          </w:tcPr>
          <w:p w:rsidR="00CB1D6F" w:rsidRDefault="00CB1D6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r>
      <w:tr w:rsidR="00CB1D6F">
        <w:tc>
          <w:tcPr>
            <w:tcW w:w="952" w:type="dxa"/>
            <w:vAlign w:val="center"/>
          </w:tcPr>
          <w:p w:rsidR="00CB1D6F" w:rsidRDefault="0021488F">
            <w:pPr>
              <w:jc w:val="center"/>
            </w:pPr>
            <w:r>
              <w:rPr>
                <w:rFonts w:eastAsiaTheme="minorEastAsia"/>
                <w:color w:val="000000" w:themeColor="text1"/>
                <w:szCs w:val="21"/>
              </w:rPr>
              <w:t>刘阳</w:t>
            </w:r>
          </w:p>
        </w:tc>
        <w:tc>
          <w:tcPr>
            <w:tcW w:w="930" w:type="dxa"/>
            <w:vAlign w:val="center"/>
          </w:tcPr>
          <w:p w:rsidR="00CB1D6F" w:rsidRDefault="0021488F">
            <w:pPr>
              <w:jc w:val="center"/>
            </w:pPr>
            <w:r>
              <w:rPr>
                <w:rFonts w:eastAsiaTheme="minorEastAsia"/>
                <w:color w:val="000000" w:themeColor="text1"/>
                <w:szCs w:val="21"/>
              </w:rPr>
              <w:t>本基金基金经理</w:t>
            </w:r>
          </w:p>
        </w:tc>
        <w:tc>
          <w:tcPr>
            <w:tcW w:w="1210" w:type="dxa"/>
            <w:vAlign w:val="center"/>
          </w:tcPr>
          <w:p w:rsidR="00CB1D6F" w:rsidRDefault="0021488F">
            <w:pPr>
              <w:jc w:val="center"/>
            </w:pPr>
            <w:r>
              <w:rPr>
                <w:rFonts w:eastAsiaTheme="minorEastAsia"/>
                <w:color w:val="000000" w:themeColor="text1"/>
                <w:szCs w:val="21"/>
              </w:rPr>
              <w:t>2016-12-16</w:t>
            </w:r>
          </w:p>
        </w:tc>
        <w:tc>
          <w:tcPr>
            <w:tcW w:w="1309" w:type="dxa"/>
            <w:vAlign w:val="center"/>
          </w:tcPr>
          <w:p w:rsidR="00CB1D6F" w:rsidRDefault="0021488F">
            <w:pPr>
              <w:jc w:val="center"/>
            </w:pPr>
            <w:r>
              <w:rPr>
                <w:rFonts w:eastAsiaTheme="minorEastAsia"/>
                <w:color w:val="000000" w:themeColor="text1"/>
                <w:szCs w:val="21"/>
              </w:rPr>
              <w:t>-</w:t>
            </w:r>
          </w:p>
        </w:tc>
        <w:tc>
          <w:tcPr>
            <w:tcW w:w="1254" w:type="dxa"/>
            <w:vAlign w:val="center"/>
          </w:tcPr>
          <w:p w:rsidR="00CB1D6F" w:rsidRDefault="0021488F">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CB1D6F" w:rsidRDefault="0021488F">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月担任上投摩根纯债丰利债券型证券投资基金，自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月起同时担任上投摩根强化回报债券型证券投资基金基金经理及上投摩根岁岁盈定期开放债券型证券投资基金基金经理，自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月起同时担任上投摩根岁岁益定期开放债券型证券投资基金基金经理。</w:t>
            </w:r>
          </w:p>
        </w:tc>
      </w:tr>
      <w:tr w:rsidR="00CB1D6F">
        <w:tc>
          <w:tcPr>
            <w:tcW w:w="952" w:type="dxa"/>
            <w:vAlign w:val="center"/>
          </w:tcPr>
          <w:p w:rsidR="00CB1D6F" w:rsidRDefault="0021488F">
            <w:pPr>
              <w:jc w:val="center"/>
            </w:pPr>
            <w:r>
              <w:rPr>
                <w:rFonts w:eastAsiaTheme="minorEastAsia"/>
                <w:color w:val="000000" w:themeColor="text1"/>
                <w:szCs w:val="21"/>
              </w:rPr>
              <w:t>唐瑭</w:t>
            </w:r>
          </w:p>
        </w:tc>
        <w:tc>
          <w:tcPr>
            <w:tcW w:w="930" w:type="dxa"/>
            <w:vAlign w:val="center"/>
          </w:tcPr>
          <w:p w:rsidR="00CB1D6F" w:rsidRDefault="0021488F">
            <w:pPr>
              <w:jc w:val="center"/>
            </w:pPr>
            <w:r>
              <w:rPr>
                <w:rFonts w:eastAsiaTheme="minorEastAsia"/>
                <w:color w:val="000000" w:themeColor="text1"/>
                <w:szCs w:val="21"/>
              </w:rPr>
              <w:t>本基金基金经理</w:t>
            </w:r>
          </w:p>
        </w:tc>
        <w:tc>
          <w:tcPr>
            <w:tcW w:w="1210" w:type="dxa"/>
            <w:vAlign w:val="center"/>
          </w:tcPr>
          <w:p w:rsidR="00CB1D6F" w:rsidRDefault="0021488F">
            <w:pPr>
              <w:jc w:val="center"/>
            </w:pPr>
            <w:r>
              <w:rPr>
                <w:rFonts w:eastAsiaTheme="minorEastAsia"/>
                <w:color w:val="000000" w:themeColor="text1"/>
                <w:szCs w:val="21"/>
              </w:rPr>
              <w:t>2015-05-19</w:t>
            </w:r>
          </w:p>
        </w:tc>
        <w:tc>
          <w:tcPr>
            <w:tcW w:w="1309" w:type="dxa"/>
            <w:vAlign w:val="center"/>
          </w:tcPr>
          <w:p w:rsidR="00CB1D6F" w:rsidRDefault="0021488F">
            <w:pPr>
              <w:jc w:val="center"/>
            </w:pPr>
            <w:r>
              <w:rPr>
                <w:rFonts w:eastAsiaTheme="minorEastAsia"/>
                <w:color w:val="000000" w:themeColor="text1"/>
                <w:szCs w:val="21"/>
              </w:rPr>
              <w:t>-</w:t>
            </w:r>
          </w:p>
        </w:tc>
        <w:tc>
          <w:tcPr>
            <w:tcW w:w="1254" w:type="dxa"/>
            <w:vAlign w:val="center"/>
          </w:tcPr>
          <w:p w:rsidR="00CB1D6F" w:rsidRDefault="0021488F">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CB1D6F" w:rsidRDefault="0021488F">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月加入上投摩根基金管理有限公司，先后担任研究员及基金经理助理，自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月起同时担任上投摩根强化回报债券型证券投资基金和上投摩根轮动添利债券型证券投资基金基金经理，自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月起同时担任上投摩根安丰回报混合型证券投资基金基金经理及上投摩根安泽回报混合型证券投资基金基金经理，自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w:t>
            </w:r>
            <w:r>
              <w:rPr>
                <w:rFonts w:eastAsiaTheme="minorEastAsia" w:hint="eastAsia"/>
                <w:color w:val="000000" w:themeColor="text1"/>
                <w:szCs w:val="21"/>
              </w:rPr>
              <w:t>基金经理</w:t>
            </w:r>
            <w:r>
              <w:rPr>
                <w:rFonts w:eastAsiaTheme="minorEastAsia"/>
                <w:color w:val="000000" w:themeColor="text1"/>
                <w:szCs w:val="21"/>
              </w:rPr>
              <w:t>，</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月同时担任上投摩根安腾回报混合型证券投资基金基金经理。</w:t>
            </w:r>
          </w:p>
        </w:tc>
      </w:tr>
    </w:tbl>
    <w:p w:rsidR="00CB1D6F" w:rsidRDefault="0021488F">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注：</w:t>
      </w:r>
      <w:r>
        <w:rPr>
          <w:rFonts w:eastAsiaTheme="minorEastAsia"/>
          <w:color w:val="000000" w:themeColor="text1"/>
          <w:sz w:val="18"/>
          <w:szCs w:val="18"/>
        </w:rPr>
        <w:t>1.</w:t>
      </w:r>
      <w:r>
        <w:rPr>
          <w:rFonts w:eastAsiaTheme="minorEastAsia"/>
          <w:color w:val="000000" w:themeColor="text1"/>
          <w:sz w:val="18"/>
          <w:szCs w:val="18"/>
        </w:rPr>
        <w:t>任职日期和离任日期均指根据公司决定确定的聘任日期和解聘日期。</w:t>
      </w:r>
    </w:p>
    <w:p w:rsidR="00CB1D6F" w:rsidRDefault="0021488F">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2.</w:t>
      </w:r>
      <w:r>
        <w:rPr>
          <w:rFonts w:eastAsiaTheme="minorEastAsia"/>
          <w:color w:val="000000" w:themeColor="text1"/>
          <w:sz w:val="18"/>
          <w:szCs w:val="18"/>
        </w:rPr>
        <w:t>证券从业的含义遵从行业协会《证券业从业人员资格管理办法》的相关规定。</w:t>
      </w:r>
    </w:p>
    <w:p w:rsidR="00CB1D6F" w:rsidRDefault="00CB1D6F">
      <w:pPr>
        <w:pStyle w:val="20"/>
        <w:spacing w:line="288" w:lineRule="auto"/>
        <w:ind w:firstLineChars="0" w:firstLine="0"/>
        <w:rPr>
          <w:rFonts w:asciiTheme="minorEastAsia" w:eastAsiaTheme="minorEastAsia" w:hAnsiTheme="minorEastAsia"/>
          <w:color w:val="000000" w:themeColor="text1"/>
        </w:rPr>
      </w:pPr>
    </w:p>
    <w:p w:rsidR="00CB1D6F" w:rsidRDefault="0021488F">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4.2</w:t>
      </w:r>
      <w:r>
        <w:rPr>
          <w:rFonts w:hint="eastAsia"/>
          <w:b/>
          <w:color w:val="000000"/>
          <w:szCs w:val="21"/>
          <w:shd w:val="clear" w:color="auto" w:fill="FFFFFF"/>
        </w:rPr>
        <w:t>管理人对报告期内本基金运作遵规守信情况的说明</w:t>
      </w:r>
    </w:p>
    <w:p w:rsidR="00CB1D6F" w:rsidRDefault="0021488F">
      <w:pPr>
        <w:spacing w:line="360" w:lineRule="auto"/>
        <w:ind w:firstLineChars="250" w:firstLine="525"/>
        <w:rPr>
          <w:color w:val="000000" w:themeColor="text1"/>
          <w:szCs w:val="21"/>
        </w:rPr>
      </w:pPr>
      <w:r>
        <w:rPr>
          <w:color w:val="000000" w:themeColor="text1"/>
          <w:szCs w:val="21"/>
        </w:rPr>
        <w:t>在本报告期内，基金管理人不存在损害基金份额持有人利益的行为，勤勉尽责地为基金份额持有人谋求利益。基金管理人遵守了《证券投资基金法》及其他有关法律法规、《上投摩根岁岁盈定期开放债券型证券投资基金基金合同》的规定。基金经理对个股和投资组合的比例遵循了投资决策委员会的授权限制，基金投资比例符合基金合同和法律法规的要求。</w:t>
      </w: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Cs w:val="21"/>
        </w:rPr>
      </w:pPr>
    </w:p>
    <w:p w:rsidR="00CB1D6F" w:rsidRDefault="0021488F">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4.3</w:t>
      </w:r>
      <w:r>
        <w:rPr>
          <w:rFonts w:ascii="宋体" w:hAnsi="宋体" w:cs="Arial" w:hint="eastAsia"/>
          <w:b/>
          <w:color w:val="000000" w:themeColor="text1"/>
          <w:kern w:val="0"/>
          <w:szCs w:val="21"/>
        </w:rPr>
        <w:t>公平交易专项说明</w:t>
      </w:r>
    </w:p>
    <w:p w:rsidR="00CB1D6F" w:rsidRDefault="0021488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4.3.1 公平交易制度的执行情况</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CB1D6F" w:rsidRDefault="0021488F">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4.3.2 异常交易行为的专项说明</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CB1D6F" w:rsidRDefault="00CB1D6F">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4.4</w:t>
      </w:r>
      <w:r>
        <w:rPr>
          <w:rFonts w:asciiTheme="minorEastAsia" w:eastAsiaTheme="minorEastAsia" w:hAnsiTheme="minorEastAsia" w:cs="Arial" w:hint="eastAsia"/>
          <w:b/>
          <w:color w:val="000000" w:themeColor="text1"/>
          <w:kern w:val="0"/>
          <w:szCs w:val="21"/>
        </w:rPr>
        <w:t>报告期内基金的投资策略和业绩表现说明</w:t>
      </w:r>
    </w:p>
    <w:p w:rsidR="00CB1D6F" w:rsidRDefault="0021488F">
      <w:pPr>
        <w:spacing w:line="360" w:lineRule="auto"/>
        <w:rPr>
          <w:rFonts w:asciiTheme="minorEastAsia" w:eastAsiaTheme="minorEastAsia" w:hAnsiTheme="minorEastAsia"/>
          <w:b/>
          <w:color w:val="000000" w:themeColor="text1"/>
          <w:szCs w:val="21"/>
        </w:rPr>
      </w:pPr>
      <w:r>
        <w:rPr>
          <w:rFonts w:eastAsiaTheme="minorEastAsia"/>
          <w:b/>
          <w:color w:val="000000" w:themeColor="text1"/>
          <w:szCs w:val="21"/>
        </w:rPr>
        <w:t>4.4.1</w:t>
      </w:r>
      <w:r>
        <w:rPr>
          <w:rFonts w:asciiTheme="minorEastAsia" w:eastAsiaTheme="minorEastAsia" w:hAnsiTheme="minorEastAsia" w:hint="eastAsia"/>
          <w:b/>
          <w:color w:val="000000" w:themeColor="text1"/>
          <w:szCs w:val="21"/>
        </w:rPr>
        <w:t>报告期内基金投资策略和运作分析</w:t>
      </w:r>
    </w:p>
    <w:p w:rsidR="00CB1D6F" w:rsidRDefault="0021488F">
      <w:pPr>
        <w:spacing w:line="360" w:lineRule="auto"/>
        <w:ind w:firstLineChars="250" w:firstLine="525"/>
        <w:rPr>
          <w:rFonts w:eastAsiaTheme="minorEastAsia"/>
          <w:color w:val="000000" w:themeColor="text1"/>
          <w:szCs w:val="21"/>
        </w:rPr>
      </w:pPr>
      <w:r>
        <w:rPr>
          <w:rFonts w:eastAsiaTheme="minorEastAsia"/>
          <w:color w:val="000000" w:themeColor="text1"/>
          <w:szCs w:val="21"/>
        </w:rPr>
        <w:t>三季度债券市场波动加大，</w:t>
      </w:r>
      <w:r>
        <w:rPr>
          <w:rFonts w:eastAsiaTheme="minorEastAsia"/>
          <w:color w:val="000000" w:themeColor="text1"/>
          <w:szCs w:val="21"/>
        </w:rPr>
        <w:t>7</w:t>
      </w:r>
      <w:r>
        <w:rPr>
          <w:rFonts w:eastAsiaTheme="minorEastAsia"/>
          <w:color w:val="000000" w:themeColor="text1"/>
          <w:szCs w:val="21"/>
        </w:rPr>
        <w:t>月受益宽松资金面，收益率曲线在短端带动下整体大幅下行，</w:t>
      </w:r>
      <w:r>
        <w:rPr>
          <w:rFonts w:eastAsiaTheme="minorEastAsia"/>
          <w:color w:val="000000" w:themeColor="text1"/>
          <w:szCs w:val="21"/>
        </w:rPr>
        <w:t>8</w:t>
      </w:r>
      <w:r>
        <w:rPr>
          <w:rFonts w:eastAsiaTheme="minorEastAsia"/>
          <w:color w:val="000000" w:themeColor="text1"/>
          <w:szCs w:val="21"/>
        </w:rPr>
        <w:t>月后则持续向上整理调整。</w:t>
      </w:r>
      <w:r>
        <w:rPr>
          <w:rFonts w:eastAsiaTheme="minorEastAsia"/>
          <w:color w:val="000000" w:themeColor="text1"/>
          <w:szCs w:val="21"/>
        </w:rPr>
        <w:t>7</w:t>
      </w:r>
      <w:r>
        <w:rPr>
          <w:rFonts w:eastAsiaTheme="minorEastAsia"/>
          <w:color w:val="000000" w:themeColor="text1"/>
          <w:szCs w:val="21"/>
        </w:rPr>
        <w:t>月，央行月初定向降准释放</w:t>
      </w:r>
      <w:r>
        <w:rPr>
          <w:rFonts w:eastAsiaTheme="minorEastAsia"/>
          <w:color w:val="000000" w:themeColor="text1"/>
          <w:szCs w:val="21"/>
        </w:rPr>
        <w:t>7000</w:t>
      </w:r>
      <w:r>
        <w:rPr>
          <w:rFonts w:eastAsiaTheme="minorEastAsia"/>
          <w:color w:val="000000" w:themeColor="text1"/>
          <w:szCs w:val="21"/>
        </w:rPr>
        <w:t>亿资金，货币宽松程度进一步加码，资金利率大幅下降，收益率曲线呈现牛陡态势；</w:t>
      </w:r>
      <w:r>
        <w:rPr>
          <w:rFonts w:eastAsiaTheme="minorEastAsia"/>
          <w:color w:val="000000" w:themeColor="text1"/>
          <w:szCs w:val="21"/>
        </w:rPr>
        <w:t>8</w:t>
      </w:r>
      <w:r>
        <w:rPr>
          <w:rFonts w:eastAsiaTheme="minorEastAsia"/>
          <w:color w:val="000000" w:themeColor="text1"/>
          <w:szCs w:val="21"/>
        </w:rPr>
        <w:t>月，债券收益率出现较为明显的反弹，国常会、政治局会议均定调加大积极财政政策力度，减税降费刺激需求和基建投资加码的预期上升，长债利率承压；</w:t>
      </w:r>
      <w:r>
        <w:rPr>
          <w:rFonts w:eastAsiaTheme="minorEastAsia"/>
          <w:color w:val="000000" w:themeColor="text1"/>
          <w:szCs w:val="21"/>
        </w:rPr>
        <w:t>9</w:t>
      </w:r>
      <w:r>
        <w:rPr>
          <w:rFonts w:eastAsiaTheme="minorEastAsia"/>
          <w:color w:val="000000" w:themeColor="text1"/>
          <w:szCs w:val="21"/>
        </w:rPr>
        <w:t>月，利率债连续三周下跌，直到国庆节前一周小幅止跌反弹，地方债加速发行和通胀预期上升，债市整体陷入震荡。整体来看，三季度利空债市的因素集中释放：食品价格短期反弹抬升通胀预期；积极财政预期升温和随之加速的地方债供给，影响货币市场流动性的同时挤占配置型机构债券投资额度；</w:t>
      </w:r>
      <w:r>
        <w:rPr>
          <w:rFonts w:eastAsiaTheme="minorEastAsia"/>
          <w:color w:val="000000" w:themeColor="text1"/>
          <w:szCs w:val="21"/>
        </w:rPr>
        <w:t>9</w:t>
      </w:r>
      <w:r>
        <w:rPr>
          <w:rFonts w:eastAsiaTheme="minorEastAsia"/>
          <w:color w:val="000000" w:themeColor="text1"/>
          <w:szCs w:val="21"/>
        </w:rPr>
        <w:t>月美联储加息几无悬念制约国内货币宽松空间，中美利差收窄导致国内债市的相对投资价值下降。信用债市场三季度则延续分化格局，违约事件发生频率进一步上升，压制市场风险偏好，高等级国企债券跟随利率债先涨后跌，低等级债券尤其民企类债券流动性进一步走弱，信用利差相应走扩。在此背景下，本基金三季度坚持稳健操作，持续降低组合久期和杠杆水平，减持组合持有的信用债，提高利率债投资比例，阶段性参与了利率债交易。</w:t>
      </w:r>
    </w:p>
    <w:p w:rsidR="00CB1D6F" w:rsidRDefault="0021488F">
      <w:pPr>
        <w:spacing w:line="360" w:lineRule="auto"/>
        <w:ind w:firstLineChars="250" w:firstLine="525"/>
        <w:rPr>
          <w:rFonts w:eastAsiaTheme="minorEastAsia"/>
          <w:color w:val="000000" w:themeColor="text1"/>
          <w:szCs w:val="21"/>
        </w:rPr>
      </w:pPr>
      <w:r>
        <w:rPr>
          <w:rFonts w:eastAsiaTheme="minorEastAsia"/>
          <w:color w:val="000000" w:themeColor="text1"/>
          <w:szCs w:val="21"/>
        </w:rPr>
        <w:t>展望四季度，市场短期仍将处于震荡走势，食品和大宗商品价格上涨抬升通胀压力，美债收益率持续上行、中美利差收窄对国内流动性和债市的影响负面，经济基本面下行压力持续，但货币政策宽松力度存在制约，政策两难将导致市场波动性将进一步上升。本基金</w:t>
      </w:r>
      <w:r>
        <w:rPr>
          <w:rFonts w:eastAsiaTheme="minorEastAsia"/>
          <w:color w:val="000000" w:themeColor="text1"/>
          <w:szCs w:val="21"/>
        </w:rPr>
        <w:t>10</w:t>
      </w:r>
      <w:r>
        <w:rPr>
          <w:rFonts w:eastAsiaTheme="minorEastAsia"/>
          <w:color w:val="000000" w:themeColor="text1"/>
          <w:szCs w:val="21"/>
        </w:rPr>
        <w:t>月下旬将再次打开申购赎回，在此背景下，将进一步压缩信用债和长债投资比例，提高组合流动性，力争为投资者获取稳健收益。</w:t>
      </w:r>
    </w:p>
    <w:p w:rsidR="00CB1D6F" w:rsidRDefault="0021488F">
      <w:pPr>
        <w:spacing w:line="360" w:lineRule="auto"/>
        <w:rPr>
          <w:rFonts w:asciiTheme="minorEastAsia" w:eastAsiaTheme="minorEastAsia" w:hAnsiTheme="minorEastAsia"/>
          <w:b/>
          <w:color w:val="000000" w:themeColor="text1"/>
          <w:szCs w:val="21"/>
        </w:rPr>
      </w:pPr>
      <w:r>
        <w:rPr>
          <w:rFonts w:eastAsiaTheme="minorEastAsia"/>
          <w:b/>
          <w:color w:val="000000" w:themeColor="text1"/>
          <w:szCs w:val="21"/>
        </w:rPr>
        <w:t>4.4.2</w:t>
      </w:r>
      <w:r>
        <w:rPr>
          <w:rFonts w:asciiTheme="minorEastAsia" w:eastAsiaTheme="minorEastAsia" w:hAnsiTheme="minorEastAsia" w:hint="eastAsia"/>
          <w:b/>
          <w:color w:val="000000" w:themeColor="text1"/>
          <w:szCs w:val="21"/>
        </w:rPr>
        <w:t>报告期内基金的业绩表现</w:t>
      </w:r>
    </w:p>
    <w:p w:rsidR="00CB1D6F" w:rsidRDefault="0021488F">
      <w:pPr>
        <w:spacing w:line="360" w:lineRule="auto"/>
        <w:ind w:firstLineChars="250" w:firstLine="525"/>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类份额净值增长率为</w:t>
      </w:r>
      <w:r>
        <w:rPr>
          <w:rFonts w:eastAsiaTheme="minorEastAsia"/>
          <w:color w:val="000000" w:themeColor="text1"/>
          <w:szCs w:val="21"/>
        </w:rPr>
        <w:t>1.57%,</w:t>
      </w: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类基金份额净值增长率为</w:t>
      </w:r>
      <w:r>
        <w:rPr>
          <w:rFonts w:eastAsiaTheme="minorEastAsia"/>
          <w:color w:val="000000" w:themeColor="text1"/>
          <w:szCs w:val="21"/>
        </w:rPr>
        <w:t>1.59%.</w:t>
      </w:r>
    </w:p>
    <w:p w:rsidR="00CB1D6F" w:rsidRDefault="0021488F">
      <w:pPr>
        <w:spacing w:line="360" w:lineRule="auto"/>
        <w:ind w:firstLineChars="250" w:firstLine="525"/>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B</w:t>
      </w:r>
      <w:r>
        <w:rPr>
          <w:rFonts w:eastAsiaTheme="minorEastAsia"/>
          <w:color w:val="000000" w:themeColor="text1"/>
          <w:szCs w:val="21"/>
        </w:rPr>
        <w:t>类基金份额净值增长率为</w:t>
      </w:r>
      <w:r>
        <w:rPr>
          <w:rFonts w:eastAsiaTheme="minorEastAsia"/>
          <w:color w:val="000000" w:themeColor="text1"/>
          <w:szCs w:val="21"/>
        </w:rPr>
        <w:t>1.67%,</w:t>
      </w:r>
      <w:r>
        <w:rPr>
          <w:rFonts w:eastAsiaTheme="minorEastAsia"/>
          <w:color w:val="000000" w:themeColor="text1"/>
          <w:szCs w:val="21"/>
        </w:rPr>
        <w:t>本基金</w:t>
      </w:r>
      <w:r>
        <w:rPr>
          <w:rFonts w:eastAsiaTheme="minorEastAsia"/>
          <w:color w:val="000000" w:themeColor="text1"/>
          <w:szCs w:val="21"/>
        </w:rPr>
        <w:t>D</w:t>
      </w:r>
      <w:r>
        <w:rPr>
          <w:rFonts w:eastAsiaTheme="minorEastAsia"/>
          <w:color w:val="000000" w:themeColor="text1"/>
          <w:szCs w:val="21"/>
        </w:rPr>
        <w:t>类基金份额净值增长率为</w:t>
      </w:r>
      <w:r>
        <w:rPr>
          <w:rFonts w:eastAsiaTheme="minorEastAsia"/>
          <w:color w:val="000000" w:themeColor="text1"/>
          <w:szCs w:val="21"/>
        </w:rPr>
        <w:t>1.67%,</w:t>
      </w:r>
      <w:r>
        <w:rPr>
          <w:rFonts w:eastAsiaTheme="minorEastAsia"/>
          <w:color w:val="000000" w:themeColor="text1"/>
          <w:szCs w:val="21"/>
        </w:rPr>
        <w:t>同期业绩比较基准收益率为</w:t>
      </w:r>
      <w:r>
        <w:rPr>
          <w:rFonts w:eastAsiaTheme="minorEastAsia"/>
          <w:color w:val="000000" w:themeColor="text1"/>
          <w:szCs w:val="21"/>
        </w:rPr>
        <w:t>0.58%</w:t>
      </w:r>
      <w:r>
        <w:rPr>
          <w:rFonts w:eastAsiaTheme="minorEastAsia"/>
          <w:color w:val="000000" w:themeColor="text1"/>
          <w:szCs w:val="21"/>
        </w:rPr>
        <w:t>。</w:t>
      </w:r>
    </w:p>
    <w:p w:rsidR="00CB1D6F" w:rsidRDefault="00CB1D6F">
      <w:pPr>
        <w:spacing w:line="360" w:lineRule="auto"/>
        <w:ind w:firstLineChars="250" w:firstLine="525"/>
        <w:rPr>
          <w:rFonts w:eastAsiaTheme="minorEastAsia"/>
          <w:color w:val="000000" w:themeColor="text1"/>
          <w:szCs w:val="21"/>
        </w:rPr>
      </w:pPr>
    </w:p>
    <w:p w:rsidR="00CB1D6F" w:rsidRDefault="0021488F">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CB1D6F" w:rsidRDefault="0021488F">
      <w:pPr>
        <w:spacing w:line="360" w:lineRule="auto"/>
        <w:rPr>
          <w:rFonts w:eastAsiaTheme="minorEastAsia"/>
          <w:color w:val="000000" w:themeColor="text1"/>
          <w:szCs w:val="21"/>
        </w:rPr>
      </w:pPr>
      <w:r>
        <w:rPr>
          <w:rFonts w:eastAsiaTheme="minorEastAsia"/>
          <w:color w:val="000000" w:themeColor="text1"/>
          <w:kern w:val="0"/>
          <w:szCs w:val="21"/>
        </w:rPr>
        <w:t>无。</w:t>
      </w:r>
    </w:p>
    <w:p w:rsidR="00CB1D6F" w:rsidRDefault="0021488F" w:rsidP="005B7C25">
      <w:pPr>
        <w:pStyle w:val="1"/>
        <w:spacing w:beforeLines="100" w:afterLines="100" w:line="360" w:lineRule="auto"/>
        <w:jc w:val="center"/>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w:t>
      </w:r>
      <w:r>
        <w:rPr>
          <w:rFonts w:asciiTheme="minorEastAsia" w:eastAsiaTheme="minorEastAsia" w:hAnsiTheme="minorEastAsia" w:cs="Arial"/>
          <w:color w:val="000000" w:themeColor="text1"/>
          <w:kern w:val="0"/>
          <w:sz w:val="28"/>
          <w:szCs w:val="28"/>
        </w:rPr>
        <w:t>5</w:t>
      </w:r>
      <w:r>
        <w:rPr>
          <w:rFonts w:asciiTheme="minorEastAsia" w:eastAsiaTheme="minorEastAsia" w:hAnsiTheme="minorEastAsia" w:cs="Arial" w:hint="eastAsia"/>
          <w:color w:val="000000" w:themeColor="text1"/>
          <w:kern w:val="0"/>
          <w:sz w:val="28"/>
          <w:szCs w:val="28"/>
        </w:rPr>
        <w:t>投资组合报告</w:t>
      </w: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5.1</w:t>
      </w:r>
      <w:r>
        <w:rPr>
          <w:rFonts w:asciiTheme="minorEastAsia" w:eastAsiaTheme="minorEastAsia" w:hAnsiTheme="minorEastAsia" w:cs="Arial" w:hint="eastAsia"/>
          <w:b/>
          <w:color w:val="000000" w:themeColor="text1"/>
          <w:kern w:val="0"/>
          <w:szCs w:val="21"/>
        </w:rPr>
        <w:t>报告期末基金资产组合情况</w:t>
      </w:r>
    </w:p>
    <w:tbl>
      <w:tblPr>
        <w:tblStyle w:val="af6"/>
        <w:tblW w:w="8897" w:type="dxa"/>
        <w:jc w:val="center"/>
        <w:tblLayout w:type="fixed"/>
        <w:tblLook w:val="04A0"/>
      </w:tblPr>
      <w:tblGrid>
        <w:gridCol w:w="1032"/>
        <w:gridCol w:w="3260"/>
        <w:gridCol w:w="2762"/>
        <w:gridCol w:w="1843"/>
      </w:tblGrid>
      <w:tr w:rsidR="00CB1D6F">
        <w:trPr>
          <w:jc w:val="center"/>
        </w:trPr>
        <w:tc>
          <w:tcPr>
            <w:tcW w:w="1032" w:type="dxa"/>
            <w:vAlign w:val="center"/>
          </w:tcPr>
          <w:p w:rsidR="00CB1D6F" w:rsidRDefault="0021488F">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3260" w:type="dxa"/>
            <w:vAlign w:val="center"/>
          </w:tcPr>
          <w:p w:rsidR="00CB1D6F" w:rsidRDefault="0021488F">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w:t>
            </w:r>
          </w:p>
        </w:tc>
        <w:tc>
          <w:tcPr>
            <w:tcW w:w="2762" w:type="dxa"/>
            <w:vAlign w:val="center"/>
          </w:tcPr>
          <w:p w:rsidR="00CB1D6F" w:rsidRDefault="0021488F">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金额(元)</w:t>
            </w:r>
          </w:p>
        </w:tc>
        <w:tc>
          <w:tcPr>
            <w:tcW w:w="1843" w:type="dxa"/>
            <w:vAlign w:val="center"/>
          </w:tcPr>
          <w:p w:rsidR="00CB1D6F" w:rsidRDefault="0021488F">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占基金总资产的比例(</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权益投资</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CB1D6F">
            <w:pPr>
              <w:spacing w:before="29" w:line="360" w:lineRule="auto"/>
              <w:ind w:left="17"/>
              <w:jc w:val="center"/>
              <w:rPr>
                <w:rFonts w:eastAsiaTheme="minorEastAsia"/>
                <w:color w:val="000000" w:themeColor="text1"/>
                <w:szCs w:val="21"/>
              </w:rPr>
            </w:pP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其中：股票</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固定收益投资</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57,425,131.40</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91.22</w:t>
            </w:r>
          </w:p>
        </w:tc>
      </w:tr>
      <w:tr w:rsidR="00CB1D6F">
        <w:trPr>
          <w:jc w:val="center"/>
        </w:trPr>
        <w:tc>
          <w:tcPr>
            <w:tcW w:w="1032" w:type="dxa"/>
            <w:vAlign w:val="center"/>
          </w:tcPr>
          <w:p w:rsidR="00CB1D6F" w:rsidRDefault="00CB1D6F">
            <w:pPr>
              <w:spacing w:before="29" w:line="360" w:lineRule="auto"/>
              <w:ind w:left="17"/>
              <w:jc w:val="center"/>
              <w:rPr>
                <w:rFonts w:eastAsiaTheme="minorEastAsia"/>
                <w:color w:val="000000" w:themeColor="text1"/>
                <w:szCs w:val="21"/>
              </w:rPr>
            </w:pP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其中：债券</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57,425,131.40</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91.22</w:t>
            </w:r>
          </w:p>
        </w:tc>
      </w:tr>
      <w:tr w:rsidR="00CB1D6F">
        <w:trPr>
          <w:jc w:val="center"/>
        </w:trPr>
        <w:tc>
          <w:tcPr>
            <w:tcW w:w="1032" w:type="dxa"/>
            <w:vAlign w:val="center"/>
          </w:tcPr>
          <w:p w:rsidR="00CB1D6F" w:rsidRDefault="00CB1D6F">
            <w:pPr>
              <w:spacing w:before="29" w:line="360" w:lineRule="auto"/>
              <w:ind w:left="17"/>
              <w:jc w:val="center"/>
              <w:rPr>
                <w:rFonts w:eastAsiaTheme="minorEastAsia"/>
                <w:color w:val="000000" w:themeColor="text1"/>
                <w:szCs w:val="21"/>
              </w:rPr>
            </w:pPr>
          </w:p>
        </w:tc>
        <w:tc>
          <w:tcPr>
            <w:tcW w:w="3260" w:type="dxa"/>
            <w:vAlign w:val="center"/>
          </w:tcPr>
          <w:p w:rsidR="00CB1D6F" w:rsidRDefault="0021488F">
            <w:pPr>
              <w:autoSpaceDE w:val="0"/>
              <w:autoSpaceDN w:val="0"/>
              <w:adjustRightInd w:val="0"/>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资产支持证券</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tcPr>
          <w:p w:rsidR="00CB1D6F" w:rsidRDefault="0021488F">
            <w:pPr>
              <w:spacing w:before="29" w:line="360" w:lineRule="auto"/>
              <w:ind w:leftChars="50" w:left="10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贵金属投资</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金融衍生品投资</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买入返售金融资产</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CB1D6F">
            <w:pPr>
              <w:spacing w:before="29" w:line="360" w:lineRule="auto"/>
              <w:ind w:left="17"/>
              <w:jc w:val="center"/>
              <w:rPr>
                <w:rFonts w:eastAsiaTheme="minorEastAsia"/>
                <w:color w:val="000000" w:themeColor="text1"/>
                <w:szCs w:val="21"/>
              </w:rPr>
            </w:pP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其中：买断式回购的买入返售金融资产</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CB1D6F" w:rsidRDefault="0021488F">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银行存款和结算备付金合计</w:t>
            </w:r>
          </w:p>
        </w:tc>
        <w:tc>
          <w:tcPr>
            <w:tcW w:w="2762"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2,080,528.20</w:t>
            </w:r>
          </w:p>
        </w:tc>
        <w:tc>
          <w:tcPr>
            <w:tcW w:w="1843"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3.30</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CB1D6F" w:rsidRDefault="0021488F">
            <w:pP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其他各项资产</w:t>
            </w:r>
          </w:p>
        </w:tc>
        <w:tc>
          <w:tcPr>
            <w:tcW w:w="2762" w:type="dxa"/>
            <w:vAlign w:val="center"/>
          </w:tcPr>
          <w:p w:rsidR="00CB1D6F" w:rsidRDefault="0021488F">
            <w:pPr>
              <w:jc w:val="right"/>
              <w:rPr>
                <w:rFonts w:eastAsiaTheme="minorEastAsia"/>
                <w:color w:val="000000" w:themeColor="text1"/>
                <w:szCs w:val="21"/>
              </w:rPr>
            </w:pPr>
            <w:r>
              <w:rPr>
                <w:rFonts w:eastAsiaTheme="minorEastAsia"/>
                <w:color w:val="000000" w:themeColor="text1"/>
                <w:szCs w:val="21"/>
              </w:rPr>
              <w:t>3,446,574.88</w:t>
            </w:r>
          </w:p>
        </w:tc>
        <w:tc>
          <w:tcPr>
            <w:tcW w:w="1843" w:type="dxa"/>
            <w:vAlign w:val="center"/>
          </w:tcPr>
          <w:p w:rsidR="00CB1D6F" w:rsidRDefault="0021488F">
            <w:pPr>
              <w:jc w:val="right"/>
              <w:rPr>
                <w:rFonts w:eastAsiaTheme="minorEastAsia"/>
                <w:color w:val="000000" w:themeColor="text1"/>
                <w:szCs w:val="21"/>
              </w:rPr>
            </w:pPr>
            <w:r>
              <w:rPr>
                <w:rFonts w:eastAsiaTheme="minorEastAsia"/>
                <w:color w:val="000000" w:themeColor="text1"/>
                <w:szCs w:val="21"/>
              </w:rPr>
              <w:t>5.47</w:t>
            </w:r>
          </w:p>
        </w:tc>
      </w:tr>
      <w:tr w:rsidR="00CB1D6F">
        <w:trPr>
          <w:jc w:val="center"/>
        </w:trPr>
        <w:tc>
          <w:tcPr>
            <w:tcW w:w="1032"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260" w:type="dxa"/>
            <w:vAlign w:val="center"/>
          </w:tcPr>
          <w:p w:rsidR="00CB1D6F" w:rsidRDefault="0021488F">
            <w:pP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合计</w:t>
            </w:r>
          </w:p>
        </w:tc>
        <w:tc>
          <w:tcPr>
            <w:tcW w:w="2762" w:type="dxa"/>
            <w:vAlign w:val="center"/>
          </w:tcPr>
          <w:p w:rsidR="00CB1D6F" w:rsidRDefault="0021488F">
            <w:pPr>
              <w:jc w:val="right"/>
              <w:rPr>
                <w:rFonts w:eastAsiaTheme="minorEastAsia"/>
                <w:color w:val="000000" w:themeColor="text1"/>
                <w:szCs w:val="21"/>
              </w:rPr>
            </w:pPr>
            <w:r>
              <w:rPr>
                <w:rFonts w:eastAsiaTheme="minorEastAsia"/>
                <w:color w:val="000000" w:themeColor="text1"/>
                <w:szCs w:val="21"/>
              </w:rPr>
              <w:t>62,952,234.48</w:t>
            </w:r>
          </w:p>
        </w:tc>
        <w:tc>
          <w:tcPr>
            <w:tcW w:w="1843" w:type="dxa"/>
            <w:vAlign w:val="center"/>
          </w:tcPr>
          <w:p w:rsidR="00CB1D6F" w:rsidRDefault="0021488F">
            <w:pPr>
              <w:jc w:val="right"/>
              <w:rPr>
                <w:rFonts w:eastAsiaTheme="minorEastAsia"/>
                <w:color w:val="000000" w:themeColor="text1"/>
                <w:szCs w:val="21"/>
              </w:rPr>
            </w:pPr>
            <w:r>
              <w:rPr>
                <w:rFonts w:eastAsiaTheme="minorEastAsia"/>
                <w:color w:val="000000" w:themeColor="text1"/>
                <w:szCs w:val="21"/>
              </w:rPr>
              <w:t>100.00</w:t>
            </w:r>
          </w:p>
        </w:tc>
      </w:tr>
    </w:tbl>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5.2</w:t>
      </w:r>
      <w:r>
        <w:rPr>
          <w:rFonts w:asciiTheme="minorEastAsia" w:eastAsiaTheme="minorEastAsia" w:hAnsiTheme="minorEastAsia" w:cs="Arial" w:hint="eastAsia"/>
          <w:b/>
          <w:color w:val="000000" w:themeColor="text1"/>
          <w:kern w:val="0"/>
          <w:szCs w:val="21"/>
        </w:rPr>
        <w:t>报告期末按行业分类的股票投资组合</w:t>
      </w:r>
    </w:p>
    <w:p w:rsidR="00CB1D6F" w:rsidRDefault="0021488F">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CB1D6F"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5.3</w:t>
      </w:r>
      <w:r>
        <w:rPr>
          <w:rFonts w:asciiTheme="minorEastAsia" w:eastAsiaTheme="minorEastAsia" w:hAnsiTheme="minorEastAsia" w:cs="Arial" w:hint="eastAsia"/>
          <w:b/>
          <w:color w:val="000000" w:themeColor="text1"/>
          <w:kern w:val="0"/>
          <w:szCs w:val="21"/>
        </w:rPr>
        <w:t>报告期末按公允价值占基金资产净值比例大小排序的前十名股票投资明细</w:t>
      </w:r>
    </w:p>
    <w:p w:rsidR="00CB1D6F" w:rsidRDefault="0021488F">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本基金本报告期末未持有股票。</w:t>
      </w:r>
    </w:p>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5.4</w:t>
      </w:r>
      <w:r>
        <w:rPr>
          <w:rFonts w:asciiTheme="minorEastAsia" w:eastAsiaTheme="minorEastAsia" w:hAnsiTheme="minorEastAsia" w:cs="Arial" w:hint="eastAsia"/>
          <w:b/>
          <w:color w:val="000000" w:themeColor="text1"/>
          <w:kern w:val="0"/>
          <w:szCs w:val="21"/>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CB1D6F">
        <w:tc>
          <w:tcPr>
            <w:tcW w:w="817" w:type="dxa"/>
            <w:vAlign w:val="center"/>
          </w:tcPr>
          <w:p w:rsidR="00CB1D6F" w:rsidRDefault="0021488F">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3260" w:type="dxa"/>
            <w:vAlign w:val="center"/>
          </w:tcPr>
          <w:p w:rsidR="00CB1D6F" w:rsidRDefault="0021488F">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债券品种</w:t>
            </w:r>
          </w:p>
        </w:tc>
        <w:tc>
          <w:tcPr>
            <w:tcW w:w="2835" w:type="dxa"/>
            <w:vAlign w:val="center"/>
          </w:tcPr>
          <w:p w:rsidR="00CB1D6F" w:rsidRDefault="0021488F">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公允价值(元)</w:t>
            </w:r>
          </w:p>
        </w:tc>
        <w:tc>
          <w:tcPr>
            <w:tcW w:w="1616" w:type="dxa"/>
            <w:vAlign w:val="center"/>
          </w:tcPr>
          <w:p w:rsidR="00CB1D6F" w:rsidRDefault="0021488F">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国家债券</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2,957,693.50</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4.95</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央行票据</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金融债券</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36,666,133.70</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61.35</w:t>
            </w:r>
          </w:p>
        </w:tc>
      </w:tr>
      <w:tr w:rsidR="00CB1D6F">
        <w:tc>
          <w:tcPr>
            <w:tcW w:w="817" w:type="dxa"/>
            <w:vAlign w:val="center"/>
          </w:tcPr>
          <w:p w:rsidR="00CB1D6F" w:rsidRDefault="00CB1D6F">
            <w:pPr>
              <w:spacing w:before="29" w:line="360" w:lineRule="auto"/>
              <w:ind w:left="17"/>
              <w:jc w:val="center"/>
              <w:rPr>
                <w:rFonts w:eastAsiaTheme="minorEastAsia"/>
                <w:color w:val="000000" w:themeColor="text1"/>
                <w:szCs w:val="21"/>
              </w:rPr>
            </w:pP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其中：政策性金融债</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36,666,133.70</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61.35</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企业债券</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17,801,304.20</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29.79</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企业短期融资券</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中期票据</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CB1D6F" w:rsidRDefault="0021488F">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817" w:type="dxa"/>
            <w:vAlign w:val="center"/>
          </w:tcPr>
          <w:p w:rsidR="00CB1D6F" w:rsidRDefault="0021488F">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CB1D6F" w:rsidRDefault="0021488F">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合计</w:t>
            </w:r>
          </w:p>
        </w:tc>
        <w:tc>
          <w:tcPr>
            <w:tcW w:w="2835"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57,425,131.40</w:t>
            </w:r>
          </w:p>
        </w:tc>
        <w:tc>
          <w:tcPr>
            <w:tcW w:w="1616" w:type="dxa"/>
            <w:vAlign w:val="center"/>
          </w:tcPr>
          <w:p w:rsidR="00CB1D6F" w:rsidRDefault="0021488F">
            <w:pPr>
              <w:spacing w:before="29" w:line="360" w:lineRule="auto"/>
              <w:ind w:left="17"/>
              <w:jc w:val="right"/>
              <w:rPr>
                <w:rFonts w:eastAsiaTheme="minorEastAsia"/>
                <w:color w:val="000000" w:themeColor="text1"/>
                <w:szCs w:val="21"/>
              </w:rPr>
            </w:pPr>
            <w:r>
              <w:rPr>
                <w:rFonts w:eastAsiaTheme="minorEastAsia"/>
                <w:color w:val="000000" w:themeColor="text1"/>
                <w:szCs w:val="21"/>
              </w:rPr>
              <w:t>96.08</w:t>
            </w:r>
          </w:p>
        </w:tc>
      </w:tr>
    </w:tbl>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5.5</w:t>
      </w:r>
      <w:r>
        <w:rPr>
          <w:rFonts w:asciiTheme="minorEastAsia" w:eastAsiaTheme="minorEastAsia" w:hAnsiTheme="minorEastAsia" w:cs="Arial" w:hint="eastAsia"/>
          <w:b/>
          <w:color w:val="000000" w:themeColor="text1"/>
          <w:kern w:val="0"/>
          <w:szCs w:val="21"/>
        </w:rPr>
        <w:t>报告期末按公允价值占基金资产净值比例大小排序的前五名债券投资明细</w:t>
      </w:r>
    </w:p>
    <w:tbl>
      <w:tblPr>
        <w:tblStyle w:val="af6"/>
        <w:tblW w:w="9021" w:type="dxa"/>
        <w:tblInd w:w="15" w:type="dxa"/>
        <w:tblLayout w:type="fixed"/>
        <w:tblLook w:val="04A0"/>
      </w:tblPr>
      <w:tblGrid>
        <w:gridCol w:w="1504"/>
        <w:gridCol w:w="1504"/>
        <w:gridCol w:w="1504"/>
        <w:gridCol w:w="1503"/>
        <w:gridCol w:w="1503"/>
        <w:gridCol w:w="1503"/>
      </w:tblGrid>
      <w:tr w:rsidR="00CB1D6F">
        <w:tc>
          <w:tcPr>
            <w:tcW w:w="1504"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序号</w:t>
            </w:r>
          </w:p>
        </w:tc>
        <w:tc>
          <w:tcPr>
            <w:tcW w:w="1504"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债券代码</w:t>
            </w:r>
          </w:p>
        </w:tc>
        <w:tc>
          <w:tcPr>
            <w:tcW w:w="1504"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债券名称</w:t>
            </w:r>
          </w:p>
        </w:tc>
        <w:tc>
          <w:tcPr>
            <w:tcW w:w="1503"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数量（张）</w:t>
            </w:r>
          </w:p>
        </w:tc>
        <w:tc>
          <w:tcPr>
            <w:tcW w:w="1503"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公允价值</w:t>
            </w:r>
            <w:r>
              <w:rPr>
                <w:rFonts w:asciiTheme="minorEastAsia" w:eastAsiaTheme="minorEastAsia" w:hAnsiTheme="minorEastAsia" w:cs="Arial"/>
                <w:color w:val="000000" w:themeColor="text1"/>
                <w:kern w:val="0"/>
                <w:szCs w:val="21"/>
              </w:rPr>
              <w:t>(</w:t>
            </w:r>
            <w:r>
              <w:rPr>
                <w:rFonts w:asciiTheme="minorEastAsia" w:eastAsiaTheme="minorEastAsia" w:hAnsiTheme="minorEastAsia" w:cs="Arial" w:hint="eastAsia"/>
                <w:color w:val="000000" w:themeColor="text1"/>
                <w:kern w:val="0"/>
                <w:szCs w:val="21"/>
              </w:rPr>
              <w:t>元</w:t>
            </w:r>
            <w:r>
              <w:rPr>
                <w:rFonts w:asciiTheme="minorEastAsia" w:eastAsiaTheme="minorEastAsia" w:hAnsiTheme="minorEastAsia" w:cs="Arial"/>
                <w:color w:val="000000" w:themeColor="text1"/>
                <w:kern w:val="0"/>
                <w:szCs w:val="21"/>
              </w:rPr>
              <w:t>)</w:t>
            </w:r>
          </w:p>
        </w:tc>
        <w:tc>
          <w:tcPr>
            <w:tcW w:w="1503" w:type="dxa"/>
            <w:vAlign w:val="center"/>
          </w:tcPr>
          <w:p w:rsidR="00CB1D6F" w:rsidRDefault="0021488F">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占基金资产净值比例（％）</w:t>
            </w:r>
          </w:p>
        </w:tc>
      </w:tr>
      <w:tr w:rsidR="00CB1D6F">
        <w:tc>
          <w:tcPr>
            <w:tcW w:w="1504" w:type="dxa"/>
            <w:vAlign w:val="center"/>
          </w:tcPr>
          <w:p w:rsidR="00CB1D6F" w:rsidRDefault="0021488F">
            <w:pPr>
              <w:jc w:val="center"/>
            </w:pPr>
            <w:r>
              <w:rPr>
                <w:rFonts w:eastAsiaTheme="minorEastAsia"/>
                <w:color w:val="000000" w:themeColor="text1"/>
                <w:szCs w:val="21"/>
              </w:rPr>
              <w:t>1</w:t>
            </w:r>
          </w:p>
        </w:tc>
        <w:tc>
          <w:tcPr>
            <w:tcW w:w="1504" w:type="dxa"/>
            <w:vAlign w:val="center"/>
          </w:tcPr>
          <w:p w:rsidR="00CB1D6F" w:rsidRDefault="0021488F">
            <w:pPr>
              <w:jc w:val="center"/>
            </w:pPr>
            <w:r>
              <w:rPr>
                <w:rFonts w:eastAsiaTheme="minorEastAsia"/>
                <w:color w:val="000000" w:themeColor="text1"/>
                <w:szCs w:val="21"/>
              </w:rPr>
              <w:t>018006</w:t>
            </w:r>
          </w:p>
        </w:tc>
        <w:tc>
          <w:tcPr>
            <w:tcW w:w="1504" w:type="dxa"/>
            <w:vAlign w:val="center"/>
          </w:tcPr>
          <w:p w:rsidR="00CB1D6F" w:rsidRDefault="0021488F">
            <w:pPr>
              <w:jc w:val="center"/>
            </w:pPr>
            <w:r>
              <w:rPr>
                <w:rFonts w:eastAsiaTheme="minorEastAsia"/>
                <w:color w:val="000000" w:themeColor="text1"/>
                <w:szCs w:val="21"/>
              </w:rPr>
              <w:t>国开</w:t>
            </w:r>
            <w:r>
              <w:rPr>
                <w:rFonts w:eastAsiaTheme="minorEastAsia"/>
                <w:color w:val="000000" w:themeColor="text1"/>
                <w:szCs w:val="21"/>
              </w:rPr>
              <w:t>1702</w:t>
            </w:r>
          </w:p>
        </w:tc>
        <w:tc>
          <w:tcPr>
            <w:tcW w:w="1503" w:type="dxa"/>
            <w:vAlign w:val="center"/>
          </w:tcPr>
          <w:p w:rsidR="00CB1D6F" w:rsidRDefault="0021488F">
            <w:pPr>
              <w:jc w:val="right"/>
            </w:pPr>
            <w:r>
              <w:rPr>
                <w:rFonts w:eastAsiaTheme="minorEastAsia"/>
                <w:color w:val="000000" w:themeColor="text1"/>
                <w:szCs w:val="21"/>
              </w:rPr>
              <w:t>136,020</w:t>
            </w:r>
          </w:p>
        </w:tc>
        <w:tc>
          <w:tcPr>
            <w:tcW w:w="1503" w:type="dxa"/>
            <w:vAlign w:val="center"/>
          </w:tcPr>
          <w:p w:rsidR="00CB1D6F" w:rsidRDefault="0021488F">
            <w:pPr>
              <w:jc w:val="right"/>
            </w:pPr>
            <w:r>
              <w:rPr>
                <w:rFonts w:eastAsiaTheme="minorEastAsia"/>
                <w:color w:val="000000" w:themeColor="text1"/>
                <w:szCs w:val="21"/>
              </w:rPr>
              <w:t>13,671,370.20</w:t>
            </w:r>
          </w:p>
        </w:tc>
        <w:tc>
          <w:tcPr>
            <w:tcW w:w="1503" w:type="dxa"/>
            <w:vAlign w:val="center"/>
          </w:tcPr>
          <w:p w:rsidR="00CB1D6F" w:rsidRDefault="0021488F">
            <w:pPr>
              <w:jc w:val="right"/>
            </w:pPr>
            <w:r>
              <w:rPr>
                <w:rFonts w:eastAsiaTheme="minorEastAsia"/>
                <w:color w:val="000000" w:themeColor="text1"/>
                <w:szCs w:val="21"/>
              </w:rPr>
              <w:t>22.87</w:t>
            </w:r>
          </w:p>
        </w:tc>
      </w:tr>
      <w:tr w:rsidR="00CB1D6F">
        <w:tc>
          <w:tcPr>
            <w:tcW w:w="1504" w:type="dxa"/>
            <w:vAlign w:val="center"/>
          </w:tcPr>
          <w:p w:rsidR="00CB1D6F" w:rsidRDefault="0021488F">
            <w:pPr>
              <w:jc w:val="center"/>
            </w:pPr>
            <w:r>
              <w:rPr>
                <w:rFonts w:eastAsiaTheme="minorEastAsia"/>
                <w:color w:val="000000" w:themeColor="text1"/>
                <w:szCs w:val="21"/>
              </w:rPr>
              <w:t>2</w:t>
            </w:r>
          </w:p>
        </w:tc>
        <w:tc>
          <w:tcPr>
            <w:tcW w:w="1504" w:type="dxa"/>
            <w:vAlign w:val="center"/>
          </w:tcPr>
          <w:p w:rsidR="00CB1D6F" w:rsidRDefault="0021488F">
            <w:pPr>
              <w:jc w:val="center"/>
            </w:pPr>
            <w:r>
              <w:rPr>
                <w:rFonts w:eastAsiaTheme="minorEastAsia"/>
                <w:color w:val="000000" w:themeColor="text1"/>
                <w:szCs w:val="21"/>
              </w:rPr>
              <w:t>108602</w:t>
            </w:r>
          </w:p>
        </w:tc>
        <w:tc>
          <w:tcPr>
            <w:tcW w:w="1504" w:type="dxa"/>
            <w:vAlign w:val="center"/>
          </w:tcPr>
          <w:p w:rsidR="00CB1D6F" w:rsidRDefault="0021488F">
            <w:pPr>
              <w:jc w:val="center"/>
            </w:pPr>
            <w:r>
              <w:rPr>
                <w:rFonts w:eastAsiaTheme="minorEastAsia"/>
                <w:color w:val="000000" w:themeColor="text1"/>
                <w:szCs w:val="21"/>
              </w:rPr>
              <w:t>国开</w:t>
            </w:r>
            <w:r>
              <w:rPr>
                <w:rFonts w:eastAsiaTheme="minorEastAsia"/>
                <w:color w:val="000000" w:themeColor="text1"/>
                <w:szCs w:val="21"/>
              </w:rPr>
              <w:t>1704</w:t>
            </w:r>
          </w:p>
        </w:tc>
        <w:tc>
          <w:tcPr>
            <w:tcW w:w="1503" w:type="dxa"/>
            <w:vAlign w:val="center"/>
          </w:tcPr>
          <w:p w:rsidR="00CB1D6F" w:rsidRDefault="0021488F">
            <w:pPr>
              <w:jc w:val="right"/>
            </w:pPr>
            <w:r>
              <w:rPr>
                <w:rFonts w:eastAsiaTheme="minorEastAsia"/>
                <w:color w:val="000000" w:themeColor="text1"/>
                <w:szCs w:val="21"/>
              </w:rPr>
              <w:t>125,790</w:t>
            </w:r>
          </w:p>
        </w:tc>
        <w:tc>
          <w:tcPr>
            <w:tcW w:w="1503" w:type="dxa"/>
            <w:vAlign w:val="center"/>
          </w:tcPr>
          <w:p w:rsidR="00CB1D6F" w:rsidRDefault="0021488F">
            <w:pPr>
              <w:jc w:val="right"/>
            </w:pPr>
            <w:r>
              <w:rPr>
                <w:rFonts w:eastAsiaTheme="minorEastAsia"/>
                <w:color w:val="000000" w:themeColor="text1"/>
                <w:szCs w:val="21"/>
              </w:rPr>
              <w:t>12,660,763.50</w:t>
            </w:r>
          </w:p>
        </w:tc>
        <w:tc>
          <w:tcPr>
            <w:tcW w:w="1503" w:type="dxa"/>
            <w:vAlign w:val="center"/>
          </w:tcPr>
          <w:p w:rsidR="00CB1D6F" w:rsidRDefault="0021488F">
            <w:pPr>
              <w:jc w:val="right"/>
            </w:pPr>
            <w:r>
              <w:rPr>
                <w:rFonts w:eastAsiaTheme="minorEastAsia"/>
                <w:color w:val="000000" w:themeColor="text1"/>
                <w:szCs w:val="21"/>
              </w:rPr>
              <w:t>21.18</w:t>
            </w:r>
          </w:p>
        </w:tc>
      </w:tr>
      <w:tr w:rsidR="00CB1D6F">
        <w:tc>
          <w:tcPr>
            <w:tcW w:w="1504" w:type="dxa"/>
            <w:vAlign w:val="center"/>
          </w:tcPr>
          <w:p w:rsidR="00CB1D6F" w:rsidRDefault="0021488F">
            <w:pPr>
              <w:jc w:val="center"/>
            </w:pPr>
            <w:r>
              <w:rPr>
                <w:rFonts w:eastAsiaTheme="minorEastAsia"/>
                <w:color w:val="000000" w:themeColor="text1"/>
                <w:szCs w:val="21"/>
              </w:rPr>
              <w:t>3</w:t>
            </w:r>
          </w:p>
        </w:tc>
        <w:tc>
          <w:tcPr>
            <w:tcW w:w="1504" w:type="dxa"/>
            <w:vAlign w:val="center"/>
          </w:tcPr>
          <w:p w:rsidR="00CB1D6F" w:rsidRDefault="0021488F">
            <w:pPr>
              <w:jc w:val="center"/>
            </w:pPr>
            <w:r>
              <w:rPr>
                <w:rFonts w:eastAsiaTheme="minorEastAsia"/>
                <w:color w:val="000000" w:themeColor="text1"/>
                <w:szCs w:val="21"/>
              </w:rPr>
              <w:t>110244</w:t>
            </w:r>
          </w:p>
        </w:tc>
        <w:tc>
          <w:tcPr>
            <w:tcW w:w="1504" w:type="dxa"/>
            <w:vAlign w:val="center"/>
          </w:tcPr>
          <w:p w:rsidR="00CB1D6F" w:rsidRDefault="0021488F">
            <w:pPr>
              <w:jc w:val="center"/>
            </w:pPr>
            <w:r>
              <w:rPr>
                <w:rFonts w:eastAsiaTheme="minorEastAsia"/>
                <w:color w:val="000000" w:themeColor="text1"/>
                <w:szCs w:val="21"/>
              </w:rPr>
              <w:t>11</w:t>
            </w:r>
            <w:r>
              <w:rPr>
                <w:rFonts w:eastAsiaTheme="minorEastAsia"/>
                <w:color w:val="000000" w:themeColor="text1"/>
                <w:szCs w:val="21"/>
              </w:rPr>
              <w:t>国开</w:t>
            </w:r>
            <w:r>
              <w:rPr>
                <w:rFonts w:eastAsiaTheme="minorEastAsia"/>
                <w:color w:val="000000" w:themeColor="text1"/>
                <w:szCs w:val="21"/>
              </w:rPr>
              <w:t>44</w:t>
            </w:r>
          </w:p>
        </w:tc>
        <w:tc>
          <w:tcPr>
            <w:tcW w:w="1503" w:type="dxa"/>
            <w:vAlign w:val="center"/>
          </w:tcPr>
          <w:p w:rsidR="00CB1D6F" w:rsidRDefault="0021488F">
            <w:pPr>
              <w:jc w:val="right"/>
            </w:pPr>
            <w:r>
              <w:rPr>
                <w:rFonts w:eastAsiaTheme="minorEastAsia"/>
                <w:color w:val="000000" w:themeColor="text1"/>
                <w:szCs w:val="21"/>
              </w:rPr>
              <w:t>100,000</w:t>
            </w:r>
          </w:p>
        </w:tc>
        <w:tc>
          <w:tcPr>
            <w:tcW w:w="1503" w:type="dxa"/>
            <w:vAlign w:val="center"/>
          </w:tcPr>
          <w:p w:rsidR="00CB1D6F" w:rsidRDefault="0021488F">
            <w:pPr>
              <w:jc w:val="right"/>
            </w:pPr>
            <w:r>
              <w:rPr>
                <w:rFonts w:eastAsiaTheme="minorEastAsia"/>
                <w:color w:val="000000" w:themeColor="text1"/>
                <w:szCs w:val="21"/>
              </w:rPr>
              <w:t>10,334,000.00</w:t>
            </w:r>
          </w:p>
        </w:tc>
        <w:tc>
          <w:tcPr>
            <w:tcW w:w="1503" w:type="dxa"/>
            <w:vAlign w:val="center"/>
          </w:tcPr>
          <w:p w:rsidR="00CB1D6F" w:rsidRDefault="0021488F">
            <w:pPr>
              <w:jc w:val="right"/>
            </w:pPr>
            <w:r>
              <w:rPr>
                <w:rFonts w:eastAsiaTheme="minorEastAsia"/>
                <w:color w:val="000000" w:themeColor="text1"/>
                <w:szCs w:val="21"/>
              </w:rPr>
              <w:t>17.29</w:t>
            </w:r>
          </w:p>
        </w:tc>
      </w:tr>
      <w:tr w:rsidR="00CB1D6F">
        <w:tc>
          <w:tcPr>
            <w:tcW w:w="1504" w:type="dxa"/>
            <w:vAlign w:val="center"/>
          </w:tcPr>
          <w:p w:rsidR="00CB1D6F" w:rsidRDefault="0021488F">
            <w:pPr>
              <w:jc w:val="center"/>
            </w:pPr>
            <w:r>
              <w:rPr>
                <w:rFonts w:eastAsiaTheme="minorEastAsia"/>
                <w:color w:val="000000" w:themeColor="text1"/>
                <w:szCs w:val="21"/>
              </w:rPr>
              <w:t>4</w:t>
            </w:r>
          </w:p>
        </w:tc>
        <w:tc>
          <w:tcPr>
            <w:tcW w:w="1504" w:type="dxa"/>
            <w:vAlign w:val="center"/>
          </w:tcPr>
          <w:p w:rsidR="00CB1D6F" w:rsidRDefault="0021488F">
            <w:pPr>
              <w:jc w:val="center"/>
            </w:pPr>
            <w:r>
              <w:rPr>
                <w:rFonts w:eastAsiaTheme="minorEastAsia"/>
                <w:color w:val="000000" w:themeColor="text1"/>
                <w:szCs w:val="21"/>
              </w:rPr>
              <w:t>112310</w:t>
            </w:r>
          </w:p>
        </w:tc>
        <w:tc>
          <w:tcPr>
            <w:tcW w:w="1504" w:type="dxa"/>
            <w:vAlign w:val="center"/>
          </w:tcPr>
          <w:p w:rsidR="00CB1D6F" w:rsidRDefault="0021488F">
            <w:pPr>
              <w:jc w:val="center"/>
            </w:pPr>
            <w:r>
              <w:rPr>
                <w:rFonts w:eastAsiaTheme="minorEastAsia"/>
                <w:color w:val="000000" w:themeColor="text1"/>
                <w:szCs w:val="21"/>
              </w:rPr>
              <w:t>16</w:t>
            </w:r>
            <w:r>
              <w:rPr>
                <w:rFonts w:eastAsiaTheme="minorEastAsia"/>
                <w:color w:val="000000" w:themeColor="text1"/>
                <w:szCs w:val="21"/>
              </w:rPr>
              <w:t>美的债</w:t>
            </w:r>
          </w:p>
        </w:tc>
        <w:tc>
          <w:tcPr>
            <w:tcW w:w="1503" w:type="dxa"/>
            <w:vAlign w:val="center"/>
          </w:tcPr>
          <w:p w:rsidR="00CB1D6F" w:rsidRDefault="0021488F">
            <w:pPr>
              <w:jc w:val="right"/>
            </w:pPr>
            <w:r>
              <w:rPr>
                <w:rFonts w:eastAsiaTheme="minorEastAsia"/>
                <w:color w:val="000000" w:themeColor="text1"/>
                <w:szCs w:val="21"/>
              </w:rPr>
              <w:t>23,670</w:t>
            </w:r>
          </w:p>
        </w:tc>
        <w:tc>
          <w:tcPr>
            <w:tcW w:w="1503" w:type="dxa"/>
            <w:vAlign w:val="center"/>
          </w:tcPr>
          <w:p w:rsidR="00CB1D6F" w:rsidRDefault="0021488F">
            <w:pPr>
              <w:jc w:val="right"/>
            </w:pPr>
            <w:r>
              <w:rPr>
                <w:rFonts w:eastAsiaTheme="minorEastAsia"/>
                <w:color w:val="000000" w:themeColor="text1"/>
                <w:szCs w:val="21"/>
              </w:rPr>
              <w:t>2,365,816.50</w:t>
            </w:r>
          </w:p>
        </w:tc>
        <w:tc>
          <w:tcPr>
            <w:tcW w:w="1503" w:type="dxa"/>
            <w:vAlign w:val="center"/>
          </w:tcPr>
          <w:p w:rsidR="00CB1D6F" w:rsidRDefault="0021488F">
            <w:pPr>
              <w:jc w:val="right"/>
            </w:pPr>
            <w:r>
              <w:rPr>
                <w:rFonts w:eastAsiaTheme="minorEastAsia"/>
                <w:color w:val="000000" w:themeColor="text1"/>
                <w:szCs w:val="21"/>
              </w:rPr>
              <w:t>3.96</w:t>
            </w:r>
          </w:p>
        </w:tc>
      </w:tr>
      <w:tr w:rsidR="00CB1D6F">
        <w:tc>
          <w:tcPr>
            <w:tcW w:w="1504" w:type="dxa"/>
            <w:vAlign w:val="center"/>
          </w:tcPr>
          <w:p w:rsidR="00CB1D6F" w:rsidRDefault="0021488F">
            <w:pPr>
              <w:jc w:val="center"/>
            </w:pPr>
            <w:r>
              <w:rPr>
                <w:rFonts w:eastAsiaTheme="minorEastAsia"/>
                <w:color w:val="000000" w:themeColor="text1"/>
                <w:szCs w:val="21"/>
              </w:rPr>
              <w:t>5</w:t>
            </w:r>
          </w:p>
        </w:tc>
        <w:tc>
          <w:tcPr>
            <w:tcW w:w="1504" w:type="dxa"/>
            <w:vAlign w:val="center"/>
          </w:tcPr>
          <w:p w:rsidR="00CB1D6F" w:rsidRDefault="0021488F">
            <w:pPr>
              <w:jc w:val="center"/>
            </w:pPr>
            <w:r>
              <w:rPr>
                <w:rFonts w:eastAsiaTheme="minorEastAsia"/>
                <w:color w:val="000000" w:themeColor="text1"/>
                <w:szCs w:val="21"/>
              </w:rPr>
              <w:t>136285</w:t>
            </w:r>
          </w:p>
        </w:tc>
        <w:tc>
          <w:tcPr>
            <w:tcW w:w="1504" w:type="dxa"/>
            <w:vAlign w:val="center"/>
          </w:tcPr>
          <w:p w:rsidR="00CB1D6F" w:rsidRDefault="0021488F">
            <w:pPr>
              <w:jc w:val="center"/>
            </w:pPr>
            <w:r>
              <w:rPr>
                <w:rFonts w:eastAsiaTheme="minorEastAsia"/>
                <w:color w:val="000000" w:themeColor="text1"/>
                <w:szCs w:val="21"/>
              </w:rPr>
              <w:t>16</w:t>
            </w:r>
            <w:r>
              <w:rPr>
                <w:rFonts w:eastAsiaTheme="minorEastAsia"/>
                <w:color w:val="000000" w:themeColor="text1"/>
                <w:szCs w:val="21"/>
              </w:rPr>
              <w:t>金隅</w:t>
            </w:r>
            <w:r>
              <w:rPr>
                <w:rFonts w:eastAsiaTheme="minorEastAsia"/>
                <w:color w:val="000000" w:themeColor="text1"/>
                <w:szCs w:val="21"/>
              </w:rPr>
              <w:t>01</w:t>
            </w:r>
          </w:p>
        </w:tc>
        <w:tc>
          <w:tcPr>
            <w:tcW w:w="1503" w:type="dxa"/>
            <w:vAlign w:val="center"/>
          </w:tcPr>
          <w:p w:rsidR="00CB1D6F" w:rsidRDefault="0021488F">
            <w:pPr>
              <w:jc w:val="right"/>
            </w:pPr>
            <w:r>
              <w:rPr>
                <w:rFonts w:eastAsiaTheme="minorEastAsia"/>
                <w:color w:val="000000" w:themeColor="text1"/>
                <w:szCs w:val="21"/>
              </w:rPr>
              <w:t>22,670</w:t>
            </w:r>
          </w:p>
        </w:tc>
        <w:tc>
          <w:tcPr>
            <w:tcW w:w="1503" w:type="dxa"/>
            <w:vAlign w:val="center"/>
          </w:tcPr>
          <w:p w:rsidR="00CB1D6F" w:rsidRDefault="0021488F">
            <w:pPr>
              <w:jc w:val="right"/>
            </w:pPr>
            <w:r>
              <w:rPr>
                <w:rFonts w:eastAsiaTheme="minorEastAsia"/>
                <w:color w:val="000000" w:themeColor="text1"/>
                <w:szCs w:val="21"/>
              </w:rPr>
              <w:t>2,260,652.40</w:t>
            </w:r>
          </w:p>
        </w:tc>
        <w:tc>
          <w:tcPr>
            <w:tcW w:w="1503" w:type="dxa"/>
            <w:vAlign w:val="center"/>
          </w:tcPr>
          <w:p w:rsidR="00CB1D6F" w:rsidRDefault="0021488F">
            <w:pPr>
              <w:jc w:val="right"/>
            </w:pPr>
            <w:r>
              <w:rPr>
                <w:rFonts w:eastAsiaTheme="minorEastAsia"/>
                <w:color w:val="000000" w:themeColor="text1"/>
                <w:szCs w:val="21"/>
              </w:rPr>
              <w:t>3.78</w:t>
            </w:r>
          </w:p>
        </w:tc>
      </w:tr>
    </w:tbl>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5.6</w:t>
      </w:r>
      <w:r>
        <w:rPr>
          <w:rFonts w:asciiTheme="minorEastAsia" w:eastAsiaTheme="minorEastAsia" w:hAnsiTheme="minorEastAsia" w:cs="Arial" w:hint="eastAsia"/>
          <w:b/>
          <w:color w:val="000000" w:themeColor="text1"/>
          <w:kern w:val="0"/>
          <w:szCs w:val="21"/>
        </w:rPr>
        <w:t>报告期末按公允价值占基金资产净值比例大小排序的前十名资产支持证券投资明细</w:t>
      </w:r>
    </w:p>
    <w:p w:rsidR="00CB1D6F" w:rsidRDefault="0021488F">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5.7</w:t>
      </w:r>
      <w:r>
        <w:rPr>
          <w:rFonts w:eastAsiaTheme="minorEastAsia"/>
          <w:b/>
          <w:bCs/>
          <w:color w:val="000000" w:themeColor="text1"/>
          <w:kern w:val="0"/>
          <w:szCs w:val="21"/>
        </w:rPr>
        <w:t>报告期末按公允价值占基金资产净值比例大小排序的前五名贵金属投资明细</w:t>
      </w:r>
    </w:p>
    <w:p w:rsidR="00CB1D6F" w:rsidRDefault="0021488F">
      <w:pPr>
        <w:widowControl/>
        <w:spacing w:line="360" w:lineRule="auto"/>
        <w:ind w:firstLineChars="150" w:firstLine="315"/>
        <w:jc w:val="left"/>
        <w:rPr>
          <w:color w:val="000000" w:themeColor="text1"/>
          <w:szCs w:val="21"/>
        </w:rPr>
      </w:pPr>
      <w:r>
        <w:rPr>
          <w:color w:val="000000" w:themeColor="text1"/>
          <w:szCs w:val="21"/>
        </w:rPr>
        <w:t>本基金本报告期末未持有贵金属。</w:t>
      </w:r>
    </w:p>
    <w:p w:rsidR="00CB1D6F" w:rsidRDefault="00CB1D6F">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CB1D6F" w:rsidRDefault="002148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CB1D6F"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CB1D6F" w:rsidRDefault="0021488F">
      <w:pPr>
        <w:tabs>
          <w:tab w:val="left" w:pos="1785"/>
        </w:tabs>
        <w:autoSpaceDE w:val="0"/>
        <w:autoSpaceDN w:val="0"/>
        <w:adjustRightInd w:val="0"/>
        <w:spacing w:line="288" w:lineRule="auto"/>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ab/>
      </w:r>
    </w:p>
    <w:p w:rsidR="00CB1D6F" w:rsidRDefault="0021488F">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5.9</w:t>
      </w:r>
      <w:r>
        <w:rPr>
          <w:rFonts w:eastAsiaTheme="minorEastAsia"/>
          <w:b/>
          <w:color w:val="000000" w:themeColor="text1"/>
          <w:szCs w:val="21"/>
        </w:rPr>
        <w:t>报告期末本基金投资的股指期货交易情况说明</w:t>
      </w:r>
    </w:p>
    <w:p w:rsidR="00CB1D6F" w:rsidRDefault="0021488F">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本基金本报告期末未持有股指期货。</w:t>
      </w:r>
    </w:p>
    <w:p w:rsidR="00CB1D6F" w:rsidRDefault="00CB1D6F">
      <w:pPr>
        <w:autoSpaceDE w:val="0"/>
        <w:autoSpaceDN w:val="0"/>
        <w:adjustRightInd w:val="0"/>
        <w:spacing w:line="360" w:lineRule="auto"/>
        <w:jc w:val="left"/>
        <w:rPr>
          <w:rFonts w:asciiTheme="minorEastAsia" w:eastAsiaTheme="minorEastAsia" w:hAnsiTheme="minorEastAsia" w:cs="宋体"/>
          <w:color w:val="000000" w:themeColor="text1"/>
          <w:sz w:val="24"/>
        </w:rPr>
      </w:pPr>
    </w:p>
    <w:p w:rsidR="00CB1D6F" w:rsidRDefault="0021488F">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CB1D6F" w:rsidRDefault="0021488F">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本基金本报告期末未持有国债期货。</w:t>
      </w:r>
    </w:p>
    <w:p w:rsidR="00CB1D6F" w:rsidRDefault="0021488F">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asciiTheme="minorEastAsia" w:eastAsiaTheme="minorEastAsia" w:hAnsiTheme="minorEastAsia" w:cs="Arial" w:hint="eastAsia"/>
          <w:b/>
          <w:color w:val="000000" w:themeColor="text1"/>
          <w:kern w:val="0"/>
          <w:szCs w:val="21"/>
        </w:rPr>
        <w:t>5</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11投资组合报告附注</w:t>
      </w:r>
    </w:p>
    <w:p w:rsidR="00CB1D6F" w:rsidRDefault="0021488F">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CB1D6F" w:rsidRDefault="0021488F">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CB1D6F" w:rsidRDefault="0021488F">
      <w:pPr>
        <w:autoSpaceDE w:val="0"/>
        <w:autoSpaceDN w:val="0"/>
        <w:adjustRightInd w:val="0"/>
        <w:spacing w:line="360" w:lineRule="auto"/>
        <w:rPr>
          <w:rFonts w:asciiTheme="minorEastAsia" w:eastAsiaTheme="minorEastAsia" w:hAnsiTheme="minorEastAsia" w:cs="Arial"/>
          <w:b/>
          <w:color w:val="000000" w:themeColor="text1"/>
          <w:kern w:val="0"/>
          <w:szCs w:val="21"/>
        </w:rPr>
      </w:pPr>
      <w:r>
        <w:rPr>
          <w:rFonts w:asciiTheme="minorEastAsia" w:eastAsiaTheme="minorEastAsia" w:hAnsiTheme="minorEastAsia" w:cs="Arial" w:hint="eastAsia"/>
          <w:b/>
          <w:color w:val="000000" w:themeColor="text1"/>
          <w:kern w:val="0"/>
          <w:szCs w:val="21"/>
        </w:rPr>
        <w:t>5</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11</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3其他资产构成</w:t>
      </w:r>
    </w:p>
    <w:tbl>
      <w:tblPr>
        <w:tblStyle w:val="af6"/>
        <w:tblW w:w="8679" w:type="dxa"/>
        <w:tblInd w:w="15" w:type="dxa"/>
        <w:tblLayout w:type="fixed"/>
        <w:tblLook w:val="04A0"/>
      </w:tblPr>
      <w:tblGrid>
        <w:gridCol w:w="1110"/>
        <w:gridCol w:w="2761"/>
        <w:gridCol w:w="4808"/>
      </w:tblGrid>
      <w:tr w:rsidR="00CB1D6F">
        <w:tc>
          <w:tcPr>
            <w:tcW w:w="1110" w:type="dxa"/>
            <w:vAlign w:val="center"/>
          </w:tcPr>
          <w:p w:rsidR="00CB1D6F" w:rsidRDefault="0021488F">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序号</w:t>
            </w:r>
          </w:p>
        </w:tc>
        <w:tc>
          <w:tcPr>
            <w:tcW w:w="2761" w:type="dxa"/>
            <w:vAlign w:val="center"/>
          </w:tcPr>
          <w:p w:rsidR="00CB1D6F" w:rsidRDefault="0021488F">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名称</w:t>
            </w:r>
          </w:p>
        </w:tc>
        <w:tc>
          <w:tcPr>
            <w:tcW w:w="4808" w:type="dxa"/>
            <w:vAlign w:val="center"/>
          </w:tcPr>
          <w:p w:rsidR="00CB1D6F" w:rsidRDefault="0021488F">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金额(元)</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存出保证金</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10,237.14</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2,384,284.68</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应收股利</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应收利息</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1,052,053.06</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应收申购款</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其他应收款</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待摊费用</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B1D6F">
        <w:tc>
          <w:tcPr>
            <w:tcW w:w="1110" w:type="dxa"/>
            <w:vAlign w:val="center"/>
          </w:tcPr>
          <w:p w:rsidR="00CB1D6F" w:rsidRDefault="002148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CB1D6F" w:rsidRDefault="0021488F">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合计</w:t>
            </w:r>
          </w:p>
        </w:tc>
        <w:tc>
          <w:tcPr>
            <w:tcW w:w="4808" w:type="dxa"/>
            <w:vAlign w:val="center"/>
          </w:tcPr>
          <w:p w:rsidR="00CB1D6F" w:rsidRDefault="002148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3,446,574.88</w:t>
            </w:r>
          </w:p>
        </w:tc>
      </w:tr>
    </w:tbl>
    <w:p w:rsidR="00CB1D6F" w:rsidRDefault="00CB1D6F">
      <w:pPr>
        <w:autoSpaceDE w:val="0"/>
        <w:autoSpaceDN w:val="0"/>
        <w:adjustRightInd w:val="0"/>
        <w:spacing w:line="360" w:lineRule="auto"/>
        <w:jc w:val="left"/>
        <w:rPr>
          <w:rFonts w:asciiTheme="minorEastAsia" w:eastAsiaTheme="minorEastAsia" w:hAnsiTheme="minorEastAsia" w:cs="宋体"/>
          <w:color w:val="000000" w:themeColor="text1"/>
          <w:sz w:val="24"/>
        </w:rPr>
      </w:pPr>
    </w:p>
    <w:p w:rsidR="00CB1D6F" w:rsidRDefault="002148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CB1D6F"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CB1D6F" w:rsidRDefault="00CB1D6F">
      <w:pPr>
        <w:autoSpaceDE w:val="0"/>
        <w:autoSpaceDN w:val="0"/>
        <w:adjustRightInd w:val="0"/>
        <w:spacing w:line="360" w:lineRule="auto"/>
        <w:jc w:val="left"/>
        <w:rPr>
          <w:rFonts w:eastAsiaTheme="minorEastAsia"/>
          <w:color w:val="000000" w:themeColor="text1"/>
          <w:sz w:val="24"/>
        </w:rPr>
      </w:pPr>
    </w:p>
    <w:p w:rsidR="00CB1D6F" w:rsidRDefault="0021488F">
      <w:pPr>
        <w:autoSpaceDE w:val="0"/>
        <w:autoSpaceDN w:val="0"/>
        <w:adjustRightInd w:val="0"/>
        <w:spacing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CB1D6F" w:rsidRDefault="0021488F">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CB1D6F" w:rsidRDefault="00CB1D6F">
      <w:pPr>
        <w:spacing w:line="360" w:lineRule="auto"/>
        <w:rPr>
          <w:rFonts w:eastAsiaTheme="minorEastAsia"/>
          <w:color w:val="000000" w:themeColor="text1"/>
          <w:sz w:val="24"/>
        </w:rPr>
      </w:pPr>
    </w:p>
    <w:p w:rsidR="00CB1D6F" w:rsidRDefault="0021488F">
      <w:pPr>
        <w:spacing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CB1D6F" w:rsidRDefault="0021488F" w:rsidP="005B7C25">
      <w:pPr>
        <w:pStyle w:val="1"/>
        <w:spacing w:beforeLines="100" w:afterLines="100" w:line="360" w:lineRule="auto"/>
        <w:jc w:val="center"/>
        <w:rPr>
          <w:rFonts w:asciiTheme="minorEastAsia" w:eastAsiaTheme="minorEastAsia" w:hAnsiTheme="minorEastAsia" w:cs="Arial"/>
          <w:color w:val="000000" w:themeColor="text1"/>
          <w:kern w:val="0"/>
          <w:sz w:val="28"/>
          <w:szCs w:val="28"/>
        </w:rPr>
      </w:pPr>
      <w:r>
        <w:rPr>
          <w:rFonts w:eastAsiaTheme="minorEastAsia"/>
          <w:color w:val="000000" w:themeColor="text1"/>
          <w:kern w:val="0"/>
          <w:sz w:val="28"/>
          <w:szCs w:val="28"/>
        </w:rPr>
        <w:t>§6</w:t>
      </w:r>
      <w:r>
        <w:rPr>
          <w:rFonts w:asciiTheme="minorEastAsia" w:eastAsiaTheme="minorEastAsia" w:hAnsiTheme="minorEastAsia" w:cs="Arial" w:hint="eastAsia"/>
          <w:color w:val="000000" w:themeColor="text1"/>
          <w:kern w:val="0"/>
          <w:sz w:val="28"/>
          <w:szCs w:val="28"/>
        </w:rPr>
        <w:t>开放式基金份额变动</w:t>
      </w:r>
    </w:p>
    <w:p w:rsidR="00CB1D6F" w:rsidRDefault="0021488F">
      <w:pPr>
        <w:autoSpaceDE w:val="0"/>
        <w:autoSpaceDN w:val="0"/>
        <w:adjustRightInd w:val="0"/>
        <w:spacing w:before="29" w:line="288" w:lineRule="auto"/>
        <w:ind w:left="15" w:right="480"/>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单位：份</w:t>
      </w:r>
    </w:p>
    <w:tbl>
      <w:tblPr>
        <w:tblW w:w="8634" w:type="dxa"/>
        <w:tblInd w:w="-106" w:type="dxa"/>
        <w:tblLayout w:type="fixed"/>
        <w:tblLook w:val="04A0"/>
      </w:tblPr>
      <w:tblGrid>
        <w:gridCol w:w="2199"/>
        <w:gridCol w:w="1559"/>
        <w:gridCol w:w="1625"/>
        <w:gridCol w:w="1625"/>
        <w:gridCol w:w="1626"/>
      </w:tblGrid>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55,311,588.34</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199.81</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2,606,235.36</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211.91</w:t>
            </w:r>
          </w:p>
        </w:tc>
      </w:tr>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B1D6F">
        <w:tc>
          <w:tcPr>
            <w:tcW w:w="219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55,311,588.34</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199.81</w:t>
            </w:r>
          </w:p>
        </w:tc>
        <w:tc>
          <w:tcPr>
            <w:tcW w:w="1625"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2,606,235.36</w:t>
            </w:r>
          </w:p>
        </w:tc>
        <w:tc>
          <w:tcPr>
            <w:tcW w:w="1626" w:type="dxa"/>
            <w:tcBorders>
              <w:top w:val="single" w:sz="8" w:space="0" w:color="000000"/>
              <w:left w:val="single" w:sz="8" w:space="0" w:color="000000"/>
              <w:bottom w:val="single" w:sz="8" w:space="0" w:color="000000"/>
              <w:right w:val="single" w:sz="8" w:space="0" w:color="000000"/>
            </w:tcBorders>
            <w:vAlign w:val="center"/>
          </w:tcPr>
          <w:p w:rsidR="00CB1D6F" w:rsidRDefault="002148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211.91</w:t>
            </w:r>
          </w:p>
        </w:tc>
      </w:tr>
    </w:tbl>
    <w:p w:rsidR="00CB1D6F" w:rsidRDefault="0021488F" w:rsidP="005B7C25">
      <w:pPr>
        <w:pStyle w:val="1"/>
        <w:tabs>
          <w:tab w:val="center" w:pos="4156"/>
          <w:tab w:val="right" w:pos="8312"/>
        </w:tabs>
        <w:spacing w:beforeLines="100" w:afterLines="100" w:line="360" w:lineRule="auto"/>
        <w:jc w:val="center"/>
        <w:rPr>
          <w:color w:val="000000" w:themeColor="text1"/>
          <w:sz w:val="24"/>
          <w:szCs w:val="24"/>
        </w:rPr>
      </w:pPr>
      <w:r>
        <w:rPr>
          <w:rFonts w:eastAsiaTheme="minorEastAsia"/>
          <w:color w:val="000000" w:themeColor="text1"/>
          <w:kern w:val="0"/>
          <w:sz w:val="24"/>
          <w:szCs w:val="24"/>
        </w:rPr>
        <w:t>§7</w:t>
      </w:r>
      <w:r>
        <w:rPr>
          <w:color w:val="000000" w:themeColor="text1"/>
          <w:sz w:val="24"/>
          <w:szCs w:val="24"/>
        </w:rPr>
        <w:t>基金管理人运用固有资金投资本基金情况</w:t>
      </w:r>
    </w:p>
    <w:p w:rsidR="00CB1D6F" w:rsidRDefault="0021488F">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CB1D6F" w:rsidRDefault="0021488F">
      <w:pPr>
        <w:autoSpaceDE w:val="0"/>
        <w:autoSpaceDN w:val="0"/>
        <w:adjustRightInd w:val="0"/>
        <w:spacing w:line="360" w:lineRule="auto"/>
        <w:ind w:firstLineChars="150" w:firstLine="315"/>
        <w:jc w:val="left"/>
        <w:rPr>
          <w:rFonts w:asciiTheme="minorEastAsia" w:eastAsiaTheme="minorEastAsia" w:hAnsiTheme="minorEastAsia"/>
          <w:color w:val="000000" w:themeColor="text1"/>
          <w:szCs w:val="21"/>
        </w:rPr>
      </w:pPr>
      <w:r>
        <w:rPr>
          <w:rFonts w:eastAsiaTheme="minorEastAsia"/>
          <w:color w:val="000000" w:themeColor="text1"/>
          <w:szCs w:val="21"/>
        </w:rPr>
        <w:t>无。</w:t>
      </w:r>
    </w:p>
    <w:p w:rsidR="00CB1D6F" w:rsidRDefault="00CB1D6F">
      <w:pPr>
        <w:autoSpaceDE w:val="0"/>
        <w:autoSpaceDN w:val="0"/>
        <w:adjustRightInd w:val="0"/>
        <w:spacing w:line="360" w:lineRule="auto"/>
        <w:jc w:val="left"/>
        <w:rPr>
          <w:rFonts w:asciiTheme="minorEastAsia" w:eastAsiaTheme="minorEastAsia" w:hAnsiTheme="minorEastAsia" w:cs="宋体"/>
          <w:color w:val="000000" w:themeColor="text1"/>
          <w:kern w:val="0"/>
          <w:szCs w:val="21"/>
        </w:rPr>
      </w:pPr>
    </w:p>
    <w:p w:rsidR="00CB1D6F" w:rsidRDefault="0021488F" w:rsidP="005B7C25">
      <w:pPr>
        <w:pStyle w:val="1"/>
        <w:spacing w:beforeLines="100" w:afterLines="100" w:line="360" w:lineRule="auto"/>
        <w:jc w:val="center"/>
        <w:rPr>
          <w:rFonts w:eastAsiaTheme="minorEastAsia"/>
          <w:color w:val="000000" w:themeColor="text1"/>
          <w:kern w:val="0"/>
          <w:sz w:val="28"/>
          <w:szCs w:val="28"/>
        </w:rPr>
      </w:pPr>
      <w:r>
        <w:rPr>
          <w:rFonts w:eastAsiaTheme="minorEastAsia"/>
          <w:color w:val="000000" w:themeColor="text1"/>
          <w:kern w:val="0"/>
          <w:sz w:val="28"/>
          <w:szCs w:val="28"/>
        </w:rPr>
        <w:t>§</w:t>
      </w:r>
      <w:r w:rsidR="00184934">
        <w:rPr>
          <w:rFonts w:eastAsiaTheme="minorEastAsia" w:hint="eastAsia"/>
          <w:color w:val="000000" w:themeColor="text1"/>
          <w:kern w:val="0"/>
          <w:sz w:val="28"/>
          <w:szCs w:val="28"/>
        </w:rPr>
        <w:t>8</w:t>
      </w:r>
      <w:r>
        <w:rPr>
          <w:rFonts w:eastAsiaTheme="minorEastAsia"/>
          <w:color w:val="000000" w:themeColor="text1"/>
          <w:kern w:val="0"/>
          <w:sz w:val="28"/>
          <w:szCs w:val="28"/>
        </w:rPr>
        <w:t xml:space="preserve"> </w:t>
      </w:r>
      <w:r>
        <w:rPr>
          <w:rFonts w:eastAsiaTheme="minorEastAsia"/>
          <w:color w:val="000000" w:themeColor="text1"/>
          <w:kern w:val="0"/>
          <w:sz w:val="28"/>
          <w:szCs w:val="28"/>
        </w:rPr>
        <w:t>备查文件目录</w:t>
      </w:r>
    </w:p>
    <w:p w:rsidR="00CB1D6F" w:rsidRDefault="00184934">
      <w:pPr>
        <w:autoSpaceDE w:val="0"/>
        <w:autoSpaceDN w:val="0"/>
        <w:adjustRightInd w:val="0"/>
        <w:spacing w:line="360" w:lineRule="auto"/>
        <w:jc w:val="left"/>
        <w:rPr>
          <w:rFonts w:eastAsiaTheme="minorEastAsia"/>
          <w:b/>
          <w:bCs/>
          <w:color w:val="000000" w:themeColor="text1"/>
          <w:kern w:val="0"/>
          <w:szCs w:val="21"/>
        </w:rPr>
      </w:pPr>
      <w:r>
        <w:rPr>
          <w:rFonts w:eastAsiaTheme="minorEastAsia" w:hint="eastAsia"/>
          <w:b/>
          <w:bCs/>
          <w:color w:val="000000" w:themeColor="text1"/>
          <w:kern w:val="0"/>
          <w:szCs w:val="21"/>
        </w:rPr>
        <w:t>8</w:t>
      </w:r>
      <w:r w:rsidR="0021488F">
        <w:rPr>
          <w:rFonts w:eastAsiaTheme="minorEastAsia"/>
          <w:b/>
          <w:bCs/>
          <w:color w:val="000000" w:themeColor="text1"/>
          <w:kern w:val="0"/>
          <w:szCs w:val="21"/>
        </w:rPr>
        <w:t>.1</w:t>
      </w:r>
      <w:r w:rsidR="0021488F">
        <w:rPr>
          <w:rFonts w:eastAsiaTheme="minorEastAsia"/>
          <w:b/>
          <w:bCs/>
          <w:color w:val="000000" w:themeColor="text1"/>
          <w:kern w:val="0"/>
          <w:szCs w:val="21"/>
        </w:rPr>
        <w:t>备查文件目录</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中国证监会批准上投摩根岁岁盈定期开放债券型证券投资基金设立的文件；</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《上投摩根岁岁盈定期开放债券型证券投资基金基金合同》；</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《上投摩根岁岁盈定期开放债券型证券投资基金托管协议》；</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CB1D6F" w:rsidRDefault="00CB1D6F">
      <w:pPr>
        <w:spacing w:line="360" w:lineRule="auto"/>
        <w:ind w:firstLineChars="200" w:firstLine="420"/>
        <w:rPr>
          <w:rFonts w:eastAsiaTheme="minorEastAsia"/>
          <w:color w:val="000000" w:themeColor="text1"/>
          <w:szCs w:val="21"/>
        </w:rPr>
      </w:pPr>
    </w:p>
    <w:p w:rsidR="00CB1D6F" w:rsidRDefault="00184934">
      <w:pPr>
        <w:autoSpaceDE w:val="0"/>
        <w:autoSpaceDN w:val="0"/>
        <w:adjustRightInd w:val="0"/>
        <w:spacing w:line="360" w:lineRule="auto"/>
        <w:jc w:val="left"/>
        <w:rPr>
          <w:rFonts w:eastAsiaTheme="minorEastAsia"/>
          <w:b/>
          <w:bCs/>
          <w:color w:val="000000" w:themeColor="text1"/>
          <w:kern w:val="0"/>
          <w:szCs w:val="21"/>
        </w:rPr>
      </w:pPr>
      <w:r>
        <w:rPr>
          <w:rFonts w:eastAsiaTheme="minorEastAsia" w:hint="eastAsia"/>
          <w:b/>
          <w:bCs/>
          <w:color w:val="000000" w:themeColor="text1"/>
          <w:kern w:val="0"/>
          <w:szCs w:val="21"/>
        </w:rPr>
        <w:t>8</w:t>
      </w:r>
      <w:r w:rsidR="0021488F">
        <w:rPr>
          <w:rFonts w:eastAsiaTheme="minorEastAsia"/>
          <w:b/>
          <w:bCs/>
          <w:color w:val="000000" w:themeColor="text1"/>
          <w:kern w:val="0"/>
          <w:szCs w:val="21"/>
        </w:rPr>
        <w:t>.2</w:t>
      </w:r>
      <w:r w:rsidR="0021488F">
        <w:rPr>
          <w:rFonts w:eastAsiaTheme="minorEastAsia"/>
          <w:b/>
          <w:bCs/>
          <w:color w:val="000000" w:themeColor="text1"/>
          <w:kern w:val="0"/>
          <w:szCs w:val="21"/>
        </w:rPr>
        <w:t>存放地点</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CB1D6F" w:rsidRDefault="00CB1D6F">
      <w:pPr>
        <w:spacing w:line="360" w:lineRule="auto"/>
        <w:ind w:firstLineChars="200" w:firstLine="420"/>
        <w:rPr>
          <w:rFonts w:eastAsiaTheme="minorEastAsia"/>
          <w:color w:val="000000" w:themeColor="text1"/>
          <w:szCs w:val="21"/>
        </w:rPr>
      </w:pPr>
    </w:p>
    <w:p w:rsidR="00CB1D6F" w:rsidRDefault="00184934">
      <w:pPr>
        <w:autoSpaceDE w:val="0"/>
        <w:autoSpaceDN w:val="0"/>
        <w:adjustRightInd w:val="0"/>
        <w:spacing w:line="360" w:lineRule="auto"/>
        <w:jc w:val="left"/>
        <w:rPr>
          <w:rFonts w:eastAsiaTheme="minorEastAsia"/>
          <w:b/>
          <w:bCs/>
          <w:color w:val="000000" w:themeColor="text1"/>
          <w:kern w:val="0"/>
          <w:szCs w:val="21"/>
        </w:rPr>
      </w:pPr>
      <w:r>
        <w:rPr>
          <w:rFonts w:eastAsiaTheme="minorEastAsia" w:hint="eastAsia"/>
          <w:b/>
          <w:bCs/>
          <w:color w:val="000000" w:themeColor="text1"/>
          <w:kern w:val="0"/>
          <w:szCs w:val="21"/>
        </w:rPr>
        <w:t>8</w:t>
      </w:r>
      <w:bookmarkStart w:id="0" w:name="_GoBack"/>
      <w:bookmarkEnd w:id="0"/>
      <w:r w:rsidR="0021488F">
        <w:rPr>
          <w:rFonts w:eastAsiaTheme="minorEastAsia"/>
          <w:b/>
          <w:bCs/>
          <w:color w:val="000000" w:themeColor="text1"/>
          <w:kern w:val="0"/>
          <w:szCs w:val="21"/>
        </w:rPr>
        <w:t>.3</w:t>
      </w:r>
      <w:r w:rsidR="0021488F">
        <w:rPr>
          <w:rFonts w:eastAsiaTheme="minorEastAsia"/>
          <w:b/>
          <w:bCs/>
          <w:color w:val="000000" w:themeColor="text1"/>
          <w:kern w:val="0"/>
          <w:szCs w:val="21"/>
        </w:rPr>
        <w:t>查阅方式</w:t>
      </w:r>
    </w:p>
    <w:p w:rsidR="00CB1D6F"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CB1D6F" w:rsidRDefault="00CB1D6F">
      <w:pPr>
        <w:spacing w:line="360" w:lineRule="auto"/>
        <w:ind w:left="840"/>
        <w:jc w:val="right"/>
        <w:rPr>
          <w:rFonts w:asciiTheme="minorEastAsia" w:eastAsiaTheme="minorEastAsia" w:hAnsiTheme="minorEastAsia"/>
          <w:color w:val="000000" w:themeColor="text1"/>
          <w:sz w:val="24"/>
        </w:rPr>
      </w:pPr>
    </w:p>
    <w:p w:rsidR="00CB1D6F" w:rsidRDefault="00CB1D6F">
      <w:pPr>
        <w:spacing w:line="360" w:lineRule="auto"/>
        <w:ind w:left="840"/>
        <w:jc w:val="center"/>
        <w:rPr>
          <w:rFonts w:asciiTheme="minorEastAsia" w:eastAsiaTheme="minorEastAsia" w:hAnsiTheme="minorEastAsia"/>
          <w:b/>
          <w:color w:val="000000" w:themeColor="text1"/>
          <w:sz w:val="24"/>
        </w:rPr>
      </w:pPr>
    </w:p>
    <w:p w:rsidR="00CB1D6F" w:rsidRDefault="0021488F">
      <w:pPr>
        <w:spacing w:line="360" w:lineRule="auto"/>
        <w:jc w:val="right"/>
        <w:rPr>
          <w:rFonts w:eastAsiaTheme="minorEastAsia"/>
          <w:bCs/>
          <w:color w:val="000000" w:themeColor="text1"/>
          <w:szCs w:val="21"/>
        </w:rPr>
      </w:pPr>
      <w:r>
        <w:rPr>
          <w:rFonts w:eastAsiaTheme="minorEastAsia"/>
          <w:bCs/>
          <w:color w:val="000000" w:themeColor="text1"/>
          <w:szCs w:val="21"/>
        </w:rPr>
        <w:t>上投摩根基金管理有限公司</w:t>
      </w:r>
    </w:p>
    <w:p w:rsidR="00CB1D6F" w:rsidRDefault="0021488F">
      <w:pPr>
        <w:spacing w:line="360" w:lineRule="auto"/>
        <w:jc w:val="right"/>
        <w:rPr>
          <w:rFonts w:asciiTheme="minorEastAsia" w:eastAsiaTheme="minorEastAsia" w:hAnsiTheme="minorEastAsia"/>
          <w:bCs/>
          <w:color w:val="000000" w:themeColor="text1"/>
          <w:sz w:val="24"/>
        </w:rPr>
      </w:pPr>
      <w:r>
        <w:rPr>
          <w:rFonts w:eastAsiaTheme="minorEastAsia"/>
          <w:bCs/>
          <w:color w:val="000000" w:themeColor="text1"/>
          <w:szCs w:val="21"/>
        </w:rPr>
        <w:t>二〇一八年十月二十四日</w:t>
      </w:r>
    </w:p>
    <w:sectPr w:rsidR="00CB1D6F" w:rsidSect="002D358B">
      <w:footerReference w:type="even" r:id="rId14"/>
      <w:footerReference w:type="default" r:id="rId15"/>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49" w:rsidRDefault="0021488F">
      <w:r>
        <w:separator/>
      </w:r>
    </w:p>
  </w:endnote>
  <w:endnote w:type="continuationSeparator" w:id="1">
    <w:p w:rsidR="00132049" w:rsidRDefault="00214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6F" w:rsidRDefault="0021488F">
    <w:pPr>
      <w:pStyle w:val="ac"/>
      <w:jc w:val="center"/>
    </w:pPr>
    <w:r>
      <w:rPr>
        <w:rFonts w:hint="eastAsia"/>
        <w:kern w:val="0"/>
        <w:szCs w:val="21"/>
      </w:rPr>
      <w:t>第</w:t>
    </w:r>
    <w:r w:rsidR="00BB4B17">
      <w:rPr>
        <w:kern w:val="0"/>
        <w:szCs w:val="21"/>
      </w:rPr>
      <w:fldChar w:fldCharType="begin"/>
    </w:r>
    <w:r>
      <w:rPr>
        <w:kern w:val="0"/>
        <w:szCs w:val="21"/>
      </w:rPr>
      <w:instrText xml:space="preserve"> PAGE </w:instrText>
    </w:r>
    <w:r w:rsidR="00BB4B17">
      <w:rPr>
        <w:kern w:val="0"/>
        <w:szCs w:val="21"/>
      </w:rPr>
      <w:fldChar w:fldCharType="separate"/>
    </w:r>
    <w:r w:rsidR="005B7C25">
      <w:rPr>
        <w:noProof/>
        <w:kern w:val="0"/>
        <w:szCs w:val="21"/>
      </w:rPr>
      <w:t>1</w:t>
    </w:r>
    <w:r w:rsidR="00BB4B17">
      <w:rPr>
        <w:kern w:val="0"/>
        <w:szCs w:val="21"/>
      </w:rPr>
      <w:fldChar w:fldCharType="end"/>
    </w:r>
    <w:r>
      <w:rPr>
        <w:rFonts w:hint="eastAsia"/>
        <w:kern w:val="0"/>
        <w:szCs w:val="21"/>
      </w:rPr>
      <w:t>页共</w:t>
    </w:r>
    <w:r w:rsidR="00BB4B17">
      <w:rPr>
        <w:kern w:val="0"/>
        <w:szCs w:val="21"/>
      </w:rPr>
      <w:fldChar w:fldCharType="begin"/>
    </w:r>
    <w:r>
      <w:rPr>
        <w:kern w:val="0"/>
        <w:szCs w:val="21"/>
      </w:rPr>
      <w:instrText xml:space="preserve"> NUMPAGES </w:instrText>
    </w:r>
    <w:r w:rsidR="00BB4B17">
      <w:rPr>
        <w:kern w:val="0"/>
        <w:szCs w:val="21"/>
      </w:rPr>
      <w:fldChar w:fldCharType="separate"/>
    </w:r>
    <w:r w:rsidR="005B7C25">
      <w:rPr>
        <w:noProof/>
        <w:kern w:val="0"/>
        <w:szCs w:val="21"/>
      </w:rPr>
      <w:t>3</w:t>
    </w:r>
    <w:r w:rsidR="00BB4B17">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6F" w:rsidRDefault="00BB4B17">
    <w:pPr>
      <w:pStyle w:val="ac"/>
      <w:framePr w:wrap="around" w:vAnchor="text" w:hAnchor="margin" w:xAlign="center" w:y="1"/>
      <w:rPr>
        <w:rStyle w:val="af2"/>
      </w:rPr>
    </w:pPr>
    <w:r>
      <w:rPr>
        <w:rStyle w:val="af2"/>
      </w:rPr>
      <w:fldChar w:fldCharType="begin"/>
    </w:r>
    <w:r w:rsidR="0021488F">
      <w:rPr>
        <w:rStyle w:val="af2"/>
      </w:rPr>
      <w:instrText xml:space="preserve">PAGE  </w:instrText>
    </w:r>
    <w:r>
      <w:rPr>
        <w:rStyle w:val="af2"/>
      </w:rPr>
      <w:fldChar w:fldCharType="end"/>
    </w:r>
  </w:p>
  <w:p w:rsidR="00CB1D6F" w:rsidRDefault="00CB1D6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6F" w:rsidRDefault="00BB4B17">
    <w:pPr>
      <w:pStyle w:val="ac"/>
      <w:framePr w:wrap="around" w:vAnchor="text" w:hAnchor="margin" w:xAlign="center" w:y="1"/>
      <w:rPr>
        <w:rStyle w:val="af2"/>
      </w:rPr>
    </w:pPr>
    <w:r>
      <w:rPr>
        <w:rStyle w:val="af2"/>
      </w:rPr>
      <w:fldChar w:fldCharType="begin"/>
    </w:r>
    <w:r w:rsidR="0021488F">
      <w:rPr>
        <w:rStyle w:val="af2"/>
      </w:rPr>
      <w:instrText xml:space="preserve">PAGE  </w:instrText>
    </w:r>
    <w:r>
      <w:rPr>
        <w:rStyle w:val="af2"/>
      </w:rPr>
      <w:fldChar w:fldCharType="separate"/>
    </w:r>
    <w:r w:rsidR="005B7C25">
      <w:rPr>
        <w:rStyle w:val="af2"/>
        <w:noProof/>
      </w:rPr>
      <w:t>2</w:t>
    </w:r>
    <w:r>
      <w:rPr>
        <w:rStyle w:val="af2"/>
      </w:rPr>
      <w:fldChar w:fldCharType="end"/>
    </w:r>
  </w:p>
  <w:p w:rsidR="00CB1D6F" w:rsidRDefault="00CB1D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49" w:rsidRDefault="0021488F">
      <w:r>
        <w:separator/>
      </w:r>
    </w:p>
  </w:footnote>
  <w:footnote w:type="continuationSeparator" w:id="1">
    <w:p w:rsidR="00132049" w:rsidRDefault="00214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6F" w:rsidRDefault="0021488F">
    <w:pPr>
      <w:pStyle w:val="ad"/>
      <w:pBdr>
        <w:bottom w:val="single" w:sz="6" w:space="0" w:color="auto"/>
      </w:pBdr>
      <w:jc w:val="right"/>
    </w:pPr>
    <w:r>
      <w:t>上投摩根岁岁盈定期开放债券型证券投资基金</w:t>
    </w:r>
    <w:r>
      <w:t>2018</w:t>
    </w:r>
    <w:r>
      <w:t>年第</w:t>
    </w:r>
    <w:r>
      <w:t>3</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19D5"/>
    <w:rsid w:val="00021A39"/>
    <w:rsid w:val="00022396"/>
    <w:rsid w:val="00023073"/>
    <w:rsid w:val="00023B97"/>
    <w:rsid w:val="00024836"/>
    <w:rsid w:val="000252D8"/>
    <w:rsid w:val="0003564A"/>
    <w:rsid w:val="00037B55"/>
    <w:rsid w:val="00037C73"/>
    <w:rsid w:val="00042065"/>
    <w:rsid w:val="00043FD2"/>
    <w:rsid w:val="00045558"/>
    <w:rsid w:val="00045BA9"/>
    <w:rsid w:val="00046FDF"/>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971"/>
    <w:rsid w:val="000A7BFD"/>
    <w:rsid w:val="000B000E"/>
    <w:rsid w:val="000B1CB9"/>
    <w:rsid w:val="000B24AF"/>
    <w:rsid w:val="000B251E"/>
    <w:rsid w:val="000B31C6"/>
    <w:rsid w:val="000B3E43"/>
    <w:rsid w:val="000B4E99"/>
    <w:rsid w:val="000B648A"/>
    <w:rsid w:val="000C45E7"/>
    <w:rsid w:val="000C5956"/>
    <w:rsid w:val="000C757F"/>
    <w:rsid w:val="000C7DD4"/>
    <w:rsid w:val="000D1164"/>
    <w:rsid w:val="000D1BBE"/>
    <w:rsid w:val="000D3773"/>
    <w:rsid w:val="000D4232"/>
    <w:rsid w:val="000D4DE9"/>
    <w:rsid w:val="000D6660"/>
    <w:rsid w:val="000D6BA0"/>
    <w:rsid w:val="000D7ECA"/>
    <w:rsid w:val="000E2F81"/>
    <w:rsid w:val="000E367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064BC"/>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049"/>
    <w:rsid w:val="0013251D"/>
    <w:rsid w:val="00134734"/>
    <w:rsid w:val="00134CBE"/>
    <w:rsid w:val="00140C30"/>
    <w:rsid w:val="00142C74"/>
    <w:rsid w:val="00145E5B"/>
    <w:rsid w:val="00147319"/>
    <w:rsid w:val="00147551"/>
    <w:rsid w:val="0015012F"/>
    <w:rsid w:val="00150C2E"/>
    <w:rsid w:val="0015170D"/>
    <w:rsid w:val="001517AE"/>
    <w:rsid w:val="001539AE"/>
    <w:rsid w:val="00154FA5"/>
    <w:rsid w:val="0015531A"/>
    <w:rsid w:val="00156F9D"/>
    <w:rsid w:val="001602E3"/>
    <w:rsid w:val="00160539"/>
    <w:rsid w:val="00161548"/>
    <w:rsid w:val="00165C95"/>
    <w:rsid w:val="0017176A"/>
    <w:rsid w:val="00172B54"/>
    <w:rsid w:val="001763D8"/>
    <w:rsid w:val="00176874"/>
    <w:rsid w:val="0017725A"/>
    <w:rsid w:val="0018052A"/>
    <w:rsid w:val="00180952"/>
    <w:rsid w:val="0018191A"/>
    <w:rsid w:val="00184934"/>
    <w:rsid w:val="001850BB"/>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473B"/>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061"/>
    <w:rsid w:val="001F2BD1"/>
    <w:rsid w:val="001F3080"/>
    <w:rsid w:val="001F3CC6"/>
    <w:rsid w:val="001F5F5F"/>
    <w:rsid w:val="00205064"/>
    <w:rsid w:val="0020548A"/>
    <w:rsid w:val="00207978"/>
    <w:rsid w:val="00211668"/>
    <w:rsid w:val="002118A6"/>
    <w:rsid w:val="002122FF"/>
    <w:rsid w:val="002125F7"/>
    <w:rsid w:val="0021288A"/>
    <w:rsid w:val="0021488F"/>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00E7"/>
    <w:rsid w:val="00273E5C"/>
    <w:rsid w:val="00275FD0"/>
    <w:rsid w:val="00280514"/>
    <w:rsid w:val="002819E7"/>
    <w:rsid w:val="00282FF2"/>
    <w:rsid w:val="00283483"/>
    <w:rsid w:val="002844B5"/>
    <w:rsid w:val="0028459B"/>
    <w:rsid w:val="00285618"/>
    <w:rsid w:val="002872F8"/>
    <w:rsid w:val="00293C0C"/>
    <w:rsid w:val="00296E4A"/>
    <w:rsid w:val="002976E5"/>
    <w:rsid w:val="002A197D"/>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358B"/>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2C5C"/>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3D6"/>
    <w:rsid w:val="00381791"/>
    <w:rsid w:val="00382E6F"/>
    <w:rsid w:val="00383180"/>
    <w:rsid w:val="00387C00"/>
    <w:rsid w:val="00394EF9"/>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E70D2"/>
    <w:rsid w:val="003F0DE5"/>
    <w:rsid w:val="003F46FC"/>
    <w:rsid w:val="003F4AA5"/>
    <w:rsid w:val="003F61CF"/>
    <w:rsid w:val="003F697D"/>
    <w:rsid w:val="003F7026"/>
    <w:rsid w:val="003F7C45"/>
    <w:rsid w:val="00400500"/>
    <w:rsid w:val="0040132C"/>
    <w:rsid w:val="00404257"/>
    <w:rsid w:val="00407F66"/>
    <w:rsid w:val="004113B4"/>
    <w:rsid w:val="0041220A"/>
    <w:rsid w:val="00412DCB"/>
    <w:rsid w:val="00413B96"/>
    <w:rsid w:val="00413C2C"/>
    <w:rsid w:val="00415168"/>
    <w:rsid w:val="004153D5"/>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5725"/>
    <w:rsid w:val="00447BC6"/>
    <w:rsid w:val="004501CE"/>
    <w:rsid w:val="00452481"/>
    <w:rsid w:val="00453832"/>
    <w:rsid w:val="00454A0F"/>
    <w:rsid w:val="00460658"/>
    <w:rsid w:val="00460F58"/>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A79B5"/>
    <w:rsid w:val="004A7CEE"/>
    <w:rsid w:val="004B0847"/>
    <w:rsid w:val="004B0E6D"/>
    <w:rsid w:val="004B16E8"/>
    <w:rsid w:val="004C0541"/>
    <w:rsid w:val="004C2C85"/>
    <w:rsid w:val="004C3A16"/>
    <w:rsid w:val="004C634A"/>
    <w:rsid w:val="004C660B"/>
    <w:rsid w:val="004D050C"/>
    <w:rsid w:val="004D22CA"/>
    <w:rsid w:val="004D23D9"/>
    <w:rsid w:val="004D29A9"/>
    <w:rsid w:val="004D3537"/>
    <w:rsid w:val="004D4D4E"/>
    <w:rsid w:val="004D614E"/>
    <w:rsid w:val="004D650F"/>
    <w:rsid w:val="004E2133"/>
    <w:rsid w:val="004E4E04"/>
    <w:rsid w:val="004E53CC"/>
    <w:rsid w:val="004E6CBA"/>
    <w:rsid w:val="004F521C"/>
    <w:rsid w:val="00502CD8"/>
    <w:rsid w:val="0050361C"/>
    <w:rsid w:val="00506A40"/>
    <w:rsid w:val="0051064F"/>
    <w:rsid w:val="00513A0E"/>
    <w:rsid w:val="00515D7B"/>
    <w:rsid w:val="00515F29"/>
    <w:rsid w:val="0052009E"/>
    <w:rsid w:val="00520880"/>
    <w:rsid w:val="00530161"/>
    <w:rsid w:val="005450F7"/>
    <w:rsid w:val="00545A0B"/>
    <w:rsid w:val="0054672F"/>
    <w:rsid w:val="00547FA4"/>
    <w:rsid w:val="0055264F"/>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515"/>
    <w:rsid w:val="005B462A"/>
    <w:rsid w:val="005B5137"/>
    <w:rsid w:val="005B6047"/>
    <w:rsid w:val="005B7C25"/>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6E96"/>
    <w:rsid w:val="00617493"/>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1EBD"/>
    <w:rsid w:val="00642CBC"/>
    <w:rsid w:val="00642F8D"/>
    <w:rsid w:val="0064454A"/>
    <w:rsid w:val="00645293"/>
    <w:rsid w:val="006456D3"/>
    <w:rsid w:val="00645D2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172"/>
    <w:rsid w:val="00677A9C"/>
    <w:rsid w:val="0068050D"/>
    <w:rsid w:val="00685FFC"/>
    <w:rsid w:val="00686943"/>
    <w:rsid w:val="00686EDE"/>
    <w:rsid w:val="00687AD5"/>
    <w:rsid w:val="00690A31"/>
    <w:rsid w:val="006911CE"/>
    <w:rsid w:val="00692002"/>
    <w:rsid w:val="00693A13"/>
    <w:rsid w:val="00695251"/>
    <w:rsid w:val="00695B58"/>
    <w:rsid w:val="006A2B40"/>
    <w:rsid w:val="006A4828"/>
    <w:rsid w:val="006A7C09"/>
    <w:rsid w:val="006B046C"/>
    <w:rsid w:val="006B252F"/>
    <w:rsid w:val="006B27D0"/>
    <w:rsid w:val="006B30CD"/>
    <w:rsid w:val="006B3940"/>
    <w:rsid w:val="006B421A"/>
    <w:rsid w:val="006C12DD"/>
    <w:rsid w:val="006C168D"/>
    <w:rsid w:val="006C4033"/>
    <w:rsid w:val="006C5BC9"/>
    <w:rsid w:val="006C642C"/>
    <w:rsid w:val="006D462B"/>
    <w:rsid w:val="006D7386"/>
    <w:rsid w:val="006E0DAD"/>
    <w:rsid w:val="006E313F"/>
    <w:rsid w:val="006F1C9C"/>
    <w:rsid w:val="006F1F1A"/>
    <w:rsid w:val="006F5AC2"/>
    <w:rsid w:val="006F6C28"/>
    <w:rsid w:val="006F7CCD"/>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45"/>
    <w:rsid w:val="00752E8B"/>
    <w:rsid w:val="007541BB"/>
    <w:rsid w:val="00754D62"/>
    <w:rsid w:val="00756CFF"/>
    <w:rsid w:val="00757FD7"/>
    <w:rsid w:val="00761B7A"/>
    <w:rsid w:val="00761D2D"/>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0295"/>
    <w:rsid w:val="00791A3A"/>
    <w:rsid w:val="00791D9C"/>
    <w:rsid w:val="0079473A"/>
    <w:rsid w:val="00795C71"/>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4002"/>
    <w:rsid w:val="007E5ECB"/>
    <w:rsid w:val="007F063D"/>
    <w:rsid w:val="007F0D73"/>
    <w:rsid w:val="007F153F"/>
    <w:rsid w:val="007F1D2A"/>
    <w:rsid w:val="007F209B"/>
    <w:rsid w:val="007F3137"/>
    <w:rsid w:val="007F432A"/>
    <w:rsid w:val="007F63AA"/>
    <w:rsid w:val="008006B7"/>
    <w:rsid w:val="008032FD"/>
    <w:rsid w:val="00806461"/>
    <w:rsid w:val="008064CE"/>
    <w:rsid w:val="0080673A"/>
    <w:rsid w:val="00807A94"/>
    <w:rsid w:val="00810B79"/>
    <w:rsid w:val="00810EAD"/>
    <w:rsid w:val="00814293"/>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55B6A"/>
    <w:rsid w:val="00861C2C"/>
    <w:rsid w:val="00863744"/>
    <w:rsid w:val="00865F31"/>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54F4"/>
    <w:rsid w:val="008F61C4"/>
    <w:rsid w:val="008F7763"/>
    <w:rsid w:val="009007CB"/>
    <w:rsid w:val="009010F0"/>
    <w:rsid w:val="00901162"/>
    <w:rsid w:val="00901D46"/>
    <w:rsid w:val="009020F1"/>
    <w:rsid w:val="009028E2"/>
    <w:rsid w:val="00903692"/>
    <w:rsid w:val="00904E07"/>
    <w:rsid w:val="00912519"/>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B7A32"/>
    <w:rsid w:val="009C03E5"/>
    <w:rsid w:val="009C3085"/>
    <w:rsid w:val="009C4D19"/>
    <w:rsid w:val="009C5FDB"/>
    <w:rsid w:val="009C65AF"/>
    <w:rsid w:val="009C70CB"/>
    <w:rsid w:val="009C74DD"/>
    <w:rsid w:val="009D27AA"/>
    <w:rsid w:val="009D2AD9"/>
    <w:rsid w:val="009D2C63"/>
    <w:rsid w:val="009D514E"/>
    <w:rsid w:val="009D5A40"/>
    <w:rsid w:val="009D5C39"/>
    <w:rsid w:val="009D6DE1"/>
    <w:rsid w:val="009D6FED"/>
    <w:rsid w:val="009E025A"/>
    <w:rsid w:val="009E0A95"/>
    <w:rsid w:val="009E0D47"/>
    <w:rsid w:val="009E549D"/>
    <w:rsid w:val="009E54AF"/>
    <w:rsid w:val="009E5C59"/>
    <w:rsid w:val="009E6A10"/>
    <w:rsid w:val="009E6BB8"/>
    <w:rsid w:val="009F1CC3"/>
    <w:rsid w:val="009F26F2"/>
    <w:rsid w:val="009F3E1E"/>
    <w:rsid w:val="009F4CC5"/>
    <w:rsid w:val="009F6550"/>
    <w:rsid w:val="00A003BE"/>
    <w:rsid w:val="00A02F51"/>
    <w:rsid w:val="00A04CA6"/>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7DD"/>
    <w:rsid w:val="00A65C6D"/>
    <w:rsid w:val="00A716B9"/>
    <w:rsid w:val="00A720D8"/>
    <w:rsid w:val="00A72216"/>
    <w:rsid w:val="00A733F2"/>
    <w:rsid w:val="00A75705"/>
    <w:rsid w:val="00A75BE1"/>
    <w:rsid w:val="00A8187C"/>
    <w:rsid w:val="00A82C9E"/>
    <w:rsid w:val="00A8324F"/>
    <w:rsid w:val="00A85142"/>
    <w:rsid w:val="00A9159D"/>
    <w:rsid w:val="00A95B37"/>
    <w:rsid w:val="00A96B6F"/>
    <w:rsid w:val="00A96DDA"/>
    <w:rsid w:val="00A9780F"/>
    <w:rsid w:val="00AA0CE8"/>
    <w:rsid w:val="00AA35FD"/>
    <w:rsid w:val="00AA3DB7"/>
    <w:rsid w:val="00AA5EF2"/>
    <w:rsid w:val="00AA5F63"/>
    <w:rsid w:val="00AA7EBD"/>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2146"/>
    <w:rsid w:val="00B5430C"/>
    <w:rsid w:val="00B56A90"/>
    <w:rsid w:val="00B5711C"/>
    <w:rsid w:val="00B57BCF"/>
    <w:rsid w:val="00B57E36"/>
    <w:rsid w:val="00B60209"/>
    <w:rsid w:val="00B606A3"/>
    <w:rsid w:val="00B65D6F"/>
    <w:rsid w:val="00B673F3"/>
    <w:rsid w:val="00B677A3"/>
    <w:rsid w:val="00B67A25"/>
    <w:rsid w:val="00B7354A"/>
    <w:rsid w:val="00B7435B"/>
    <w:rsid w:val="00B74446"/>
    <w:rsid w:val="00B74B59"/>
    <w:rsid w:val="00B77142"/>
    <w:rsid w:val="00B8024E"/>
    <w:rsid w:val="00B80C3A"/>
    <w:rsid w:val="00B84453"/>
    <w:rsid w:val="00B84643"/>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4B17"/>
    <w:rsid w:val="00BB7B89"/>
    <w:rsid w:val="00BC1A9B"/>
    <w:rsid w:val="00BC2A22"/>
    <w:rsid w:val="00BC4986"/>
    <w:rsid w:val="00BC5E2E"/>
    <w:rsid w:val="00BC6379"/>
    <w:rsid w:val="00BC7EEF"/>
    <w:rsid w:val="00BD43BB"/>
    <w:rsid w:val="00BD72C1"/>
    <w:rsid w:val="00BD7ADE"/>
    <w:rsid w:val="00BD7D83"/>
    <w:rsid w:val="00BE1A85"/>
    <w:rsid w:val="00BE46ED"/>
    <w:rsid w:val="00BE4FD1"/>
    <w:rsid w:val="00BE642D"/>
    <w:rsid w:val="00BE6D7A"/>
    <w:rsid w:val="00BF0758"/>
    <w:rsid w:val="00BF2511"/>
    <w:rsid w:val="00BF377F"/>
    <w:rsid w:val="00BF3F88"/>
    <w:rsid w:val="00BF57BE"/>
    <w:rsid w:val="00C0042B"/>
    <w:rsid w:val="00C02E58"/>
    <w:rsid w:val="00C030B6"/>
    <w:rsid w:val="00C04B38"/>
    <w:rsid w:val="00C067B7"/>
    <w:rsid w:val="00C0748C"/>
    <w:rsid w:val="00C10A09"/>
    <w:rsid w:val="00C121BC"/>
    <w:rsid w:val="00C14D92"/>
    <w:rsid w:val="00C16739"/>
    <w:rsid w:val="00C17F3F"/>
    <w:rsid w:val="00C23BA2"/>
    <w:rsid w:val="00C260A2"/>
    <w:rsid w:val="00C30756"/>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3850"/>
    <w:rsid w:val="00C754C7"/>
    <w:rsid w:val="00C767B3"/>
    <w:rsid w:val="00C76C07"/>
    <w:rsid w:val="00C800EC"/>
    <w:rsid w:val="00C80F23"/>
    <w:rsid w:val="00C81E18"/>
    <w:rsid w:val="00C850A3"/>
    <w:rsid w:val="00C87568"/>
    <w:rsid w:val="00C92451"/>
    <w:rsid w:val="00C9272C"/>
    <w:rsid w:val="00C97764"/>
    <w:rsid w:val="00C97C9B"/>
    <w:rsid w:val="00CA00E8"/>
    <w:rsid w:val="00CA344C"/>
    <w:rsid w:val="00CB01E6"/>
    <w:rsid w:val="00CB142D"/>
    <w:rsid w:val="00CB1D6F"/>
    <w:rsid w:val="00CB209D"/>
    <w:rsid w:val="00CB29F6"/>
    <w:rsid w:val="00CB2BBF"/>
    <w:rsid w:val="00CB481C"/>
    <w:rsid w:val="00CB4C8C"/>
    <w:rsid w:val="00CB62E1"/>
    <w:rsid w:val="00CB6B36"/>
    <w:rsid w:val="00CB6EFE"/>
    <w:rsid w:val="00CC16F9"/>
    <w:rsid w:val="00CC28A9"/>
    <w:rsid w:val="00CC4183"/>
    <w:rsid w:val="00CC70A4"/>
    <w:rsid w:val="00CD4A0C"/>
    <w:rsid w:val="00CD57BC"/>
    <w:rsid w:val="00CD5CEF"/>
    <w:rsid w:val="00CE06EC"/>
    <w:rsid w:val="00CE592E"/>
    <w:rsid w:val="00CE5BC5"/>
    <w:rsid w:val="00CF16A4"/>
    <w:rsid w:val="00CF299F"/>
    <w:rsid w:val="00CF3357"/>
    <w:rsid w:val="00CF467C"/>
    <w:rsid w:val="00CF58DF"/>
    <w:rsid w:val="00D00BC3"/>
    <w:rsid w:val="00D03538"/>
    <w:rsid w:val="00D03806"/>
    <w:rsid w:val="00D04410"/>
    <w:rsid w:val="00D05EB3"/>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2289"/>
    <w:rsid w:val="00D55A37"/>
    <w:rsid w:val="00D55B7E"/>
    <w:rsid w:val="00D60049"/>
    <w:rsid w:val="00D64354"/>
    <w:rsid w:val="00D66685"/>
    <w:rsid w:val="00D70D35"/>
    <w:rsid w:val="00D71351"/>
    <w:rsid w:val="00D71997"/>
    <w:rsid w:val="00D7498F"/>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6F80"/>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528A"/>
    <w:rsid w:val="00DE64CC"/>
    <w:rsid w:val="00DE6AA9"/>
    <w:rsid w:val="00DE714A"/>
    <w:rsid w:val="00DE7B30"/>
    <w:rsid w:val="00DF20C7"/>
    <w:rsid w:val="00DF4D0C"/>
    <w:rsid w:val="00DF5C20"/>
    <w:rsid w:val="00DF7124"/>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57FD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A72"/>
    <w:rsid w:val="00E96B1F"/>
    <w:rsid w:val="00E96B52"/>
    <w:rsid w:val="00EA01F7"/>
    <w:rsid w:val="00EA158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D07"/>
    <w:rsid w:val="00F0181C"/>
    <w:rsid w:val="00F03512"/>
    <w:rsid w:val="00F0433A"/>
    <w:rsid w:val="00F0519B"/>
    <w:rsid w:val="00F059D4"/>
    <w:rsid w:val="00F068BC"/>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29B5"/>
    <w:rsid w:val="00F52AA4"/>
    <w:rsid w:val="00F5316E"/>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1A03"/>
    <w:rsid w:val="00F83FF9"/>
    <w:rsid w:val="00F870C3"/>
    <w:rsid w:val="00F91B52"/>
    <w:rsid w:val="00F97478"/>
    <w:rsid w:val="00F97B71"/>
    <w:rsid w:val="00F97B9E"/>
    <w:rsid w:val="00FA0527"/>
    <w:rsid w:val="00FA085E"/>
    <w:rsid w:val="00FA0947"/>
    <w:rsid w:val="00FA2D49"/>
    <w:rsid w:val="00FA3874"/>
    <w:rsid w:val="00FA396A"/>
    <w:rsid w:val="00FA4B52"/>
    <w:rsid w:val="00FA4D4F"/>
    <w:rsid w:val="00FA4D5B"/>
    <w:rsid w:val="00FA54E8"/>
    <w:rsid w:val="00FA6245"/>
    <w:rsid w:val="00FA786F"/>
    <w:rsid w:val="00FA7D19"/>
    <w:rsid w:val="00FA7EB3"/>
    <w:rsid w:val="00FB058F"/>
    <w:rsid w:val="00FB1D78"/>
    <w:rsid w:val="00FB387C"/>
    <w:rsid w:val="00FB3C94"/>
    <w:rsid w:val="00FB48C1"/>
    <w:rsid w:val="00FB6808"/>
    <w:rsid w:val="00FB6CD0"/>
    <w:rsid w:val="00FB723C"/>
    <w:rsid w:val="00FB72B4"/>
    <w:rsid w:val="00FC0A2D"/>
    <w:rsid w:val="00FC13C8"/>
    <w:rsid w:val="00FC39F9"/>
    <w:rsid w:val="00FC59F8"/>
    <w:rsid w:val="00FC60F6"/>
    <w:rsid w:val="00FC7F43"/>
    <w:rsid w:val="00FC7F48"/>
    <w:rsid w:val="00FD74AC"/>
    <w:rsid w:val="00FD7D41"/>
    <w:rsid w:val="00FE0072"/>
    <w:rsid w:val="00FE0C71"/>
    <w:rsid w:val="00FE1E47"/>
    <w:rsid w:val="00FE275D"/>
    <w:rsid w:val="00FE31AE"/>
    <w:rsid w:val="00FE65AC"/>
    <w:rsid w:val="00FE7FBD"/>
    <w:rsid w:val="00FF10BC"/>
    <w:rsid w:val="00FF5DCF"/>
    <w:rsid w:val="00FF6ADB"/>
    <w:rsid w:val="6A064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lsdException w:name="annotation text" w:semiHidden="1" w:qFormat="1"/>
    <w:lsdException w:name="header" w:uiPriority="99"/>
    <w:lsdException w:name="caption" w:semiHidden="1" w:unhideWhenUsed="1" w:qFormat="1"/>
    <w:lsdException w:name="annotation reference" w:semiHidden="1" w:qFormat="1"/>
    <w:lsdException w:name="List" w:qFormat="1"/>
    <w:lsdException w:name="Title" w:qFormat="1"/>
    <w:lsdException w:name="Default Paragraph Font" w:semiHidden="1" w:uiPriority="1" w:unhideWhenUsed="1"/>
    <w:lsdException w:name="Body Text" w:qFormat="1"/>
    <w:lsdException w:name="Subtitle" w:qFormat="1"/>
    <w:lsdException w:name="Date" w:qFormat="1"/>
    <w:lsdException w:name="Strong" w:uiPriority="22" w:qFormat="1"/>
    <w:lsdException w:name="Emphasis" w:qFormat="1"/>
    <w:lsdException w:name="Document Map" w:semiHidden="1" w:qFormat="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58B"/>
    <w:pPr>
      <w:widowControl w:val="0"/>
      <w:jc w:val="both"/>
    </w:pPr>
    <w:rPr>
      <w:kern w:val="2"/>
      <w:sz w:val="21"/>
      <w:szCs w:val="24"/>
    </w:rPr>
  </w:style>
  <w:style w:type="paragraph" w:styleId="1">
    <w:name w:val="heading 1"/>
    <w:basedOn w:val="a"/>
    <w:next w:val="a"/>
    <w:link w:val="1Char"/>
    <w:qFormat/>
    <w:rsid w:val="002D358B"/>
    <w:pPr>
      <w:keepNext/>
      <w:keepLines/>
      <w:spacing w:before="340" w:after="330" w:line="578" w:lineRule="auto"/>
      <w:outlineLvl w:val="0"/>
    </w:pPr>
    <w:rPr>
      <w:b/>
      <w:bCs/>
      <w:kern w:val="44"/>
      <w:sz w:val="44"/>
      <w:szCs w:val="44"/>
    </w:rPr>
  </w:style>
  <w:style w:type="paragraph" w:styleId="2">
    <w:name w:val="heading 2"/>
    <w:basedOn w:val="a"/>
    <w:next w:val="a0"/>
    <w:qFormat/>
    <w:rsid w:val="002D358B"/>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2D358B"/>
    <w:pPr>
      <w:ind w:firstLineChars="200" w:firstLine="420"/>
    </w:pPr>
  </w:style>
  <w:style w:type="paragraph" w:styleId="a4">
    <w:name w:val="annotation subject"/>
    <w:basedOn w:val="a5"/>
    <w:next w:val="a5"/>
    <w:semiHidden/>
    <w:qFormat/>
    <w:rsid w:val="002D358B"/>
    <w:rPr>
      <w:b/>
      <w:bCs/>
    </w:rPr>
  </w:style>
  <w:style w:type="paragraph" w:styleId="a5">
    <w:name w:val="annotation text"/>
    <w:basedOn w:val="a"/>
    <w:semiHidden/>
    <w:qFormat/>
    <w:rsid w:val="002D358B"/>
    <w:pPr>
      <w:jc w:val="left"/>
    </w:pPr>
  </w:style>
  <w:style w:type="paragraph" w:styleId="a6">
    <w:name w:val="Document Map"/>
    <w:basedOn w:val="a"/>
    <w:semiHidden/>
    <w:qFormat/>
    <w:rsid w:val="002D358B"/>
    <w:pPr>
      <w:shd w:val="clear" w:color="auto" w:fill="000080"/>
    </w:pPr>
  </w:style>
  <w:style w:type="paragraph" w:styleId="a7">
    <w:name w:val="Body Text"/>
    <w:basedOn w:val="a"/>
    <w:qFormat/>
    <w:rsid w:val="002D358B"/>
    <w:pPr>
      <w:spacing w:after="120"/>
    </w:pPr>
  </w:style>
  <w:style w:type="paragraph" w:styleId="a8">
    <w:name w:val="Body Text Indent"/>
    <w:basedOn w:val="a"/>
    <w:rsid w:val="002D358B"/>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rsid w:val="002D358B"/>
    <w:rPr>
      <w:rFonts w:ascii="宋体" w:hAnsi="Courier New"/>
      <w:szCs w:val="21"/>
    </w:rPr>
  </w:style>
  <w:style w:type="paragraph" w:styleId="aa">
    <w:name w:val="Date"/>
    <w:basedOn w:val="a"/>
    <w:next w:val="a"/>
    <w:link w:val="Char0"/>
    <w:qFormat/>
    <w:rsid w:val="002D358B"/>
    <w:rPr>
      <w:sz w:val="24"/>
      <w:szCs w:val="20"/>
    </w:rPr>
  </w:style>
  <w:style w:type="paragraph" w:styleId="20">
    <w:name w:val="Body Text Indent 2"/>
    <w:basedOn w:val="a"/>
    <w:rsid w:val="002D358B"/>
    <w:pPr>
      <w:spacing w:line="560" w:lineRule="exact"/>
      <w:ind w:firstLineChars="200" w:firstLine="480"/>
    </w:pPr>
    <w:rPr>
      <w:rFonts w:ascii="宋体" w:hAnsi="宋体"/>
      <w:color w:val="FF0000"/>
      <w:sz w:val="24"/>
    </w:rPr>
  </w:style>
  <w:style w:type="paragraph" w:styleId="ab">
    <w:name w:val="Balloon Text"/>
    <w:basedOn w:val="a"/>
    <w:semiHidden/>
    <w:rsid w:val="002D358B"/>
    <w:rPr>
      <w:sz w:val="18"/>
      <w:szCs w:val="18"/>
    </w:rPr>
  </w:style>
  <w:style w:type="paragraph" w:styleId="ac">
    <w:name w:val="footer"/>
    <w:basedOn w:val="a"/>
    <w:rsid w:val="002D358B"/>
    <w:pPr>
      <w:tabs>
        <w:tab w:val="center" w:pos="4153"/>
        <w:tab w:val="right" w:pos="8306"/>
      </w:tabs>
      <w:snapToGrid w:val="0"/>
      <w:jc w:val="left"/>
    </w:pPr>
    <w:rPr>
      <w:sz w:val="18"/>
      <w:szCs w:val="18"/>
    </w:rPr>
  </w:style>
  <w:style w:type="paragraph" w:styleId="ad">
    <w:name w:val="header"/>
    <w:basedOn w:val="a"/>
    <w:link w:val="Char1"/>
    <w:uiPriority w:val="99"/>
    <w:rsid w:val="002D358B"/>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2D358B"/>
    <w:pPr>
      <w:spacing w:after="220" w:line="220" w:lineRule="atLeast"/>
      <w:ind w:left="1440" w:hanging="360"/>
    </w:pPr>
    <w:rPr>
      <w:szCs w:val="20"/>
    </w:rPr>
  </w:style>
  <w:style w:type="paragraph" w:styleId="af">
    <w:name w:val="footnote text"/>
    <w:basedOn w:val="a"/>
    <w:link w:val="Char2"/>
    <w:rsid w:val="002D358B"/>
    <w:pPr>
      <w:snapToGrid w:val="0"/>
      <w:jc w:val="left"/>
    </w:pPr>
    <w:rPr>
      <w:sz w:val="18"/>
      <w:szCs w:val="18"/>
    </w:rPr>
  </w:style>
  <w:style w:type="paragraph" w:styleId="3">
    <w:name w:val="Body Text Indent 3"/>
    <w:basedOn w:val="a"/>
    <w:rsid w:val="002D358B"/>
    <w:pPr>
      <w:spacing w:line="560" w:lineRule="exact"/>
      <w:ind w:firstLineChars="200" w:firstLine="420"/>
    </w:pPr>
    <w:rPr>
      <w:rFonts w:ascii="Arial" w:hAnsi="Arial" w:cs="Arial"/>
      <w:color w:val="FF0000"/>
    </w:rPr>
  </w:style>
  <w:style w:type="paragraph" w:styleId="af0">
    <w:name w:val="Normal (Web)"/>
    <w:basedOn w:val="a"/>
    <w:qFormat/>
    <w:rsid w:val="002D358B"/>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2D358B"/>
    <w:pPr>
      <w:jc w:val="right"/>
    </w:pPr>
    <w:rPr>
      <w:color w:val="008000"/>
    </w:rPr>
  </w:style>
  <w:style w:type="character" w:styleId="af1">
    <w:name w:val="Strong"/>
    <w:basedOn w:val="a1"/>
    <w:uiPriority w:val="22"/>
    <w:qFormat/>
    <w:rsid w:val="002D358B"/>
    <w:rPr>
      <w:b/>
      <w:bCs/>
    </w:rPr>
  </w:style>
  <w:style w:type="character" w:styleId="af2">
    <w:name w:val="page number"/>
    <w:basedOn w:val="a1"/>
    <w:rsid w:val="002D358B"/>
  </w:style>
  <w:style w:type="character" w:styleId="af3">
    <w:name w:val="Hyperlink"/>
    <w:basedOn w:val="a1"/>
    <w:rsid w:val="002D358B"/>
    <w:rPr>
      <w:color w:val="0000FF"/>
      <w:u w:val="single"/>
    </w:rPr>
  </w:style>
  <w:style w:type="character" w:styleId="af4">
    <w:name w:val="annotation reference"/>
    <w:basedOn w:val="a1"/>
    <w:semiHidden/>
    <w:qFormat/>
    <w:rsid w:val="002D358B"/>
    <w:rPr>
      <w:sz w:val="21"/>
      <w:szCs w:val="21"/>
    </w:rPr>
  </w:style>
  <w:style w:type="character" w:styleId="af5">
    <w:name w:val="footnote reference"/>
    <w:basedOn w:val="a1"/>
    <w:rsid w:val="002D358B"/>
    <w:rPr>
      <w:vertAlign w:val="superscript"/>
    </w:rPr>
  </w:style>
  <w:style w:type="table" w:styleId="af6">
    <w:name w:val="Table Grid"/>
    <w:basedOn w:val="a2"/>
    <w:uiPriority w:val="99"/>
    <w:rsid w:val="002D35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2D358B"/>
    <w:rPr>
      <w:color w:val="800080"/>
      <w:u w:val="single"/>
    </w:rPr>
  </w:style>
  <w:style w:type="character" w:customStyle="1" w:styleId="c1">
    <w:name w:val="c1"/>
    <w:basedOn w:val="a1"/>
    <w:qFormat/>
    <w:rsid w:val="002D358B"/>
    <w:rPr>
      <w:color w:val="000000"/>
      <w:sz w:val="18"/>
      <w:szCs w:val="18"/>
    </w:rPr>
  </w:style>
  <w:style w:type="paragraph" w:customStyle="1" w:styleId="font5">
    <w:name w:val="font5"/>
    <w:basedOn w:val="a"/>
    <w:qFormat/>
    <w:rsid w:val="002D358B"/>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2D358B"/>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2D358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2D358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2D358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2D358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2D358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2D358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2D358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2D358B"/>
  </w:style>
  <w:style w:type="paragraph" w:customStyle="1" w:styleId="Char10">
    <w:name w:val="Char1"/>
    <w:basedOn w:val="a"/>
    <w:qFormat/>
    <w:rsid w:val="002D358B"/>
  </w:style>
  <w:style w:type="character" w:customStyle="1" w:styleId="t1">
    <w:name w:val="t1"/>
    <w:basedOn w:val="a1"/>
    <w:qFormat/>
    <w:rsid w:val="002D358B"/>
    <w:rPr>
      <w:color w:val="990000"/>
    </w:rPr>
  </w:style>
  <w:style w:type="character" w:customStyle="1" w:styleId="Char">
    <w:name w:val="纯文本 Char"/>
    <w:basedOn w:val="a1"/>
    <w:link w:val="a9"/>
    <w:uiPriority w:val="99"/>
    <w:qFormat/>
    <w:rsid w:val="002D358B"/>
    <w:rPr>
      <w:rFonts w:ascii="宋体" w:hAnsi="Courier New"/>
      <w:kern w:val="2"/>
      <w:sz w:val="21"/>
      <w:szCs w:val="21"/>
    </w:rPr>
  </w:style>
  <w:style w:type="character" w:customStyle="1" w:styleId="Char2">
    <w:name w:val="脚注文本 Char"/>
    <w:basedOn w:val="a1"/>
    <w:link w:val="af"/>
    <w:rsid w:val="002D358B"/>
    <w:rPr>
      <w:kern w:val="2"/>
      <w:sz w:val="18"/>
      <w:szCs w:val="18"/>
    </w:rPr>
  </w:style>
  <w:style w:type="paragraph" w:customStyle="1" w:styleId="Default">
    <w:name w:val="Default"/>
    <w:qFormat/>
    <w:rsid w:val="002D358B"/>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qFormat/>
    <w:rsid w:val="002D358B"/>
    <w:rPr>
      <w:kern w:val="2"/>
      <w:sz w:val="18"/>
      <w:szCs w:val="18"/>
    </w:rPr>
  </w:style>
  <w:style w:type="character" w:customStyle="1" w:styleId="1Char">
    <w:name w:val="标题 1 Char"/>
    <w:basedOn w:val="a1"/>
    <w:link w:val="1"/>
    <w:qFormat/>
    <w:rsid w:val="002D358B"/>
    <w:rPr>
      <w:b/>
      <w:bCs/>
      <w:kern w:val="44"/>
      <w:sz w:val="44"/>
      <w:szCs w:val="44"/>
    </w:rPr>
  </w:style>
  <w:style w:type="character" w:customStyle="1" w:styleId="Char0">
    <w:name w:val="日期 Char"/>
    <w:basedOn w:val="a1"/>
    <w:link w:val="aa"/>
    <w:qFormat/>
    <w:rsid w:val="002D358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ED728-B7BE-4186-B2D7-23C72191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1175</Words>
  <Characters>6698</Characters>
  <Application>Microsoft Office Word</Application>
  <DocSecurity>4</DocSecurity>
  <Lines>55</Lines>
  <Paragraphs>15</Paragraphs>
  <ScaleCrop>false</ScaleCrop>
  <Company>TRT. Ltd. Co.</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2018-10-23T16:45:00Z</dcterms:created>
  <dcterms:modified xsi:type="dcterms:W3CDTF">2018-10-23T16:45:00Z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