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78" w:rsidRDefault="00BC1178">
      <w:pPr>
        <w:autoSpaceDE w:val="0"/>
        <w:autoSpaceDN w:val="0"/>
        <w:adjustRightInd w:val="0"/>
        <w:spacing w:line="360" w:lineRule="auto"/>
        <w:jc w:val="left"/>
        <w:rPr>
          <w:color w:val="000000"/>
          <w:kern w:val="0"/>
          <w:sz w:val="24"/>
          <w:szCs w:val="24"/>
        </w:rPr>
      </w:pPr>
    </w:p>
    <w:p w:rsidR="00BC1178" w:rsidRDefault="00BC1178">
      <w:pPr>
        <w:autoSpaceDE w:val="0"/>
        <w:autoSpaceDN w:val="0"/>
        <w:adjustRightInd w:val="0"/>
        <w:spacing w:line="360" w:lineRule="auto"/>
        <w:jc w:val="left"/>
        <w:rPr>
          <w:color w:val="000000"/>
          <w:kern w:val="0"/>
          <w:sz w:val="24"/>
          <w:szCs w:val="24"/>
        </w:rPr>
      </w:pPr>
    </w:p>
    <w:p w:rsidR="00BC1178" w:rsidRDefault="00BC1178">
      <w:pPr>
        <w:autoSpaceDE w:val="0"/>
        <w:autoSpaceDN w:val="0"/>
        <w:adjustRightInd w:val="0"/>
        <w:spacing w:line="360" w:lineRule="auto"/>
        <w:jc w:val="left"/>
        <w:rPr>
          <w:color w:val="000000"/>
          <w:kern w:val="0"/>
          <w:sz w:val="24"/>
          <w:szCs w:val="24"/>
        </w:rPr>
      </w:pPr>
    </w:p>
    <w:p w:rsidR="00BC1178" w:rsidRDefault="00BC1178">
      <w:pPr>
        <w:autoSpaceDE w:val="0"/>
        <w:autoSpaceDN w:val="0"/>
        <w:adjustRightInd w:val="0"/>
        <w:spacing w:line="360" w:lineRule="auto"/>
        <w:jc w:val="left"/>
        <w:rPr>
          <w:color w:val="000000"/>
          <w:kern w:val="0"/>
          <w:sz w:val="24"/>
          <w:szCs w:val="24"/>
        </w:rPr>
      </w:pPr>
    </w:p>
    <w:p w:rsidR="00BC1178" w:rsidRDefault="00BC1178">
      <w:pPr>
        <w:autoSpaceDE w:val="0"/>
        <w:autoSpaceDN w:val="0"/>
        <w:adjustRightInd w:val="0"/>
        <w:spacing w:line="360" w:lineRule="auto"/>
        <w:jc w:val="left"/>
        <w:rPr>
          <w:color w:val="000000"/>
          <w:kern w:val="0"/>
          <w:sz w:val="24"/>
          <w:szCs w:val="24"/>
        </w:rPr>
      </w:pPr>
    </w:p>
    <w:p w:rsidR="00BC1178" w:rsidRDefault="006B3260">
      <w:pPr>
        <w:spacing w:line="360" w:lineRule="auto"/>
        <w:jc w:val="center"/>
        <w:rPr>
          <w:b/>
          <w:sz w:val="36"/>
          <w:szCs w:val="36"/>
        </w:rPr>
      </w:pPr>
      <w:r>
        <w:rPr>
          <w:b/>
          <w:sz w:val="36"/>
          <w:szCs w:val="36"/>
        </w:rPr>
        <w:t>中银文体娱乐灵活配置混合型证券投资基金</w:t>
      </w:r>
    </w:p>
    <w:p w:rsidR="00BC1178" w:rsidRDefault="006B3260">
      <w:pPr>
        <w:spacing w:line="360" w:lineRule="auto"/>
        <w:jc w:val="center"/>
        <w:rPr>
          <w:b/>
          <w:sz w:val="36"/>
          <w:szCs w:val="36"/>
        </w:rPr>
      </w:pPr>
      <w:r>
        <w:rPr>
          <w:b/>
          <w:sz w:val="36"/>
          <w:szCs w:val="36"/>
        </w:rPr>
        <w:t>2018</w:t>
      </w:r>
      <w:r>
        <w:rPr>
          <w:b/>
          <w:sz w:val="36"/>
          <w:szCs w:val="36"/>
        </w:rPr>
        <w:t>年第</w:t>
      </w:r>
      <w:r>
        <w:rPr>
          <w:b/>
          <w:sz w:val="36"/>
          <w:szCs w:val="36"/>
        </w:rPr>
        <w:t>3</w:t>
      </w:r>
      <w:r>
        <w:rPr>
          <w:b/>
          <w:sz w:val="36"/>
          <w:szCs w:val="36"/>
        </w:rPr>
        <w:t>季度报告</w:t>
      </w:r>
    </w:p>
    <w:p w:rsidR="00BC1178" w:rsidRDefault="006B3260">
      <w:pPr>
        <w:spacing w:line="360" w:lineRule="auto"/>
        <w:jc w:val="center"/>
        <w:rPr>
          <w:b/>
          <w:sz w:val="36"/>
          <w:szCs w:val="36"/>
        </w:rPr>
      </w:pPr>
      <w:r>
        <w:rPr>
          <w:b/>
          <w:sz w:val="36"/>
          <w:szCs w:val="36"/>
        </w:rPr>
        <w:t>2018</w:t>
      </w:r>
      <w:r>
        <w:rPr>
          <w:b/>
          <w:sz w:val="36"/>
          <w:szCs w:val="36"/>
        </w:rPr>
        <w:t>年</w:t>
      </w:r>
      <w:r>
        <w:rPr>
          <w:b/>
          <w:sz w:val="36"/>
          <w:szCs w:val="36"/>
        </w:rPr>
        <w:t>9</w:t>
      </w:r>
      <w:r>
        <w:rPr>
          <w:b/>
          <w:sz w:val="36"/>
          <w:szCs w:val="36"/>
        </w:rPr>
        <w:t>月</w:t>
      </w:r>
      <w:r>
        <w:rPr>
          <w:b/>
          <w:sz w:val="36"/>
          <w:szCs w:val="36"/>
        </w:rPr>
        <w:t>30</w:t>
      </w:r>
      <w:r>
        <w:rPr>
          <w:b/>
          <w:sz w:val="36"/>
          <w:szCs w:val="36"/>
        </w:rPr>
        <w:t>日</w:t>
      </w: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jc w:val="center"/>
        <w:rPr>
          <w:b/>
          <w:bCs/>
          <w:color w:val="000000"/>
          <w:sz w:val="24"/>
          <w:szCs w:val="24"/>
        </w:rPr>
      </w:pPr>
    </w:p>
    <w:p w:rsidR="00BC1178" w:rsidRDefault="00BC1178">
      <w:pPr>
        <w:spacing w:line="360" w:lineRule="auto"/>
        <w:rPr>
          <w:b/>
          <w:bCs/>
          <w:color w:val="000000"/>
          <w:sz w:val="24"/>
          <w:szCs w:val="24"/>
        </w:rPr>
      </w:pPr>
    </w:p>
    <w:p w:rsidR="00BC1178" w:rsidRDefault="006B3260">
      <w:pPr>
        <w:spacing w:line="360" w:lineRule="auto"/>
        <w:ind w:firstLineChars="900" w:firstLine="2168"/>
        <w:rPr>
          <w:b/>
          <w:color w:val="000000"/>
          <w:sz w:val="24"/>
          <w:szCs w:val="24"/>
        </w:rPr>
      </w:pPr>
      <w:r>
        <w:rPr>
          <w:b/>
          <w:color w:val="000000"/>
          <w:sz w:val="24"/>
          <w:szCs w:val="24"/>
        </w:rPr>
        <w:t>基金管理人：中银基金管理有限公司</w:t>
      </w:r>
    </w:p>
    <w:p w:rsidR="00BC1178" w:rsidRDefault="006B3260">
      <w:pPr>
        <w:spacing w:line="360" w:lineRule="auto"/>
        <w:ind w:firstLineChars="900" w:firstLine="2168"/>
        <w:rPr>
          <w:b/>
          <w:color w:val="000000"/>
          <w:sz w:val="24"/>
          <w:szCs w:val="24"/>
        </w:rPr>
      </w:pPr>
      <w:r>
        <w:rPr>
          <w:b/>
          <w:color w:val="000000"/>
          <w:sz w:val="24"/>
          <w:szCs w:val="24"/>
        </w:rPr>
        <w:t>基金托管人：招商银行股份有限公司</w:t>
      </w:r>
    </w:p>
    <w:p w:rsidR="00BC1178" w:rsidRDefault="006B3260">
      <w:pPr>
        <w:spacing w:line="360" w:lineRule="auto"/>
        <w:ind w:firstLineChars="900" w:firstLine="2168"/>
        <w:rPr>
          <w:b/>
          <w:color w:val="000000"/>
          <w:sz w:val="24"/>
          <w:szCs w:val="24"/>
        </w:rPr>
        <w:sectPr w:rsidR="00BC1178">
          <w:headerReference w:type="default" r:id="rId7"/>
          <w:footerReference w:type="default" r:id="rId8"/>
          <w:pgSz w:w="11926" w:h="15840"/>
          <w:pgMar w:top="1418" w:right="1418" w:bottom="851" w:left="1418" w:header="851" w:footer="992" w:gutter="0"/>
          <w:cols w:space="720"/>
        </w:sectPr>
      </w:pPr>
      <w:r>
        <w:rPr>
          <w:b/>
          <w:color w:val="000000"/>
          <w:sz w:val="24"/>
          <w:szCs w:val="24"/>
        </w:rPr>
        <w:t>报告送出日期：二〇一八年十月二十四日</w:t>
      </w:r>
    </w:p>
    <w:p w:rsidR="00BC1178" w:rsidRDefault="006B3260">
      <w:pPr>
        <w:pStyle w:val="1"/>
        <w:spacing w:before="0" w:after="0" w:line="360" w:lineRule="auto"/>
        <w:jc w:val="center"/>
        <w:rPr>
          <w:b w:val="0"/>
          <w:bCs w:val="0"/>
          <w:color w:val="000000"/>
          <w:kern w:val="0"/>
          <w:sz w:val="24"/>
          <w:szCs w:val="24"/>
        </w:rPr>
      </w:pPr>
      <w:r>
        <w:rPr>
          <w:color w:val="000000"/>
          <w:kern w:val="0"/>
          <w:sz w:val="24"/>
          <w:szCs w:val="24"/>
        </w:rPr>
        <w:lastRenderedPageBreak/>
        <w:t xml:space="preserve">§1  </w:t>
      </w:r>
      <w:r>
        <w:rPr>
          <w:color w:val="000000"/>
          <w:kern w:val="0"/>
          <w:sz w:val="24"/>
          <w:szCs w:val="24"/>
        </w:rPr>
        <w:t>重要提示</w:t>
      </w:r>
    </w:p>
    <w:p w:rsidR="00BC1178" w:rsidRDefault="006B3260">
      <w:pPr>
        <w:spacing w:line="360" w:lineRule="auto"/>
        <w:ind w:firstLineChars="200" w:firstLine="420"/>
        <w:rPr>
          <w:color w:val="000000"/>
        </w:rPr>
      </w:pPr>
      <w:r>
        <w:rPr>
          <w:color w:val="000000"/>
        </w:rPr>
        <w:t>基金管理人的董事会及董事保证本报告所载资料不存在虚假记载、误导性陈述或重大遗漏，并对其内容的真实性、准确性和完整性承担个别及连带责任。</w:t>
      </w:r>
      <w:r>
        <w:rPr>
          <w:color w:val="000000"/>
        </w:rPr>
        <w:t xml:space="preserve"> </w:t>
      </w:r>
    </w:p>
    <w:p w:rsidR="00BC1178" w:rsidRDefault="006B3260">
      <w:pPr>
        <w:spacing w:line="360" w:lineRule="auto"/>
        <w:ind w:firstLineChars="200" w:firstLine="420"/>
        <w:rPr>
          <w:color w:val="000000"/>
        </w:rPr>
      </w:pPr>
      <w:r>
        <w:rPr>
          <w:color w:val="000000"/>
        </w:rPr>
        <w:t>基金托管人招商银行股份有限公司根据本基金合同规定，于</w:t>
      </w:r>
      <w:r>
        <w:rPr>
          <w:color w:val="000000"/>
        </w:rPr>
        <w:t>2018</w:t>
      </w:r>
      <w:r>
        <w:rPr>
          <w:color w:val="000000"/>
        </w:rPr>
        <w:t>年</w:t>
      </w:r>
      <w:r>
        <w:rPr>
          <w:color w:val="000000"/>
        </w:rPr>
        <w:t>10</w:t>
      </w:r>
      <w:r>
        <w:rPr>
          <w:color w:val="000000"/>
        </w:rPr>
        <w:t>月</w:t>
      </w:r>
      <w:r>
        <w:rPr>
          <w:color w:val="000000"/>
        </w:rPr>
        <w:t>23</w:t>
      </w:r>
      <w:r>
        <w:rPr>
          <w:color w:val="000000"/>
        </w:rPr>
        <w:t>日复核了本报告中的财务指标、净值表现和投资组合报告等内容，保证复核内容不存在虚假记载、误导性陈述或者重大遗漏。</w:t>
      </w:r>
      <w:r>
        <w:rPr>
          <w:color w:val="000000"/>
        </w:rPr>
        <w:t xml:space="preserve"> </w:t>
      </w:r>
    </w:p>
    <w:p w:rsidR="00BC1178" w:rsidRDefault="006B3260">
      <w:pPr>
        <w:spacing w:line="360" w:lineRule="auto"/>
        <w:ind w:firstLineChars="200" w:firstLine="420"/>
        <w:rPr>
          <w:color w:val="000000"/>
        </w:rPr>
      </w:pPr>
      <w:r>
        <w:rPr>
          <w:color w:val="000000"/>
        </w:rPr>
        <w:t>基金管理人承诺以诚实信用、勤勉尽责的原则管理和运用基金资产，但不保证基金一定盈利。</w:t>
      </w:r>
      <w:r>
        <w:rPr>
          <w:color w:val="000000"/>
        </w:rPr>
        <w:t xml:space="preserve"> </w:t>
      </w:r>
    </w:p>
    <w:p w:rsidR="00BC1178" w:rsidRDefault="006B3260">
      <w:pPr>
        <w:spacing w:line="360" w:lineRule="auto"/>
        <w:ind w:firstLineChars="200" w:firstLine="420"/>
        <w:rPr>
          <w:color w:val="000000"/>
        </w:rPr>
      </w:pPr>
      <w:r>
        <w:rPr>
          <w:color w:val="000000"/>
        </w:rPr>
        <w:t>基金的过往业绩并不代表其未来表现。投资有风险，投资者在作出投资决策前应仔细阅读本基金</w:t>
      </w:r>
      <w:r>
        <w:rPr>
          <w:color w:val="000000"/>
        </w:rPr>
        <w:t>的招募说明书。</w:t>
      </w:r>
      <w:r>
        <w:rPr>
          <w:color w:val="000000"/>
        </w:rPr>
        <w:t xml:space="preserve"> </w:t>
      </w:r>
    </w:p>
    <w:p w:rsidR="00BC1178" w:rsidRDefault="006B3260">
      <w:pPr>
        <w:spacing w:line="360" w:lineRule="auto"/>
        <w:ind w:firstLineChars="200" w:firstLine="420"/>
        <w:rPr>
          <w:color w:val="000000"/>
        </w:rPr>
      </w:pPr>
      <w:r>
        <w:rPr>
          <w:color w:val="000000"/>
        </w:rPr>
        <w:t>本报告中财务资料未经审计。</w:t>
      </w:r>
    </w:p>
    <w:p w:rsidR="00BC1178" w:rsidRDefault="006B3260">
      <w:pPr>
        <w:spacing w:line="360" w:lineRule="auto"/>
        <w:ind w:firstLineChars="200" w:firstLine="420"/>
        <w:rPr>
          <w:color w:val="000000"/>
        </w:rPr>
      </w:pPr>
      <w:r>
        <w:rPr>
          <w:color w:val="000000"/>
        </w:rPr>
        <w:t>本报告期自</w:t>
      </w:r>
      <w:r>
        <w:rPr>
          <w:color w:val="000000"/>
        </w:rPr>
        <w:t>2018</w:t>
      </w:r>
      <w:r>
        <w:rPr>
          <w:color w:val="000000"/>
        </w:rPr>
        <w:t>年</w:t>
      </w:r>
      <w:r>
        <w:rPr>
          <w:color w:val="000000"/>
        </w:rPr>
        <w:t>7</w:t>
      </w:r>
      <w:r>
        <w:rPr>
          <w:color w:val="000000"/>
        </w:rPr>
        <w:t>月</w:t>
      </w:r>
      <w:r>
        <w:rPr>
          <w:color w:val="000000"/>
        </w:rPr>
        <w:t>1</w:t>
      </w:r>
      <w:r>
        <w:rPr>
          <w:color w:val="000000"/>
        </w:rPr>
        <w:t>日起至</w:t>
      </w:r>
      <w:r>
        <w:rPr>
          <w:color w:val="000000"/>
        </w:rPr>
        <w:t>9</w:t>
      </w:r>
      <w:r>
        <w:rPr>
          <w:color w:val="000000"/>
        </w:rPr>
        <w:t>月</w:t>
      </w:r>
      <w:r>
        <w:rPr>
          <w:color w:val="000000"/>
        </w:rPr>
        <w:t>30</w:t>
      </w:r>
      <w:r>
        <w:rPr>
          <w:color w:val="000000"/>
        </w:rPr>
        <w:t>日止。</w:t>
      </w:r>
    </w:p>
    <w:p w:rsidR="00BC1178" w:rsidRDefault="006B3260">
      <w:pPr>
        <w:pStyle w:val="1"/>
        <w:spacing w:before="0" w:after="0" w:line="360" w:lineRule="auto"/>
        <w:jc w:val="center"/>
        <w:rPr>
          <w:color w:val="000000"/>
          <w:kern w:val="0"/>
          <w:sz w:val="24"/>
          <w:szCs w:val="24"/>
        </w:rPr>
      </w:pPr>
      <w:r>
        <w:rPr>
          <w:color w:val="000000"/>
          <w:kern w:val="0"/>
          <w:sz w:val="24"/>
          <w:szCs w:val="24"/>
        </w:rPr>
        <w:t xml:space="preserve">§2  </w:t>
      </w:r>
      <w:r>
        <w:rPr>
          <w:color w:val="000000"/>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670"/>
      </w:tblGrid>
      <w:tr w:rsidR="00BC1178">
        <w:tc>
          <w:tcPr>
            <w:tcW w:w="2835" w:type="dxa"/>
          </w:tcPr>
          <w:p w:rsidR="00BC1178" w:rsidRDefault="006B3260">
            <w:pPr>
              <w:adjustRightInd w:val="0"/>
              <w:spacing w:before="29"/>
              <w:ind w:left="17"/>
              <w:jc w:val="left"/>
              <w:rPr>
                <w:kern w:val="0"/>
              </w:rPr>
            </w:pPr>
            <w:r>
              <w:rPr>
                <w:kern w:val="0"/>
              </w:rPr>
              <w:t>基金简称</w:t>
            </w:r>
          </w:p>
        </w:tc>
        <w:tc>
          <w:tcPr>
            <w:tcW w:w="5670" w:type="dxa"/>
          </w:tcPr>
          <w:p w:rsidR="00BC1178" w:rsidRDefault="006B3260">
            <w:pPr>
              <w:adjustRightInd w:val="0"/>
              <w:spacing w:before="29"/>
              <w:ind w:left="17"/>
              <w:jc w:val="left"/>
              <w:rPr>
                <w:color w:val="000000"/>
                <w:kern w:val="0"/>
              </w:rPr>
            </w:pPr>
            <w:r>
              <w:rPr>
                <w:color w:val="000000"/>
                <w:kern w:val="0"/>
              </w:rPr>
              <w:t>中银文体娱乐混合</w:t>
            </w:r>
          </w:p>
        </w:tc>
      </w:tr>
      <w:tr w:rsidR="00BC1178">
        <w:tc>
          <w:tcPr>
            <w:tcW w:w="2835" w:type="dxa"/>
            <w:tcBorders>
              <w:top w:val="single" w:sz="4" w:space="0" w:color="auto"/>
              <w:left w:val="single" w:sz="4" w:space="0" w:color="auto"/>
              <w:bottom w:val="single" w:sz="4" w:space="0" w:color="auto"/>
              <w:right w:val="single" w:sz="4" w:space="0" w:color="auto"/>
            </w:tcBorders>
          </w:tcPr>
          <w:p w:rsidR="00BC1178" w:rsidRDefault="006B3260">
            <w:pPr>
              <w:adjustRightInd w:val="0"/>
              <w:spacing w:before="29"/>
              <w:ind w:left="17"/>
              <w:jc w:val="left"/>
              <w:rPr>
                <w:kern w:val="0"/>
              </w:rPr>
            </w:pPr>
            <w:r>
              <w:rPr>
                <w:kern w:val="0"/>
              </w:rPr>
              <w:t>基金主代码</w:t>
            </w:r>
          </w:p>
        </w:tc>
        <w:tc>
          <w:tcPr>
            <w:tcW w:w="5670" w:type="dxa"/>
            <w:tcBorders>
              <w:top w:val="single" w:sz="4" w:space="0" w:color="auto"/>
              <w:left w:val="single" w:sz="4" w:space="0" w:color="auto"/>
              <w:bottom w:val="single" w:sz="4" w:space="0" w:color="auto"/>
              <w:right w:val="single" w:sz="4" w:space="0" w:color="auto"/>
            </w:tcBorders>
          </w:tcPr>
          <w:p w:rsidR="00BC1178" w:rsidRDefault="006B3260">
            <w:pPr>
              <w:adjustRightInd w:val="0"/>
              <w:spacing w:before="29"/>
              <w:ind w:left="17"/>
              <w:jc w:val="left"/>
              <w:rPr>
                <w:color w:val="000000"/>
                <w:kern w:val="0"/>
              </w:rPr>
            </w:pPr>
            <w:r>
              <w:rPr>
                <w:color w:val="000000"/>
                <w:kern w:val="0"/>
              </w:rPr>
              <w:t>004396</w:t>
            </w:r>
          </w:p>
        </w:tc>
      </w:tr>
      <w:tr w:rsidR="00BC1178">
        <w:tc>
          <w:tcPr>
            <w:tcW w:w="2835" w:type="dxa"/>
            <w:tcBorders>
              <w:top w:val="single" w:sz="4" w:space="0" w:color="auto"/>
              <w:left w:val="single" w:sz="4" w:space="0" w:color="auto"/>
              <w:bottom w:val="single" w:sz="4" w:space="0" w:color="auto"/>
              <w:right w:val="single" w:sz="4" w:space="0" w:color="auto"/>
            </w:tcBorders>
          </w:tcPr>
          <w:p w:rsidR="00BC1178" w:rsidRDefault="006B3260">
            <w:pPr>
              <w:adjustRightInd w:val="0"/>
              <w:spacing w:before="29"/>
              <w:ind w:left="17"/>
              <w:jc w:val="left"/>
              <w:rPr>
                <w:kern w:val="0"/>
              </w:rPr>
            </w:pPr>
            <w:r>
              <w:rPr>
                <w:kern w:val="0"/>
              </w:rPr>
              <w:t>交易代码</w:t>
            </w:r>
          </w:p>
        </w:tc>
        <w:tc>
          <w:tcPr>
            <w:tcW w:w="5670" w:type="dxa"/>
            <w:tcBorders>
              <w:top w:val="single" w:sz="4" w:space="0" w:color="auto"/>
              <w:left w:val="single" w:sz="4" w:space="0" w:color="auto"/>
              <w:bottom w:val="single" w:sz="4" w:space="0" w:color="auto"/>
              <w:right w:val="single" w:sz="4" w:space="0" w:color="auto"/>
            </w:tcBorders>
          </w:tcPr>
          <w:p w:rsidR="00BC1178" w:rsidRDefault="006B3260">
            <w:pPr>
              <w:adjustRightInd w:val="0"/>
              <w:spacing w:before="29"/>
              <w:ind w:left="17"/>
              <w:jc w:val="left"/>
              <w:rPr>
                <w:color w:val="000000"/>
                <w:kern w:val="0"/>
              </w:rPr>
            </w:pPr>
            <w:r>
              <w:rPr>
                <w:kern w:val="0"/>
              </w:rPr>
              <w:t>004396</w:t>
            </w:r>
          </w:p>
        </w:tc>
      </w:tr>
      <w:tr w:rsidR="00BC1178">
        <w:tc>
          <w:tcPr>
            <w:tcW w:w="2835" w:type="dxa"/>
          </w:tcPr>
          <w:p w:rsidR="00BC1178" w:rsidRDefault="006B3260">
            <w:pPr>
              <w:adjustRightInd w:val="0"/>
              <w:spacing w:before="29"/>
              <w:ind w:left="17"/>
              <w:jc w:val="left"/>
            </w:pPr>
            <w:r>
              <w:rPr>
                <w:kern w:val="0"/>
              </w:rPr>
              <w:t>基金运作方式</w:t>
            </w:r>
          </w:p>
        </w:tc>
        <w:tc>
          <w:tcPr>
            <w:tcW w:w="5670" w:type="dxa"/>
          </w:tcPr>
          <w:p w:rsidR="00BC1178" w:rsidRDefault="006B3260">
            <w:pPr>
              <w:adjustRightInd w:val="0"/>
              <w:spacing w:before="29"/>
              <w:ind w:left="17"/>
              <w:jc w:val="left"/>
              <w:rPr>
                <w:color w:val="000000"/>
              </w:rPr>
            </w:pPr>
            <w:r>
              <w:rPr>
                <w:color w:val="000000"/>
                <w:kern w:val="0"/>
              </w:rPr>
              <w:t>契约型开放式</w:t>
            </w:r>
          </w:p>
        </w:tc>
      </w:tr>
      <w:tr w:rsidR="00BC1178">
        <w:tc>
          <w:tcPr>
            <w:tcW w:w="2835" w:type="dxa"/>
          </w:tcPr>
          <w:p w:rsidR="00BC1178" w:rsidRDefault="006B3260">
            <w:pPr>
              <w:adjustRightInd w:val="0"/>
              <w:spacing w:before="29"/>
              <w:ind w:left="17"/>
              <w:jc w:val="left"/>
            </w:pPr>
            <w:r>
              <w:rPr>
                <w:kern w:val="0"/>
              </w:rPr>
              <w:t>基金合同生效日</w:t>
            </w:r>
          </w:p>
        </w:tc>
        <w:tc>
          <w:tcPr>
            <w:tcW w:w="5670" w:type="dxa"/>
          </w:tcPr>
          <w:p w:rsidR="00BC1178" w:rsidRDefault="006B3260">
            <w:pPr>
              <w:adjustRightInd w:val="0"/>
              <w:spacing w:before="29"/>
              <w:ind w:left="17"/>
              <w:jc w:val="left"/>
              <w:rPr>
                <w:color w:val="000000"/>
              </w:rPr>
            </w:pPr>
            <w:r>
              <w:rPr>
                <w:color w:val="000000"/>
                <w:kern w:val="0"/>
              </w:rPr>
              <w:t>2017</w:t>
            </w:r>
            <w:r>
              <w:rPr>
                <w:color w:val="000000"/>
                <w:kern w:val="0"/>
              </w:rPr>
              <w:t>年</w:t>
            </w:r>
            <w:r>
              <w:rPr>
                <w:color w:val="000000"/>
                <w:kern w:val="0"/>
              </w:rPr>
              <w:t>4</w:t>
            </w:r>
            <w:r>
              <w:rPr>
                <w:color w:val="000000"/>
                <w:kern w:val="0"/>
              </w:rPr>
              <w:t>月</w:t>
            </w:r>
            <w:r>
              <w:rPr>
                <w:color w:val="000000"/>
                <w:kern w:val="0"/>
              </w:rPr>
              <w:t>10</w:t>
            </w:r>
            <w:r>
              <w:rPr>
                <w:color w:val="000000"/>
                <w:kern w:val="0"/>
              </w:rPr>
              <w:t>日</w:t>
            </w:r>
          </w:p>
        </w:tc>
      </w:tr>
      <w:tr w:rsidR="00BC1178">
        <w:tc>
          <w:tcPr>
            <w:tcW w:w="2835" w:type="dxa"/>
          </w:tcPr>
          <w:p w:rsidR="00BC1178" w:rsidRDefault="006B3260">
            <w:pPr>
              <w:adjustRightInd w:val="0"/>
              <w:spacing w:before="29"/>
              <w:ind w:left="17"/>
              <w:jc w:val="left"/>
            </w:pPr>
            <w:r>
              <w:rPr>
                <w:kern w:val="0"/>
              </w:rPr>
              <w:t>报告期末基金份额总额</w:t>
            </w:r>
          </w:p>
        </w:tc>
        <w:tc>
          <w:tcPr>
            <w:tcW w:w="5670" w:type="dxa"/>
          </w:tcPr>
          <w:p w:rsidR="00BC1178" w:rsidRDefault="006B3260">
            <w:pPr>
              <w:adjustRightInd w:val="0"/>
              <w:spacing w:before="29"/>
              <w:ind w:left="17"/>
              <w:jc w:val="left"/>
              <w:rPr>
                <w:color w:val="000000"/>
              </w:rPr>
            </w:pPr>
            <w:r>
              <w:rPr>
                <w:color w:val="000000"/>
                <w:kern w:val="0"/>
              </w:rPr>
              <w:t>54,111,217.67</w:t>
            </w:r>
            <w:r>
              <w:rPr>
                <w:color w:val="000000"/>
                <w:kern w:val="0"/>
              </w:rPr>
              <w:t>份</w:t>
            </w:r>
          </w:p>
        </w:tc>
      </w:tr>
      <w:tr w:rsidR="00BC1178">
        <w:tc>
          <w:tcPr>
            <w:tcW w:w="2835" w:type="dxa"/>
          </w:tcPr>
          <w:p w:rsidR="00BC1178" w:rsidRDefault="006B3260">
            <w:pPr>
              <w:adjustRightInd w:val="0"/>
              <w:spacing w:before="29"/>
              <w:ind w:left="17"/>
              <w:jc w:val="left"/>
            </w:pPr>
            <w:r>
              <w:rPr>
                <w:kern w:val="0"/>
              </w:rPr>
              <w:t>投资目标</w:t>
            </w:r>
          </w:p>
        </w:tc>
        <w:tc>
          <w:tcPr>
            <w:tcW w:w="5670" w:type="dxa"/>
          </w:tcPr>
          <w:p w:rsidR="00BC1178" w:rsidRDefault="006B3260">
            <w:pPr>
              <w:adjustRightInd w:val="0"/>
              <w:spacing w:before="29"/>
              <w:ind w:left="17"/>
              <w:jc w:val="left"/>
              <w:rPr>
                <w:color w:val="000000"/>
              </w:rPr>
            </w:pPr>
            <w:r>
              <w:rPr>
                <w:color w:val="000000"/>
                <w:kern w:val="0"/>
              </w:rPr>
              <w:t>本基金采用定量及定性的研究方法，结合宏观产业分析及精选个股策略，优选文体娱乐主题的上市公司，在严格控制风险的基础上，力争实现基金资产的长期稳健增值。</w:t>
            </w:r>
          </w:p>
        </w:tc>
      </w:tr>
      <w:tr w:rsidR="00BC1178">
        <w:tc>
          <w:tcPr>
            <w:tcW w:w="2835" w:type="dxa"/>
          </w:tcPr>
          <w:p w:rsidR="00BC1178" w:rsidRDefault="006B3260">
            <w:pPr>
              <w:adjustRightInd w:val="0"/>
              <w:spacing w:before="29"/>
              <w:ind w:left="17"/>
              <w:jc w:val="left"/>
            </w:pPr>
            <w:r>
              <w:rPr>
                <w:kern w:val="0"/>
              </w:rPr>
              <w:t>投资策略</w:t>
            </w:r>
          </w:p>
        </w:tc>
        <w:tc>
          <w:tcPr>
            <w:tcW w:w="5670" w:type="dxa"/>
          </w:tcPr>
          <w:p w:rsidR="00BC1178" w:rsidRDefault="006B3260">
            <w:pPr>
              <w:adjustRightInd w:val="0"/>
              <w:spacing w:before="29"/>
              <w:ind w:left="17"/>
              <w:jc w:val="left"/>
              <w:rPr>
                <w:color w:val="000000"/>
              </w:rPr>
            </w:pPr>
            <w:r>
              <w:rPr>
                <w:color w:val="000000"/>
                <w:kern w:val="0"/>
              </w:rPr>
              <w:t>本基金将根据各类证券风险收益特征相对变化，适度的调整确定基金资产在股票、债券及现金等类别资产间的分配比例，动态优化投资组合。本基金将主要采用</w:t>
            </w:r>
            <w:r>
              <w:rPr>
                <w:color w:val="000000"/>
                <w:kern w:val="0"/>
              </w:rPr>
              <w:t xml:space="preserve"> “</w:t>
            </w:r>
            <w:r>
              <w:rPr>
                <w:color w:val="000000"/>
                <w:kern w:val="0"/>
              </w:rPr>
              <w:t>自下而上</w:t>
            </w:r>
            <w:r>
              <w:rPr>
                <w:color w:val="000000"/>
                <w:kern w:val="0"/>
              </w:rPr>
              <w:t>”</w:t>
            </w:r>
            <w:r>
              <w:rPr>
                <w:color w:val="000000"/>
                <w:kern w:val="0"/>
              </w:rPr>
              <w:t>的方法，在备选行业内部通过定量与定性相结合的分析方法，精选具有良好成长性、估值合理的个股。</w:t>
            </w:r>
          </w:p>
        </w:tc>
      </w:tr>
      <w:tr w:rsidR="00BC1178">
        <w:tc>
          <w:tcPr>
            <w:tcW w:w="2835" w:type="dxa"/>
          </w:tcPr>
          <w:p w:rsidR="00BC1178" w:rsidRDefault="006B3260">
            <w:pPr>
              <w:adjustRightInd w:val="0"/>
              <w:spacing w:before="29"/>
              <w:ind w:left="17"/>
              <w:jc w:val="left"/>
            </w:pPr>
            <w:r>
              <w:rPr>
                <w:kern w:val="0"/>
              </w:rPr>
              <w:t>业绩比较基准</w:t>
            </w:r>
          </w:p>
        </w:tc>
        <w:tc>
          <w:tcPr>
            <w:tcW w:w="5670" w:type="dxa"/>
          </w:tcPr>
          <w:p w:rsidR="00BC1178" w:rsidRDefault="006B3260">
            <w:pPr>
              <w:adjustRightInd w:val="0"/>
              <w:spacing w:before="29"/>
              <w:ind w:left="17"/>
              <w:jc w:val="left"/>
              <w:rPr>
                <w:color w:val="000000"/>
              </w:rPr>
            </w:pPr>
            <w:r>
              <w:rPr>
                <w:color w:val="000000"/>
                <w:kern w:val="0"/>
              </w:rPr>
              <w:t>中证</w:t>
            </w:r>
            <w:r>
              <w:rPr>
                <w:color w:val="000000"/>
                <w:kern w:val="0"/>
              </w:rPr>
              <w:t>800</w:t>
            </w:r>
            <w:r>
              <w:rPr>
                <w:color w:val="000000"/>
                <w:kern w:val="0"/>
              </w:rPr>
              <w:t>指数收益率</w:t>
            </w:r>
            <w:r>
              <w:rPr>
                <w:color w:val="000000"/>
                <w:kern w:val="0"/>
              </w:rPr>
              <w:t>×60%+</w:t>
            </w:r>
            <w:r>
              <w:rPr>
                <w:color w:val="000000"/>
                <w:kern w:val="0"/>
              </w:rPr>
              <w:t>中债综合指数收益率</w:t>
            </w:r>
            <w:r>
              <w:rPr>
                <w:color w:val="000000"/>
                <w:kern w:val="0"/>
              </w:rPr>
              <w:t>×40%</w:t>
            </w:r>
          </w:p>
        </w:tc>
      </w:tr>
      <w:tr w:rsidR="00BC1178">
        <w:tc>
          <w:tcPr>
            <w:tcW w:w="2835" w:type="dxa"/>
          </w:tcPr>
          <w:p w:rsidR="00BC1178" w:rsidRDefault="006B3260">
            <w:pPr>
              <w:adjustRightInd w:val="0"/>
              <w:spacing w:before="29"/>
              <w:ind w:left="17"/>
              <w:jc w:val="left"/>
            </w:pPr>
            <w:r>
              <w:rPr>
                <w:kern w:val="0"/>
              </w:rPr>
              <w:t>风险收益特征</w:t>
            </w:r>
          </w:p>
        </w:tc>
        <w:tc>
          <w:tcPr>
            <w:tcW w:w="5670" w:type="dxa"/>
          </w:tcPr>
          <w:p w:rsidR="00BC1178" w:rsidRDefault="006B3260">
            <w:pPr>
              <w:adjustRightInd w:val="0"/>
              <w:spacing w:before="29"/>
              <w:ind w:left="17"/>
              <w:jc w:val="left"/>
              <w:rPr>
                <w:color w:val="000000"/>
              </w:rPr>
            </w:pPr>
            <w:r>
              <w:rPr>
                <w:color w:val="000000"/>
                <w:kern w:val="0"/>
              </w:rPr>
              <w:t>本基金为混合型基金，其预期收益及预期风险水平高于债券型基金和货币市场基金，但低于股票型基金，属于中等风险水平的投资品种。</w:t>
            </w:r>
          </w:p>
        </w:tc>
      </w:tr>
      <w:tr w:rsidR="00BC1178">
        <w:tc>
          <w:tcPr>
            <w:tcW w:w="2835" w:type="dxa"/>
          </w:tcPr>
          <w:p w:rsidR="00BC1178" w:rsidRDefault="006B3260">
            <w:pPr>
              <w:adjustRightInd w:val="0"/>
              <w:spacing w:before="29"/>
              <w:ind w:left="17"/>
              <w:jc w:val="left"/>
            </w:pPr>
            <w:r>
              <w:rPr>
                <w:kern w:val="0"/>
              </w:rPr>
              <w:t>基金管理人</w:t>
            </w:r>
          </w:p>
        </w:tc>
        <w:tc>
          <w:tcPr>
            <w:tcW w:w="5670" w:type="dxa"/>
          </w:tcPr>
          <w:p w:rsidR="00BC1178" w:rsidRDefault="006B3260">
            <w:pPr>
              <w:adjustRightInd w:val="0"/>
              <w:spacing w:before="29"/>
              <w:ind w:left="17"/>
              <w:jc w:val="left"/>
              <w:rPr>
                <w:color w:val="000000"/>
              </w:rPr>
            </w:pPr>
            <w:r>
              <w:rPr>
                <w:color w:val="000000"/>
                <w:kern w:val="0"/>
              </w:rPr>
              <w:t>中银基金管理有限公司</w:t>
            </w:r>
          </w:p>
        </w:tc>
      </w:tr>
      <w:tr w:rsidR="00BC1178">
        <w:tc>
          <w:tcPr>
            <w:tcW w:w="2835" w:type="dxa"/>
          </w:tcPr>
          <w:p w:rsidR="00BC1178" w:rsidRDefault="006B3260">
            <w:pPr>
              <w:adjustRightInd w:val="0"/>
              <w:spacing w:before="29"/>
              <w:ind w:left="17"/>
              <w:jc w:val="left"/>
            </w:pPr>
            <w:r>
              <w:rPr>
                <w:kern w:val="0"/>
              </w:rPr>
              <w:t>基金托管人</w:t>
            </w:r>
          </w:p>
        </w:tc>
        <w:tc>
          <w:tcPr>
            <w:tcW w:w="5670" w:type="dxa"/>
          </w:tcPr>
          <w:p w:rsidR="00BC1178" w:rsidRDefault="006B3260">
            <w:pPr>
              <w:adjustRightInd w:val="0"/>
              <w:spacing w:before="29"/>
              <w:ind w:left="17"/>
              <w:jc w:val="left"/>
              <w:rPr>
                <w:color w:val="000000"/>
              </w:rPr>
            </w:pPr>
            <w:r>
              <w:rPr>
                <w:color w:val="000000"/>
                <w:kern w:val="0"/>
              </w:rPr>
              <w:t>招商银行股份有限公司</w:t>
            </w:r>
          </w:p>
        </w:tc>
      </w:tr>
    </w:tbl>
    <w:p w:rsidR="00BC1178" w:rsidRDefault="006B3260">
      <w:pPr>
        <w:pStyle w:val="1"/>
        <w:spacing w:before="0" w:after="0" w:line="360" w:lineRule="auto"/>
        <w:jc w:val="center"/>
        <w:rPr>
          <w:color w:val="000000"/>
          <w:kern w:val="0"/>
          <w:sz w:val="24"/>
          <w:szCs w:val="24"/>
        </w:rPr>
      </w:pPr>
      <w:r>
        <w:rPr>
          <w:color w:val="000000"/>
          <w:kern w:val="0"/>
          <w:sz w:val="24"/>
          <w:szCs w:val="24"/>
        </w:rPr>
        <w:t xml:space="preserve">§3  </w:t>
      </w:r>
      <w:r>
        <w:rPr>
          <w:color w:val="000000"/>
          <w:kern w:val="0"/>
          <w:sz w:val="24"/>
          <w:szCs w:val="24"/>
        </w:rPr>
        <w:t>主要财务指标和基金净值表现</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3.1 </w:t>
      </w:r>
      <w:r>
        <w:rPr>
          <w:b/>
          <w:bCs/>
          <w:color w:val="000000"/>
          <w:kern w:val="0"/>
        </w:rPr>
        <w:t>主要财务指标</w:t>
      </w:r>
    </w:p>
    <w:p w:rsidR="00BC1178" w:rsidRDefault="006B3260">
      <w:pPr>
        <w:autoSpaceDE w:val="0"/>
        <w:autoSpaceDN w:val="0"/>
        <w:adjustRightInd w:val="0"/>
        <w:spacing w:line="360" w:lineRule="auto"/>
        <w:ind w:left="15"/>
        <w:jc w:val="right"/>
        <w:rPr>
          <w:color w:val="000000"/>
          <w:kern w:val="0"/>
        </w:rPr>
      </w:pPr>
      <w:r>
        <w:rPr>
          <w:color w:val="000000"/>
          <w:kern w:val="0"/>
        </w:rPr>
        <w:lastRenderedPageBreak/>
        <w:t>单位：人民币元</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
        <w:gridCol w:w="5102"/>
      </w:tblGrid>
      <w:tr w:rsidR="00BC1178">
        <w:tc>
          <w:tcPr>
            <w:tcW w:w="3402" w:type="dxa"/>
            <w:vAlign w:val="center"/>
          </w:tcPr>
          <w:p w:rsidR="00BC1178" w:rsidRDefault="006B3260">
            <w:pPr>
              <w:adjustRightInd w:val="0"/>
              <w:spacing w:before="29"/>
              <w:ind w:left="17"/>
              <w:jc w:val="center"/>
              <w:rPr>
                <w:kern w:val="0"/>
              </w:rPr>
            </w:pPr>
            <w:r>
              <w:rPr>
                <w:kern w:val="0"/>
              </w:rPr>
              <w:t>主要财务指标</w:t>
            </w:r>
          </w:p>
        </w:tc>
        <w:tc>
          <w:tcPr>
            <w:tcW w:w="5103" w:type="dxa"/>
            <w:hMerge w:val="restart"/>
            <w:vAlign w:val="center"/>
          </w:tcPr>
          <w:p w:rsidR="00BC1178" w:rsidRDefault="006B3260">
            <w:pPr>
              <w:adjustRightInd w:val="0"/>
              <w:spacing w:before="29"/>
              <w:ind w:left="17"/>
              <w:jc w:val="center"/>
              <w:rPr>
                <w:color w:val="000000"/>
              </w:rPr>
            </w:pPr>
            <w:r>
              <w:rPr>
                <w:color w:val="000000"/>
              </w:rPr>
              <w:t>报告期</w:t>
            </w:r>
          </w:p>
          <w:p w:rsidR="00BC1178" w:rsidRDefault="006B3260">
            <w:pPr>
              <w:adjustRightInd w:val="0"/>
              <w:spacing w:before="29"/>
              <w:ind w:left="17"/>
              <w:jc w:val="center"/>
              <w:rPr>
                <w:color w:val="000000"/>
              </w:rPr>
            </w:pPr>
            <w:r>
              <w:rPr>
                <w:color w:val="000000"/>
              </w:rPr>
              <w:t>(2018</w:t>
            </w:r>
            <w:r>
              <w:rPr>
                <w:color w:val="000000"/>
              </w:rPr>
              <w:t>年</w:t>
            </w:r>
            <w:r>
              <w:rPr>
                <w:color w:val="000000"/>
              </w:rPr>
              <w:t>7</w:t>
            </w:r>
            <w:r>
              <w:rPr>
                <w:color w:val="000000"/>
              </w:rPr>
              <w:t>月</w:t>
            </w:r>
            <w:r>
              <w:rPr>
                <w:color w:val="000000"/>
              </w:rPr>
              <w:t>1</w:t>
            </w:r>
            <w:r>
              <w:rPr>
                <w:color w:val="000000"/>
              </w:rPr>
              <w:t>日</w:t>
            </w:r>
            <w:r>
              <w:rPr>
                <w:color w:val="000000"/>
              </w:rPr>
              <w:t>-2018</w:t>
            </w:r>
            <w:r>
              <w:rPr>
                <w:color w:val="000000"/>
              </w:rPr>
              <w:t>年</w:t>
            </w:r>
            <w:r>
              <w:rPr>
                <w:color w:val="000000"/>
              </w:rPr>
              <w:t>9</w:t>
            </w:r>
            <w:r>
              <w:rPr>
                <w:color w:val="000000"/>
              </w:rPr>
              <w:t>月</w:t>
            </w:r>
            <w:r>
              <w:rPr>
                <w:color w:val="000000"/>
              </w:rPr>
              <w:t>30</w:t>
            </w:r>
            <w:r>
              <w:rPr>
                <w:color w:val="000000"/>
              </w:rPr>
              <w:t>日</w:t>
            </w:r>
            <w:r>
              <w:rPr>
                <w:color w:val="000000"/>
              </w:rPr>
              <w:t>)</w:t>
            </w:r>
          </w:p>
        </w:tc>
        <w:tc>
          <w:tcPr>
            <w:tcW w:w="2409" w:type="dxa"/>
            <w:hMerge/>
            <w:vAlign w:val="center"/>
          </w:tcPr>
          <w:p w:rsidR="00BC1178" w:rsidRDefault="006B3260">
            <w:pPr>
              <w:adjustRightInd w:val="0"/>
              <w:spacing w:before="29"/>
              <w:ind w:left="17"/>
              <w:jc w:val="center"/>
              <w:rPr>
                <w:color w:val="000000"/>
              </w:rPr>
            </w:pPr>
            <w:r>
              <w:rPr>
                <w:color w:val="000000"/>
              </w:rPr>
              <w:t>上期金额</w:t>
            </w:r>
          </w:p>
        </w:tc>
      </w:tr>
      <w:tr w:rsidR="00BC1178">
        <w:tc>
          <w:tcPr>
            <w:tcW w:w="3402" w:type="dxa"/>
            <w:vAlign w:val="center"/>
          </w:tcPr>
          <w:p w:rsidR="00BC1178" w:rsidRDefault="006B3260">
            <w:pPr>
              <w:adjustRightInd w:val="0"/>
              <w:spacing w:before="29"/>
              <w:ind w:left="17"/>
              <w:rPr>
                <w:kern w:val="0"/>
              </w:rPr>
            </w:pPr>
            <w:r>
              <w:rPr>
                <w:kern w:val="0"/>
              </w:rPr>
              <w:t>1.</w:t>
            </w:r>
            <w:r>
              <w:rPr>
                <w:kern w:val="0"/>
              </w:rPr>
              <w:t>本期已实现收益</w:t>
            </w:r>
          </w:p>
        </w:tc>
        <w:tc>
          <w:tcPr>
            <w:tcW w:w="5103" w:type="dxa"/>
            <w:hMerge w:val="restart"/>
            <w:vAlign w:val="center"/>
          </w:tcPr>
          <w:p w:rsidR="00BC1178" w:rsidRDefault="006B3260">
            <w:pPr>
              <w:adjustRightInd w:val="0"/>
              <w:spacing w:before="29"/>
              <w:ind w:left="17"/>
              <w:jc w:val="right"/>
              <w:rPr>
                <w:color w:val="000000"/>
              </w:rPr>
            </w:pPr>
            <w:r>
              <w:rPr>
                <w:color w:val="000000"/>
              </w:rPr>
              <w:t>-1,621,278.69</w:t>
            </w:r>
          </w:p>
        </w:tc>
        <w:tc>
          <w:tcPr>
            <w:tcW w:w="2409" w:type="dxa"/>
            <w:hMerge/>
            <w:vAlign w:val="center"/>
          </w:tcPr>
          <w:p w:rsidR="00BC1178" w:rsidRDefault="006B3260">
            <w:pPr>
              <w:adjustRightInd w:val="0"/>
              <w:spacing w:before="29"/>
              <w:ind w:left="17"/>
              <w:jc w:val="right"/>
              <w:rPr>
                <w:color w:val="000000"/>
              </w:rPr>
            </w:pPr>
            <w:r>
              <w:rPr>
                <w:color w:val="000000"/>
              </w:rPr>
              <w:t>-</w:t>
            </w:r>
          </w:p>
        </w:tc>
      </w:tr>
      <w:tr w:rsidR="00BC1178">
        <w:tc>
          <w:tcPr>
            <w:tcW w:w="3402" w:type="dxa"/>
            <w:vAlign w:val="center"/>
          </w:tcPr>
          <w:p w:rsidR="00BC1178" w:rsidRDefault="006B3260">
            <w:pPr>
              <w:adjustRightInd w:val="0"/>
              <w:spacing w:before="29"/>
              <w:ind w:left="17"/>
              <w:rPr>
                <w:kern w:val="0"/>
              </w:rPr>
            </w:pPr>
            <w:r>
              <w:rPr>
                <w:kern w:val="0"/>
              </w:rPr>
              <w:t>2.</w:t>
            </w:r>
            <w:r>
              <w:rPr>
                <w:kern w:val="0"/>
              </w:rPr>
              <w:t>本期利润</w:t>
            </w:r>
          </w:p>
        </w:tc>
        <w:tc>
          <w:tcPr>
            <w:tcW w:w="5103" w:type="dxa"/>
            <w:hMerge w:val="restart"/>
            <w:vAlign w:val="center"/>
          </w:tcPr>
          <w:p w:rsidR="00BC1178" w:rsidRDefault="006B3260">
            <w:pPr>
              <w:adjustRightInd w:val="0"/>
              <w:spacing w:before="29"/>
              <w:ind w:left="17"/>
              <w:jc w:val="right"/>
              <w:rPr>
                <w:color w:val="000000"/>
              </w:rPr>
            </w:pPr>
            <w:r>
              <w:rPr>
                <w:color w:val="000000"/>
              </w:rPr>
              <w:t>-2,637,532.98</w:t>
            </w:r>
          </w:p>
        </w:tc>
        <w:tc>
          <w:tcPr>
            <w:tcW w:w="2409" w:type="dxa"/>
            <w:hMerge/>
            <w:vAlign w:val="center"/>
          </w:tcPr>
          <w:p w:rsidR="00BC1178" w:rsidRDefault="006B3260">
            <w:pPr>
              <w:adjustRightInd w:val="0"/>
              <w:spacing w:before="29"/>
              <w:ind w:left="17"/>
              <w:jc w:val="right"/>
              <w:rPr>
                <w:color w:val="000000"/>
              </w:rPr>
            </w:pPr>
            <w:r>
              <w:rPr>
                <w:color w:val="000000"/>
              </w:rPr>
              <w:t>-</w:t>
            </w:r>
          </w:p>
        </w:tc>
      </w:tr>
      <w:tr w:rsidR="00BC1178">
        <w:tc>
          <w:tcPr>
            <w:tcW w:w="3402" w:type="dxa"/>
            <w:vAlign w:val="center"/>
          </w:tcPr>
          <w:p w:rsidR="00BC1178" w:rsidRDefault="006B3260">
            <w:pPr>
              <w:adjustRightInd w:val="0"/>
              <w:spacing w:before="29"/>
              <w:ind w:left="17"/>
              <w:rPr>
                <w:kern w:val="0"/>
              </w:rPr>
            </w:pPr>
            <w:r>
              <w:rPr>
                <w:kern w:val="0"/>
              </w:rPr>
              <w:t>3.</w:t>
            </w:r>
            <w:r>
              <w:rPr>
                <w:kern w:val="0"/>
              </w:rPr>
              <w:t>加权平均基金份额本期利润</w:t>
            </w:r>
          </w:p>
        </w:tc>
        <w:tc>
          <w:tcPr>
            <w:tcW w:w="5103" w:type="dxa"/>
            <w:hMerge w:val="restart"/>
            <w:vAlign w:val="center"/>
          </w:tcPr>
          <w:p w:rsidR="00BC1178" w:rsidRDefault="006B3260">
            <w:pPr>
              <w:adjustRightInd w:val="0"/>
              <w:spacing w:before="29"/>
              <w:ind w:left="17"/>
              <w:jc w:val="right"/>
              <w:rPr>
                <w:color w:val="000000"/>
              </w:rPr>
            </w:pPr>
            <w:r>
              <w:rPr>
                <w:color w:val="000000"/>
              </w:rPr>
              <w:t>-0.0481</w:t>
            </w:r>
          </w:p>
        </w:tc>
        <w:tc>
          <w:tcPr>
            <w:tcW w:w="2409" w:type="dxa"/>
            <w:hMerge/>
            <w:vAlign w:val="center"/>
          </w:tcPr>
          <w:p w:rsidR="00BC1178" w:rsidRDefault="006B3260">
            <w:pPr>
              <w:adjustRightInd w:val="0"/>
              <w:spacing w:before="29"/>
              <w:ind w:left="17"/>
              <w:jc w:val="right"/>
              <w:rPr>
                <w:color w:val="000000"/>
              </w:rPr>
            </w:pPr>
            <w:r>
              <w:rPr>
                <w:color w:val="000000"/>
              </w:rPr>
              <w:t>-</w:t>
            </w:r>
          </w:p>
        </w:tc>
      </w:tr>
      <w:tr w:rsidR="00BC1178">
        <w:tc>
          <w:tcPr>
            <w:tcW w:w="3402" w:type="dxa"/>
            <w:vAlign w:val="center"/>
          </w:tcPr>
          <w:p w:rsidR="00BC1178" w:rsidRDefault="006B3260">
            <w:pPr>
              <w:adjustRightInd w:val="0"/>
              <w:spacing w:before="29"/>
              <w:ind w:left="17"/>
              <w:rPr>
                <w:kern w:val="0"/>
              </w:rPr>
            </w:pPr>
            <w:r>
              <w:rPr>
                <w:kern w:val="0"/>
              </w:rPr>
              <w:t>4.</w:t>
            </w:r>
            <w:r>
              <w:rPr>
                <w:kern w:val="0"/>
              </w:rPr>
              <w:t>期末基金资产净值</w:t>
            </w:r>
          </w:p>
        </w:tc>
        <w:tc>
          <w:tcPr>
            <w:tcW w:w="5103" w:type="dxa"/>
            <w:hMerge w:val="restart"/>
            <w:vAlign w:val="center"/>
          </w:tcPr>
          <w:p w:rsidR="00BC1178" w:rsidRDefault="006B3260">
            <w:pPr>
              <w:adjustRightInd w:val="0"/>
              <w:spacing w:before="29"/>
              <w:ind w:left="17"/>
              <w:jc w:val="right"/>
              <w:rPr>
                <w:color w:val="000000"/>
              </w:rPr>
            </w:pPr>
            <w:r>
              <w:rPr>
                <w:color w:val="000000"/>
              </w:rPr>
              <w:t>48,155,136.54</w:t>
            </w:r>
          </w:p>
        </w:tc>
        <w:tc>
          <w:tcPr>
            <w:tcW w:w="2409" w:type="dxa"/>
            <w:hMerge/>
            <w:vAlign w:val="center"/>
          </w:tcPr>
          <w:p w:rsidR="00BC1178" w:rsidRDefault="006B3260">
            <w:pPr>
              <w:adjustRightInd w:val="0"/>
              <w:spacing w:before="29"/>
              <w:ind w:left="17"/>
              <w:jc w:val="right"/>
              <w:rPr>
                <w:color w:val="000000"/>
              </w:rPr>
            </w:pPr>
            <w:r>
              <w:rPr>
                <w:color w:val="000000"/>
              </w:rPr>
              <w:t>-</w:t>
            </w:r>
          </w:p>
        </w:tc>
      </w:tr>
      <w:tr w:rsidR="00BC1178">
        <w:trPr>
          <w:trHeight w:val="158"/>
        </w:trPr>
        <w:tc>
          <w:tcPr>
            <w:tcW w:w="3402" w:type="dxa"/>
            <w:vAlign w:val="center"/>
          </w:tcPr>
          <w:p w:rsidR="00BC1178" w:rsidRDefault="006B3260">
            <w:pPr>
              <w:adjustRightInd w:val="0"/>
              <w:spacing w:before="29"/>
              <w:ind w:left="17"/>
              <w:rPr>
                <w:kern w:val="0"/>
              </w:rPr>
            </w:pPr>
            <w:r>
              <w:rPr>
                <w:kern w:val="0"/>
              </w:rPr>
              <w:t>5.</w:t>
            </w:r>
            <w:r>
              <w:rPr>
                <w:kern w:val="0"/>
              </w:rPr>
              <w:t>期末基金份额净值</w:t>
            </w:r>
          </w:p>
        </w:tc>
        <w:tc>
          <w:tcPr>
            <w:tcW w:w="5103" w:type="dxa"/>
            <w:hMerge w:val="restart"/>
            <w:vAlign w:val="center"/>
          </w:tcPr>
          <w:p w:rsidR="00BC1178" w:rsidRDefault="006B3260">
            <w:pPr>
              <w:adjustRightInd w:val="0"/>
              <w:spacing w:before="29"/>
              <w:ind w:left="17"/>
              <w:jc w:val="right"/>
              <w:rPr>
                <w:color w:val="000000"/>
              </w:rPr>
            </w:pPr>
            <w:r>
              <w:rPr>
                <w:color w:val="000000"/>
              </w:rPr>
              <w:t>0.8899</w:t>
            </w:r>
          </w:p>
        </w:tc>
        <w:tc>
          <w:tcPr>
            <w:tcW w:w="2409" w:type="dxa"/>
            <w:hMerge/>
            <w:vAlign w:val="center"/>
          </w:tcPr>
          <w:p w:rsidR="00BC1178" w:rsidRDefault="006B3260">
            <w:pPr>
              <w:adjustRightInd w:val="0"/>
              <w:spacing w:before="29"/>
              <w:ind w:left="17"/>
              <w:jc w:val="right"/>
              <w:rPr>
                <w:color w:val="000000"/>
              </w:rPr>
            </w:pPr>
            <w:r>
              <w:rPr>
                <w:color w:val="000000"/>
              </w:rPr>
              <w:t>-</w:t>
            </w:r>
          </w:p>
        </w:tc>
      </w:tr>
    </w:tbl>
    <w:p w:rsidR="00BC1178" w:rsidRDefault="006B3260">
      <w:pPr>
        <w:autoSpaceDE w:val="0"/>
        <w:autoSpaceDN w:val="0"/>
        <w:adjustRightInd w:val="0"/>
        <w:spacing w:line="360" w:lineRule="auto"/>
        <w:jc w:val="left"/>
        <w:rPr>
          <w:color w:val="000000"/>
        </w:rPr>
      </w:pPr>
      <w:r>
        <w:rPr>
          <w:color w:val="000000"/>
        </w:rPr>
        <w:t>注：</w:t>
      </w:r>
      <w:r>
        <w:rPr>
          <w:color w:val="000000"/>
        </w:rPr>
        <w:t>1</w:t>
      </w:r>
      <w:r>
        <w:rPr>
          <w:color w:val="000000"/>
        </w:rPr>
        <w:t>、本期已实现收益指基金本期利息收入、投资收益、其他收入（不含公允价值变动收益）扣除相关费用后的余额，本期利润为本期已实现收益加上本期公允价值变动收益。</w:t>
      </w:r>
    </w:p>
    <w:p w:rsidR="00BC1178" w:rsidRDefault="006B3260">
      <w:pPr>
        <w:autoSpaceDE w:val="0"/>
        <w:autoSpaceDN w:val="0"/>
        <w:adjustRightInd w:val="0"/>
        <w:spacing w:line="360" w:lineRule="auto"/>
        <w:jc w:val="left"/>
        <w:rPr>
          <w:color w:val="000000"/>
        </w:rPr>
      </w:pPr>
      <w:r>
        <w:rPr>
          <w:color w:val="000000"/>
        </w:rPr>
        <w:t>2</w:t>
      </w:r>
      <w:r>
        <w:rPr>
          <w:color w:val="000000"/>
        </w:rPr>
        <w:t>、所述基金业绩指标不包括持有人认购或交易基金的各项费用，计入费用后实际收益水平要低于所列数字。</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3.2 </w:t>
      </w:r>
      <w:r>
        <w:rPr>
          <w:b/>
          <w:bCs/>
          <w:color w:val="000000"/>
          <w:kern w:val="0"/>
        </w:rPr>
        <w:t>基金净值表现</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3.2.1 </w:t>
      </w:r>
      <w:r>
        <w:rPr>
          <w:b/>
          <w:bCs/>
          <w:color w:val="000000"/>
          <w:kern w:val="0"/>
        </w:rPr>
        <w:t>本报告期基金份额净值增长率及其与同期业绩比较基准收益率的比较</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7"/>
        <w:gridCol w:w="1092"/>
        <w:gridCol w:w="1161"/>
        <w:gridCol w:w="1181"/>
        <w:gridCol w:w="1267"/>
        <w:gridCol w:w="1275"/>
        <w:gridCol w:w="1134"/>
      </w:tblGrid>
      <w:tr w:rsidR="00BC1178">
        <w:tc>
          <w:tcPr>
            <w:tcW w:w="1537" w:type="dxa"/>
            <w:vAlign w:val="center"/>
          </w:tcPr>
          <w:p w:rsidR="00BC1178" w:rsidRDefault="006B3260">
            <w:pPr>
              <w:autoSpaceDE w:val="0"/>
              <w:autoSpaceDN w:val="0"/>
              <w:adjustRightInd w:val="0"/>
              <w:spacing w:before="29"/>
              <w:ind w:left="17"/>
              <w:jc w:val="center"/>
              <w:rPr>
                <w:color w:val="000000"/>
                <w:kern w:val="0"/>
              </w:rPr>
            </w:pPr>
            <w:r>
              <w:rPr>
                <w:color w:val="000000"/>
                <w:kern w:val="0"/>
              </w:rPr>
              <w:t>阶段</w:t>
            </w:r>
          </w:p>
        </w:tc>
        <w:tc>
          <w:tcPr>
            <w:tcW w:w="1092" w:type="dxa"/>
            <w:vAlign w:val="center"/>
          </w:tcPr>
          <w:p w:rsidR="00BC1178" w:rsidRDefault="006B3260">
            <w:pPr>
              <w:autoSpaceDE w:val="0"/>
              <w:autoSpaceDN w:val="0"/>
              <w:adjustRightInd w:val="0"/>
              <w:spacing w:before="29"/>
              <w:ind w:left="17"/>
              <w:jc w:val="center"/>
              <w:rPr>
                <w:color w:val="000000"/>
                <w:kern w:val="0"/>
              </w:rPr>
            </w:pPr>
            <w:r>
              <w:rPr>
                <w:color w:val="000000"/>
                <w:kern w:val="0"/>
              </w:rPr>
              <w:t>净值增长率</w:t>
            </w:r>
            <w:r>
              <w:rPr>
                <w:rFonts w:ascii="宋体" w:hAnsi="宋体" w:cs="宋体" w:hint="eastAsia"/>
                <w:color w:val="000000"/>
                <w:kern w:val="0"/>
              </w:rPr>
              <w:t>①</w:t>
            </w:r>
          </w:p>
        </w:tc>
        <w:tc>
          <w:tcPr>
            <w:tcW w:w="1161" w:type="dxa"/>
            <w:vAlign w:val="center"/>
          </w:tcPr>
          <w:p w:rsidR="00BC1178" w:rsidRDefault="006B3260">
            <w:pPr>
              <w:autoSpaceDE w:val="0"/>
              <w:autoSpaceDN w:val="0"/>
              <w:adjustRightInd w:val="0"/>
              <w:spacing w:before="29"/>
              <w:ind w:left="17"/>
              <w:jc w:val="center"/>
              <w:rPr>
                <w:color w:val="000000"/>
                <w:kern w:val="0"/>
              </w:rPr>
            </w:pPr>
            <w:r>
              <w:rPr>
                <w:color w:val="000000"/>
                <w:kern w:val="0"/>
              </w:rPr>
              <w:t>净值增长率标准差</w:t>
            </w:r>
            <w:r>
              <w:rPr>
                <w:rFonts w:ascii="宋体" w:hAnsi="宋体" w:cs="宋体" w:hint="eastAsia"/>
                <w:color w:val="000000"/>
                <w:kern w:val="0"/>
              </w:rPr>
              <w:t>②</w:t>
            </w:r>
          </w:p>
        </w:tc>
        <w:tc>
          <w:tcPr>
            <w:tcW w:w="1181" w:type="dxa"/>
            <w:vAlign w:val="center"/>
          </w:tcPr>
          <w:p w:rsidR="00BC1178" w:rsidRDefault="006B3260">
            <w:pPr>
              <w:autoSpaceDE w:val="0"/>
              <w:autoSpaceDN w:val="0"/>
              <w:adjustRightInd w:val="0"/>
              <w:spacing w:before="29"/>
              <w:ind w:left="17"/>
              <w:jc w:val="center"/>
              <w:rPr>
                <w:color w:val="000000"/>
                <w:kern w:val="0"/>
              </w:rPr>
            </w:pPr>
            <w:r>
              <w:rPr>
                <w:color w:val="000000"/>
                <w:kern w:val="0"/>
              </w:rPr>
              <w:t>业绩比较基准收益率</w:t>
            </w:r>
            <w:r>
              <w:rPr>
                <w:rFonts w:ascii="宋体" w:hAnsi="宋体" w:cs="宋体" w:hint="eastAsia"/>
                <w:color w:val="000000"/>
                <w:kern w:val="0"/>
              </w:rPr>
              <w:t>③</w:t>
            </w:r>
          </w:p>
        </w:tc>
        <w:tc>
          <w:tcPr>
            <w:tcW w:w="1267" w:type="dxa"/>
            <w:vAlign w:val="center"/>
          </w:tcPr>
          <w:p w:rsidR="00BC1178" w:rsidRDefault="006B3260">
            <w:pPr>
              <w:autoSpaceDE w:val="0"/>
              <w:autoSpaceDN w:val="0"/>
              <w:adjustRightInd w:val="0"/>
              <w:spacing w:before="29"/>
              <w:ind w:left="17"/>
              <w:jc w:val="center"/>
              <w:rPr>
                <w:color w:val="000000"/>
                <w:kern w:val="0"/>
              </w:rPr>
            </w:pPr>
            <w:r>
              <w:rPr>
                <w:color w:val="000000"/>
                <w:kern w:val="0"/>
              </w:rPr>
              <w:t>业绩比较基准收益率标准差</w:t>
            </w:r>
            <w:r>
              <w:rPr>
                <w:rFonts w:ascii="宋体" w:hAnsi="宋体" w:cs="宋体" w:hint="eastAsia"/>
                <w:color w:val="000000"/>
                <w:kern w:val="0"/>
              </w:rPr>
              <w:t>④</w:t>
            </w:r>
          </w:p>
        </w:tc>
        <w:tc>
          <w:tcPr>
            <w:tcW w:w="1275" w:type="dxa"/>
            <w:vAlign w:val="center"/>
          </w:tcPr>
          <w:p w:rsidR="00BC1178" w:rsidRDefault="006B3260">
            <w:pPr>
              <w:autoSpaceDE w:val="0"/>
              <w:autoSpaceDN w:val="0"/>
              <w:adjustRightInd w:val="0"/>
              <w:spacing w:before="29"/>
              <w:ind w:left="17"/>
              <w:jc w:val="center"/>
              <w:rPr>
                <w:color w:val="000000"/>
                <w:kern w:val="0"/>
              </w:rPr>
            </w:pPr>
            <w:r>
              <w:rPr>
                <w:rFonts w:ascii="宋体" w:hAnsi="宋体" w:cs="宋体" w:hint="eastAsia"/>
                <w:color w:val="000000"/>
                <w:kern w:val="0"/>
              </w:rPr>
              <w:t>①</w:t>
            </w:r>
            <w:r>
              <w:rPr>
                <w:color w:val="000000"/>
                <w:kern w:val="0"/>
              </w:rPr>
              <w:t>-</w:t>
            </w:r>
            <w:r>
              <w:rPr>
                <w:rFonts w:ascii="宋体" w:hAnsi="宋体" w:cs="宋体" w:hint="eastAsia"/>
                <w:color w:val="000000"/>
                <w:kern w:val="0"/>
              </w:rPr>
              <w:t>③</w:t>
            </w:r>
          </w:p>
        </w:tc>
        <w:tc>
          <w:tcPr>
            <w:tcW w:w="1134" w:type="dxa"/>
            <w:vAlign w:val="center"/>
          </w:tcPr>
          <w:p w:rsidR="00BC1178" w:rsidRDefault="006B3260">
            <w:pPr>
              <w:autoSpaceDE w:val="0"/>
              <w:autoSpaceDN w:val="0"/>
              <w:adjustRightInd w:val="0"/>
              <w:spacing w:before="29"/>
              <w:ind w:left="17"/>
              <w:jc w:val="center"/>
              <w:rPr>
                <w:color w:val="000000"/>
                <w:kern w:val="0"/>
              </w:rPr>
            </w:pPr>
            <w:r>
              <w:rPr>
                <w:rFonts w:ascii="宋体" w:hAnsi="宋体" w:cs="宋体" w:hint="eastAsia"/>
                <w:color w:val="000000"/>
                <w:kern w:val="0"/>
              </w:rPr>
              <w:t>②</w:t>
            </w:r>
            <w:r>
              <w:rPr>
                <w:color w:val="000000"/>
                <w:kern w:val="0"/>
              </w:rPr>
              <w:t>-</w:t>
            </w:r>
            <w:r>
              <w:rPr>
                <w:rFonts w:ascii="宋体" w:hAnsi="宋体" w:cs="宋体" w:hint="eastAsia"/>
                <w:color w:val="000000"/>
                <w:kern w:val="0"/>
              </w:rPr>
              <w:t>④</w:t>
            </w:r>
          </w:p>
        </w:tc>
      </w:tr>
      <w:tr w:rsidR="00BC1178">
        <w:tc>
          <w:tcPr>
            <w:tcW w:w="1537" w:type="dxa"/>
            <w:vAlign w:val="center"/>
          </w:tcPr>
          <w:p w:rsidR="00BC1178" w:rsidRDefault="006B3260">
            <w:pPr>
              <w:jc w:val="left"/>
            </w:pPr>
            <w:r>
              <w:rPr>
                <w:color w:val="000000"/>
                <w:kern w:val="0"/>
              </w:rPr>
              <w:t>过去三个月</w:t>
            </w:r>
          </w:p>
        </w:tc>
        <w:tc>
          <w:tcPr>
            <w:tcW w:w="1092" w:type="dxa"/>
            <w:vAlign w:val="center"/>
          </w:tcPr>
          <w:p w:rsidR="00BC1178" w:rsidRDefault="006B3260">
            <w:pPr>
              <w:jc w:val="center"/>
            </w:pPr>
            <w:r>
              <w:rPr>
                <w:color w:val="000000"/>
                <w:kern w:val="0"/>
              </w:rPr>
              <w:t>-5.10%</w:t>
            </w:r>
          </w:p>
        </w:tc>
        <w:tc>
          <w:tcPr>
            <w:tcW w:w="1161" w:type="dxa"/>
            <w:vAlign w:val="center"/>
          </w:tcPr>
          <w:p w:rsidR="00BC1178" w:rsidRDefault="006B3260">
            <w:pPr>
              <w:jc w:val="center"/>
            </w:pPr>
            <w:r>
              <w:rPr>
                <w:color w:val="000000"/>
                <w:kern w:val="0"/>
              </w:rPr>
              <w:t>0.68%</w:t>
            </w:r>
          </w:p>
        </w:tc>
        <w:tc>
          <w:tcPr>
            <w:tcW w:w="1181" w:type="dxa"/>
            <w:vAlign w:val="center"/>
          </w:tcPr>
          <w:p w:rsidR="00BC1178" w:rsidRDefault="006B3260">
            <w:pPr>
              <w:jc w:val="center"/>
            </w:pPr>
            <w:r>
              <w:rPr>
                <w:color w:val="000000"/>
                <w:kern w:val="0"/>
              </w:rPr>
              <w:t>-1.78%</w:t>
            </w:r>
          </w:p>
        </w:tc>
        <w:tc>
          <w:tcPr>
            <w:tcW w:w="1267" w:type="dxa"/>
            <w:vAlign w:val="center"/>
          </w:tcPr>
          <w:p w:rsidR="00BC1178" w:rsidRDefault="006B3260">
            <w:pPr>
              <w:jc w:val="center"/>
            </w:pPr>
            <w:r>
              <w:rPr>
                <w:color w:val="000000"/>
                <w:kern w:val="0"/>
              </w:rPr>
              <w:t>0.79%</w:t>
            </w:r>
          </w:p>
        </w:tc>
        <w:tc>
          <w:tcPr>
            <w:tcW w:w="1275" w:type="dxa"/>
            <w:vAlign w:val="center"/>
          </w:tcPr>
          <w:p w:rsidR="00BC1178" w:rsidRDefault="006B3260">
            <w:pPr>
              <w:jc w:val="center"/>
            </w:pPr>
            <w:r>
              <w:rPr>
                <w:color w:val="000000"/>
                <w:kern w:val="0"/>
              </w:rPr>
              <w:t>-3.32%</w:t>
            </w:r>
          </w:p>
        </w:tc>
        <w:tc>
          <w:tcPr>
            <w:tcW w:w="1134" w:type="dxa"/>
            <w:vAlign w:val="center"/>
          </w:tcPr>
          <w:p w:rsidR="00BC1178" w:rsidRDefault="006B3260">
            <w:pPr>
              <w:jc w:val="center"/>
            </w:pPr>
            <w:r>
              <w:rPr>
                <w:color w:val="000000"/>
                <w:kern w:val="0"/>
              </w:rPr>
              <w:t>-0.11%</w:t>
            </w:r>
          </w:p>
        </w:tc>
      </w:tr>
    </w:tbl>
    <w:p w:rsidR="00BC1178" w:rsidRDefault="006B3260">
      <w:pPr>
        <w:autoSpaceDE w:val="0"/>
        <w:autoSpaceDN w:val="0"/>
        <w:adjustRightInd w:val="0"/>
        <w:spacing w:line="360" w:lineRule="auto"/>
        <w:jc w:val="left"/>
        <w:rPr>
          <w:b/>
          <w:bCs/>
          <w:color w:val="000000"/>
          <w:kern w:val="0"/>
        </w:rPr>
      </w:pPr>
      <w:r>
        <w:rPr>
          <w:b/>
          <w:bCs/>
          <w:color w:val="000000"/>
          <w:kern w:val="0"/>
        </w:rPr>
        <w:t>3.2.2</w:t>
      </w:r>
      <w:r>
        <w:rPr>
          <w:b/>
          <w:bCs/>
          <w:color w:val="000000"/>
          <w:kern w:val="0"/>
        </w:rPr>
        <w:t>自基金合同生效以来基金累计净值增长率变动及其与同期业绩比较基准收益率变动的比较</w:t>
      </w:r>
    </w:p>
    <w:p w:rsidR="00BC1178" w:rsidRDefault="006B3260">
      <w:pPr>
        <w:tabs>
          <w:tab w:val="left" w:pos="2729"/>
          <w:tab w:val="center" w:pos="4156"/>
        </w:tabs>
        <w:spacing w:line="360" w:lineRule="auto"/>
        <w:jc w:val="center"/>
        <w:rPr>
          <w:color w:val="000000"/>
        </w:rPr>
      </w:pPr>
      <w:r>
        <w:rPr>
          <w:color w:val="000000"/>
        </w:rPr>
        <w:t>中银文体娱乐灵活配置混合型证券投资基金</w:t>
      </w:r>
    </w:p>
    <w:p w:rsidR="00BC1178" w:rsidRDefault="006B3260">
      <w:pPr>
        <w:pStyle w:val="a9"/>
        <w:snapToGrid w:val="0"/>
        <w:spacing w:line="360" w:lineRule="auto"/>
        <w:jc w:val="center"/>
        <w:rPr>
          <w:rFonts w:ascii="Times New Roman" w:hAnsi="Times New Roman" w:cs="Times New Roman"/>
          <w:color w:val="000000"/>
        </w:rPr>
      </w:pPr>
      <w:r>
        <w:rPr>
          <w:rFonts w:ascii="Times New Roman" w:hAnsi="Times New Roman" w:cs="Times New Roman"/>
          <w:color w:val="000000"/>
        </w:rPr>
        <w:t>累计净值增长率与业绩比较基准收益率历史走势对比图</w:t>
      </w:r>
    </w:p>
    <w:p w:rsidR="00BC1178" w:rsidRDefault="006B3260">
      <w:pPr>
        <w:pStyle w:val="a9"/>
        <w:snapToGrid w:val="0"/>
        <w:spacing w:line="360" w:lineRule="auto"/>
        <w:ind w:firstLine="480"/>
        <w:jc w:val="center"/>
        <w:rPr>
          <w:rFonts w:ascii="Times New Roman" w:hAnsi="Times New Roman" w:cs="Times New Roman"/>
        </w:rPr>
      </w:pPr>
      <w:r>
        <w:rPr>
          <w:rFonts w:ascii="Times New Roman" w:hAnsi="Times New Roman" w:cs="Times New Roman"/>
        </w:rPr>
        <w:t>(2017</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10</w:t>
      </w:r>
      <w:r>
        <w:rPr>
          <w:rFonts w:ascii="Times New Roman" w:hAnsi="Times New Roman" w:cs="Times New Roman"/>
        </w:rPr>
        <w:t>日至</w:t>
      </w:r>
      <w:r>
        <w:rPr>
          <w:rFonts w:ascii="Times New Roman" w:hAnsi="Times New Roman" w:cs="Times New Roman"/>
        </w:rPr>
        <w:t>2018</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r>
        <w:rPr>
          <w:rFonts w:ascii="Times New Roman" w:hAnsi="Times New Roman" w:cs="Times New Roman"/>
        </w:rPr>
        <w:t>)</w:t>
      </w:r>
    </w:p>
    <w:p w:rsidR="00BC1178" w:rsidRDefault="006B3260">
      <w:pPr>
        <w:pStyle w:val="a9"/>
        <w:snapToGrid w:val="0"/>
        <w:spacing w:before="120" w:line="360" w:lineRule="auto"/>
        <w:jc w:val="center"/>
        <w:rPr>
          <w:rFonts w:ascii="Times New Roman" w:hAnsi="Times New Roman" w:cs="Times New Roman"/>
          <w:color w:val="000000"/>
          <w:sz w:val="24"/>
          <w:szCs w:val="24"/>
        </w:rPr>
      </w:pPr>
      <w:r w:rsidRPr="00BC1178">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43pt">
            <v:imagedata r:id="rId9" o:title=""/>
          </v:shape>
        </w:pict>
      </w:r>
    </w:p>
    <w:p w:rsidR="00BC1178" w:rsidRDefault="006B3260">
      <w:pPr>
        <w:autoSpaceDE w:val="0"/>
        <w:autoSpaceDN w:val="0"/>
        <w:adjustRightInd w:val="0"/>
        <w:spacing w:line="360" w:lineRule="auto"/>
        <w:jc w:val="left"/>
        <w:rPr>
          <w:color w:val="000000"/>
        </w:rPr>
      </w:pPr>
      <w:r>
        <w:rPr>
          <w:color w:val="000000"/>
        </w:rPr>
        <w:t>注：按基金合同规定，本基金自基金合同生效起</w:t>
      </w:r>
      <w:r>
        <w:rPr>
          <w:color w:val="000000"/>
        </w:rPr>
        <w:t>6</w:t>
      </w:r>
      <w:r>
        <w:rPr>
          <w:color w:val="000000"/>
        </w:rPr>
        <w:t>个月内为建仓期，截至建仓结束时各项资产配置比例均符合基金合同约定。</w:t>
      </w:r>
    </w:p>
    <w:p w:rsidR="00BC1178" w:rsidRDefault="00BC1178">
      <w:pPr>
        <w:tabs>
          <w:tab w:val="left" w:pos="1800"/>
        </w:tabs>
        <w:rPr>
          <w:color w:val="000000"/>
        </w:rPr>
      </w:pPr>
    </w:p>
    <w:p w:rsidR="00BC1178" w:rsidRDefault="006B3260">
      <w:pPr>
        <w:pStyle w:val="1"/>
        <w:spacing w:before="0" w:after="0" w:line="360" w:lineRule="auto"/>
        <w:jc w:val="center"/>
        <w:rPr>
          <w:color w:val="000000"/>
          <w:kern w:val="0"/>
          <w:sz w:val="24"/>
          <w:szCs w:val="24"/>
        </w:rPr>
      </w:pPr>
      <w:r>
        <w:rPr>
          <w:color w:val="000000"/>
          <w:kern w:val="0"/>
          <w:sz w:val="24"/>
          <w:szCs w:val="24"/>
        </w:rPr>
        <w:t xml:space="preserve">§4  </w:t>
      </w:r>
      <w:r>
        <w:rPr>
          <w:color w:val="000000"/>
          <w:kern w:val="0"/>
          <w:sz w:val="24"/>
          <w:szCs w:val="24"/>
        </w:rPr>
        <w:t>管理人报告</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4.1 </w:t>
      </w:r>
      <w:r>
        <w:rPr>
          <w:b/>
          <w:bCs/>
          <w:color w:val="000000"/>
          <w:kern w:val="0"/>
        </w:rPr>
        <w:t>基金经理</w:t>
      </w:r>
      <w:r>
        <w:rPr>
          <w:b/>
          <w:bCs/>
          <w:color w:val="000000"/>
          <w:kern w:val="0"/>
        </w:rPr>
        <w:t>(</w:t>
      </w:r>
      <w:r>
        <w:rPr>
          <w:b/>
          <w:bCs/>
          <w:color w:val="000000"/>
          <w:kern w:val="0"/>
        </w:rPr>
        <w:t>或基金经理小组</w:t>
      </w:r>
      <w:r>
        <w:rPr>
          <w:b/>
          <w:bCs/>
          <w:color w:val="000000"/>
          <w:kern w:val="0"/>
        </w:rPr>
        <w:t>)</w:t>
      </w:r>
      <w:r>
        <w:rPr>
          <w:b/>
          <w:bCs/>
          <w:color w:val="000000"/>
          <w:kern w:val="0"/>
        </w:rPr>
        <w:t>简介</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43"/>
        <w:gridCol w:w="1418"/>
        <w:gridCol w:w="1559"/>
        <w:gridCol w:w="1559"/>
        <w:gridCol w:w="2693"/>
      </w:tblGrid>
      <w:tr w:rsidR="00BC1178">
        <w:trPr>
          <w:cantSplit/>
          <w:trHeight w:val="292"/>
        </w:trPr>
        <w:tc>
          <w:tcPr>
            <w:tcW w:w="1134" w:type="dxa"/>
            <w:vMerge w:val="restart"/>
            <w:vAlign w:val="center"/>
          </w:tcPr>
          <w:p w:rsidR="00BC1178" w:rsidRDefault="006B3260">
            <w:pPr>
              <w:widowControl/>
              <w:spacing w:before="29"/>
              <w:ind w:left="17"/>
              <w:jc w:val="center"/>
              <w:rPr>
                <w:color w:val="000000"/>
                <w:kern w:val="0"/>
              </w:rPr>
            </w:pPr>
            <w:r>
              <w:rPr>
                <w:color w:val="000000"/>
                <w:kern w:val="0"/>
              </w:rPr>
              <w:t>姓名</w:t>
            </w:r>
          </w:p>
        </w:tc>
        <w:tc>
          <w:tcPr>
            <w:tcW w:w="1843" w:type="dxa"/>
            <w:vMerge w:val="restart"/>
            <w:vAlign w:val="center"/>
          </w:tcPr>
          <w:p w:rsidR="00BC1178" w:rsidRDefault="006B3260">
            <w:pPr>
              <w:widowControl/>
              <w:spacing w:before="29"/>
              <w:ind w:left="17"/>
              <w:jc w:val="center"/>
              <w:rPr>
                <w:color w:val="000000"/>
                <w:kern w:val="0"/>
              </w:rPr>
            </w:pPr>
            <w:r>
              <w:rPr>
                <w:color w:val="000000"/>
                <w:kern w:val="0"/>
              </w:rPr>
              <w:t>职务</w:t>
            </w:r>
          </w:p>
        </w:tc>
        <w:tc>
          <w:tcPr>
            <w:tcW w:w="2977" w:type="dxa"/>
            <w:gridSpan w:val="2"/>
            <w:vAlign w:val="center"/>
          </w:tcPr>
          <w:p w:rsidR="00BC1178" w:rsidRDefault="006B3260">
            <w:pPr>
              <w:autoSpaceDE w:val="0"/>
              <w:autoSpaceDN w:val="0"/>
              <w:adjustRightInd w:val="0"/>
              <w:spacing w:before="29"/>
              <w:ind w:left="17"/>
              <w:jc w:val="center"/>
              <w:rPr>
                <w:color w:val="000000"/>
                <w:kern w:val="0"/>
              </w:rPr>
            </w:pPr>
            <w:r>
              <w:rPr>
                <w:color w:val="000000"/>
                <w:kern w:val="0"/>
              </w:rPr>
              <w:t>任本基金的基金经理期限</w:t>
            </w:r>
          </w:p>
        </w:tc>
        <w:tc>
          <w:tcPr>
            <w:tcW w:w="1559" w:type="dxa"/>
            <w:vMerge w:val="restart"/>
            <w:vAlign w:val="center"/>
          </w:tcPr>
          <w:p w:rsidR="00BC1178" w:rsidRDefault="006B3260">
            <w:pPr>
              <w:autoSpaceDE w:val="0"/>
              <w:autoSpaceDN w:val="0"/>
              <w:adjustRightInd w:val="0"/>
              <w:spacing w:before="29"/>
              <w:ind w:left="17"/>
              <w:jc w:val="center"/>
              <w:rPr>
                <w:color w:val="000000"/>
                <w:kern w:val="0"/>
              </w:rPr>
            </w:pPr>
            <w:r>
              <w:rPr>
                <w:color w:val="000000"/>
                <w:kern w:val="0"/>
              </w:rPr>
              <w:t>证券从业年限</w:t>
            </w:r>
          </w:p>
        </w:tc>
        <w:tc>
          <w:tcPr>
            <w:tcW w:w="2693" w:type="dxa"/>
            <w:vMerge w:val="restart"/>
            <w:vAlign w:val="center"/>
          </w:tcPr>
          <w:p w:rsidR="00BC1178" w:rsidRDefault="006B3260">
            <w:pPr>
              <w:widowControl/>
              <w:spacing w:before="29"/>
              <w:ind w:left="17"/>
              <w:jc w:val="center"/>
              <w:rPr>
                <w:color w:val="000000"/>
                <w:kern w:val="0"/>
              </w:rPr>
            </w:pPr>
            <w:r>
              <w:rPr>
                <w:color w:val="000000"/>
                <w:kern w:val="0"/>
              </w:rPr>
              <w:t>说明</w:t>
            </w:r>
          </w:p>
        </w:tc>
      </w:tr>
      <w:tr w:rsidR="00BC1178">
        <w:trPr>
          <w:cantSplit/>
        </w:trPr>
        <w:tc>
          <w:tcPr>
            <w:tcW w:w="1134" w:type="dxa"/>
            <w:vMerge/>
            <w:vAlign w:val="center"/>
          </w:tcPr>
          <w:p w:rsidR="00BC1178" w:rsidRDefault="00BC1178">
            <w:pPr>
              <w:widowControl/>
              <w:jc w:val="left"/>
              <w:rPr>
                <w:color w:val="000000"/>
                <w:kern w:val="0"/>
              </w:rPr>
            </w:pPr>
          </w:p>
        </w:tc>
        <w:tc>
          <w:tcPr>
            <w:tcW w:w="1843" w:type="dxa"/>
            <w:vMerge/>
            <w:vAlign w:val="center"/>
          </w:tcPr>
          <w:p w:rsidR="00BC1178" w:rsidRDefault="00BC1178">
            <w:pPr>
              <w:widowControl/>
              <w:jc w:val="left"/>
              <w:rPr>
                <w:color w:val="000000"/>
                <w:kern w:val="0"/>
              </w:rPr>
            </w:pPr>
          </w:p>
        </w:tc>
        <w:tc>
          <w:tcPr>
            <w:tcW w:w="1418" w:type="dxa"/>
            <w:vAlign w:val="center"/>
          </w:tcPr>
          <w:p w:rsidR="00BC1178" w:rsidRDefault="006B3260">
            <w:pPr>
              <w:autoSpaceDE w:val="0"/>
              <w:autoSpaceDN w:val="0"/>
              <w:adjustRightInd w:val="0"/>
              <w:spacing w:before="29"/>
              <w:ind w:left="17"/>
              <w:jc w:val="center"/>
              <w:rPr>
                <w:color w:val="000000"/>
                <w:kern w:val="0"/>
              </w:rPr>
            </w:pPr>
            <w:r>
              <w:rPr>
                <w:color w:val="000000"/>
                <w:kern w:val="0"/>
              </w:rPr>
              <w:t>任职日期</w:t>
            </w:r>
          </w:p>
        </w:tc>
        <w:tc>
          <w:tcPr>
            <w:tcW w:w="1559" w:type="dxa"/>
            <w:vAlign w:val="center"/>
          </w:tcPr>
          <w:p w:rsidR="00BC1178" w:rsidRDefault="006B3260">
            <w:pPr>
              <w:autoSpaceDE w:val="0"/>
              <w:autoSpaceDN w:val="0"/>
              <w:adjustRightInd w:val="0"/>
              <w:spacing w:before="29"/>
              <w:ind w:left="17"/>
              <w:jc w:val="center"/>
              <w:rPr>
                <w:color w:val="000000"/>
                <w:kern w:val="0"/>
              </w:rPr>
            </w:pPr>
            <w:r>
              <w:rPr>
                <w:color w:val="000000"/>
                <w:kern w:val="0"/>
              </w:rPr>
              <w:t>离任日期</w:t>
            </w:r>
          </w:p>
        </w:tc>
        <w:tc>
          <w:tcPr>
            <w:tcW w:w="1559" w:type="dxa"/>
            <w:vMerge/>
            <w:vAlign w:val="center"/>
          </w:tcPr>
          <w:p w:rsidR="00BC1178" w:rsidRDefault="00BC1178">
            <w:pPr>
              <w:widowControl/>
              <w:jc w:val="left"/>
              <w:rPr>
                <w:color w:val="000000"/>
                <w:kern w:val="0"/>
              </w:rPr>
            </w:pPr>
          </w:p>
        </w:tc>
        <w:tc>
          <w:tcPr>
            <w:tcW w:w="2693" w:type="dxa"/>
            <w:vMerge/>
            <w:vAlign w:val="center"/>
          </w:tcPr>
          <w:p w:rsidR="00BC1178" w:rsidRDefault="00BC1178">
            <w:pPr>
              <w:widowControl/>
              <w:jc w:val="left"/>
              <w:rPr>
                <w:color w:val="000000"/>
                <w:kern w:val="0"/>
              </w:rPr>
            </w:pPr>
          </w:p>
        </w:tc>
      </w:tr>
      <w:tr w:rsidR="00BC1178">
        <w:tc>
          <w:tcPr>
            <w:tcW w:w="1134" w:type="dxa"/>
            <w:vAlign w:val="center"/>
          </w:tcPr>
          <w:p w:rsidR="00BC1178" w:rsidRDefault="006B3260">
            <w:pPr>
              <w:jc w:val="center"/>
            </w:pPr>
            <w:r>
              <w:rPr>
                <w:color w:val="000000"/>
              </w:rPr>
              <w:t>钱亚风云</w:t>
            </w:r>
          </w:p>
        </w:tc>
        <w:tc>
          <w:tcPr>
            <w:tcW w:w="1843" w:type="dxa"/>
            <w:vAlign w:val="center"/>
          </w:tcPr>
          <w:p w:rsidR="00BC1178" w:rsidRDefault="006B3260">
            <w:pPr>
              <w:jc w:val="center"/>
            </w:pPr>
            <w:r>
              <w:rPr>
                <w:color w:val="000000"/>
              </w:rPr>
              <w:t>中银文体娱乐混合基金经理</w:t>
            </w:r>
            <w:r>
              <w:rPr>
                <w:color w:val="000000"/>
              </w:rPr>
              <w:t>,</w:t>
            </w:r>
            <w:r>
              <w:rPr>
                <w:color w:val="000000"/>
              </w:rPr>
              <w:t>中银战略新兴产业股票基金经理</w:t>
            </w:r>
            <w:r>
              <w:rPr>
                <w:color w:val="000000"/>
              </w:rPr>
              <w:t>,</w:t>
            </w:r>
            <w:r>
              <w:rPr>
                <w:color w:val="000000"/>
              </w:rPr>
              <w:t>中银消费主题混合基金经理。</w:t>
            </w:r>
          </w:p>
        </w:tc>
        <w:tc>
          <w:tcPr>
            <w:tcW w:w="1418" w:type="dxa"/>
            <w:vAlign w:val="center"/>
          </w:tcPr>
          <w:p w:rsidR="00BC1178" w:rsidRDefault="006B3260">
            <w:pPr>
              <w:jc w:val="center"/>
            </w:pPr>
            <w:r>
              <w:rPr>
                <w:color w:val="000000"/>
              </w:rPr>
              <w:t>2017-04-10</w:t>
            </w:r>
          </w:p>
        </w:tc>
        <w:tc>
          <w:tcPr>
            <w:tcW w:w="1559" w:type="dxa"/>
            <w:vAlign w:val="center"/>
          </w:tcPr>
          <w:p w:rsidR="00BC1178" w:rsidRDefault="006B3260">
            <w:pPr>
              <w:jc w:val="center"/>
            </w:pPr>
            <w:r>
              <w:rPr>
                <w:color w:val="000000"/>
              </w:rPr>
              <w:t>-</w:t>
            </w:r>
          </w:p>
        </w:tc>
        <w:tc>
          <w:tcPr>
            <w:tcW w:w="1559" w:type="dxa"/>
            <w:vAlign w:val="center"/>
          </w:tcPr>
          <w:p w:rsidR="00BC1178" w:rsidRDefault="006B3260">
            <w:pPr>
              <w:jc w:val="center"/>
            </w:pPr>
            <w:r>
              <w:rPr>
                <w:color w:val="000000"/>
              </w:rPr>
              <w:t>8</w:t>
            </w:r>
          </w:p>
        </w:tc>
        <w:tc>
          <w:tcPr>
            <w:tcW w:w="2693" w:type="dxa"/>
            <w:vAlign w:val="center"/>
          </w:tcPr>
          <w:p w:rsidR="00BC1178" w:rsidRDefault="006B3260">
            <w:r>
              <w:rPr>
                <w:color w:val="000000"/>
              </w:rPr>
              <w:t>金融学硕士。</w:t>
            </w:r>
            <w:r>
              <w:rPr>
                <w:color w:val="000000"/>
              </w:rPr>
              <w:t>2010</w:t>
            </w:r>
            <w:r>
              <w:rPr>
                <w:color w:val="000000"/>
              </w:rPr>
              <w:t>年加入中银基金管理有限公司，曾任研究员、基金经理助理。</w:t>
            </w:r>
            <w:r>
              <w:rPr>
                <w:color w:val="000000"/>
              </w:rPr>
              <w:t>2015</w:t>
            </w:r>
            <w:r>
              <w:rPr>
                <w:color w:val="000000"/>
              </w:rPr>
              <w:t>年</w:t>
            </w:r>
            <w:r>
              <w:rPr>
                <w:color w:val="000000"/>
              </w:rPr>
              <w:t>7</w:t>
            </w:r>
            <w:r>
              <w:rPr>
                <w:color w:val="000000"/>
              </w:rPr>
              <w:t>月至今任中银消费主题基金基金经理，</w:t>
            </w:r>
            <w:r>
              <w:rPr>
                <w:color w:val="000000"/>
              </w:rPr>
              <w:t>2015</w:t>
            </w:r>
            <w:r>
              <w:rPr>
                <w:color w:val="000000"/>
              </w:rPr>
              <w:t>年</w:t>
            </w:r>
            <w:r>
              <w:rPr>
                <w:color w:val="000000"/>
              </w:rPr>
              <w:t>11</w:t>
            </w:r>
            <w:r>
              <w:rPr>
                <w:color w:val="000000"/>
              </w:rPr>
              <w:t>月至</w:t>
            </w:r>
            <w:r>
              <w:rPr>
                <w:color w:val="000000"/>
              </w:rPr>
              <w:t>2018</w:t>
            </w:r>
            <w:r>
              <w:rPr>
                <w:color w:val="000000"/>
              </w:rPr>
              <w:t>年</w:t>
            </w:r>
            <w:r>
              <w:rPr>
                <w:color w:val="000000"/>
              </w:rPr>
              <w:t>2</w:t>
            </w:r>
            <w:r>
              <w:rPr>
                <w:color w:val="000000"/>
              </w:rPr>
              <w:t>月任中银新财富基金基金经理，</w:t>
            </w:r>
            <w:r>
              <w:rPr>
                <w:color w:val="000000"/>
              </w:rPr>
              <w:t>2015</w:t>
            </w:r>
            <w:r>
              <w:rPr>
                <w:color w:val="000000"/>
              </w:rPr>
              <w:t>年</w:t>
            </w:r>
            <w:r>
              <w:rPr>
                <w:color w:val="000000"/>
              </w:rPr>
              <w:t>11</w:t>
            </w:r>
            <w:r>
              <w:rPr>
                <w:color w:val="000000"/>
              </w:rPr>
              <w:t>月至今任中银战略新兴产业基金基金经理，</w:t>
            </w:r>
            <w:r>
              <w:rPr>
                <w:color w:val="000000"/>
              </w:rPr>
              <w:t>2016</w:t>
            </w:r>
            <w:r>
              <w:rPr>
                <w:color w:val="000000"/>
              </w:rPr>
              <w:t>年</w:t>
            </w:r>
            <w:r>
              <w:rPr>
                <w:color w:val="000000"/>
              </w:rPr>
              <w:t>2</w:t>
            </w:r>
            <w:r>
              <w:rPr>
                <w:color w:val="000000"/>
              </w:rPr>
              <w:t>月至</w:t>
            </w:r>
            <w:r>
              <w:rPr>
                <w:color w:val="000000"/>
              </w:rPr>
              <w:t>2018</w:t>
            </w:r>
            <w:r>
              <w:rPr>
                <w:color w:val="000000"/>
              </w:rPr>
              <w:t>年</w:t>
            </w:r>
            <w:r>
              <w:rPr>
                <w:color w:val="000000"/>
              </w:rPr>
              <w:t>2</w:t>
            </w:r>
            <w:r>
              <w:rPr>
                <w:color w:val="000000"/>
              </w:rPr>
              <w:t>月任中银宝利基金基金经理，</w:t>
            </w:r>
            <w:r>
              <w:rPr>
                <w:color w:val="000000"/>
              </w:rPr>
              <w:t>2017</w:t>
            </w:r>
            <w:r>
              <w:rPr>
                <w:color w:val="000000"/>
              </w:rPr>
              <w:t>年</w:t>
            </w:r>
            <w:r>
              <w:rPr>
                <w:color w:val="000000"/>
              </w:rPr>
              <w:t>4</w:t>
            </w:r>
            <w:r>
              <w:rPr>
                <w:color w:val="000000"/>
              </w:rPr>
              <w:t>月至今任中银文体娱乐基金基金经理。具有</w:t>
            </w:r>
            <w:r>
              <w:rPr>
                <w:color w:val="000000"/>
              </w:rPr>
              <w:t>8</w:t>
            </w:r>
            <w:r>
              <w:rPr>
                <w:color w:val="000000"/>
              </w:rPr>
              <w:t>年证券从业年限。具备基金从业资格。</w:t>
            </w:r>
          </w:p>
        </w:tc>
      </w:tr>
    </w:tbl>
    <w:p w:rsidR="00BC1178" w:rsidRDefault="006B3260">
      <w:pPr>
        <w:autoSpaceDE w:val="0"/>
        <w:autoSpaceDN w:val="0"/>
        <w:adjustRightInd w:val="0"/>
        <w:spacing w:line="360" w:lineRule="auto"/>
        <w:jc w:val="left"/>
        <w:rPr>
          <w:color w:val="000000"/>
        </w:rPr>
      </w:pPr>
      <w:r>
        <w:rPr>
          <w:color w:val="000000"/>
        </w:rPr>
        <w:t>注：</w:t>
      </w:r>
      <w:r>
        <w:rPr>
          <w:color w:val="000000"/>
        </w:rPr>
        <w:t>1</w:t>
      </w:r>
      <w:r>
        <w:rPr>
          <w:color w:val="000000"/>
        </w:rPr>
        <w:t>、首任基金经理的</w:t>
      </w:r>
      <w:r>
        <w:rPr>
          <w:color w:val="000000"/>
        </w:rPr>
        <w:t>“</w:t>
      </w:r>
      <w:r>
        <w:rPr>
          <w:color w:val="000000"/>
        </w:rPr>
        <w:t>任职日期</w:t>
      </w:r>
      <w:r>
        <w:rPr>
          <w:color w:val="000000"/>
        </w:rPr>
        <w:t>”</w:t>
      </w:r>
      <w:r>
        <w:rPr>
          <w:color w:val="000000"/>
        </w:rPr>
        <w:t>为基金合同生效日，非首任基金经理的</w:t>
      </w:r>
      <w:r>
        <w:rPr>
          <w:color w:val="000000"/>
        </w:rPr>
        <w:t>“</w:t>
      </w:r>
      <w:r>
        <w:rPr>
          <w:color w:val="000000"/>
        </w:rPr>
        <w:t>任职日期</w:t>
      </w:r>
      <w:r>
        <w:rPr>
          <w:color w:val="000000"/>
        </w:rPr>
        <w:t>”</w:t>
      </w:r>
      <w:r>
        <w:rPr>
          <w:color w:val="000000"/>
        </w:rPr>
        <w:t>为根据公司决定确定的聘任日期，基金经理的</w:t>
      </w:r>
      <w:r>
        <w:rPr>
          <w:color w:val="000000"/>
        </w:rPr>
        <w:t>“</w:t>
      </w:r>
      <w:r>
        <w:rPr>
          <w:color w:val="000000"/>
        </w:rPr>
        <w:t>离任日期</w:t>
      </w:r>
      <w:r>
        <w:rPr>
          <w:color w:val="000000"/>
        </w:rPr>
        <w:t>”</w:t>
      </w:r>
      <w:r>
        <w:rPr>
          <w:color w:val="000000"/>
        </w:rPr>
        <w:t>均为根据公司决定确定的解聘日期；</w:t>
      </w:r>
      <w:r>
        <w:rPr>
          <w:color w:val="000000"/>
        </w:rPr>
        <w:t>2</w:t>
      </w:r>
      <w:r>
        <w:rPr>
          <w:color w:val="000000"/>
        </w:rPr>
        <w:t>、证券从业年限的计算标准及含义遵从《证券业从业人员资格管理办法》的相关规定。</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4.2 </w:t>
      </w:r>
      <w:r>
        <w:rPr>
          <w:b/>
          <w:bCs/>
          <w:color w:val="000000"/>
          <w:kern w:val="0"/>
        </w:rPr>
        <w:t>管理人对报告期内本基金运作遵规守信情况的说明</w:t>
      </w:r>
    </w:p>
    <w:p w:rsidR="00BC1178" w:rsidRDefault="006B3260">
      <w:pPr>
        <w:spacing w:line="360" w:lineRule="auto"/>
        <w:ind w:firstLineChars="200" w:firstLine="420"/>
        <w:rPr>
          <w:color w:val="000000"/>
        </w:rPr>
      </w:pPr>
      <w:r>
        <w:rPr>
          <w:color w:val="000000"/>
        </w:rPr>
        <w:t>本报告期内，本基金管理人严格遵守《中华人民共和国证券投资基金法》、中国证监会的有关规则和其他有关法律法规的规定，严格遵循本基金基金合同，本着诚实信用、勤勉尽责的原则管理和运用基金资产，在严格控制风险的基础上，为基金</w:t>
      </w:r>
      <w:r>
        <w:rPr>
          <w:color w:val="000000"/>
        </w:rPr>
        <w:t>份额持有人谋求最大利益。本报告期内，本基金运作合法合规，无损害基金份额持有人利益的行为。</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4.3 </w:t>
      </w:r>
      <w:r>
        <w:rPr>
          <w:b/>
          <w:bCs/>
          <w:color w:val="000000"/>
          <w:kern w:val="0"/>
        </w:rPr>
        <w:t>公平交易专项说明</w:t>
      </w:r>
    </w:p>
    <w:p w:rsidR="00BC1178" w:rsidRDefault="006B3260">
      <w:pPr>
        <w:spacing w:line="360" w:lineRule="auto"/>
        <w:rPr>
          <w:color w:val="000000"/>
        </w:rPr>
      </w:pPr>
      <w:r>
        <w:rPr>
          <w:color w:val="000000"/>
        </w:rPr>
        <w:t xml:space="preserve">4.3.1 </w:t>
      </w:r>
      <w:r>
        <w:rPr>
          <w:color w:val="000000"/>
        </w:rPr>
        <w:t>公平交易制度的执行情况</w:t>
      </w:r>
    </w:p>
    <w:p w:rsidR="00BC1178" w:rsidRDefault="006B3260">
      <w:pPr>
        <w:spacing w:line="360" w:lineRule="auto"/>
        <w:ind w:firstLineChars="200" w:firstLine="420"/>
        <w:rPr>
          <w:color w:val="000000"/>
        </w:rPr>
      </w:pPr>
      <w:r>
        <w:rPr>
          <w:color w:val="000000"/>
        </w:rPr>
        <w:t>根据中国证监会颁布的《证券投资基金管理公司公平交易制度指导意见》，公司制定了《中银基金管理有限公司公平交易管理办法》，建立了《新股询价申购和参与公开增发管理办法》、《债券询价申购管理办法》、《集中交易管理办法》等公平交易相关制度体系，通过制度确保不同投资组合在投资管理活动中得到公平对待，严格防范不同投资组合之间进行利益输送。公司建立了投资决策委员会领导下的投</w:t>
      </w:r>
      <w:r>
        <w:rPr>
          <w:color w:val="000000"/>
        </w:rPr>
        <w:t>资决策及授权制度，以科学规范的投资决策体系，采用集中交易管理加强交易执行环节的内部控制，通过工作制度、流程和技术手段保证公平交易原则的实现；通过建立层级完备的公司证券池及组合风格库，完善各类具体资产管理业务组织结构，规范各项业务之间的关系，在保证各投资组合既具有相对独立性的同时，确保其在获得投资信息、投资建议和实施投资决策方面享有公平的机会；通过对异常交易行为的实时监控、分析评估、监察稽核和信息披露确保公平交易过程和结果的有效监督。</w:t>
      </w:r>
    </w:p>
    <w:p w:rsidR="00BC1178" w:rsidRDefault="006B3260">
      <w:pPr>
        <w:spacing w:line="360" w:lineRule="auto"/>
        <w:ind w:firstLineChars="200" w:firstLine="420"/>
        <w:rPr>
          <w:color w:val="000000"/>
        </w:rPr>
      </w:pPr>
      <w:r>
        <w:rPr>
          <w:color w:val="000000"/>
        </w:rPr>
        <w:t>本报告期内，本公司严格遵守法律法规关于公平交易的相关规定，确保本公司管理的</w:t>
      </w:r>
      <w:r>
        <w:rPr>
          <w:color w:val="000000"/>
        </w:rPr>
        <w:t>不同投资组合在授权、研究分析、投资决策、交易执行、业绩评估等投资管理活动和环节得到公平对待。各投资组合均严格按照法律、法规和公司制度执行投资交易，本报告期内未发生异常交易行为。</w:t>
      </w:r>
    </w:p>
    <w:p w:rsidR="00BC1178" w:rsidRDefault="006B3260">
      <w:pPr>
        <w:spacing w:line="360" w:lineRule="auto"/>
        <w:rPr>
          <w:color w:val="000000"/>
        </w:rPr>
      </w:pPr>
      <w:r>
        <w:rPr>
          <w:color w:val="000000"/>
        </w:rPr>
        <w:t xml:space="preserve">4.3.2 </w:t>
      </w:r>
      <w:r>
        <w:rPr>
          <w:color w:val="000000"/>
        </w:rPr>
        <w:t>异常交易行为的专项说明</w:t>
      </w:r>
    </w:p>
    <w:p w:rsidR="00BC1178" w:rsidRDefault="006B3260">
      <w:pPr>
        <w:spacing w:line="360" w:lineRule="auto"/>
        <w:ind w:firstLineChars="200" w:firstLine="420"/>
        <w:rPr>
          <w:color w:val="000000"/>
        </w:rPr>
      </w:pPr>
      <w:r>
        <w:rPr>
          <w:color w:val="000000"/>
        </w:rPr>
        <w:t>本报告期内，本基金未发现异常交易行为。</w:t>
      </w:r>
    </w:p>
    <w:p w:rsidR="00BC1178" w:rsidRDefault="006B3260">
      <w:pPr>
        <w:spacing w:line="360" w:lineRule="auto"/>
        <w:ind w:firstLineChars="200" w:firstLine="420"/>
        <w:rPr>
          <w:color w:val="000000"/>
        </w:rPr>
      </w:pPr>
      <w:r>
        <w:rPr>
          <w:color w:val="000000"/>
        </w:rPr>
        <w:t>本报告期内，基金管理人未发生所有投资组合参与的交易所公开竞价同日反向交易成交较少的单边交易量超过该证券当日成交量的</w:t>
      </w:r>
      <w:r>
        <w:rPr>
          <w:color w:val="000000"/>
        </w:rPr>
        <w:t>5%</w:t>
      </w:r>
      <w:r>
        <w:rPr>
          <w:color w:val="000000"/>
        </w:rPr>
        <w:t>的情况。</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4.4 </w:t>
      </w:r>
      <w:r>
        <w:rPr>
          <w:b/>
          <w:bCs/>
          <w:color w:val="000000"/>
          <w:kern w:val="0"/>
        </w:rPr>
        <w:t>报告期内基金投资策略和运作分析</w:t>
      </w:r>
    </w:p>
    <w:p w:rsidR="00BC1178" w:rsidRDefault="006B3260">
      <w:pPr>
        <w:spacing w:line="360" w:lineRule="auto"/>
        <w:ind w:firstLineChars="200" w:firstLine="420"/>
        <w:rPr>
          <w:color w:val="000000"/>
        </w:rPr>
      </w:pPr>
      <w:r>
        <w:rPr>
          <w:color w:val="000000"/>
        </w:rPr>
        <w:t xml:space="preserve">1. </w:t>
      </w:r>
      <w:r>
        <w:rPr>
          <w:color w:val="000000"/>
        </w:rPr>
        <w:t>宏观经济分析</w:t>
      </w:r>
    </w:p>
    <w:p w:rsidR="00BC1178" w:rsidRDefault="006B3260">
      <w:pPr>
        <w:spacing w:line="360" w:lineRule="auto"/>
        <w:ind w:firstLineChars="200" w:firstLine="420"/>
        <w:rPr>
          <w:color w:val="000000"/>
        </w:rPr>
      </w:pPr>
      <w:r>
        <w:rPr>
          <w:color w:val="000000"/>
        </w:rPr>
        <w:t>国外经济方面，全球经济复苏放缓，美国整体经济态势仍然偏强，三季度美强欧</w:t>
      </w:r>
      <w:r>
        <w:rPr>
          <w:color w:val="000000"/>
        </w:rPr>
        <w:t>弱格局延续。从领先指标来看，美国经济景气度维持高位，三季度美国</w:t>
      </w:r>
      <w:r>
        <w:rPr>
          <w:color w:val="000000"/>
        </w:rPr>
        <w:t>ISM</w:t>
      </w:r>
      <w:r>
        <w:rPr>
          <w:color w:val="000000"/>
        </w:rPr>
        <w:t>制造业</w:t>
      </w:r>
      <w:r>
        <w:rPr>
          <w:color w:val="000000"/>
        </w:rPr>
        <w:t>PMI</w:t>
      </w:r>
      <w:r>
        <w:rPr>
          <w:color w:val="000000"/>
        </w:rPr>
        <w:t>指数从二季度末的</w:t>
      </w:r>
      <w:r>
        <w:rPr>
          <w:color w:val="000000"/>
        </w:rPr>
        <w:t>60.2</w:t>
      </w:r>
      <w:r>
        <w:rPr>
          <w:color w:val="000000"/>
        </w:rPr>
        <w:t>一度冲高至</w:t>
      </w:r>
      <w:r>
        <w:rPr>
          <w:color w:val="000000"/>
        </w:rPr>
        <w:t>61.3</w:t>
      </w:r>
      <w:r>
        <w:rPr>
          <w:color w:val="000000"/>
        </w:rPr>
        <w:t>后小幅下行至</w:t>
      </w:r>
      <w:r>
        <w:rPr>
          <w:color w:val="000000"/>
        </w:rPr>
        <w:t>59.8</w:t>
      </w:r>
      <w:r>
        <w:rPr>
          <w:color w:val="000000"/>
        </w:rPr>
        <w:t>，受飓风影响美国</w:t>
      </w:r>
      <w:r>
        <w:rPr>
          <w:color w:val="000000"/>
        </w:rPr>
        <w:t>9</w:t>
      </w:r>
      <w:r>
        <w:rPr>
          <w:color w:val="000000"/>
        </w:rPr>
        <w:t>月非农就业意外下降，但总体劳动力市场仍然稳健，失业率再创新低至</w:t>
      </w:r>
      <w:r>
        <w:rPr>
          <w:color w:val="000000"/>
        </w:rPr>
        <w:t>3.7%</w:t>
      </w:r>
      <w:r>
        <w:rPr>
          <w:color w:val="000000"/>
        </w:rPr>
        <w:t>，美国通胀预期回暖，一方面对伊朗的制裁推升了油价，另一方面工资增速可能逼近上行拐点，将进一步推升核心通胀上行的压力，助推美元和美债收益率快速上行。欧元区经济不及预期，三季度制造业</w:t>
      </w:r>
      <w:r>
        <w:rPr>
          <w:color w:val="000000"/>
        </w:rPr>
        <w:t>PMI</w:t>
      </w:r>
      <w:r>
        <w:rPr>
          <w:color w:val="000000"/>
        </w:rPr>
        <w:t>指数从</w:t>
      </w:r>
      <w:r>
        <w:rPr>
          <w:color w:val="000000"/>
        </w:rPr>
        <w:t>54.9</w:t>
      </w:r>
      <w:r>
        <w:rPr>
          <w:color w:val="000000"/>
        </w:rPr>
        <w:t>进一步下行至</w:t>
      </w:r>
      <w:r>
        <w:rPr>
          <w:color w:val="000000"/>
        </w:rPr>
        <w:t>53.2</w:t>
      </w:r>
      <w:r>
        <w:rPr>
          <w:color w:val="000000"/>
        </w:rPr>
        <w:t>，通胀仍然未见明显回升，为规避贸易不确定性带来的经济波动，欧央行</w:t>
      </w:r>
      <w:r>
        <w:rPr>
          <w:color w:val="000000"/>
        </w:rPr>
        <w:t>坚持货币政策刺激的立场。日本经济继续缓慢复苏，三季度制造业</w:t>
      </w:r>
      <w:r>
        <w:rPr>
          <w:color w:val="000000"/>
        </w:rPr>
        <w:t>PMI</w:t>
      </w:r>
      <w:r>
        <w:rPr>
          <w:color w:val="000000"/>
        </w:rPr>
        <w:t>指数从</w:t>
      </w:r>
      <w:r>
        <w:rPr>
          <w:color w:val="000000"/>
        </w:rPr>
        <w:t>53.0</w:t>
      </w:r>
      <w:r>
        <w:rPr>
          <w:color w:val="000000"/>
        </w:rPr>
        <w:t>回落至</w:t>
      </w:r>
      <w:r>
        <w:rPr>
          <w:color w:val="000000"/>
        </w:rPr>
        <w:t>52.5</w:t>
      </w:r>
      <w:r>
        <w:rPr>
          <w:color w:val="000000"/>
        </w:rPr>
        <w:t>，通胀水平继续回暖。综合来看，美国经济延续强势，美联储主席鲍威尔连续公开表态继续看好美国经济，并将持续加息；欧洲经济前景较为一般，美欧贸易战以及英国退欧协议不稳定性均存在负面影响，意大利危机引发欧洲市场波动，欧元下跌助推美元上涨；日本经济延续缓慢复苏。</w:t>
      </w:r>
    </w:p>
    <w:p w:rsidR="00BC1178" w:rsidRDefault="006B3260">
      <w:pPr>
        <w:spacing w:line="360" w:lineRule="auto"/>
        <w:ind w:firstLineChars="200" w:firstLine="420"/>
        <w:rPr>
          <w:color w:val="000000"/>
        </w:rPr>
      </w:pPr>
      <w:r>
        <w:rPr>
          <w:color w:val="000000"/>
        </w:rPr>
        <w:t>国内经济方面，融资需求继续下行，违约风险持续暴露，地方债务监管持续高压，叠加外需走弱，经济下行压力不减。具体来看，三季度领先指标中采制造业</w:t>
      </w:r>
      <w:r>
        <w:rPr>
          <w:color w:val="000000"/>
        </w:rPr>
        <w:t>PMI</w:t>
      </w:r>
      <w:r>
        <w:rPr>
          <w:color w:val="000000"/>
        </w:rPr>
        <w:t>显著下行</w:t>
      </w:r>
      <w:r>
        <w:rPr>
          <w:color w:val="000000"/>
        </w:rPr>
        <w:t>0.7</w:t>
      </w:r>
      <w:r>
        <w:rPr>
          <w:color w:val="000000"/>
        </w:rPr>
        <w:t>个百分点</w:t>
      </w:r>
      <w:r>
        <w:rPr>
          <w:color w:val="000000"/>
        </w:rPr>
        <w:t>至</w:t>
      </w:r>
      <w:r>
        <w:rPr>
          <w:color w:val="000000"/>
        </w:rPr>
        <w:t>50.8</w:t>
      </w:r>
      <w:r>
        <w:rPr>
          <w:color w:val="000000"/>
        </w:rPr>
        <w:t>，同步指标工业增加值</w:t>
      </w:r>
      <w:r>
        <w:rPr>
          <w:color w:val="000000"/>
        </w:rPr>
        <w:t>1-8</w:t>
      </w:r>
      <w:r>
        <w:rPr>
          <w:color w:val="000000"/>
        </w:rPr>
        <w:t>月同比增长</w:t>
      </w:r>
      <w:r>
        <w:rPr>
          <w:color w:val="000000"/>
        </w:rPr>
        <w:t>6.5%</w:t>
      </w:r>
      <w:r>
        <w:rPr>
          <w:color w:val="000000"/>
        </w:rPr>
        <w:t>，较二季度末回落</w:t>
      </w:r>
      <w:r>
        <w:rPr>
          <w:color w:val="000000"/>
        </w:rPr>
        <w:t>0.4</w:t>
      </w:r>
      <w:r>
        <w:rPr>
          <w:color w:val="000000"/>
        </w:rPr>
        <w:t>个百分点，中下游制造业增加值下行较为明显。从经济增长动力来看，出口受贸易战影响逐步体现，消费低位震荡，投资显著下行：</w:t>
      </w:r>
      <w:r>
        <w:rPr>
          <w:color w:val="000000"/>
        </w:rPr>
        <w:t>8</w:t>
      </w:r>
      <w:r>
        <w:rPr>
          <w:color w:val="000000"/>
        </w:rPr>
        <w:t>月美元计价出口增速较二季度末回落至</w:t>
      </w:r>
      <w:r>
        <w:rPr>
          <w:color w:val="000000"/>
        </w:rPr>
        <w:t>9.8%</w:t>
      </w:r>
      <w:r>
        <w:rPr>
          <w:color w:val="000000"/>
        </w:rPr>
        <w:t>左右，</w:t>
      </w:r>
      <w:r>
        <w:rPr>
          <w:color w:val="000000"/>
        </w:rPr>
        <w:t>8</w:t>
      </w:r>
      <w:r>
        <w:rPr>
          <w:color w:val="000000"/>
        </w:rPr>
        <w:t>月消费增速较二季度末持平于</w:t>
      </w:r>
      <w:r>
        <w:rPr>
          <w:color w:val="000000"/>
        </w:rPr>
        <w:t>9%</w:t>
      </w:r>
      <w:r>
        <w:rPr>
          <w:color w:val="000000"/>
        </w:rPr>
        <w:t>，依然处于较低水平；制造业投资继续反弹，房地产投资受益于土地购置费用保持高位，基建投资大幅下降，</w:t>
      </w:r>
      <w:r>
        <w:rPr>
          <w:color w:val="000000"/>
        </w:rPr>
        <w:t>1-8</w:t>
      </w:r>
      <w:r>
        <w:rPr>
          <w:color w:val="000000"/>
        </w:rPr>
        <w:t>月固定资产投资增速较二季度末大幅回落至</w:t>
      </w:r>
      <w:r>
        <w:rPr>
          <w:color w:val="000000"/>
        </w:rPr>
        <w:t>5.3%</w:t>
      </w:r>
      <w:r>
        <w:rPr>
          <w:color w:val="000000"/>
        </w:rPr>
        <w:t>的水平。通胀方面，</w:t>
      </w:r>
      <w:r>
        <w:rPr>
          <w:color w:val="000000"/>
        </w:rPr>
        <w:t>CPI</w:t>
      </w:r>
      <w:r>
        <w:rPr>
          <w:color w:val="000000"/>
        </w:rPr>
        <w:t>低位回升，</w:t>
      </w:r>
      <w:r>
        <w:rPr>
          <w:color w:val="000000"/>
        </w:rPr>
        <w:t>8</w:t>
      </w:r>
      <w:r>
        <w:rPr>
          <w:color w:val="000000"/>
        </w:rPr>
        <w:t>月同比增速</w:t>
      </w:r>
      <w:r>
        <w:rPr>
          <w:color w:val="000000"/>
        </w:rPr>
        <w:t>2.3%</w:t>
      </w:r>
      <w:r>
        <w:rPr>
          <w:color w:val="000000"/>
        </w:rPr>
        <w:t>，</w:t>
      </w:r>
      <w:r>
        <w:rPr>
          <w:color w:val="000000"/>
        </w:rPr>
        <w:t>PPI</w:t>
      </w:r>
      <w:r>
        <w:rPr>
          <w:color w:val="000000"/>
        </w:rPr>
        <w:t>在生产资料价格上涨放缓及高基</w:t>
      </w:r>
      <w:r>
        <w:rPr>
          <w:color w:val="000000"/>
        </w:rPr>
        <w:t>数背景下冲高回落，</w:t>
      </w:r>
      <w:r>
        <w:rPr>
          <w:color w:val="000000"/>
        </w:rPr>
        <w:t>8</w:t>
      </w:r>
      <w:r>
        <w:rPr>
          <w:color w:val="000000"/>
        </w:rPr>
        <w:t>月同比增速较二季度末回落至</w:t>
      </w:r>
      <w:r>
        <w:rPr>
          <w:color w:val="000000"/>
        </w:rPr>
        <w:t>4.1%</w:t>
      </w:r>
      <w:r>
        <w:rPr>
          <w:color w:val="000000"/>
        </w:rPr>
        <w:t>。</w:t>
      </w:r>
    </w:p>
    <w:p w:rsidR="00BC1178" w:rsidRDefault="00BC1178">
      <w:pPr>
        <w:spacing w:line="360" w:lineRule="auto"/>
        <w:ind w:firstLineChars="200" w:firstLine="420"/>
        <w:rPr>
          <w:color w:val="000000"/>
        </w:rPr>
      </w:pPr>
    </w:p>
    <w:p w:rsidR="00BC1178" w:rsidRDefault="006B3260">
      <w:pPr>
        <w:spacing w:line="360" w:lineRule="auto"/>
        <w:ind w:firstLineChars="200" w:firstLine="420"/>
        <w:rPr>
          <w:color w:val="000000"/>
        </w:rPr>
      </w:pPr>
      <w:r>
        <w:rPr>
          <w:color w:val="000000"/>
        </w:rPr>
        <w:t xml:space="preserve">2. </w:t>
      </w:r>
      <w:r>
        <w:rPr>
          <w:color w:val="000000"/>
        </w:rPr>
        <w:t>市场回顾</w:t>
      </w:r>
    </w:p>
    <w:p w:rsidR="00BC1178" w:rsidRDefault="006B3260">
      <w:pPr>
        <w:spacing w:line="360" w:lineRule="auto"/>
        <w:ind w:firstLineChars="200" w:firstLine="420"/>
        <w:rPr>
          <w:color w:val="000000"/>
        </w:rPr>
      </w:pPr>
      <w:r>
        <w:rPr>
          <w:color w:val="000000"/>
        </w:rPr>
        <w:t>三季度市场表现不佳，优质蓝筹体现出一定的防御性。其中上证综指下跌</w:t>
      </w:r>
      <w:r>
        <w:rPr>
          <w:color w:val="000000"/>
        </w:rPr>
        <w:t>0.92%</w:t>
      </w:r>
      <w:r>
        <w:rPr>
          <w:color w:val="000000"/>
        </w:rPr>
        <w:t>，代表大盘股表现的沪深</w:t>
      </w:r>
      <w:r>
        <w:rPr>
          <w:color w:val="000000"/>
        </w:rPr>
        <w:t>300</w:t>
      </w:r>
      <w:r>
        <w:rPr>
          <w:color w:val="000000"/>
        </w:rPr>
        <w:t>指数下跌</w:t>
      </w:r>
      <w:r>
        <w:rPr>
          <w:color w:val="000000"/>
        </w:rPr>
        <w:t>2.05%</w:t>
      </w:r>
      <w:r>
        <w:rPr>
          <w:color w:val="000000"/>
        </w:rPr>
        <w:t>，中小板综合指数下跌</w:t>
      </w:r>
      <w:r>
        <w:rPr>
          <w:color w:val="000000"/>
        </w:rPr>
        <w:t>10.41%</w:t>
      </w:r>
      <w:r>
        <w:rPr>
          <w:color w:val="000000"/>
        </w:rPr>
        <w:t>，创业板综合指数下跌</w:t>
      </w:r>
      <w:r>
        <w:rPr>
          <w:color w:val="000000"/>
        </w:rPr>
        <w:t>11.84%</w:t>
      </w:r>
      <w:r>
        <w:rPr>
          <w:color w:val="000000"/>
        </w:rPr>
        <w:t>。</w:t>
      </w:r>
    </w:p>
    <w:p w:rsidR="00BC1178" w:rsidRDefault="00BC1178">
      <w:pPr>
        <w:spacing w:line="360" w:lineRule="auto"/>
        <w:ind w:firstLineChars="200" w:firstLine="420"/>
        <w:rPr>
          <w:color w:val="000000"/>
        </w:rPr>
      </w:pPr>
    </w:p>
    <w:p w:rsidR="00BC1178" w:rsidRDefault="006B3260">
      <w:pPr>
        <w:spacing w:line="360" w:lineRule="auto"/>
        <w:ind w:firstLineChars="200" w:firstLine="420"/>
        <w:rPr>
          <w:color w:val="000000"/>
        </w:rPr>
      </w:pPr>
      <w:r>
        <w:rPr>
          <w:color w:val="000000"/>
        </w:rPr>
        <w:t xml:space="preserve">3. </w:t>
      </w:r>
      <w:r>
        <w:rPr>
          <w:color w:val="000000"/>
        </w:rPr>
        <w:t>运行分析</w:t>
      </w:r>
    </w:p>
    <w:p w:rsidR="00BC1178" w:rsidRDefault="006B3260">
      <w:pPr>
        <w:spacing w:line="360" w:lineRule="auto"/>
        <w:ind w:firstLineChars="200" w:firstLine="420"/>
        <w:rPr>
          <w:color w:val="000000"/>
        </w:rPr>
      </w:pPr>
      <w:bookmarkStart w:id="0" w:name="_GoBack"/>
      <w:bookmarkEnd w:id="0"/>
      <w:r>
        <w:rPr>
          <w:color w:val="000000"/>
        </w:rPr>
        <w:t>由于新增申购资金，二季度基金仓位大幅降低。基于对市场相对谨慎的判断，产品仓位维持在较低水平。行业配置主要选择景气度相对较高的行业，包括食品饮料、餐饮旅游等。</w:t>
      </w:r>
    </w:p>
    <w:p w:rsidR="00BC1178" w:rsidRDefault="006B3260">
      <w:pPr>
        <w:spacing w:line="360" w:lineRule="auto"/>
        <w:rPr>
          <w:b/>
          <w:bCs/>
        </w:rPr>
      </w:pPr>
      <w:r>
        <w:rPr>
          <w:b/>
          <w:bCs/>
        </w:rPr>
        <w:t>4.</w:t>
      </w:r>
      <w:r>
        <w:rPr>
          <w:rFonts w:hint="eastAsia"/>
          <w:b/>
          <w:bCs/>
        </w:rPr>
        <w:t>5</w:t>
      </w:r>
      <w:r>
        <w:rPr>
          <w:b/>
          <w:bCs/>
        </w:rPr>
        <w:t>报告期内基金的业绩表现</w:t>
      </w:r>
    </w:p>
    <w:p w:rsidR="00BC1178" w:rsidRDefault="006B3260">
      <w:pPr>
        <w:spacing w:line="360" w:lineRule="auto"/>
        <w:ind w:firstLineChars="200" w:firstLine="420"/>
        <w:rPr>
          <w:color w:val="000000"/>
        </w:rPr>
      </w:pPr>
      <w:r>
        <w:rPr>
          <w:color w:val="000000"/>
        </w:rPr>
        <w:t>报告期内，本基金份额净值增长率为</w:t>
      </w:r>
      <w:r>
        <w:rPr>
          <w:color w:val="000000"/>
        </w:rPr>
        <w:t>-5.10%</w:t>
      </w:r>
      <w:r>
        <w:rPr>
          <w:color w:val="000000"/>
        </w:rPr>
        <w:t>，同期业绩比较基准收益率为</w:t>
      </w:r>
      <w:r>
        <w:rPr>
          <w:color w:val="000000"/>
        </w:rPr>
        <w:t>-1.78%</w:t>
      </w:r>
      <w:r>
        <w:rPr>
          <w:color w:val="000000"/>
        </w:rPr>
        <w:t>。</w:t>
      </w:r>
    </w:p>
    <w:p w:rsidR="00BC1178" w:rsidRDefault="006B3260">
      <w:pPr>
        <w:autoSpaceDE w:val="0"/>
        <w:autoSpaceDN w:val="0"/>
        <w:adjustRightInd w:val="0"/>
        <w:spacing w:line="360" w:lineRule="auto"/>
        <w:jc w:val="left"/>
        <w:rPr>
          <w:b/>
          <w:bCs/>
          <w:color w:val="000000"/>
          <w:kern w:val="0"/>
        </w:rPr>
      </w:pPr>
      <w:r>
        <w:rPr>
          <w:b/>
          <w:bCs/>
          <w:color w:val="000000"/>
          <w:kern w:val="0"/>
        </w:rPr>
        <w:t>4.6</w:t>
      </w:r>
      <w:r>
        <w:rPr>
          <w:b/>
          <w:bCs/>
          <w:color w:val="000000"/>
          <w:kern w:val="0"/>
        </w:rPr>
        <w:t>报告期内基金持有人数或基金资产净值预警说明</w:t>
      </w:r>
    </w:p>
    <w:p w:rsidR="00BC1178" w:rsidRDefault="006B3260">
      <w:pPr>
        <w:spacing w:line="360" w:lineRule="auto"/>
        <w:ind w:firstLineChars="200" w:firstLine="420"/>
        <w:rPr>
          <w:color w:val="000000"/>
        </w:rPr>
      </w:pPr>
      <w:r>
        <w:rPr>
          <w:color w:val="000000"/>
        </w:rPr>
        <w:t>本报告期内，本基金自</w:t>
      </w:r>
      <w:r>
        <w:rPr>
          <w:color w:val="000000"/>
        </w:rPr>
        <w:t>2018</w:t>
      </w:r>
      <w:r>
        <w:rPr>
          <w:color w:val="000000"/>
        </w:rPr>
        <w:t>年</w:t>
      </w:r>
      <w:r>
        <w:rPr>
          <w:color w:val="000000"/>
        </w:rPr>
        <w:t>8</w:t>
      </w:r>
      <w:r>
        <w:rPr>
          <w:color w:val="000000"/>
        </w:rPr>
        <w:t>月</w:t>
      </w:r>
      <w:r>
        <w:rPr>
          <w:color w:val="000000"/>
        </w:rPr>
        <w:t>3</w:t>
      </w:r>
      <w:r>
        <w:rPr>
          <w:color w:val="000000"/>
        </w:rPr>
        <w:t>日至</w:t>
      </w:r>
      <w:r>
        <w:rPr>
          <w:color w:val="000000"/>
        </w:rPr>
        <w:t>2018</w:t>
      </w:r>
      <w:r>
        <w:rPr>
          <w:color w:val="000000"/>
        </w:rPr>
        <w:t>年</w:t>
      </w:r>
      <w:r>
        <w:rPr>
          <w:color w:val="000000"/>
        </w:rPr>
        <w:t>9</w:t>
      </w:r>
      <w:r>
        <w:rPr>
          <w:color w:val="000000"/>
        </w:rPr>
        <w:t>月</w:t>
      </w:r>
      <w:r>
        <w:rPr>
          <w:color w:val="000000"/>
        </w:rPr>
        <w:t>30</w:t>
      </w:r>
      <w:r>
        <w:rPr>
          <w:color w:val="000000"/>
        </w:rPr>
        <w:t>日已连续超过</w:t>
      </w:r>
      <w:r>
        <w:rPr>
          <w:color w:val="000000"/>
        </w:rPr>
        <w:t>20</w:t>
      </w:r>
      <w:r>
        <w:rPr>
          <w:color w:val="000000"/>
        </w:rPr>
        <w:t>个工作日出现基金资产净值低于</w:t>
      </w:r>
      <w:r>
        <w:rPr>
          <w:color w:val="000000"/>
        </w:rPr>
        <w:t>5000</w:t>
      </w:r>
      <w:r>
        <w:rPr>
          <w:color w:val="000000"/>
        </w:rPr>
        <w:t>万元的情形。</w:t>
      </w:r>
    </w:p>
    <w:p w:rsidR="00BC1178" w:rsidRDefault="006B3260">
      <w:pPr>
        <w:pStyle w:val="1"/>
        <w:spacing w:before="0" w:after="0" w:line="360" w:lineRule="auto"/>
        <w:jc w:val="center"/>
        <w:rPr>
          <w:color w:val="000000"/>
          <w:kern w:val="0"/>
          <w:sz w:val="24"/>
          <w:szCs w:val="24"/>
        </w:rPr>
      </w:pPr>
      <w:r>
        <w:rPr>
          <w:color w:val="000000"/>
          <w:kern w:val="0"/>
          <w:sz w:val="24"/>
          <w:szCs w:val="24"/>
        </w:rPr>
        <w:t xml:space="preserve">§5  </w:t>
      </w:r>
      <w:r>
        <w:rPr>
          <w:color w:val="000000"/>
          <w:kern w:val="0"/>
          <w:sz w:val="24"/>
          <w:szCs w:val="24"/>
        </w:rPr>
        <w:t>投资组合报告</w:t>
      </w:r>
    </w:p>
    <w:p w:rsidR="00BC1178" w:rsidRDefault="006B3260">
      <w:pPr>
        <w:autoSpaceDE w:val="0"/>
        <w:autoSpaceDN w:val="0"/>
        <w:adjustRightInd w:val="0"/>
        <w:spacing w:line="360" w:lineRule="auto"/>
        <w:jc w:val="left"/>
        <w:rPr>
          <w:b/>
          <w:bCs/>
          <w:color w:val="000000"/>
          <w:kern w:val="0"/>
          <w:sz w:val="24"/>
          <w:szCs w:val="24"/>
        </w:rPr>
      </w:pPr>
      <w:r>
        <w:rPr>
          <w:b/>
          <w:bCs/>
          <w:color w:val="000000"/>
          <w:kern w:val="0"/>
          <w:sz w:val="24"/>
          <w:szCs w:val="24"/>
        </w:rPr>
        <w:t xml:space="preserve">5.1 </w:t>
      </w:r>
      <w:r>
        <w:rPr>
          <w:b/>
          <w:bCs/>
          <w:color w:val="000000"/>
          <w:kern w:val="0"/>
          <w:sz w:val="24"/>
          <w:szCs w:val="24"/>
        </w:rPr>
        <w:t>报告期末基金资产组合情况</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209"/>
        <w:gridCol w:w="2977"/>
        <w:gridCol w:w="2176"/>
      </w:tblGrid>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序号</w:t>
            </w:r>
          </w:p>
        </w:tc>
        <w:tc>
          <w:tcPr>
            <w:tcW w:w="3209" w:type="dxa"/>
            <w:vAlign w:val="center"/>
          </w:tcPr>
          <w:p w:rsidR="00BC1178" w:rsidRDefault="006B3260">
            <w:pPr>
              <w:spacing w:before="29"/>
              <w:ind w:left="17"/>
              <w:jc w:val="center"/>
              <w:rPr>
                <w:color w:val="000000"/>
                <w:kern w:val="0"/>
              </w:rPr>
            </w:pPr>
            <w:r>
              <w:rPr>
                <w:color w:val="000000"/>
                <w:kern w:val="0"/>
              </w:rPr>
              <w:t>项目</w:t>
            </w:r>
          </w:p>
        </w:tc>
        <w:tc>
          <w:tcPr>
            <w:tcW w:w="2977" w:type="dxa"/>
            <w:vAlign w:val="center"/>
          </w:tcPr>
          <w:p w:rsidR="00BC1178" w:rsidRDefault="006B3260">
            <w:pPr>
              <w:spacing w:before="29"/>
              <w:ind w:left="17"/>
              <w:jc w:val="center"/>
              <w:rPr>
                <w:color w:val="000000"/>
                <w:kern w:val="0"/>
              </w:rPr>
            </w:pPr>
            <w:r>
              <w:rPr>
                <w:color w:val="000000"/>
                <w:kern w:val="0"/>
              </w:rPr>
              <w:t>金额</w:t>
            </w:r>
            <w:r>
              <w:rPr>
                <w:color w:val="000000"/>
                <w:kern w:val="0"/>
              </w:rPr>
              <w:t>(</w:t>
            </w:r>
            <w:r>
              <w:rPr>
                <w:color w:val="000000"/>
                <w:kern w:val="0"/>
              </w:rPr>
              <w:t>元</w:t>
            </w:r>
            <w:r>
              <w:rPr>
                <w:color w:val="000000"/>
                <w:kern w:val="0"/>
              </w:rPr>
              <w:t>)</w:t>
            </w:r>
          </w:p>
        </w:tc>
        <w:tc>
          <w:tcPr>
            <w:tcW w:w="2176" w:type="dxa"/>
            <w:vAlign w:val="center"/>
          </w:tcPr>
          <w:p w:rsidR="00BC1178" w:rsidRDefault="006B3260">
            <w:pPr>
              <w:spacing w:before="29"/>
              <w:ind w:left="17"/>
              <w:jc w:val="center"/>
              <w:rPr>
                <w:color w:val="000000"/>
                <w:kern w:val="0"/>
              </w:rPr>
            </w:pPr>
            <w:r>
              <w:rPr>
                <w:color w:val="000000"/>
                <w:kern w:val="0"/>
              </w:rPr>
              <w:t>占基金总资产的比例</w:t>
            </w:r>
            <w:r>
              <w:rPr>
                <w:color w:val="000000"/>
                <w:kern w:val="0"/>
              </w:rPr>
              <w:t>(%)</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1</w:t>
            </w:r>
          </w:p>
        </w:tc>
        <w:tc>
          <w:tcPr>
            <w:tcW w:w="3209" w:type="dxa"/>
            <w:vAlign w:val="center"/>
          </w:tcPr>
          <w:p w:rsidR="00BC1178" w:rsidRDefault="006B3260">
            <w:pPr>
              <w:spacing w:before="29"/>
              <w:ind w:left="17"/>
              <w:jc w:val="left"/>
              <w:rPr>
                <w:kern w:val="0"/>
              </w:rPr>
            </w:pPr>
            <w:r>
              <w:rPr>
                <w:color w:val="000000"/>
                <w:kern w:val="0"/>
              </w:rPr>
              <w:t>权益投资</w:t>
            </w:r>
          </w:p>
        </w:tc>
        <w:tc>
          <w:tcPr>
            <w:tcW w:w="2977" w:type="dxa"/>
            <w:vAlign w:val="center"/>
          </w:tcPr>
          <w:p w:rsidR="00BC1178" w:rsidRDefault="006B3260">
            <w:pPr>
              <w:spacing w:before="29"/>
              <w:ind w:left="17"/>
              <w:jc w:val="right"/>
              <w:rPr>
                <w:color w:val="000000"/>
                <w:kern w:val="0"/>
              </w:rPr>
            </w:pPr>
            <w:r>
              <w:rPr>
                <w:color w:val="000000"/>
                <w:kern w:val="0"/>
              </w:rPr>
              <w:t>17,098,730.81</w:t>
            </w:r>
          </w:p>
        </w:tc>
        <w:tc>
          <w:tcPr>
            <w:tcW w:w="2176" w:type="dxa"/>
            <w:vAlign w:val="center"/>
          </w:tcPr>
          <w:p w:rsidR="00BC1178" w:rsidRDefault="006B3260">
            <w:pPr>
              <w:spacing w:before="29"/>
              <w:ind w:left="17"/>
              <w:jc w:val="right"/>
              <w:rPr>
                <w:color w:val="000000"/>
                <w:kern w:val="0"/>
              </w:rPr>
            </w:pPr>
            <w:r>
              <w:rPr>
                <w:color w:val="000000"/>
                <w:kern w:val="0"/>
              </w:rPr>
              <w:t>35.33</w:t>
            </w:r>
          </w:p>
        </w:tc>
      </w:tr>
      <w:tr w:rsidR="00BC1178">
        <w:trPr>
          <w:jc w:val="center"/>
        </w:trPr>
        <w:tc>
          <w:tcPr>
            <w:tcW w:w="720" w:type="dxa"/>
            <w:vAlign w:val="center"/>
          </w:tcPr>
          <w:p w:rsidR="00BC1178" w:rsidRDefault="00BC1178">
            <w:pPr>
              <w:spacing w:before="29"/>
              <w:ind w:left="17"/>
              <w:jc w:val="center"/>
              <w:rPr>
                <w:color w:val="000000"/>
                <w:kern w:val="0"/>
              </w:rPr>
            </w:pPr>
          </w:p>
        </w:tc>
        <w:tc>
          <w:tcPr>
            <w:tcW w:w="3209" w:type="dxa"/>
            <w:vAlign w:val="center"/>
          </w:tcPr>
          <w:p w:rsidR="00BC1178" w:rsidRDefault="006B3260">
            <w:pPr>
              <w:spacing w:before="29"/>
              <w:ind w:left="17"/>
              <w:jc w:val="left"/>
              <w:rPr>
                <w:kern w:val="0"/>
              </w:rPr>
            </w:pPr>
            <w:r>
              <w:rPr>
                <w:color w:val="000000"/>
                <w:kern w:val="0"/>
              </w:rPr>
              <w:t>其中：股票</w:t>
            </w:r>
          </w:p>
        </w:tc>
        <w:tc>
          <w:tcPr>
            <w:tcW w:w="2977" w:type="dxa"/>
            <w:vAlign w:val="center"/>
          </w:tcPr>
          <w:p w:rsidR="00BC1178" w:rsidRDefault="006B3260">
            <w:pPr>
              <w:spacing w:before="29"/>
              <w:ind w:left="17"/>
              <w:jc w:val="right"/>
              <w:rPr>
                <w:color w:val="000000"/>
                <w:kern w:val="0"/>
              </w:rPr>
            </w:pPr>
            <w:r>
              <w:rPr>
                <w:color w:val="000000"/>
                <w:kern w:val="0"/>
              </w:rPr>
              <w:t>17,098,730.81</w:t>
            </w:r>
          </w:p>
        </w:tc>
        <w:tc>
          <w:tcPr>
            <w:tcW w:w="2176" w:type="dxa"/>
            <w:vAlign w:val="center"/>
          </w:tcPr>
          <w:p w:rsidR="00BC1178" w:rsidRDefault="006B3260">
            <w:pPr>
              <w:spacing w:before="29"/>
              <w:ind w:left="17"/>
              <w:jc w:val="right"/>
              <w:rPr>
                <w:color w:val="000000"/>
                <w:kern w:val="0"/>
              </w:rPr>
            </w:pPr>
            <w:r>
              <w:rPr>
                <w:color w:val="000000"/>
                <w:kern w:val="0"/>
              </w:rPr>
              <w:t>35.33</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2</w:t>
            </w:r>
          </w:p>
        </w:tc>
        <w:tc>
          <w:tcPr>
            <w:tcW w:w="3209" w:type="dxa"/>
            <w:vAlign w:val="center"/>
          </w:tcPr>
          <w:p w:rsidR="00BC1178" w:rsidRDefault="006B3260">
            <w:pPr>
              <w:spacing w:before="29"/>
              <w:ind w:left="17"/>
              <w:jc w:val="left"/>
              <w:rPr>
                <w:kern w:val="0"/>
              </w:rPr>
            </w:pPr>
            <w:r>
              <w:rPr>
                <w:color w:val="000000"/>
                <w:kern w:val="0"/>
              </w:rPr>
              <w:t>固定收益投资</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BC1178">
            <w:pPr>
              <w:spacing w:before="29"/>
              <w:ind w:left="17"/>
              <w:jc w:val="center"/>
              <w:rPr>
                <w:color w:val="000000"/>
                <w:kern w:val="0"/>
              </w:rPr>
            </w:pPr>
          </w:p>
        </w:tc>
        <w:tc>
          <w:tcPr>
            <w:tcW w:w="3209" w:type="dxa"/>
            <w:vAlign w:val="center"/>
          </w:tcPr>
          <w:p w:rsidR="00BC1178" w:rsidRDefault="006B3260">
            <w:pPr>
              <w:spacing w:before="29"/>
              <w:ind w:left="17"/>
              <w:jc w:val="left"/>
              <w:rPr>
                <w:kern w:val="0"/>
              </w:rPr>
            </w:pPr>
            <w:r>
              <w:rPr>
                <w:color w:val="000000"/>
                <w:kern w:val="0"/>
              </w:rPr>
              <w:t>其中：债券</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BC1178">
            <w:pPr>
              <w:spacing w:before="29"/>
              <w:ind w:left="17"/>
              <w:jc w:val="center"/>
              <w:rPr>
                <w:color w:val="000000"/>
                <w:kern w:val="0"/>
              </w:rPr>
            </w:pPr>
          </w:p>
        </w:tc>
        <w:tc>
          <w:tcPr>
            <w:tcW w:w="3209" w:type="dxa"/>
            <w:vAlign w:val="center"/>
          </w:tcPr>
          <w:p w:rsidR="00BC1178" w:rsidRDefault="006B3260">
            <w:pPr>
              <w:autoSpaceDE w:val="0"/>
              <w:autoSpaceDN w:val="0"/>
              <w:adjustRightInd w:val="0"/>
              <w:spacing w:before="29"/>
              <w:ind w:left="17"/>
              <w:jc w:val="left"/>
              <w:rPr>
                <w:color w:val="000000"/>
                <w:kern w:val="0"/>
              </w:rPr>
            </w:pPr>
            <w:r>
              <w:rPr>
                <w:color w:val="000000"/>
                <w:kern w:val="0"/>
              </w:rPr>
              <w:t>资产支持证券</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tcPr>
          <w:p w:rsidR="00BC1178" w:rsidRDefault="006B3260">
            <w:pPr>
              <w:spacing w:before="29"/>
              <w:ind w:left="17"/>
              <w:jc w:val="center"/>
              <w:rPr>
                <w:color w:val="000000"/>
                <w:kern w:val="0"/>
              </w:rPr>
            </w:pPr>
            <w:r>
              <w:rPr>
                <w:color w:val="000000"/>
                <w:kern w:val="0"/>
              </w:rPr>
              <w:t>3</w:t>
            </w:r>
          </w:p>
        </w:tc>
        <w:tc>
          <w:tcPr>
            <w:tcW w:w="3209" w:type="dxa"/>
          </w:tcPr>
          <w:p w:rsidR="00BC1178" w:rsidRDefault="006B3260">
            <w:pPr>
              <w:spacing w:before="29"/>
              <w:ind w:leftChars="50" w:left="105"/>
              <w:rPr>
                <w:color w:val="000000"/>
                <w:kern w:val="0"/>
              </w:rPr>
            </w:pPr>
            <w:r>
              <w:rPr>
                <w:color w:val="000000"/>
                <w:kern w:val="0"/>
              </w:rPr>
              <w:t>贵金属投资</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4</w:t>
            </w:r>
          </w:p>
        </w:tc>
        <w:tc>
          <w:tcPr>
            <w:tcW w:w="3209" w:type="dxa"/>
            <w:vAlign w:val="center"/>
          </w:tcPr>
          <w:p w:rsidR="00BC1178" w:rsidRDefault="006B3260">
            <w:pPr>
              <w:spacing w:before="29"/>
              <w:ind w:left="17"/>
              <w:jc w:val="left"/>
              <w:rPr>
                <w:color w:val="000000"/>
                <w:kern w:val="0"/>
              </w:rPr>
            </w:pPr>
            <w:r>
              <w:rPr>
                <w:color w:val="000000"/>
                <w:kern w:val="0"/>
              </w:rPr>
              <w:t>金融衍生品投资</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5</w:t>
            </w:r>
          </w:p>
        </w:tc>
        <w:tc>
          <w:tcPr>
            <w:tcW w:w="3209" w:type="dxa"/>
            <w:vAlign w:val="center"/>
          </w:tcPr>
          <w:p w:rsidR="00BC1178" w:rsidRDefault="006B3260">
            <w:pPr>
              <w:spacing w:before="29"/>
              <w:ind w:left="17"/>
              <w:jc w:val="left"/>
              <w:rPr>
                <w:kern w:val="0"/>
              </w:rPr>
            </w:pPr>
            <w:r>
              <w:rPr>
                <w:color w:val="000000"/>
                <w:kern w:val="0"/>
              </w:rPr>
              <w:t>买入返售金融资产</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BC1178">
            <w:pPr>
              <w:spacing w:before="29"/>
              <w:ind w:left="17"/>
              <w:jc w:val="center"/>
              <w:rPr>
                <w:color w:val="000000"/>
                <w:kern w:val="0"/>
              </w:rPr>
            </w:pPr>
          </w:p>
        </w:tc>
        <w:tc>
          <w:tcPr>
            <w:tcW w:w="3209" w:type="dxa"/>
            <w:vAlign w:val="center"/>
          </w:tcPr>
          <w:p w:rsidR="00BC1178" w:rsidRDefault="006B3260">
            <w:pPr>
              <w:spacing w:before="29"/>
              <w:ind w:left="17"/>
              <w:jc w:val="left"/>
              <w:rPr>
                <w:kern w:val="0"/>
              </w:rPr>
            </w:pPr>
            <w:r>
              <w:rPr>
                <w:color w:val="000000"/>
                <w:kern w:val="0"/>
              </w:rPr>
              <w:t>其中：买断式回购的买入返售金融资产</w:t>
            </w:r>
          </w:p>
        </w:tc>
        <w:tc>
          <w:tcPr>
            <w:tcW w:w="2977" w:type="dxa"/>
            <w:vAlign w:val="center"/>
          </w:tcPr>
          <w:p w:rsidR="00BC1178" w:rsidRDefault="006B3260">
            <w:pPr>
              <w:spacing w:before="29"/>
              <w:ind w:left="17"/>
              <w:jc w:val="right"/>
              <w:rPr>
                <w:color w:val="000000"/>
                <w:kern w:val="0"/>
              </w:rPr>
            </w:pPr>
            <w:r>
              <w:rPr>
                <w:color w:val="000000"/>
                <w:kern w:val="0"/>
              </w:rPr>
              <w:t>-</w:t>
            </w:r>
          </w:p>
        </w:tc>
        <w:tc>
          <w:tcPr>
            <w:tcW w:w="2176" w:type="dxa"/>
            <w:vAlign w:val="center"/>
          </w:tcPr>
          <w:p w:rsidR="00BC1178" w:rsidRDefault="006B3260">
            <w:pPr>
              <w:spacing w:before="29"/>
              <w:ind w:left="17"/>
              <w:jc w:val="right"/>
              <w:rPr>
                <w:color w:val="000000"/>
                <w:kern w:val="0"/>
              </w:rPr>
            </w:pPr>
            <w:r>
              <w:rPr>
                <w:color w:val="000000"/>
                <w:kern w:val="0"/>
              </w:rPr>
              <w:t>-</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6</w:t>
            </w:r>
          </w:p>
        </w:tc>
        <w:tc>
          <w:tcPr>
            <w:tcW w:w="3209" w:type="dxa"/>
            <w:vAlign w:val="center"/>
          </w:tcPr>
          <w:p w:rsidR="00BC1178" w:rsidRDefault="006B3260">
            <w:pPr>
              <w:spacing w:before="29"/>
              <w:ind w:left="17"/>
              <w:jc w:val="left"/>
              <w:rPr>
                <w:kern w:val="0"/>
              </w:rPr>
            </w:pPr>
            <w:r>
              <w:rPr>
                <w:color w:val="000000"/>
                <w:kern w:val="0"/>
              </w:rPr>
              <w:t>银行存款和结算备付金合计</w:t>
            </w:r>
          </w:p>
        </w:tc>
        <w:tc>
          <w:tcPr>
            <w:tcW w:w="2977" w:type="dxa"/>
            <w:vAlign w:val="center"/>
          </w:tcPr>
          <w:p w:rsidR="00BC1178" w:rsidRDefault="006B3260">
            <w:pPr>
              <w:spacing w:before="29"/>
              <w:ind w:left="17"/>
              <w:jc w:val="right"/>
              <w:rPr>
                <w:color w:val="000000"/>
                <w:kern w:val="0"/>
              </w:rPr>
            </w:pPr>
            <w:r>
              <w:rPr>
                <w:color w:val="000000"/>
                <w:kern w:val="0"/>
              </w:rPr>
              <w:t>31,287,429.05</w:t>
            </w:r>
          </w:p>
        </w:tc>
        <w:tc>
          <w:tcPr>
            <w:tcW w:w="2176" w:type="dxa"/>
            <w:vAlign w:val="center"/>
          </w:tcPr>
          <w:p w:rsidR="00BC1178" w:rsidRDefault="006B3260">
            <w:pPr>
              <w:spacing w:before="29"/>
              <w:ind w:left="17"/>
              <w:jc w:val="right"/>
              <w:rPr>
                <w:color w:val="000000"/>
                <w:kern w:val="0"/>
              </w:rPr>
            </w:pPr>
            <w:r>
              <w:rPr>
                <w:color w:val="000000"/>
                <w:kern w:val="0"/>
              </w:rPr>
              <w:t>64.64</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7</w:t>
            </w:r>
          </w:p>
        </w:tc>
        <w:tc>
          <w:tcPr>
            <w:tcW w:w="3209" w:type="dxa"/>
            <w:vAlign w:val="center"/>
          </w:tcPr>
          <w:p w:rsidR="00BC1178" w:rsidRDefault="006B3260">
            <w:pPr>
              <w:jc w:val="left"/>
              <w:rPr>
                <w:kern w:val="0"/>
              </w:rPr>
            </w:pPr>
            <w:r>
              <w:rPr>
                <w:color w:val="000000"/>
                <w:kern w:val="0"/>
              </w:rPr>
              <w:t>其他各项资产</w:t>
            </w:r>
          </w:p>
        </w:tc>
        <w:tc>
          <w:tcPr>
            <w:tcW w:w="2977" w:type="dxa"/>
            <w:vAlign w:val="center"/>
          </w:tcPr>
          <w:p w:rsidR="00BC1178" w:rsidRDefault="006B3260">
            <w:pPr>
              <w:jc w:val="right"/>
              <w:rPr>
                <w:color w:val="000000"/>
                <w:kern w:val="0"/>
              </w:rPr>
            </w:pPr>
            <w:r>
              <w:rPr>
                <w:color w:val="000000"/>
                <w:kern w:val="0"/>
              </w:rPr>
              <w:t>16,542.66</w:t>
            </w:r>
          </w:p>
        </w:tc>
        <w:tc>
          <w:tcPr>
            <w:tcW w:w="2176" w:type="dxa"/>
            <w:vAlign w:val="center"/>
          </w:tcPr>
          <w:p w:rsidR="00BC1178" w:rsidRDefault="006B3260">
            <w:pPr>
              <w:jc w:val="right"/>
              <w:rPr>
                <w:color w:val="000000"/>
                <w:kern w:val="0"/>
              </w:rPr>
            </w:pPr>
            <w:r>
              <w:rPr>
                <w:color w:val="000000"/>
                <w:kern w:val="0"/>
              </w:rPr>
              <w:t>0.03</w:t>
            </w:r>
          </w:p>
        </w:tc>
      </w:tr>
      <w:tr w:rsidR="00BC1178">
        <w:trPr>
          <w:jc w:val="center"/>
        </w:trPr>
        <w:tc>
          <w:tcPr>
            <w:tcW w:w="720" w:type="dxa"/>
            <w:vAlign w:val="center"/>
          </w:tcPr>
          <w:p w:rsidR="00BC1178" w:rsidRDefault="006B3260">
            <w:pPr>
              <w:spacing w:before="29"/>
              <w:ind w:left="17"/>
              <w:jc w:val="center"/>
              <w:rPr>
                <w:color w:val="000000"/>
                <w:kern w:val="0"/>
              </w:rPr>
            </w:pPr>
            <w:r>
              <w:rPr>
                <w:color w:val="000000"/>
                <w:kern w:val="0"/>
              </w:rPr>
              <w:t>8</w:t>
            </w:r>
          </w:p>
        </w:tc>
        <w:tc>
          <w:tcPr>
            <w:tcW w:w="3209" w:type="dxa"/>
            <w:vAlign w:val="center"/>
          </w:tcPr>
          <w:p w:rsidR="00BC1178" w:rsidRDefault="006B3260">
            <w:pPr>
              <w:jc w:val="left"/>
              <w:rPr>
                <w:kern w:val="0"/>
              </w:rPr>
            </w:pPr>
            <w:r>
              <w:rPr>
                <w:color w:val="000000"/>
                <w:kern w:val="0"/>
              </w:rPr>
              <w:t>合计</w:t>
            </w:r>
          </w:p>
        </w:tc>
        <w:tc>
          <w:tcPr>
            <w:tcW w:w="2977" w:type="dxa"/>
            <w:vAlign w:val="center"/>
          </w:tcPr>
          <w:p w:rsidR="00BC1178" w:rsidRDefault="006B3260">
            <w:pPr>
              <w:jc w:val="right"/>
              <w:rPr>
                <w:color w:val="000000"/>
                <w:kern w:val="0"/>
              </w:rPr>
            </w:pPr>
            <w:r>
              <w:rPr>
                <w:color w:val="000000"/>
                <w:kern w:val="0"/>
              </w:rPr>
              <w:t>48,402,702.52</w:t>
            </w:r>
          </w:p>
        </w:tc>
        <w:tc>
          <w:tcPr>
            <w:tcW w:w="2176" w:type="dxa"/>
            <w:vAlign w:val="center"/>
          </w:tcPr>
          <w:p w:rsidR="00BC1178" w:rsidRDefault="006B3260">
            <w:pPr>
              <w:jc w:val="right"/>
              <w:rPr>
                <w:color w:val="000000"/>
                <w:kern w:val="0"/>
              </w:rPr>
            </w:pPr>
            <w:r>
              <w:rPr>
                <w:color w:val="000000"/>
                <w:kern w:val="0"/>
              </w:rPr>
              <w:t>100.00</w:t>
            </w:r>
          </w:p>
        </w:tc>
      </w:tr>
    </w:tbl>
    <w:p w:rsidR="00BC1178" w:rsidRDefault="006B3260">
      <w:pPr>
        <w:autoSpaceDE w:val="0"/>
        <w:autoSpaceDN w:val="0"/>
        <w:adjustRightInd w:val="0"/>
        <w:spacing w:line="360" w:lineRule="auto"/>
        <w:jc w:val="left"/>
        <w:rPr>
          <w:b/>
          <w:bCs/>
          <w:color w:val="000000"/>
          <w:kern w:val="0"/>
        </w:rPr>
      </w:pPr>
      <w:r>
        <w:rPr>
          <w:b/>
          <w:bCs/>
          <w:color w:val="000000"/>
          <w:kern w:val="0"/>
        </w:rPr>
        <w:t xml:space="preserve">5.2 </w:t>
      </w:r>
      <w:r>
        <w:rPr>
          <w:b/>
          <w:bCs/>
          <w:color w:val="000000"/>
          <w:kern w:val="0"/>
        </w:rPr>
        <w:t>报告期末按行业分类的股票投资组合</w:t>
      </w:r>
    </w:p>
    <w:p w:rsidR="00BC1178" w:rsidRDefault="006B3260">
      <w:pPr>
        <w:spacing w:line="360" w:lineRule="auto"/>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46"/>
        <w:gridCol w:w="1985"/>
      </w:tblGrid>
      <w:tr w:rsidR="00BC1178">
        <w:trPr>
          <w:trHeight w:val="390"/>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BC1178" w:rsidRDefault="006B3260">
            <w:pPr>
              <w:adjustRightInd w:val="0"/>
              <w:snapToGrid w:val="0"/>
              <w:jc w:val="center"/>
            </w:pPr>
            <w: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center"/>
            </w:pPr>
            <w:r>
              <w:t>行业类别</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adjustRightInd w:val="0"/>
              <w:snapToGrid w:val="0"/>
              <w:jc w:val="center"/>
            </w:pPr>
            <w:r>
              <w:t>公允价值（元）</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占基金资产净值比例（％）</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农、林、牧、渔业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autoSpaceDE w:val="0"/>
              <w:autoSpaceDN w:val="0"/>
              <w:adjustRightInd w:val="0"/>
              <w:spacing w:before="29"/>
              <w:ind w:left="15"/>
              <w:jc w:val="right"/>
            </w:pPr>
            <w:r>
              <w:t>795,096.00</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utoSpaceDE w:val="0"/>
              <w:autoSpaceDN w:val="0"/>
              <w:adjustRightInd w:val="0"/>
              <w:spacing w:before="29"/>
              <w:ind w:left="15"/>
              <w:jc w:val="right"/>
            </w:pPr>
            <w:r>
              <w:t>1.65</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采矿业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p w:rsidR="00BC1178" w:rsidRDefault="00BC1178">
            <w:pPr>
              <w:jc w:val="right"/>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p w:rsidR="00BC1178" w:rsidRDefault="00BC1178">
            <w:pPr>
              <w:jc w:val="right"/>
            </w:pP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制造业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13,985,510.81</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29.04</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电力、热力、燃气及水生产和供应业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建筑业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批发和零售业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交通运输、仓储和邮政业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住宿和餐饮业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pPr>
            <w: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pPr>
            <w:r>
              <w:t>信息传输、软件和信息技术服务业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adjustRightInd w:val="0"/>
              <w:snapToGrid w:val="0"/>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金融业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房地产业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租赁和商务服务业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2,318,124.00</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4.81</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科学研究和技术服务业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水利、环境和公共设施管理业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居民服务、修理和其他服务业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教育</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卫生和社会工作</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文化、体育和娱乐业</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adjustRightInd w:val="0"/>
              <w:snapToGrid w:val="0"/>
              <w:jc w:val="center"/>
              <w:rPr>
                <w:color w:val="000000"/>
              </w:rPr>
            </w:pPr>
            <w:r>
              <w:rPr>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综合</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w:t>
            </w:r>
          </w:p>
        </w:tc>
      </w:tr>
      <w:tr w:rsidR="00BC1178">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BC1178">
            <w:pPr>
              <w:adjustRightInd w:val="0"/>
              <w:snapToGrid w:val="0"/>
              <w:jc w:val="center"/>
              <w:rPr>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C1178" w:rsidRDefault="006B3260">
            <w:pPr>
              <w:adjustRightInd w:val="0"/>
              <w:snapToGrid w:val="0"/>
              <w:jc w:val="left"/>
              <w:rPr>
                <w:color w:val="000000"/>
              </w:rPr>
            </w:pPr>
            <w:r>
              <w:rPr>
                <w:color w:val="000000"/>
              </w:rPr>
              <w:t>合计</w:t>
            </w:r>
          </w:p>
        </w:tc>
        <w:tc>
          <w:tcPr>
            <w:tcW w:w="2846" w:type="dxa"/>
            <w:tcBorders>
              <w:top w:val="single" w:sz="4" w:space="0" w:color="000000"/>
              <w:left w:val="single" w:sz="4" w:space="0" w:color="auto"/>
              <w:bottom w:val="single" w:sz="4" w:space="0" w:color="000000"/>
              <w:right w:val="single" w:sz="4" w:space="0" w:color="000000"/>
            </w:tcBorders>
            <w:vAlign w:val="center"/>
          </w:tcPr>
          <w:p w:rsidR="00BC1178" w:rsidRDefault="006B3260">
            <w:pPr>
              <w:jc w:val="right"/>
            </w:pPr>
            <w:r>
              <w:t>17,098,730.81</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C1178" w:rsidRDefault="006B3260">
            <w:pPr>
              <w:jc w:val="right"/>
            </w:pPr>
            <w:r>
              <w:t>35.51</w:t>
            </w:r>
          </w:p>
        </w:tc>
      </w:tr>
    </w:tbl>
    <w:p w:rsidR="00BC1178" w:rsidRDefault="006B3260">
      <w:pPr>
        <w:spacing w:line="360" w:lineRule="auto"/>
        <w:jc w:val="left"/>
        <w:rPr>
          <w:rFonts w:asciiTheme="minorEastAsia" w:eastAsiaTheme="minorEastAsia" w:hAnsiTheme="minorEastAsia"/>
          <w:b/>
          <w:bCs/>
          <w:color w:val="000000" w:themeColor="text1"/>
          <w:kern w:val="0"/>
        </w:rPr>
      </w:pPr>
      <w:r>
        <w:rPr>
          <w:rFonts w:asciiTheme="minorEastAsia" w:eastAsiaTheme="minorEastAsia" w:hAnsiTheme="minorEastAsia" w:hint="eastAsia"/>
          <w:b/>
          <w:bCs/>
          <w:color w:val="000000" w:themeColor="text1"/>
          <w:kern w:val="0"/>
        </w:rPr>
        <w:t>5.2.2</w:t>
      </w:r>
      <w:r>
        <w:rPr>
          <w:rFonts w:asciiTheme="minorEastAsia" w:eastAsiaTheme="minorEastAsia" w:hAnsiTheme="minorEastAsia" w:hint="eastAsia"/>
          <w:b/>
          <w:bCs/>
          <w:color w:val="000000" w:themeColor="text1"/>
          <w:kern w:val="0"/>
        </w:rPr>
        <w:t>报告期末按行业分类的港股通投资股票投资组合</w:t>
      </w:r>
    </w:p>
    <w:p w:rsidR="00BC1178" w:rsidRDefault="006B3260">
      <w:pPr>
        <w:spacing w:line="360" w:lineRule="auto"/>
        <w:ind w:left="17"/>
        <w:rPr>
          <w:color w:val="000000"/>
        </w:rPr>
      </w:pPr>
      <w:r>
        <w:rPr>
          <w:color w:val="000000"/>
        </w:rPr>
        <w:t>本基金本报告期末未持有港股通投资股票。</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5.3 </w:t>
      </w:r>
      <w:r>
        <w:rPr>
          <w:b/>
          <w:bCs/>
          <w:color w:val="000000"/>
          <w:kern w:val="0"/>
        </w:rPr>
        <w:t>报告期末按公允价值占基金资产净值比例大小排序的前十名股票投资明细</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6"/>
        <w:gridCol w:w="1559"/>
        <w:gridCol w:w="1701"/>
        <w:gridCol w:w="2127"/>
        <w:gridCol w:w="1559"/>
      </w:tblGrid>
      <w:tr w:rsidR="00BC1178">
        <w:tc>
          <w:tcPr>
            <w:tcW w:w="993" w:type="dxa"/>
            <w:vAlign w:val="center"/>
          </w:tcPr>
          <w:p w:rsidR="00BC1178" w:rsidRDefault="006B3260">
            <w:pPr>
              <w:spacing w:before="29"/>
              <w:ind w:left="17"/>
              <w:jc w:val="center"/>
              <w:rPr>
                <w:color w:val="000000"/>
                <w:kern w:val="0"/>
              </w:rPr>
            </w:pPr>
            <w:r>
              <w:rPr>
                <w:color w:val="000000"/>
                <w:kern w:val="0"/>
              </w:rPr>
              <w:t>序号</w:t>
            </w:r>
          </w:p>
        </w:tc>
        <w:tc>
          <w:tcPr>
            <w:tcW w:w="1276" w:type="dxa"/>
            <w:vAlign w:val="center"/>
          </w:tcPr>
          <w:p w:rsidR="00BC1178" w:rsidRDefault="006B3260">
            <w:pPr>
              <w:spacing w:before="29"/>
              <w:ind w:left="17"/>
              <w:jc w:val="center"/>
              <w:rPr>
                <w:color w:val="000000"/>
                <w:kern w:val="0"/>
              </w:rPr>
            </w:pPr>
            <w:r>
              <w:rPr>
                <w:color w:val="000000"/>
                <w:kern w:val="0"/>
              </w:rPr>
              <w:t>股票代码</w:t>
            </w:r>
          </w:p>
        </w:tc>
        <w:tc>
          <w:tcPr>
            <w:tcW w:w="1559" w:type="dxa"/>
            <w:vAlign w:val="center"/>
          </w:tcPr>
          <w:p w:rsidR="00BC1178" w:rsidRDefault="006B3260">
            <w:pPr>
              <w:spacing w:before="29"/>
              <w:ind w:left="17"/>
              <w:jc w:val="center"/>
              <w:rPr>
                <w:color w:val="000000"/>
                <w:kern w:val="0"/>
              </w:rPr>
            </w:pPr>
            <w:r>
              <w:rPr>
                <w:color w:val="000000"/>
                <w:kern w:val="0"/>
              </w:rPr>
              <w:t>股票名称</w:t>
            </w:r>
          </w:p>
        </w:tc>
        <w:tc>
          <w:tcPr>
            <w:tcW w:w="1701" w:type="dxa"/>
            <w:vAlign w:val="center"/>
          </w:tcPr>
          <w:p w:rsidR="00BC1178" w:rsidRDefault="006B3260">
            <w:pPr>
              <w:spacing w:before="29"/>
              <w:ind w:left="17"/>
              <w:jc w:val="center"/>
              <w:rPr>
                <w:color w:val="000000"/>
                <w:kern w:val="0"/>
              </w:rPr>
            </w:pPr>
            <w:r>
              <w:rPr>
                <w:color w:val="000000"/>
                <w:kern w:val="0"/>
              </w:rPr>
              <w:t>数量</w:t>
            </w:r>
            <w:r>
              <w:rPr>
                <w:color w:val="000000"/>
                <w:kern w:val="0"/>
              </w:rPr>
              <w:t>(</w:t>
            </w:r>
            <w:r>
              <w:rPr>
                <w:color w:val="000000"/>
                <w:kern w:val="0"/>
              </w:rPr>
              <w:t>股</w:t>
            </w:r>
            <w:r>
              <w:rPr>
                <w:color w:val="000000"/>
                <w:kern w:val="0"/>
              </w:rPr>
              <w:t>)</w:t>
            </w:r>
          </w:p>
        </w:tc>
        <w:tc>
          <w:tcPr>
            <w:tcW w:w="2127" w:type="dxa"/>
            <w:vAlign w:val="center"/>
          </w:tcPr>
          <w:p w:rsidR="00BC1178" w:rsidRDefault="006B3260">
            <w:pPr>
              <w:autoSpaceDE w:val="0"/>
              <w:autoSpaceDN w:val="0"/>
              <w:adjustRightInd w:val="0"/>
              <w:spacing w:before="29"/>
              <w:ind w:left="17"/>
              <w:jc w:val="center"/>
              <w:rPr>
                <w:color w:val="000000"/>
                <w:kern w:val="0"/>
              </w:rPr>
            </w:pPr>
            <w:r>
              <w:rPr>
                <w:color w:val="000000"/>
                <w:kern w:val="0"/>
              </w:rPr>
              <w:t>公允价值</w:t>
            </w:r>
            <w:r>
              <w:rPr>
                <w:color w:val="000000"/>
                <w:kern w:val="0"/>
              </w:rPr>
              <w:t>(</w:t>
            </w:r>
            <w:r>
              <w:rPr>
                <w:color w:val="000000"/>
                <w:kern w:val="0"/>
              </w:rPr>
              <w:t>元</w:t>
            </w:r>
            <w:r>
              <w:rPr>
                <w:color w:val="000000"/>
                <w:kern w:val="0"/>
              </w:rPr>
              <w:t>)</w:t>
            </w:r>
          </w:p>
        </w:tc>
        <w:tc>
          <w:tcPr>
            <w:tcW w:w="1559" w:type="dxa"/>
            <w:vAlign w:val="center"/>
          </w:tcPr>
          <w:p w:rsidR="00BC1178" w:rsidRDefault="006B3260">
            <w:pPr>
              <w:spacing w:before="29"/>
              <w:ind w:left="17"/>
              <w:jc w:val="center"/>
              <w:rPr>
                <w:color w:val="000000"/>
                <w:kern w:val="0"/>
              </w:rPr>
            </w:pPr>
            <w:r>
              <w:rPr>
                <w:color w:val="000000"/>
                <w:kern w:val="0"/>
              </w:rPr>
              <w:t>占基金资产净值比例</w:t>
            </w:r>
            <w:r>
              <w:rPr>
                <w:color w:val="000000"/>
                <w:kern w:val="0"/>
              </w:rPr>
              <w:t>(</w:t>
            </w:r>
            <w:r>
              <w:rPr>
                <w:color w:val="000000"/>
                <w:kern w:val="0"/>
              </w:rPr>
              <w:t>％</w:t>
            </w:r>
            <w:r>
              <w:rPr>
                <w:color w:val="000000"/>
                <w:kern w:val="0"/>
              </w:rPr>
              <w:t>)</w:t>
            </w:r>
          </w:p>
        </w:tc>
      </w:tr>
      <w:tr w:rsidR="00BC1178">
        <w:tc>
          <w:tcPr>
            <w:tcW w:w="993" w:type="dxa"/>
            <w:vAlign w:val="center"/>
          </w:tcPr>
          <w:p w:rsidR="00BC1178" w:rsidRDefault="006B3260">
            <w:pPr>
              <w:jc w:val="center"/>
            </w:pPr>
            <w:r>
              <w:rPr>
                <w:color w:val="000000"/>
                <w:kern w:val="0"/>
              </w:rPr>
              <w:t>1</w:t>
            </w:r>
          </w:p>
        </w:tc>
        <w:tc>
          <w:tcPr>
            <w:tcW w:w="1276" w:type="dxa"/>
            <w:vAlign w:val="center"/>
          </w:tcPr>
          <w:p w:rsidR="00BC1178" w:rsidRDefault="006B3260">
            <w:pPr>
              <w:jc w:val="center"/>
            </w:pPr>
            <w:r>
              <w:rPr>
                <w:color w:val="000000"/>
                <w:kern w:val="0"/>
              </w:rPr>
              <w:t>600519</w:t>
            </w:r>
          </w:p>
        </w:tc>
        <w:tc>
          <w:tcPr>
            <w:tcW w:w="1559" w:type="dxa"/>
            <w:vAlign w:val="center"/>
          </w:tcPr>
          <w:p w:rsidR="00BC1178" w:rsidRDefault="006B3260">
            <w:pPr>
              <w:jc w:val="center"/>
            </w:pPr>
            <w:r>
              <w:rPr>
                <w:color w:val="000000"/>
                <w:kern w:val="0"/>
              </w:rPr>
              <w:t>贵州茅台</w:t>
            </w:r>
          </w:p>
        </w:tc>
        <w:tc>
          <w:tcPr>
            <w:tcW w:w="1701" w:type="dxa"/>
            <w:vAlign w:val="center"/>
          </w:tcPr>
          <w:p w:rsidR="00BC1178" w:rsidRDefault="006B3260">
            <w:pPr>
              <w:jc w:val="right"/>
            </w:pPr>
            <w:r>
              <w:rPr>
                <w:color w:val="000000"/>
                <w:kern w:val="0"/>
              </w:rPr>
              <w:t>3,979</w:t>
            </w:r>
          </w:p>
        </w:tc>
        <w:tc>
          <w:tcPr>
            <w:tcW w:w="2127" w:type="dxa"/>
            <w:vAlign w:val="center"/>
          </w:tcPr>
          <w:p w:rsidR="00BC1178" w:rsidRDefault="006B3260">
            <w:pPr>
              <w:jc w:val="right"/>
            </w:pPr>
            <w:r>
              <w:rPr>
                <w:color w:val="000000"/>
                <w:kern w:val="0"/>
              </w:rPr>
              <w:t>2,904,670.00</w:t>
            </w:r>
          </w:p>
        </w:tc>
        <w:tc>
          <w:tcPr>
            <w:tcW w:w="1559" w:type="dxa"/>
            <w:vAlign w:val="center"/>
          </w:tcPr>
          <w:p w:rsidR="00BC1178" w:rsidRDefault="006B3260">
            <w:pPr>
              <w:jc w:val="right"/>
            </w:pPr>
            <w:r>
              <w:rPr>
                <w:color w:val="000000"/>
                <w:kern w:val="0"/>
              </w:rPr>
              <w:t>6.03</w:t>
            </w:r>
          </w:p>
        </w:tc>
      </w:tr>
      <w:tr w:rsidR="00BC1178">
        <w:tc>
          <w:tcPr>
            <w:tcW w:w="993" w:type="dxa"/>
            <w:vAlign w:val="center"/>
          </w:tcPr>
          <w:p w:rsidR="00BC1178" w:rsidRDefault="006B3260">
            <w:pPr>
              <w:jc w:val="center"/>
            </w:pPr>
            <w:r>
              <w:rPr>
                <w:color w:val="000000"/>
                <w:kern w:val="0"/>
              </w:rPr>
              <w:t>2</w:t>
            </w:r>
          </w:p>
        </w:tc>
        <w:tc>
          <w:tcPr>
            <w:tcW w:w="1276" w:type="dxa"/>
            <w:vAlign w:val="center"/>
          </w:tcPr>
          <w:p w:rsidR="00BC1178" w:rsidRDefault="006B3260">
            <w:pPr>
              <w:jc w:val="center"/>
            </w:pPr>
            <w:r>
              <w:rPr>
                <w:color w:val="000000"/>
                <w:kern w:val="0"/>
              </w:rPr>
              <w:t>000858</w:t>
            </w:r>
          </w:p>
        </w:tc>
        <w:tc>
          <w:tcPr>
            <w:tcW w:w="1559" w:type="dxa"/>
            <w:vAlign w:val="center"/>
          </w:tcPr>
          <w:p w:rsidR="00BC1178" w:rsidRDefault="006B3260">
            <w:pPr>
              <w:jc w:val="center"/>
            </w:pPr>
            <w:r>
              <w:rPr>
                <w:color w:val="000000"/>
                <w:kern w:val="0"/>
              </w:rPr>
              <w:t>五粮液</w:t>
            </w:r>
          </w:p>
        </w:tc>
        <w:tc>
          <w:tcPr>
            <w:tcW w:w="1701" w:type="dxa"/>
            <w:vAlign w:val="center"/>
          </w:tcPr>
          <w:p w:rsidR="00BC1178" w:rsidRDefault="006B3260">
            <w:pPr>
              <w:jc w:val="right"/>
            </w:pPr>
            <w:r>
              <w:rPr>
                <w:color w:val="000000"/>
                <w:kern w:val="0"/>
              </w:rPr>
              <w:t>39,670</w:t>
            </w:r>
          </w:p>
        </w:tc>
        <w:tc>
          <w:tcPr>
            <w:tcW w:w="2127" w:type="dxa"/>
            <w:vAlign w:val="center"/>
          </w:tcPr>
          <w:p w:rsidR="00BC1178" w:rsidRDefault="006B3260">
            <w:pPr>
              <w:jc w:val="right"/>
            </w:pPr>
            <w:r>
              <w:rPr>
                <w:color w:val="000000"/>
                <w:kern w:val="0"/>
              </w:rPr>
              <w:t>2,695,576.50</w:t>
            </w:r>
          </w:p>
        </w:tc>
        <w:tc>
          <w:tcPr>
            <w:tcW w:w="1559" w:type="dxa"/>
            <w:vAlign w:val="center"/>
          </w:tcPr>
          <w:p w:rsidR="00BC1178" w:rsidRDefault="006B3260">
            <w:pPr>
              <w:jc w:val="right"/>
            </w:pPr>
            <w:r>
              <w:rPr>
                <w:color w:val="000000"/>
                <w:kern w:val="0"/>
              </w:rPr>
              <w:t>5.60</w:t>
            </w:r>
          </w:p>
        </w:tc>
      </w:tr>
      <w:tr w:rsidR="00BC1178">
        <w:tc>
          <w:tcPr>
            <w:tcW w:w="993" w:type="dxa"/>
            <w:vAlign w:val="center"/>
          </w:tcPr>
          <w:p w:rsidR="00BC1178" w:rsidRDefault="006B3260">
            <w:pPr>
              <w:jc w:val="center"/>
            </w:pPr>
            <w:r>
              <w:rPr>
                <w:color w:val="000000"/>
                <w:kern w:val="0"/>
              </w:rPr>
              <w:t>3</w:t>
            </w:r>
          </w:p>
        </w:tc>
        <w:tc>
          <w:tcPr>
            <w:tcW w:w="1276" w:type="dxa"/>
            <w:vAlign w:val="center"/>
          </w:tcPr>
          <w:p w:rsidR="00BC1178" w:rsidRDefault="006B3260">
            <w:pPr>
              <w:jc w:val="center"/>
            </w:pPr>
            <w:r>
              <w:rPr>
                <w:color w:val="000000"/>
                <w:kern w:val="0"/>
              </w:rPr>
              <w:t>600887</w:t>
            </w:r>
          </w:p>
        </w:tc>
        <w:tc>
          <w:tcPr>
            <w:tcW w:w="1559" w:type="dxa"/>
            <w:vAlign w:val="center"/>
          </w:tcPr>
          <w:p w:rsidR="00BC1178" w:rsidRDefault="006B3260">
            <w:pPr>
              <w:jc w:val="center"/>
            </w:pPr>
            <w:r>
              <w:rPr>
                <w:color w:val="000000"/>
                <w:kern w:val="0"/>
              </w:rPr>
              <w:t>伊利股份</w:t>
            </w:r>
          </w:p>
        </w:tc>
        <w:tc>
          <w:tcPr>
            <w:tcW w:w="1701" w:type="dxa"/>
            <w:vAlign w:val="center"/>
          </w:tcPr>
          <w:p w:rsidR="00BC1178" w:rsidRDefault="006B3260">
            <w:pPr>
              <w:jc w:val="right"/>
            </w:pPr>
            <w:r>
              <w:rPr>
                <w:color w:val="000000"/>
                <w:kern w:val="0"/>
              </w:rPr>
              <w:t>96,200</w:t>
            </w:r>
          </w:p>
        </w:tc>
        <w:tc>
          <w:tcPr>
            <w:tcW w:w="2127" w:type="dxa"/>
            <w:vAlign w:val="center"/>
          </w:tcPr>
          <w:p w:rsidR="00BC1178" w:rsidRDefault="006B3260">
            <w:pPr>
              <w:jc w:val="right"/>
            </w:pPr>
            <w:r>
              <w:rPr>
                <w:color w:val="000000"/>
                <w:kern w:val="0"/>
              </w:rPr>
              <w:t>2,470,416.00</w:t>
            </w:r>
          </w:p>
        </w:tc>
        <w:tc>
          <w:tcPr>
            <w:tcW w:w="1559" w:type="dxa"/>
            <w:vAlign w:val="center"/>
          </w:tcPr>
          <w:p w:rsidR="00BC1178" w:rsidRDefault="006B3260">
            <w:pPr>
              <w:jc w:val="right"/>
            </w:pPr>
            <w:r>
              <w:rPr>
                <w:color w:val="000000"/>
                <w:kern w:val="0"/>
              </w:rPr>
              <w:t>5.13</w:t>
            </w:r>
          </w:p>
        </w:tc>
      </w:tr>
      <w:tr w:rsidR="00BC1178">
        <w:tc>
          <w:tcPr>
            <w:tcW w:w="993" w:type="dxa"/>
            <w:vAlign w:val="center"/>
          </w:tcPr>
          <w:p w:rsidR="00BC1178" w:rsidRDefault="006B3260">
            <w:pPr>
              <w:jc w:val="center"/>
            </w:pPr>
            <w:r>
              <w:rPr>
                <w:color w:val="000000"/>
                <w:kern w:val="0"/>
              </w:rPr>
              <w:t>4</w:t>
            </w:r>
          </w:p>
        </w:tc>
        <w:tc>
          <w:tcPr>
            <w:tcW w:w="1276" w:type="dxa"/>
            <w:vAlign w:val="center"/>
          </w:tcPr>
          <w:p w:rsidR="00BC1178" w:rsidRDefault="006B3260">
            <w:pPr>
              <w:jc w:val="center"/>
            </w:pPr>
            <w:r>
              <w:rPr>
                <w:color w:val="000000"/>
                <w:kern w:val="0"/>
              </w:rPr>
              <w:t>002027</w:t>
            </w:r>
          </w:p>
        </w:tc>
        <w:tc>
          <w:tcPr>
            <w:tcW w:w="1559" w:type="dxa"/>
            <w:vAlign w:val="center"/>
          </w:tcPr>
          <w:p w:rsidR="00BC1178" w:rsidRDefault="006B3260">
            <w:pPr>
              <w:jc w:val="center"/>
            </w:pPr>
            <w:r>
              <w:rPr>
                <w:color w:val="000000"/>
                <w:kern w:val="0"/>
              </w:rPr>
              <w:t>分众传媒</w:t>
            </w:r>
          </w:p>
        </w:tc>
        <w:tc>
          <w:tcPr>
            <w:tcW w:w="1701" w:type="dxa"/>
            <w:vAlign w:val="center"/>
          </w:tcPr>
          <w:p w:rsidR="00BC1178" w:rsidRDefault="006B3260">
            <w:pPr>
              <w:jc w:val="right"/>
            </w:pPr>
            <w:r>
              <w:rPr>
                <w:color w:val="000000"/>
                <w:kern w:val="0"/>
              </w:rPr>
              <w:t>272,400</w:t>
            </w:r>
          </w:p>
        </w:tc>
        <w:tc>
          <w:tcPr>
            <w:tcW w:w="2127" w:type="dxa"/>
            <w:vAlign w:val="center"/>
          </w:tcPr>
          <w:p w:rsidR="00BC1178" w:rsidRDefault="006B3260">
            <w:pPr>
              <w:jc w:val="right"/>
            </w:pPr>
            <w:r>
              <w:rPr>
                <w:color w:val="000000"/>
                <w:kern w:val="0"/>
              </w:rPr>
              <w:t>2,318,124.00</w:t>
            </w:r>
          </w:p>
        </w:tc>
        <w:tc>
          <w:tcPr>
            <w:tcW w:w="1559" w:type="dxa"/>
            <w:vAlign w:val="center"/>
          </w:tcPr>
          <w:p w:rsidR="00BC1178" w:rsidRDefault="006B3260">
            <w:pPr>
              <w:jc w:val="right"/>
            </w:pPr>
            <w:r>
              <w:rPr>
                <w:color w:val="000000"/>
                <w:kern w:val="0"/>
              </w:rPr>
              <w:t>4.81</w:t>
            </w:r>
          </w:p>
        </w:tc>
      </w:tr>
      <w:tr w:rsidR="00BC1178">
        <w:tc>
          <w:tcPr>
            <w:tcW w:w="993" w:type="dxa"/>
            <w:vAlign w:val="center"/>
          </w:tcPr>
          <w:p w:rsidR="00BC1178" w:rsidRDefault="006B3260">
            <w:pPr>
              <w:jc w:val="center"/>
            </w:pPr>
            <w:r>
              <w:rPr>
                <w:color w:val="000000"/>
                <w:kern w:val="0"/>
              </w:rPr>
              <w:t>5</w:t>
            </w:r>
          </w:p>
        </w:tc>
        <w:tc>
          <w:tcPr>
            <w:tcW w:w="1276" w:type="dxa"/>
            <w:vAlign w:val="center"/>
          </w:tcPr>
          <w:p w:rsidR="00BC1178" w:rsidRDefault="006B3260">
            <w:pPr>
              <w:jc w:val="center"/>
            </w:pPr>
            <w:r>
              <w:rPr>
                <w:color w:val="000000"/>
                <w:kern w:val="0"/>
              </w:rPr>
              <w:t>000651</w:t>
            </w:r>
          </w:p>
        </w:tc>
        <w:tc>
          <w:tcPr>
            <w:tcW w:w="1559" w:type="dxa"/>
            <w:vAlign w:val="center"/>
          </w:tcPr>
          <w:p w:rsidR="00BC1178" w:rsidRDefault="006B3260">
            <w:pPr>
              <w:jc w:val="center"/>
            </w:pPr>
            <w:r>
              <w:rPr>
                <w:color w:val="000000"/>
                <w:kern w:val="0"/>
              </w:rPr>
              <w:t>格力电器</w:t>
            </w:r>
          </w:p>
        </w:tc>
        <w:tc>
          <w:tcPr>
            <w:tcW w:w="1701" w:type="dxa"/>
            <w:vAlign w:val="center"/>
          </w:tcPr>
          <w:p w:rsidR="00BC1178" w:rsidRDefault="006B3260">
            <w:pPr>
              <w:jc w:val="right"/>
            </w:pPr>
            <w:r>
              <w:rPr>
                <w:color w:val="000000"/>
                <w:kern w:val="0"/>
              </w:rPr>
              <w:t>57,047</w:t>
            </w:r>
          </w:p>
        </w:tc>
        <w:tc>
          <w:tcPr>
            <w:tcW w:w="2127" w:type="dxa"/>
            <w:vAlign w:val="center"/>
          </w:tcPr>
          <w:p w:rsidR="00BC1178" w:rsidRDefault="006B3260">
            <w:pPr>
              <w:jc w:val="right"/>
            </w:pPr>
            <w:r>
              <w:rPr>
                <w:color w:val="000000"/>
                <w:kern w:val="0"/>
              </w:rPr>
              <w:t>2,293,289.40</w:t>
            </w:r>
          </w:p>
        </w:tc>
        <w:tc>
          <w:tcPr>
            <w:tcW w:w="1559" w:type="dxa"/>
            <w:vAlign w:val="center"/>
          </w:tcPr>
          <w:p w:rsidR="00BC1178" w:rsidRDefault="006B3260">
            <w:pPr>
              <w:jc w:val="right"/>
            </w:pPr>
            <w:r>
              <w:rPr>
                <w:color w:val="000000"/>
                <w:kern w:val="0"/>
              </w:rPr>
              <w:t>4.76</w:t>
            </w:r>
          </w:p>
        </w:tc>
      </w:tr>
      <w:tr w:rsidR="00BC1178">
        <w:tc>
          <w:tcPr>
            <w:tcW w:w="993" w:type="dxa"/>
            <w:vAlign w:val="center"/>
          </w:tcPr>
          <w:p w:rsidR="00BC1178" w:rsidRDefault="006B3260">
            <w:pPr>
              <w:jc w:val="center"/>
            </w:pPr>
            <w:r>
              <w:rPr>
                <w:color w:val="000000"/>
                <w:kern w:val="0"/>
              </w:rPr>
              <w:t>6</w:t>
            </w:r>
          </w:p>
        </w:tc>
        <w:tc>
          <w:tcPr>
            <w:tcW w:w="1276" w:type="dxa"/>
            <w:vAlign w:val="center"/>
          </w:tcPr>
          <w:p w:rsidR="00BC1178" w:rsidRDefault="006B3260">
            <w:pPr>
              <w:jc w:val="center"/>
            </w:pPr>
            <w:r>
              <w:rPr>
                <w:color w:val="000000"/>
                <w:kern w:val="0"/>
              </w:rPr>
              <w:t>603899</w:t>
            </w:r>
          </w:p>
        </w:tc>
        <w:tc>
          <w:tcPr>
            <w:tcW w:w="1559" w:type="dxa"/>
            <w:vAlign w:val="center"/>
          </w:tcPr>
          <w:p w:rsidR="00BC1178" w:rsidRDefault="006B3260">
            <w:pPr>
              <w:jc w:val="center"/>
            </w:pPr>
            <w:r>
              <w:rPr>
                <w:color w:val="000000"/>
                <w:kern w:val="0"/>
              </w:rPr>
              <w:t>晨光文具</w:t>
            </w:r>
          </w:p>
        </w:tc>
        <w:tc>
          <w:tcPr>
            <w:tcW w:w="1701" w:type="dxa"/>
            <w:vAlign w:val="center"/>
          </w:tcPr>
          <w:p w:rsidR="00BC1178" w:rsidRDefault="006B3260">
            <w:pPr>
              <w:jc w:val="right"/>
            </w:pPr>
            <w:r>
              <w:rPr>
                <w:color w:val="000000"/>
                <w:kern w:val="0"/>
              </w:rPr>
              <w:t>62,000</w:t>
            </w:r>
          </w:p>
        </w:tc>
        <w:tc>
          <w:tcPr>
            <w:tcW w:w="2127" w:type="dxa"/>
            <w:vAlign w:val="center"/>
          </w:tcPr>
          <w:p w:rsidR="00BC1178" w:rsidRDefault="006B3260">
            <w:pPr>
              <w:jc w:val="right"/>
            </w:pPr>
            <w:r>
              <w:rPr>
                <w:color w:val="000000"/>
                <w:kern w:val="0"/>
              </w:rPr>
              <w:t>1,925,100.00</w:t>
            </w:r>
          </w:p>
        </w:tc>
        <w:tc>
          <w:tcPr>
            <w:tcW w:w="1559" w:type="dxa"/>
            <w:vAlign w:val="center"/>
          </w:tcPr>
          <w:p w:rsidR="00BC1178" w:rsidRDefault="006B3260">
            <w:pPr>
              <w:jc w:val="right"/>
            </w:pPr>
            <w:r>
              <w:rPr>
                <w:color w:val="000000"/>
                <w:kern w:val="0"/>
              </w:rPr>
              <w:t>4.00</w:t>
            </w:r>
          </w:p>
        </w:tc>
      </w:tr>
      <w:tr w:rsidR="00BC1178">
        <w:tc>
          <w:tcPr>
            <w:tcW w:w="993" w:type="dxa"/>
            <w:vAlign w:val="center"/>
          </w:tcPr>
          <w:p w:rsidR="00BC1178" w:rsidRDefault="006B3260">
            <w:pPr>
              <w:jc w:val="center"/>
            </w:pPr>
            <w:r>
              <w:rPr>
                <w:color w:val="000000"/>
                <w:kern w:val="0"/>
              </w:rPr>
              <w:t>7</w:t>
            </w:r>
          </w:p>
        </w:tc>
        <w:tc>
          <w:tcPr>
            <w:tcW w:w="1276" w:type="dxa"/>
            <w:vAlign w:val="center"/>
          </w:tcPr>
          <w:p w:rsidR="00BC1178" w:rsidRDefault="006B3260">
            <w:pPr>
              <w:jc w:val="center"/>
            </w:pPr>
            <w:r>
              <w:rPr>
                <w:color w:val="000000"/>
                <w:kern w:val="0"/>
              </w:rPr>
              <w:t>603369</w:t>
            </w:r>
          </w:p>
        </w:tc>
        <w:tc>
          <w:tcPr>
            <w:tcW w:w="1559" w:type="dxa"/>
            <w:vAlign w:val="center"/>
          </w:tcPr>
          <w:p w:rsidR="00BC1178" w:rsidRDefault="006B3260">
            <w:pPr>
              <w:jc w:val="center"/>
            </w:pPr>
            <w:r>
              <w:rPr>
                <w:color w:val="000000"/>
                <w:kern w:val="0"/>
              </w:rPr>
              <w:t>今世缘</w:t>
            </w:r>
          </w:p>
        </w:tc>
        <w:tc>
          <w:tcPr>
            <w:tcW w:w="1701" w:type="dxa"/>
            <w:vAlign w:val="center"/>
          </w:tcPr>
          <w:p w:rsidR="00BC1178" w:rsidRDefault="006B3260">
            <w:pPr>
              <w:jc w:val="right"/>
            </w:pPr>
            <w:r>
              <w:rPr>
                <w:color w:val="000000"/>
                <w:kern w:val="0"/>
              </w:rPr>
              <w:t>76,100</w:t>
            </w:r>
          </w:p>
        </w:tc>
        <w:tc>
          <w:tcPr>
            <w:tcW w:w="2127" w:type="dxa"/>
            <w:vAlign w:val="center"/>
          </w:tcPr>
          <w:p w:rsidR="00BC1178" w:rsidRDefault="006B3260">
            <w:pPr>
              <w:jc w:val="right"/>
            </w:pPr>
            <w:r>
              <w:rPr>
                <w:color w:val="000000"/>
                <w:kern w:val="0"/>
              </w:rPr>
              <w:t>1,522,000.00</w:t>
            </w:r>
          </w:p>
        </w:tc>
        <w:tc>
          <w:tcPr>
            <w:tcW w:w="1559" w:type="dxa"/>
            <w:vAlign w:val="center"/>
          </w:tcPr>
          <w:p w:rsidR="00BC1178" w:rsidRDefault="006B3260">
            <w:pPr>
              <w:jc w:val="right"/>
            </w:pPr>
            <w:r>
              <w:rPr>
                <w:color w:val="000000"/>
                <w:kern w:val="0"/>
              </w:rPr>
              <w:t>3.16</w:t>
            </w:r>
          </w:p>
        </w:tc>
      </w:tr>
      <w:tr w:rsidR="00BC1178">
        <w:tc>
          <w:tcPr>
            <w:tcW w:w="993" w:type="dxa"/>
            <w:vAlign w:val="center"/>
          </w:tcPr>
          <w:p w:rsidR="00BC1178" w:rsidRDefault="006B3260">
            <w:pPr>
              <w:jc w:val="center"/>
            </w:pPr>
            <w:r>
              <w:rPr>
                <w:color w:val="000000"/>
                <w:kern w:val="0"/>
              </w:rPr>
              <w:t>8</w:t>
            </w:r>
          </w:p>
        </w:tc>
        <w:tc>
          <w:tcPr>
            <w:tcW w:w="1276" w:type="dxa"/>
            <w:vAlign w:val="center"/>
          </w:tcPr>
          <w:p w:rsidR="00BC1178" w:rsidRDefault="006B3260">
            <w:pPr>
              <w:jc w:val="center"/>
            </w:pPr>
            <w:r>
              <w:rPr>
                <w:color w:val="000000"/>
                <w:kern w:val="0"/>
              </w:rPr>
              <w:t>002299</w:t>
            </w:r>
          </w:p>
        </w:tc>
        <w:tc>
          <w:tcPr>
            <w:tcW w:w="1559" w:type="dxa"/>
            <w:vAlign w:val="center"/>
          </w:tcPr>
          <w:p w:rsidR="00BC1178" w:rsidRDefault="006B3260">
            <w:pPr>
              <w:jc w:val="center"/>
            </w:pPr>
            <w:r>
              <w:rPr>
                <w:color w:val="000000"/>
                <w:kern w:val="0"/>
              </w:rPr>
              <w:t>圣农发展</w:t>
            </w:r>
          </w:p>
        </w:tc>
        <w:tc>
          <w:tcPr>
            <w:tcW w:w="1701" w:type="dxa"/>
            <w:vAlign w:val="center"/>
          </w:tcPr>
          <w:p w:rsidR="00BC1178" w:rsidRDefault="006B3260">
            <w:pPr>
              <w:jc w:val="right"/>
            </w:pPr>
            <w:r>
              <w:rPr>
                <w:color w:val="000000"/>
                <w:kern w:val="0"/>
              </w:rPr>
              <w:t>48,600</w:t>
            </w:r>
          </w:p>
        </w:tc>
        <w:tc>
          <w:tcPr>
            <w:tcW w:w="2127" w:type="dxa"/>
            <w:vAlign w:val="center"/>
          </w:tcPr>
          <w:p w:rsidR="00BC1178" w:rsidRDefault="006B3260">
            <w:pPr>
              <w:jc w:val="right"/>
            </w:pPr>
            <w:r>
              <w:rPr>
                <w:color w:val="000000"/>
                <w:kern w:val="0"/>
              </w:rPr>
              <w:t>795,096.00</w:t>
            </w:r>
          </w:p>
        </w:tc>
        <w:tc>
          <w:tcPr>
            <w:tcW w:w="1559" w:type="dxa"/>
            <w:vAlign w:val="center"/>
          </w:tcPr>
          <w:p w:rsidR="00BC1178" w:rsidRDefault="006B3260">
            <w:pPr>
              <w:jc w:val="right"/>
            </w:pPr>
            <w:r>
              <w:rPr>
                <w:color w:val="000000"/>
                <w:kern w:val="0"/>
              </w:rPr>
              <w:t>1.65</w:t>
            </w:r>
          </w:p>
        </w:tc>
      </w:tr>
      <w:tr w:rsidR="00BC1178">
        <w:tc>
          <w:tcPr>
            <w:tcW w:w="993" w:type="dxa"/>
            <w:vAlign w:val="center"/>
          </w:tcPr>
          <w:p w:rsidR="00BC1178" w:rsidRDefault="006B3260">
            <w:pPr>
              <w:jc w:val="center"/>
            </w:pPr>
            <w:r>
              <w:rPr>
                <w:color w:val="000000"/>
                <w:kern w:val="0"/>
              </w:rPr>
              <w:t>9</w:t>
            </w:r>
          </w:p>
        </w:tc>
        <w:tc>
          <w:tcPr>
            <w:tcW w:w="1276" w:type="dxa"/>
            <w:vAlign w:val="center"/>
          </w:tcPr>
          <w:p w:rsidR="00BC1178" w:rsidRDefault="006B3260">
            <w:pPr>
              <w:jc w:val="center"/>
            </w:pPr>
            <w:r>
              <w:rPr>
                <w:color w:val="000000"/>
                <w:kern w:val="0"/>
              </w:rPr>
              <w:t>603886</w:t>
            </w:r>
          </w:p>
        </w:tc>
        <w:tc>
          <w:tcPr>
            <w:tcW w:w="1559" w:type="dxa"/>
            <w:vAlign w:val="center"/>
          </w:tcPr>
          <w:p w:rsidR="00BC1178" w:rsidRDefault="006B3260">
            <w:pPr>
              <w:jc w:val="center"/>
            </w:pPr>
            <w:r>
              <w:rPr>
                <w:color w:val="000000"/>
                <w:kern w:val="0"/>
              </w:rPr>
              <w:t>元祖股份</w:t>
            </w:r>
          </w:p>
        </w:tc>
        <w:tc>
          <w:tcPr>
            <w:tcW w:w="1701" w:type="dxa"/>
            <w:vAlign w:val="center"/>
          </w:tcPr>
          <w:p w:rsidR="00BC1178" w:rsidRDefault="006B3260">
            <w:pPr>
              <w:jc w:val="right"/>
            </w:pPr>
            <w:r>
              <w:rPr>
                <w:color w:val="000000"/>
                <w:kern w:val="0"/>
              </w:rPr>
              <w:t>10,993</w:t>
            </w:r>
          </w:p>
        </w:tc>
        <w:tc>
          <w:tcPr>
            <w:tcW w:w="2127" w:type="dxa"/>
            <w:vAlign w:val="center"/>
          </w:tcPr>
          <w:p w:rsidR="00BC1178" w:rsidRDefault="006B3260">
            <w:pPr>
              <w:jc w:val="right"/>
            </w:pPr>
            <w:r>
              <w:rPr>
                <w:color w:val="000000"/>
                <w:kern w:val="0"/>
              </w:rPr>
              <w:t>174,458.91</w:t>
            </w:r>
          </w:p>
        </w:tc>
        <w:tc>
          <w:tcPr>
            <w:tcW w:w="1559" w:type="dxa"/>
            <w:vAlign w:val="center"/>
          </w:tcPr>
          <w:p w:rsidR="00BC1178" w:rsidRDefault="006B3260">
            <w:pPr>
              <w:jc w:val="right"/>
            </w:pPr>
            <w:r>
              <w:rPr>
                <w:color w:val="000000"/>
                <w:kern w:val="0"/>
              </w:rPr>
              <w:t>0.36</w:t>
            </w:r>
          </w:p>
        </w:tc>
      </w:tr>
    </w:tbl>
    <w:p w:rsidR="00BC1178" w:rsidRDefault="006B3260">
      <w:pPr>
        <w:autoSpaceDE w:val="0"/>
        <w:autoSpaceDN w:val="0"/>
        <w:adjustRightInd w:val="0"/>
        <w:spacing w:line="360" w:lineRule="auto"/>
        <w:jc w:val="left"/>
        <w:rPr>
          <w:b/>
          <w:bCs/>
          <w:color w:val="000000"/>
          <w:kern w:val="0"/>
        </w:rPr>
      </w:pPr>
      <w:r>
        <w:rPr>
          <w:b/>
          <w:bCs/>
          <w:color w:val="000000"/>
          <w:kern w:val="0"/>
        </w:rPr>
        <w:t xml:space="preserve">5.4 </w:t>
      </w:r>
      <w:r>
        <w:rPr>
          <w:b/>
          <w:bCs/>
          <w:color w:val="000000"/>
          <w:kern w:val="0"/>
        </w:rPr>
        <w:t>报告期末按债券品种分类的债券投资组合</w:t>
      </w:r>
    </w:p>
    <w:p w:rsidR="00BC1178" w:rsidRDefault="006B3260">
      <w:pPr>
        <w:autoSpaceDE w:val="0"/>
        <w:autoSpaceDN w:val="0"/>
        <w:adjustRightInd w:val="0"/>
        <w:spacing w:line="360" w:lineRule="auto"/>
        <w:jc w:val="left"/>
        <w:rPr>
          <w:color w:val="000000"/>
        </w:rPr>
      </w:pPr>
      <w:r>
        <w:rPr>
          <w:color w:val="000000"/>
        </w:rPr>
        <w:t>本基金本报告期末未持有债券。</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5.5 </w:t>
      </w:r>
      <w:r>
        <w:rPr>
          <w:b/>
          <w:bCs/>
          <w:color w:val="000000"/>
          <w:kern w:val="0"/>
        </w:rPr>
        <w:t>报告期末按公允价值占基金资产净值比例大小排序的前五名债券投资明细</w:t>
      </w:r>
    </w:p>
    <w:p w:rsidR="00BC1178" w:rsidRDefault="006B3260">
      <w:pPr>
        <w:autoSpaceDE w:val="0"/>
        <w:autoSpaceDN w:val="0"/>
        <w:adjustRightInd w:val="0"/>
        <w:spacing w:line="360" w:lineRule="auto"/>
        <w:jc w:val="left"/>
        <w:rPr>
          <w:color w:val="000000"/>
        </w:rPr>
      </w:pPr>
      <w:r>
        <w:rPr>
          <w:color w:val="000000"/>
        </w:rPr>
        <w:t>本基金本报告期末未持有债券。</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5.6 </w:t>
      </w:r>
      <w:r>
        <w:rPr>
          <w:b/>
          <w:bCs/>
          <w:color w:val="000000"/>
          <w:kern w:val="0"/>
        </w:rPr>
        <w:t>报告期末按公允价值占基金资产净值比例大小排序的前十名资产支持证券投资明细</w:t>
      </w:r>
    </w:p>
    <w:p w:rsidR="00BC1178" w:rsidRDefault="006B3260">
      <w:pPr>
        <w:autoSpaceDE w:val="0"/>
        <w:autoSpaceDN w:val="0"/>
        <w:adjustRightInd w:val="0"/>
        <w:spacing w:line="360" w:lineRule="auto"/>
        <w:jc w:val="left"/>
        <w:rPr>
          <w:color w:val="000000"/>
        </w:rPr>
      </w:pPr>
      <w:r>
        <w:rPr>
          <w:color w:val="000000"/>
        </w:rPr>
        <w:t>本基金本报告期末未持有资产支持证券。</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5.7 </w:t>
      </w:r>
      <w:r>
        <w:rPr>
          <w:b/>
          <w:bCs/>
          <w:color w:val="000000"/>
          <w:kern w:val="0"/>
        </w:rPr>
        <w:t>报告期末按公允价值占基金资产净值比例大小排序的前五名贵金属投资明细</w:t>
      </w:r>
    </w:p>
    <w:p w:rsidR="00BC1178" w:rsidRDefault="006B3260">
      <w:pPr>
        <w:autoSpaceDE w:val="0"/>
        <w:autoSpaceDN w:val="0"/>
        <w:adjustRightInd w:val="0"/>
        <w:spacing w:line="360" w:lineRule="auto"/>
        <w:jc w:val="left"/>
        <w:rPr>
          <w:color w:val="000000"/>
        </w:rPr>
      </w:pPr>
      <w:r>
        <w:rPr>
          <w:color w:val="000000"/>
        </w:rPr>
        <w:t>本基金本报告期末未持有贵金属。</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5.8 </w:t>
      </w:r>
      <w:r>
        <w:rPr>
          <w:b/>
          <w:bCs/>
          <w:color w:val="000000"/>
          <w:kern w:val="0"/>
        </w:rPr>
        <w:t>报告期末按公允价值占基金资产净值比例大小排序的前五名权证投资明细</w:t>
      </w:r>
    </w:p>
    <w:p w:rsidR="00BC1178" w:rsidRDefault="006B3260">
      <w:pPr>
        <w:autoSpaceDE w:val="0"/>
        <w:autoSpaceDN w:val="0"/>
        <w:adjustRightInd w:val="0"/>
        <w:spacing w:line="360" w:lineRule="auto"/>
        <w:jc w:val="left"/>
        <w:rPr>
          <w:color w:val="000000"/>
        </w:rPr>
      </w:pPr>
      <w:r>
        <w:rPr>
          <w:color w:val="000000"/>
        </w:rPr>
        <w:t>本基金本报告期末未持有权证。</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5.9 </w:t>
      </w:r>
      <w:r>
        <w:rPr>
          <w:b/>
          <w:bCs/>
          <w:color w:val="000000"/>
          <w:kern w:val="0"/>
        </w:rPr>
        <w:t>报告期末本基金投资的股指期货交易情况说明</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5.9.1 </w:t>
      </w:r>
      <w:r>
        <w:rPr>
          <w:b/>
          <w:bCs/>
          <w:color w:val="000000"/>
          <w:kern w:val="0"/>
        </w:rPr>
        <w:t>报告期末本基金投资的股指期货持仓和损益明细</w:t>
      </w:r>
    </w:p>
    <w:p w:rsidR="00BC1178" w:rsidRDefault="006B3260">
      <w:pPr>
        <w:autoSpaceDE w:val="0"/>
        <w:autoSpaceDN w:val="0"/>
        <w:adjustRightInd w:val="0"/>
        <w:spacing w:line="360" w:lineRule="auto"/>
        <w:jc w:val="left"/>
        <w:rPr>
          <w:color w:val="000000"/>
        </w:rPr>
      </w:pPr>
      <w:r>
        <w:rPr>
          <w:color w:val="000000"/>
        </w:rPr>
        <w:t>本基金本报告期末未持有股指期货。</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5.9.2 </w:t>
      </w:r>
      <w:r>
        <w:rPr>
          <w:b/>
          <w:bCs/>
          <w:color w:val="000000"/>
          <w:kern w:val="0"/>
        </w:rPr>
        <w:t>本基金投资股指期货的投资政策</w:t>
      </w:r>
    </w:p>
    <w:p w:rsidR="00BC1178" w:rsidRDefault="006B3260">
      <w:pPr>
        <w:spacing w:line="360" w:lineRule="auto"/>
        <w:jc w:val="left"/>
        <w:rPr>
          <w:color w:val="000000"/>
        </w:rPr>
      </w:pPr>
      <w:r>
        <w:rPr>
          <w:color w:val="000000"/>
        </w:rPr>
        <w:t>本基金将根据风险管理的原则，以套期保值为目的，有选择地投资于股指期货。套期保值将主要采用流动性好、交易活跃的期货合约。</w:t>
      </w:r>
    </w:p>
    <w:p w:rsidR="00BC1178" w:rsidRDefault="006B3260">
      <w:pPr>
        <w:spacing w:line="360" w:lineRule="auto"/>
        <w:jc w:val="left"/>
        <w:rPr>
          <w:color w:val="000000"/>
        </w:rPr>
      </w:pPr>
      <w:r>
        <w:rPr>
          <w:color w:val="000000"/>
        </w:rPr>
        <w:t>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rsidR="00BC1178" w:rsidRDefault="006B3260">
      <w:pPr>
        <w:autoSpaceDE w:val="0"/>
        <w:autoSpaceDN w:val="0"/>
        <w:adjustRightInd w:val="0"/>
        <w:spacing w:line="360" w:lineRule="auto"/>
        <w:jc w:val="left"/>
        <w:rPr>
          <w:b/>
          <w:bCs/>
          <w:color w:val="000000"/>
          <w:kern w:val="0"/>
        </w:rPr>
      </w:pPr>
      <w:r>
        <w:rPr>
          <w:b/>
          <w:bCs/>
          <w:color w:val="000000"/>
          <w:kern w:val="0"/>
        </w:rPr>
        <w:t>5.10</w:t>
      </w:r>
      <w:r>
        <w:rPr>
          <w:b/>
          <w:bCs/>
          <w:color w:val="000000"/>
          <w:kern w:val="0"/>
        </w:rPr>
        <w:t>报告期末本基金投资的国债期货交易情况说明</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5.10.1 </w:t>
      </w:r>
      <w:r>
        <w:rPr>
          <w:b/>
          <w:bCs/>
          <w:color w:val="000000"/>
          <w:kern w:val="0"/>
        </w:rPr>
        <w:t>本期国债期货投资政策</w:t>
      </w:r>
    </w:p>
    <w:p w:rsidR="00BC1178" w:rsidRDefault="006B3260">
      <w:pPr>
        <w:spacing w:line="360" w:lineRule="auto"/>
        <w:jc w:val="left"/>
        <w:rPr>
          <w:color w:val="000000"/>
        </w:rPr>
      </w:pPr>
      <w:r>
        <w:rPr>
          <w:color w:val="000000"/>
        </w:rPr>
        <w:t>国债期货作为利率衍生品的一种，有助于管理债券组合的久期、流动性和风险水平。管理人将按照相关法律法规的规定，结合对宏观经济形势和政策趋势的判断、对债券市场进行定性和定量分析。构建量化分析体</w:t>
      </w:r>
      <w:r>
        <w:rPr>
          <w:color w:val="000000"/>
        </w:rPr>
        <w:t>系，对国债期货和现货的基差、国债期货的流动性、波动水平、套期保值的有效性等指标进行跟踪监控，在最大限度保证基金资产安全的基础上，力求实现基金资产的长期稳定增值。</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5.10.2 </w:t>
      </w:r>
      <w:r>
        <w:rPr>
          <w:b/>
          <w:bCs/>
          <w:color w:val="000000"/>
          <w:kern w:val="0"/>
        </w:rPr>
        <w:t>报告期末本基金投资的国债期货持仓和损益明细</w:t>
      </w:r>
    </w:p>
    <w:p w:rsidR="00BC1178" w:rsidRDefault="006B3260">
      <w:pPr>
        <w:autoSpaceDE w:val="0"/>
        <w:autoSpaceDN w:val="0"/>
        <w:adjustRightInd w:val="0"/>
        <w:spacing w:line="360" w:lineRule="auto"/>
        <w:jc w:val="left"/>
        <w:rPr>
          <w:color w:val="000000"/>
        </w:rPr>
      </w:pPr>
      <w:r>
        <w:rPr>
          <w:color w:val="000000"/>
        </w:rPr>
        <w:t>本基金报告期内未持有国债期货。</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5.10.3 </w:t>
      </w:r>
      <w:r>
        <w:rPr>
          <w:b/>
          <w:bCs/>
          <w:color w:val="000000"/>
          <w:kern w:val="0"/>
        </w:rPr>
        <w:t>本期国债期货投资评价</w:t>
      </w:r>
    </w:p>
    <w:p w:rsidR="00BC1178" w:rsidRDefault="006B3260">
      <w:pPr>
        <w:spacing w:line="360" w:lineRule="auto"/>
        <w:jc w:val="left"/>
        <w:rPr>
          <w:color w:val="000000"/>
        </w:rPr>
      </w:pPr>
      <w:r>
        <w:rPr>
          <w:color w:val="000000"/>
        </w:rPr>
        <w:t>本基金报告期内未参与国债期货投资，无相关投资评价。</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5.11 </w:t>
      </w:r>
      <w:r>
        <w:rPr>
          <w:b/>
          <w:bCs/>
          <w:color w:val="000000"/>
          <w:kern w:val="0"/>
        </w:rPr>
        <w:t>投资组合报告附注</w:t>
      </w:r>
    </w:p>
    <w:p w:rsidR="00BC1178" w:rsidRDefault="006B3260">
      <w:pPr>
        <w:spacing w:line="360" w:lineRule="auto"/>
        <w:jc w:val="left"/>
        <w:rPr>
          <w:color w:val="000000"/>
        </w:rPr>
      </w:pPr>
      <w:r>
        <w:rPr>
          <w:color w:val="000000"/>
        </w:rPr>
        <w:t>5.11.1</w:t>
      </w:r>
      <w:r>
        <w:rPr>
          <w:color w:val="000000"/>
        </w:rPr>
        <w:t>报告期内，本基金投资的前十名证券的发行主体本期没有出现被监管部门立案调查，或在报告编制日前一年内受到公开谴责、处罚的情形。</w:t>
      </w:r>
    </w:p>
    <w:p w:rsidR="00BC1178" w:rsidRDefault="006B3260">
      <w:pPr>
        <w:spacing w:line="360" w:lineRule="auto"/>
        <w:jc w:val="left"/>
        <w:rPr>
          <w:color w:val="000000"/>
        </w:rPr>
      </w:pPr>
      <w:r>
        <w:rPr>
          <w:color w:val="000000"/>
        </w:rPr>
        <w:t>5.11</w:t>
      </w:r>
      <w:r>
        <w:rPr>
          <w:color w:val="000000"/>
        </w:rPr>
        <w:t>.2</w:t>
      </w:r>
      <w:r>
        <w:rPr>
          <w:color w:val="000000"/>
        </w:rPr>
        <w:t>本基金投资的前十名股票没有超出基金合同规定的备选股票库。</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5.11.3 </w:t>
      </w:r>
      <w:r>
        <w:rPr>
          <w:b/>
          <w:bCs/>
          <w:color w:val="000000"/>
          <w:kern w:val="0"/>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1"/>
        <w:gridCol w:w="2291"/>
        <w:gridCol w:w="4911"/>
      </w:tblGrid>
      <w:tr w:rsidR="00BC1178">
        <w:tc>
          <w:tcPr>
            <w:tcW w:w="1311" w:type="dxa"/>
            <w:vAlign w:val="center"/>
          </w:tcPr>
          <w:p w:rsidR="00BC1178" w:rsidRDefault="006B3260">
            <w:pPr>
              <w:autoSpaceDE w:val="0"/>
              <w:autoSpaceDN w:val="0"/>
              <w:adjustRightInd w:val="0"/>
              <w:spacing w:before="29"/>
              <w:ind w:left="17"/>
              <w:jc w:val="center"/>
              <w:rPr>
                <w:color w:val="000000"/>
                <w:kern w:val="0"/>
              </w:rPr>
            </w:pPr>
            <w:r>
              <w:rPr>
                <w:color w:val="000000"/>
                <w:kern w:val="0"/>
              </w:rPr>
              <w:t>序号</w:t>
            </w:r>
          </w:p>
        </w:tc>
        <w:tc>
          <w:tcPr>
            <w:tcW w:w="2291" w:type="dxa"/>
            <w:vAlign w:val="center"/>
          </w:tcPr>
          <w:p w:rsidR="00BC1178" w:rsidRDefault="006B3260">
            <w:pPr>
              <w:autoSpaceDE w:val="0"/>
              <w:autoSpaceDN w:val="0"/>
              <w:adjustRightInd w:val="0"/>
              <w:spacing w:before="29"/>
              <w:ind w:left="17"/>
              <w:jc w:val="center"/>
              <w:rPr>
                <w:color w:val="000000"/>
                <w:kern w:val="0"/>
              </w:rPr>
            </w:pPr>
            <w:r>
              <w:rPr>
                <w:color w:val="000000"/>
                <w:kern w:val="0"/>
              </w:rPr>
              <w:t>名称</w:t>
            </w:r>
          </w:p>
        </w:tc>
        <w:tc>
          <w:tcPr>
            <w:tcW w:w="4911" w:type="dxa"/>
            <w:vAlign w:val="center"/>
          </w:tcPr>
          <w:p w:rsidR="00BC1178" w:rsidRDefault="006B3260">
            <w:pPr>
              <w:autoSpaceDE w:val="0"/>
              <w:autoSpaceDN w:val="0"/>
              <w:adjustRightInd w:val="0"/>
              <w:spacing w:before="29"/>
              <w:ind w:left="17"/>
              <w:jc w:val="center"/>
              <w:rPr>
                <w:color w:val="000000"/>
                <w:kern w:val="0"/>
              </w:rPr>
            </w:pPr>
            <w:r>
              <w:rPr>
                <w:color w:val="000000"/>
                <w:kern w:val="0"/>
              </w:rPr>
              <w:t>金额</w:t>
            </w:r>
            <w:r>
              <w:rPr>
                <w:color w:val="000000"/>
                <w:kern w:val="0"/>
              </w:rPr>
              <w:t>(</w:t>
            </w:r>
            <w:r>
              <w:rPr>
                <w:color w:val="000000"/>
                <w:kern w:val="0"/>
              </w:rPr>
              <w:t>元</w:t>
            </w: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1</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存出保证金</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10,179.95</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2</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应收证券清算款</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3</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应收股利</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4</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应收利息</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6,138.06</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5</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应收申购款</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224.65</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6</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其他应收款</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7</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待摊费用</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8</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其他</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w:t>
            </w:r>
          </w:p>
        </w:tc>
      </w:tr>
      <w:tr w:rsidR="00BC1178">
        <w:tc>
          <w:tcPr>
            <w:tcW w:w="1311" w:type="dxa"/>
            <w:vAlign w:val="center"/>
          </w:tcPr>
          <w:p w:rsidR="00BC1178" w:rsidRDefault="006B3260">
            <w:pPr>
              <w:autoSpaceDE w:val="0"/>
              <w:autoSpaceDN w:val="0"/>
              <w:adjustRightInd w:val="0"/>
              <w:spacing w:before="29"/>
              <w:ind w:left="15"/>
              <w:jc w:val="center"/>
              <w:rPr>
                <w:color w:val="000000"/>
                <w:kern w:val="0"/>
              </w:rPr>
            </w:pPr>
            <w:r>
              <w:rPr>
                <w:color w:val="000000"/>
                <w:kern w:val="0"/>
              </w:rPr>
              <w:t>9</w:t>
            </w:r>
          </w:p>
        </w:tc>
        <w:tc>
          <w:tcPr>
            <w:tcW w:w="2291" w:type="dxa"/>
            <w:vAlign w:val="center"/>
          </w:tcPr>
          <w:p w:rsidR="00BC1178" w:rsidRDefault="006B3260">
            <w:pPr>
              <w:autoSpaceDE w:val="0"/>
              <w:autoSpaceDN w:val="0"/>
              <w:adjustRightInd w:val="0"/>
              <w:spacing w:before="29"/>
              <w:ind w:left="15"/>
              <w:jc w:val="left"/>
              <w:rPr>
                <w:color w:val="000000"/>
                <w:kern w:val="0"/>
              </w:rPr>
            </w:pPr>
            <w:r>
              <w:rPr>
                <w:color w:val="000000"/>
                <w:kern w:val="0"/>
              </w:rPr>
              <w:t>合计</w:t>
            </w:r>
          </w:p>
        </w:tc>
        <w:tc>
          <w:tcPr>
            <w:tcW w:w="4911" w:type="dxa"/>
            <w:vAlign w:val="center"/>
          </w:tcPr>
          <w:p w:rsidR="00BC1178" w:rsidRDefault="006B3260">
            <w:pPr>
              <w:autoSpaceDE w:val="0"/>
              <w:autoSpaceDN w:val="0"/>
              <w:adjustRightInd w:val="0"/>
              <w:spacing w:before="29"/>
              <w:ind w:left="15"/>
              <w:jc w:val="right"/>
              <w:rPr>
                <w:color w:val="000000"/>
                <w:kern w:val="0"/>
              </w:rPr>
            </w:pPr>
            <w:r>
              <w:rPr>
                <w:color w:val="000000"/>
                <w:kern w:val="0"/>
              </w:rPr>
              <w:t>16,542.66</w:t>
            </w:r>
          </w:p>
        </w:tc>
      </w:tr>
    </w:tbl>
    <w:p w:rsidR="00BC1178" w:rsidRDefault="006B3260">
      <w:pPr>
        <w:autoSpaceDE w:val="0"/>
        <w:autoSpaceDN w:val="0"/>
        <w:adjustRightInd w:val="0"/>
        <w:spacing w:line="360" w:lineRule="auto"/>
        <w:jc w:val="left"/>
        <w:rPr>
          <w:b/>
          <w:bCs/>
          <w:color w:val="000000"/>
          <w:kern w:val="0"/>
        </w:rPr>
      </w:pPr>
      <w:r>
        <w:rPr>
          <w:b/>
          <w:bCs/>
          <w:color w:val="000000"/>
          <w:kern w:val="0"/>
        </w:rPr>
        <w:t>5.11.4</w:t>
      </w:r>
      <w:r>
        <w:rPr>
          <w:b/>
          <w:bCs/>
          <w:color w:val="000000"/>
          <w:kern w:val="0"/>
        </w:rPr>
        <w:t>报告期末持有的处于转股期的可转换债券明细</w:t>
      </w:r>
    </w:p>
    <w:p w:rsidR="00BC1178" w:rsidRDefault="006B3260">
      <w:pPr>
        <w:autoSpaceDE w:val="0"/>
        <w:autoSpaceDN w:val="0"/>
        <w:adjustRightInd w:val="0"/>
        <w:spacing w:line="360" w:lineRule="auto"/>
        <w:jc w:val="left"/>
        <w:rPr>
          <w:color w:val="000000"/>
        </w:rPr>
      </w:pPr>
      <w:r>
        <w:rPr>
          <w:color w:val="000000"/>
        </w:rPr>
        <w:t>本基金本报告期末未持有处于转股期的可转换债券。</w:t>
      </w:r>
    </w:p>
    <w:p w:rsidR="00BC1178" w:rsidRDefault="006B3260">
      <w:pPr>
        <w:autoSpaceDE w:val="0"/>
        <w:autoSpaceDN w:val="0"/>
        <w:adjustRightInd w:val="0"/>
        <w:spacing w:line="360" w:lineRule="auto"/>
        <w:jc w:val="left"/>
        <w:rPr>
          <w:b/>
          <w:bCs/>
          <w:color w:val="000000"/>
          <w:kern w:val="0"/>
        </w:rPr>
      </w:pPr>
      <w:r>
        <w:rPr>
          <w:b/>
          <w:bCs/>
          <w:color w:val="000000"/>
          <w:kern w:val="0"/>
        </w:rPr>
        <w:t>5.11.5</w:t>
      </w:r>
      <w:r>
        <w:rPr>
          <w:b/>
          <w:bCs/>
          <w:color w:val="000000"/>
          <w:kern w:val="0"/>
        </w:rPr>
        <w:t>报告期末前十名股票中存在流通受限情况的说明</w:t>
      </w:r>
    </w:p>
    <w:p w:rsidR="00BC1178" w:rsidRDefault="006B3260">
      <w:pPr>
        <w:autoSpaceDE w:val="0"/>
        <w:autoSpaceDN w:val="0"/>
        <w:adjustRightInd w:val="0"/>
        <w:spacing w:line="360" w:lineRule="auto"/>
        <w:jc w:val="left"/>
        <w:rPr>
          <w:color w:val="000000"/>
        </w:rPr>
      </w:pPr>
      <w:r>
        <w:rPr>
          <w:color w:val="000000"/>
        </w:rPr>
        <w:t>本基金报告期末前十名股票中不存在流通受限的情况。</w:t>
      </w:r>
    </w:p>
    <w:p w:rsidR="00BC1178" w:rsidRDefault="006B3260">
      <w:pPr>
        <w:autoSpaceDE w:val="0"/>
        <w:autoSpaceDN w:val="0"/>
        <w:adjustRightInd w:val="0"/>
        <w:spacing w:line="360" w:lineRule="auto"/>
        <w:jc w:val="left"/>
        <w:rPr>
          <w:b/>
          <w:bCs/>
          <w:color w:val="000000"/>
          <w:kern w:val="0"/>
        </w:rPr>
      </w:pPr>
      <w:r>
        <w:rPr>
          <w:b/>
          <w:bCs/>
          <w:color w:val="000000"/>
          <w:kern w:val="0"/>
        </w:rPr>
        <w:t>5.11.6</w:t>
      </w:r>
      <w:r>
        <w:rPr>
          <w:b/>
          <w:bCs/>
          <w:color w:val="000000"/>
          <w:kern w:val="0"/>
        </w:rPr>
        <w:t>投资组合报告附注的其他文字描述部分</w:t>
      </w:r>
    </w:p>
    <w:p w:rsidR="00BC1178" w:rsidRDefault="006B3260">
      <w:pPr>
        <w:spacing w:line="360" w:lineRule="auto"/>
        <w:jc w:val="left"/>
        <w:rPr>
          <w:color w:val="000000"/>
        </w:rPr>
      </w:pPr>
      <w:r>
        <w:rPr>
          <w:color w:val="000000"/>
        </w:rPr>
        <w:t>由于计算中四舍五入的原因，本报告分项之和与合计项之间可能存在尾差。</w:t>
      </w:r>
    </w:p>
    <w:p w:rsidR="00BC1178" w:rsidRDefault="006B3260">
      <w:pPr>
        <w:pStyle w:val="1"/>
        <w:spacing w:before="0" w:after="0" w:line="360" w:lineRule="auto"/>
        <w:jc w:val="center"/>
        <w:rPr>
          <w:color w:val="000000"/>
          <w:kern w:val="0"/>
          <w:sz w:val="24"/>
          <w:szCs w:val="24"/>
        </w:rPr>
      </w:pPr>
      <w:r>
        <w:rPr>
          <w:color w:val="000000"/>
          <w:kern w:val="0"/>
          <w:sz w:val="24"/>
          <w:szCs w:val="24"/>
        </w:rPr>
        <w:t xml:space="preserve">§6  </w:t>
      </w:r>
      <w:r>
        <w:rPr>
          <w:color w:val="000000"/>
          <w:kern w:val="0"/>
          <w:sz w:val="24"/>
          <w:szCs w:val="24"/>
        </w:rPr>
        <w:t>开放式基金份额变动</w:t>
      </w:r>
    </w:p>
    <w:p w:rsidR="00BC1178" w:rsidRDefault="006B3260">
      <w:pPr>
        <w:autoSpaceDE w:val="0"/>
        <w:autoSpaceDN w:val="0"/>
        <w:adjustRightInd w:val="0"/>
        <w:spacing w:line="360" w:lineRule="auto"/>
        <w:ind w:left="17"/>
        <w:jc w:val="right"/>
        <w:rPr>
          <w:color w:val="000000"/>
          <w:kern w:val="0"/>
          <w:sz w:val="24"/>
          <w:szCs w:val="24"/>
        </w:rPr>
      </w:pPr>
      <w:r>
        <w:rPr>
          <w:color w:val="000000"/>
          <w:kern w:val="0"/>
          <w:sz w:val="24"/>
          <w:szCs w:val="24"/>
        </w:rPr>
        <w:t>单位：份</w:t>
      </w:r>
    </w:p>
    <w:tbl>
      <w:tblPr>
        <w:tblW w:w="8634" w:type="dxa"/>
        <w:tblInd w:w="-106" w:type="dxa"/>
        <w:tblLayout w:type="fixed"/>
        <w:tblLook w:val="04A0"/>
      </w:tblPr>
      <w:tblGrid>
        <w:gridCol w:w="4609"/>
        <w:gridCol w:w="4025"/>
      </w:tblGrid>
      <w:tr w:rsidR="00BC1178">
        <w:tc>
          <w:tcPr>
            <w:tcW w:w="4609"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left"/>
              <w:rPr>
                <w:color w:val="000000"/>
                <w:kern w:val="0"/>
              </w:rPr>
            </w:pPr>
            <w:r>
              <w:rPr>
                <w:color w:val="000000"/>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right"/>
              <w:rPr>
                <w:color w:val="000000"/>
              </w:rPr>
            </w:pPr>
            <w:r>
              <w:rPr>
                <w:color w:val="000000"/>
              </w:rPr>
              <w:t>55,595,162.08</w:t>
            </w:r>
          </w:p>
        </w:tc>
      </w:tr>
      <w:tr w:rsidR="00BC1178">
        <w:tc>
          <w:tcPr>
            <w:tcW w:w="4609"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left"/>
              <w:rPr>
                <w:color w:val="000000"/>
                <w:kern w:val="0"/>
              </w:rPr>
            </w:pPr>
            <w:r>
              <w:rPr>
                <w:color w:val="000000"/>
                <w:kern w:val="0"/>
              </w:rPr>
              <w:t>本报告期基金总申购份额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right"/>
              <w:rPr>
                <w:color w:val="000000"/>
              </w:rPr>
            </w:pPr>
            <w:r>
              <w:rPr>
                <w:color w:val="000000"/>
              </w:rPr>
              <w:t>480,439.40</w:t>
            </w:r>
          </w:p>
        </w:tc>
      </w:tr>
      <w:tr w:rsidR="00BC1178">
        <w:tc>
          <w:tcPr>
            <w:tcW w:w="4609"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left"/>
              <w:rPr>
                <w:color w:val="000000"/>
                <w:kern w:val="0"/>
              </w:rPr>
            </w:pPr>
            <w:r>
              <w:rPr>
                <w:color w:val="000000"/>
                <w:kern w:val="0"/>
              </w:rPr>
              <w:t>减：本报告期基金总赎回份额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right"/>
              <w:rPr>
                <w:color w:val="000000"/>
              </w:rPr>
            </w:pPr>
            <w:r>
              <w:rPr>
                <w:color w:val="000000"/>
              </w:rPr>
              <w:t>1,964,383.81</w:t>
            </w:r>
          </w:p>
        </w:tc>
      </w:tr>
      <w:tr w:rsidR="00BC1178">
        <w:tc>
          <w:tcPr>
            <w:tcW w:w="4609"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left"/>
              <w:rPr>
                <w:color w:val="000000"/>
                <w:kern w:val="0"/>
              </w:rPr>
            </w:pPr>
            <w:r>
              <w:rPr>
                <w:color w:val="000000"/>
                <w:kern w:val="0"/>
              </w:rPr>
              <w:t>本报告期基金拆分变动份额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right"/>
              <w:rPr>
                <w:color w:val="000000"/>
              </w:rPr>
            </w:pPr>
            <w:r>
              <w:rPr>
                <w:color w:val="000000"/>
              </w:rPr>
              <w:t>-</w:t>
            </w:r>
          </w:p>
        </w:tc>
      </w:tr>
      <w:tr w:rsidR="00BC1178">
        <w:tc>
          <w:tcPr>
            <w:tcW w:w="4609"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left"/>
              <w:rPr>
                <w:color w:val="000000"/>
                <w:kern w:val="0"/>
              </w:rPr>
            </w:pPr>
            <w:r>
              <w:rPr>
                <w:color w:val="000000"/>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BC1178" w:rsidRDefault="006B3260">
            <w:pPr>
              <w:autoSpaceDE w:val="0"/>
              <w:autoSpaceDN w:val="0"/>
              <w:adjustRightInd w:val="0"/>
              <w:spacing w:before="29"/>
              <w:ind w:left="17"/>
              <w:jc w:val="right"/>
              <w:rPr>
                <w:color w:val="000000"/>
              </w:rPr>
            </w:pPr>
            <w:r>
              <w:rPr>
                <w:color w:val="000000"/>
              </w:rPr>
              <w:t>54,111,217.67</w:t>
            </w:r>
          </w:p>
        </w:tc>
      </w:tr>
    </w:tbl>
    <w:p w:rsidR="00BC1178" w:rsidRDefault="006B3260">
      <w:pPr>
        <w:pStyle w:val="1"/>
        <w:spacing w:before="0" w:after="0" w:line="360" w:lineRule="auto"/>
        <w:jc w:val="center"/>
        <w:rPr>
          <w:color w:val="000000"/>
          <w:kern w:val="0"/>
          <w:sz w:val="24"/>
          <w:szCs w:val="24"/>
        </w:rPr>
      </w:pPr>
      <w:r>
        <w:rPr>
          <w:color w:val="000000"/>
          <w:kern w:val="0"/>
          <w:sz w:val="24"/>
          <w:szCs w:val="24"/>
        </w:rPr>
        <w:t>§7</w:t>
      </w:r>
      <w:r>
        <w:rPr>
          <w:color w:val="000000"/>
          <w:kern w:val="0"/>
          <w:sz w:val="24"/>
          <w:szCs w:val="24"/>
        </w:rPr>
        <w:t xml:space="preserve">  </w:t>
      </w:r>
      <w:r>
        <w:rPr>
          <w:color w:val="000000"/>
          <w:kern w:val="0"/>
          <w:sz w:val="24"/>
          <w:szCs w:val="24"/>
        </w:rPr>
        <w:t>基金管理人运用固有资金投资本基金情况</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7.1 </w:t>
      </w:r>
      <w:r>
        <w:rPr>
          <w:b/>
          <w:bCs/>
          <w:color w:val="000000"/>
          <w:kern w:val="0"/>
        </w:rPr>
        <w:t>基金管理人持有本基金份额变动情况</w:t>
      </w:r>
    </w:p>
    <w:p w:rsidR="00BC1178" w:rsidRDefault="006B3260">
      <w:pPr>
        <w:autoSpaceDE w:val="0"/>
        <w:autoSpaceDN w:val="0"/>
        <w:adjustRightInd w:val="0"/>
        <w:spacing w:line="360" w:lineRule="auto"/>
        <w:jc w:val="left"/>
        <w:rPr>
          <w:color w:val="000000"/>
        </w:rPr>
      </w:pPr>
      <w:r>
        <w:rPr>
          <w:color w:val="000000"/>
        </w:rPr>
        <w:t>本报告期内基金管理人未持有本基金份额。</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7.2 </w:t>
      </w:r>
      <w:r>
        <w:rPr>
          <w:b/>
          <w:bCs/>
          <w:color w:val="000000"/>
          <w:kern w:val="0"/>
        </w:rPr>
        <w:t>基金管理人运用固有资金投资本基金交易明细</w:t>
      </w:r>
    </w:p>
    <w:p w:rsidR="00BC1178" w:rsidRDefault="006B3260">
      <w:pPr>
        <w:autoSpaceDE w:val="0"/>
        <w:autoSpaceDN w:val="0"/>
        <w:adjustRightInd w:val="0"/>
        <w:spacing w:line="360" w:lineRule="auto"/>
        <w:jc w:val="left"/>
        <w:rPr>
          <w:color w:val="000000"/>
        </w:rPr>
      </w:pPr>
      <w:r>
        <w:rPr>
          <w:color w:val="000000"/>
        </w:rPr>
        <w:t>本报告期内，基金管理人未运用固有资金申购、赎回或买卖本基金。</w:t>
      </w:r>
    </w:p>
    <w:p w:rsidR="00BC1178" w:rsidRDefault="006B3260" w:rsidP="006B3260">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BC1178" w:rsidRDefault="006B3260">
      <w:pPr>
        <w:autoSpaceDE w:val="0"/>
        <w:autoSpaceDN w:val="0"/>
        <w:adjustRightInd w:val="0"/>
        <w:spacing w:line="360" w:lineRule="auto"/>
        <w:jc w:val="left"/>
        <w:rPr>
          <w:rFonts w:ascii="宋体" w:hAnsi="宋体"/>
          <w:b/>
          <w:bCs/>
          <w:color w:val="000000"/>
          <w:kern w:val="0"/>
        </w:rPr>
      </w:pPr>
      <w:r>
        <w:rPr>
          <w:rFonts w:ascii="宋体" w:hAnsi="宋体"/>
          <w:b/>
          <w:bCs/>
          <w:color w:val="000000"/>
          <w:kern w:val="0"/>
        </w:rPr>
        <w:t>8.</w:t>
      </w:r>
      <w:r>
        <w:rPr>
          <w:rFonts w:ascii="宋体" w:hAnsi="宋体" w:hint="eastAsia"/>
          <w:b/>
          <w:bCs/>
          <w:color w:val="000000"/>
          <w:kern w:val="0"/>
        </w:rPr>
        <w:t xml:space="preserve">1 </w:t>
      </w:r>
      <w:r>
        <w:rPr>
          <w:rFonts w:ascii="宋体" w:hAnsi="宋体" w:hint="eastAsia"/>
          <w:b/>
          <w:bCs/>
          <w:color w:val="000000"/>
          <w:kern w:val="0"/>
        </w:rPr>
        <w:t>报告期内单一投资者持有基金份额比例达到或超过</w:t>
      </w:r>
      <w:r>
        <w:rPr>
          <w:rFonts w:ascii="宋体" w:hAnsi="宋体" w:hint="eastAsia"/>
          <w:b/>
          <w:bCs/>
          <w:color w:val="000000"/>
          <w:kern w:val="0"/>
        </w:rPr>
        <w:t>20%</w:t>
      </w:r>
      <w:r>
        <w:rPr>
          <w:rFonts w:ascii="宋体" w:hAnsi="宋体" w:hint="eastAsia"/>
          <w:b/>
          <w:bCs/>
          <w:color w:val="000000"/>
          <w:kern w:val="0"/>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BC1178">
        <w:tc>
          <w:tcPr>
            <w:tcW w:w="993" w:type="dxa"/>
            <w:vMerge w:val="restart"/>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投资者类别</w:t>
            </w:r>
          </w:p>
        </w:tc>
        <w:tc>
          <w:tcPr>
            <w:tcW w:w="5670" w:type="dxa"/>
            <w:gridSpan w:val="5"/>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w="2549" w:type="dxa"/>
            <w:gridSpan w:val="2"/>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rsidR="00BC1178">
        <w:tc>
          <w:tcPr>
            <w:tcW w:w="993" w:type="dxa"/>
            <w:vMerge/>
            <w:vAlign w:val="center"/>
          </w:tcPr>
          <w:p w:rsidR="00BC1178" w:rsidRDefault="00BC1178">
            <w:pPr>
              <w:autoSpaceDE w:val="0"/>
              <w:autoSpaceDN w:val="0"/>
              <w:adjustRightInd w:val="0"/>
              <w:jc w:val="center"/>
              <w:rPr>
                <w:rFonts w:ascii="宋体" w:hAnsi="宋体"/>
                <w:b/>
                <w:bCs/>
                <w:color w:val="000000"/>
                <w:kern w:val="0"/>
              </w:rPr>
            </w:pPr>
          </w:p>
        </w:tc>
        <w:tc>
          <w:tcPr>
            <w:tcW w:w="992" w:type="dxa"/>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w="1843" w:type="dxa"/>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w:t>
            </w:r>
            <w:r>
              <w:rPr>
                <w:rFonts w:ascii="宋体" w:hAnsi="宋体" w:hint="eastAsia"/>
                <w:color w:val="000000"/>
                <w:kern w:val="0"/>
              </w:rPr>
              <w:t>20%</w:t>
            </w:r>
            <w:r>
              <w:rPr>
                <w:rFonts w:ascii="宋体" w:hAnsi="宋体" w:hint="eastAsia"/>
                <w:color w:val="000000"/>
                <w:kern w:val="0"/>
              </w:rPr>
              <w:t>的时间区间</w:t>
            </w:r>
          </w:p>
        </w:tc>
        <w:tc>
          <w:tcPr>
            <w:tcW w:w="851" w:type="dxa"/>
            <w:vAlign w:val="center"/>
          </w:tcPr>
          <w:p w:rsidR="00BC1178" w:rsidRDefault="006B3260">
            <w:pPr>
              <w:widowControl/>
              <w:jc w:val="center"/>
              <w:rPr>
                <w:rFonts w:ascii="宋体" w:hAnsi="宋体"/>
                <w:b/>
                <w:bCs/>
                <w:color w:val="000000"/>
                <w:kern w:val="0"/>
              </w:rPr>
            </w:pPr>
            <w:r>
              <w:rPr>
                <w:rFonts w:ascii="宋体" w:hAnsi="宋体" w:hint="eastAsia"/>
                <w:color w:val="000000"/>
                <w:kern w:val="0"/>
              </w:rPr>
              <w:t>期初份额</w:t>
            </w:r>
          </w:p>
        </w:tc>
        <w:tc>
          <w:tcPr>
            <w:tcW w:w="850" w:type="dxa"/>
            <w:vAlign w:val="center"/>
          </w:tcPr>
          <w:p w:rsidR="00BC1178" w:rsidRDefault="006B3260">
            <w:pPr>
              <w:widowControl/>
              <w:jc w:val="center"/>
              <w:rPr>
                <w:rFonts w:ascii="宋体" w:hAnsi="宋体"/>
                <w:b/>
                <w:bCs/>
                <w:color w:val="000000"/>
                <w:kern w:val="0"/>
              </w:rPr>
            </w:pPr>
            <w:r>
              <w:rPr>
                <w:rFonts w:ascii="宋体" w:hAnsi="宋体" w:hint="eastAsia"/>
                <w:color w:val="000000"/>
                <w:kern w:val="0"/>
              </w:rPr>
              <w:t>申购份额</w:t>
            </w:r>
          </w:p>
        </w:tc>
        <w:tc>
          <w:tcPr>
            <w:tcW w:w="1134" w:type="dxa"/>
            <w:vAlign w:val="center"/>
          </w:tcPr>
          <w:p w:rsidR="00BC1178" w:rsidRDefault="006B3260">
            <w:pPr>
              <w:widowControl/>
              <w:jc w:val="center"/>
              <w:rPr>
                <w:rFonts w:ascii="宋体" w:hAnsi="宋体"/>
                <w:b/>
                <w:bCs/>
                <w:color w:val="000000"/>
                <w:kern w:val="0"/>
              </w:rPr>
            </w:pPr>
            <w:r>
              <w:rPr>
                <w:rFonts w:ascii="宋体" w:hAnsi="宋体" w:hint="eastAsia"/>
                <w:color w:val="000000"/>
                <w:kern w:val="0"/>
              </w:rPr>
              <w:t>赎回份额</w:t>
            </w:r>
          </w:p>
        </w:tc>
        <w:tc>
          <w:tcPr>
            <w:tcW w:w="1419" w:type="dxa"/>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w="1130" w:type="dxa"/>
            <w:vAlign w:val="center"/>
          </w:tcPr>
          <w:p w:rsidR="00BC1178" w:rsidRDefault="006B3260">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rsidR="00BC1178">
        <w:tc>
          <w:tcPr>
            <w:tcW w:w="993" w:type="dxa"/>
            <w:vMerge w:val="restart"/>
          </w:tcPr>
          <w:p w:rsidR="00BC1178" w:rsidRDefault="00BC1178"/>
          <w:p w:rsidR="00BC1178" w:rsidRDefault="006B3260">
            <w:r>
              <w:rPr>
                <w:rFonts w:ascii="宋体" w:hAnsi="宋体" w:hint="eastAsia"/>
                <w:bCs/>
                <w:color w:val="000000"/>
                <w:kern w:val="0"/>
              </w:rPr>
              <w:t>机构</w:t>
            </w:r>
          </w:p>
        </w:tc>
        <w:tc>
          <w:tcPr>
            <w:tcW w:w="992" w:type="dxa"/>
            <w:vAlign w:val="center"/>
          </w:tcPr>
          <w:p w:rsidR="00BC1178" w:rsidRDefault="006B3260">
            <w:pPr>
              <w:jc w:val="center"/>
            </w:pPr>
            <w:r>
              <w:rPr>
                <w:rFonts w:ascii="宋体" w:hAnsi="宋体"/>
                <w:color w:val="000000"/>
                <w:kern w:val="0"/>
              </w:rPr>
              <w:t>1</w:t>
            </w:r>
          </w:p>
        </w:tc>
        <w:tc>
          <w:tcPr>
            <w:tcW w:w="1843" w:type="dxa"/>
            <w:vAlign w:val="center"/>
          </w:tcPr>
          <w:p w:rsidR="00BC1178" w:rsidRDefault="006B3260">
            <w:pPr>
              <w:jc w:val="center"/>
            </w:pPr>
            <w:r>
              <w:rPr>
                <w:rFonts w:ascii="宋体" w:hAnsi="宋体"/>
                <w:color w:val="000000"/>
                <w:kern w:val="0"/>
              </w:rPr>
              <w:t>2018-07-01</w:t>
            </w:r>
            <w:r>
              <w:rPr>
                <w:rFonts w:ascii="宋体" w:hAnsi="宋体"/>
                <w:color w:val="000000"/>
                <w:kern w:val="0"/>
              </w:rPr>
              <w:t>至</w:t>
            </w:r>
            <w:r>
              <w:rPr>
                <w:rFonts w:ascii="宋体" w:hAnsi="宋体"/>
                <w:color w:val="000000"/>
                <w:kern w:val="0"/>
              </w:rPr>
              <w:t>2018-09-30</w:t>
            </w:r>
          </w:p>
        </w:tc>
        <w:tc>
          <w:tcPr>
            <w:tcW w:w="851" w:type="dxa"/>
            <w:vAlign w:val="center"/>
          </w:tcPr>
          <w:p w:rsidR="00BC1178" w:rsidRDefault="006B3260">
            <w:pPr>
              <w:jc w:val="center"/>
            </w:pPr>
            <w:r>
              <w:rPr>
                <w:rFonts w:ascii="宋体" w:hAnsi="宋体"/>
                <w:color w:val="000000"/>
                <w:kern w:val="0"/>
              </w:rPr>
              <w:t>26,364,578.97</w:t>
            </w:r>
          </w:p>
        </w:tc>
        <w:tc>
          <w:tcPr>
            <w:tcW w:w="850" w:type="dxa"/>
            <w:vAlign w:val="center"/>
          </w:tcPr>
          <w:p w:rsidR="00BC1178" w:rsidRDefault="006B3260">
            <w:pPr>
              <w:jc w:val="center"/>
            </w:pPr>
            <w:r>
              <w:rPr>
                <w:rFonts w:ascii="宋体" w:hAnsi="宋体"/>
                <w:color w:val="000000"/>
                <w:kern w:val="0"/>
              </w:rPr>
              <w:t>-</w:t>
            </w:r>
          </w:p>
        </w:tc>
        <w:tc>
          <w:tcPr>
            <w:tcW w:w="1134" w:type="dxa"/>
            <w:vAlign w:val="center"/>
          </w:tcPr>
          <w:p w:rsidR="00BC1178" w:rsidRDefault="006B3260">
            <w:pPr>
              <w:jc w:val="center"/>
            </w:pPr>
            <w:r>
              <w:rPr>
                <w:rFonts w:ascii="宋体" w:hAnsi="宋体"/>
                <w:color w:val="000000"/>
                <w:kern w:val="0"/>
              </w:rPr>
              <w:t>0.00</w:t>
            </w:r>
          </w:p>
        </w:tc>
        <w:tc>
          <w:tcPr>
            <w:tcW w:w="1419" w:type="dxa"/>
            <w:vAlign w:val="center"/>
          </w:tcPr>
          <w:p w:rsidR="00BC1178" w:rsidRDefault="006B3260">
            <w:pPr>
              <w:jc w:val="center"/>
            </w:pPr>
            <w:r>
              <w:rPr>
                <w:rFonts w:ascii="宋体" w:hAnsi="宋体"/>
                <w:color w:val="000000"/>
                <w:kern w:val="0"/>
              </w:rPr>
              <w:t>26,364,578.97</w:t>
            </w:r>
          </w:p>
        </w:tc>
        <w:tc>
          <w:tcPr>
            <w:tcW w:w="1130" w:type="dxa"/>
            <w:vAlign w:val="center"/>
          </w:tcPr>
          <w:p w:rsidR="00BC1178" w:rsidRDefault="006B3260">
            <w:pPr>
              <w:jc w:val="center"/>
            </w:pPr>
            <w:r>
              <w:rPr>
                <w:rFonts w:ascii="宋体" w:hAnsi="宋体"/>
                <w:color w:val="000000"/>
                <w:kern w:val="0"/>
              </w:rPr>
              <w:t>48.7229%</w:t>
            </w:r>
          </w:p>
        </w:tc>
      </w:tr>
      <w:tr w:rsidR="00BC1178">
        <w:tc>
          <w:tcPr>
            <w:tcW w:w="9212" w:type="dxa"/>
            <w:gridSpan w:val="8"/>
            <w:vAlign w:val="center"/>
          </w:tcPr>
          <w:p w:rsidR="00BC1178" w:rsidRDefault="006B3260">
            <w:pPr>
              <w:autoSpaceDE w:val="0"/>
              <w:autoSpaceDN w:val="0"/>
              <w:adjustRightInd w:val="0"/>
              <w:jc w:val="center"/>
              <w:rPr>
                <w:rFonts w:ascii="宋体" w:hAnsi="宋体"/>
                <w:kern w:val="0"/>
              </w:rPr>
            </w:pPr>
            <w:r>
              <w:rPr>
                <w:rFonts w:ascii="宋体" w:hAnsi="宋体"/>
                <w:color w:val="000000"/>
                <w:kern w:val="0"/>
              </w:rPr>
              <w:t>产品特有风险</w:t>
            </w:r>
          </w:p>
        </w:tc>
      </w:tr>
      <w:tr w:rsidR="00BC1178">
        <w:tc>
          <w:tcPr>
            <w:tcW w:w="9212" w:type="dxa"/>
            <w:gridSpan w:val="8"/>
            <w:vAlign w:val="center"/>
          </w:tcPr>
          <w:p w:rsidR="00BC1178" w:rsidRDefault="006B3260">
            <w:pPr>
              <w:autoSpaceDE w:val="0"/>
              <w:autoSpaceDN w:val="0"/>
              <w:adjustRightInd w:val="0"/>
              <w:jc w:val="left"/>
              <w:rPr>
                <w:rFonts w:ascii="宋体" w:hAnsi="宋体"/>
                <w:kern w:val="0"/>
              </w:rPr>
            </w:pPr>
            <w:r>
              <w:rPr>
                <w:rFonts w:ascii="宋体" w:hAnsi="宋体" w:hint="eastAsia"/>
                <w:kern w:val="0"/>
              </w:rPr>
              <w:t>（</w:t>
            </w:r>
            <w:r>
              <w:rPr>
                <w:rFonts w:ascii="宋体" w:hAnsi="宋体" w:hint="eastAsia"/>
                <w:kern w:val="0"/>
              </w:rPr>
              <w:t>1</w:t>
            </w:r>
            <w:r>
              <w:rPr>
                <w:rFonts w:ascii="宋体" w:hAnsi="宋体" w:hint="eastAsia"/>
                <w:kern w:val="0"/>
              </w:rPr>
              <w:t>）持有基金份额比例达到或超过</w:t>
            </w:r>
            <w:r>
              <w:rPr>
                <w:rFonts w:ascii="宋体" w:hAnsi="宋体" w:hint="eastAsia"/>
                <w:kern w:val="0"/>
              </w:rPr>
              <w:t>20%</w:t>
            </w:r>
            <w:r>
              <w:rPr>
                <w:rFonts w:ascii="宋体" w:hAnsi="宋体" w:hint="eastAsia"/>
                <w:kern w:val="0"/>
              </w:rPr>
              <w:t>的投资者大额赎回导致的基金份额净值波动风险；（</w:t>
            </w:r>
            <w:r>
              <w:rPr>
                <w:rFonts w:ascii="宋体" w:hAnsi="宋体" w:hint="eastAsia"/>
                <w:kern w:val="0"/>
              </w:rPr>
              <w:t>2</w:t>
            </w:r>
            <w:r>
              <w:rPr>
                <w:rFonts w:ascii="宋体" w:hAnsi="宋体" w:hint="eastAsia"/>
                <w:kern w:val="0"/>
              </w:rPr>
              <w:t>）持有基金份额比例达到或超过</w:t>
            </w:r>
            <w:r>
              <w:rPr>
                <w:rFonts w:ascii="宋体" w:hAnsi="宋体" w:hint="eastAsia"/>
                <w:kern w:val="0"/>
              </w:rPr>
              <w:t>20%</w:t>
            </w:r>
            <w:r>
              <w:rPr>
                <w:rFonts w:ascii="宋体" w:hAnsi="宋体" w:hint="eastAsia"/>
                <w:kern w:val="0"/>
              </w:rPr>
              <w:t>的投资者大额赎回导致的流动性风险；（</w:t>
            </w:r>
            <w:r>
              <w:rPr>
                <w:rFonts w:ascii="宋体" w:hAnsi="宋体" w:hint="eastAsia"/>
                <w:kern w:val="0"/>
              </w:rPr>
              <w:t>3</w:t>
            </w:r>
            <w:r>
              <w:rPr>
                <w:rFonts w:ascii="宋体" w:hAnsi="宋体" w:hint="eastAsia"/>
                <w:kern w:val="0"/>
              </w:rPr>
              <w:t>）持有基金份额比例达到或超过</w:t>
            </w:r>
            <w:r>
              <w:rPr>
                <w:rFonts w:ascii="宋体" w:hAnsi="宋体" w:hint="eastAsia"/>
                <w:kern w:val="0"/>
              </w:rPr>
              <w:t>20%</w:t>
            </w:r>
            <w:r>
              <w:rPr>
                <w:rFonts w:ascii="宋体" w:hAnsi="宋体" w:hint="eastAsia"/>
                <w:kern w:val="0"/>
              </w:rPr>
              <w:t>的投资者大额赎回导致的巨额赎回风险；（</w:t>
            </w:r>
            <w:r>
              <w:rPr>
                <w:rFonts w:ascii="宋体" w:hAnsi="宋体" w:hint="eastAsia"/>
                <w:kern w:val="0"/>
              </w:rPr>
              <w:t>4</w:t>
            </w:r>
            <w:r>
              <w:rPr>
                <w:rFonts w:ascii="宋体" w:hAnsi="宋体" w:hint="eastAsia"/>
                <w:kern w:val="0"/>
              </w:rPr>
              <w:t>）持有基金份额比例达到或超过</w:t>
            </w:r>
            <w:r>
              <w:rPr>
                <w:rFonts w:ascii="宋体" w:hAnsi="宋体" w:hint="eastAsia"/>
                <w:kern w:val="0"/>
              </w:rPr>
              <w:t>20%</w:t>
            </w:r>
            <w:r>
              <w:rPr>
                <w:rFonts w:ascii="宋体" w:hAnsi="宋体" w:hint="eastAsia"/>
                <w:kern w:val="0"/>
              </w:rPr>
              <w:t>的投资者大额赎回导致的基金资产净值持续低于</w:t>
            </w:r>
            <w:r>
              <w:rPr>
                <w:rFonts w:ascii="宋体" w:hAnsi="宋体" w:hint="eastAsia"/>
                <w:kern w:val="0"/>
              </w:rPr>
              <w:t>5000</w:t>
            </w:r>
            <w:r>
              <w:rPr>
                <w:rFonts w:ascii="宋体" w:hAnsi="宋体" w:hint="eastAsia"/>
                <w:kern w:val="0"/>
              </w:rPr>
              <w:t>万元的风险。</w:t>
            </w:r>
          </w:p>
        </w:tc>
      </w:tr>
    </w:tbl>
    <w:p w:rsidR="00BC1178" w:rsidRDefault="006B3260">
      <w:pPr>
        <w:pStyle w:val="1"/>
        <w:spacing w:before="0" w:after="0" w:line="360" w:lineRule="auto"/>
        <w:jc w:val="center"/>
        <w:rPr>
          <w:color w:val="000000"/>
          <w:kern w:val="0"/>
          <w:sz w:val="21"/>
          <w:szCs w:val="21"/>
        </w:rPr>
      </w:pPr>
      <w:r>
        <w:rPr>
          <w:color w:val="000000"/>
          <w:kern w:val="0"/>
          <w:sz w:val="21"/>
          <w:szCs w:val="21"/>
        </w:rPr>
        <w:t xml:space="preserve">§9  </w:t>
      </w:r>
      <w:r>
        <w:rPr>
          <w:color w:val="000000"/>
          <w:kern w:val="0"/>
          <w:sz w:val="21"/>
          <w:szCs w:val="21"/>
        </w:rPr>
        <w:t>备查文件目录</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9.1 </w:t>
      </w:r>
      <w:r>
        <w:rPr>
          <w:b/>
          <w:bCs/>
          <w:color w:val="000000"/>
          <w:kern w:val="0"/>
        </w:rPr>
        <w:t>备查文件目录</w:t>
      </w:r>
    </w:p>
    <w:p w:rsidR="00BC1178" w:rsidRDefault="006B3260">
      <w:pPr>
        <w:spacing w:line="360" w:lineRule="auto"/>
        <w:rPr>
          <w:color w:val="000000"/>
        </w:rPr>
      </w:pPr>
      <w:r>
        <w:rPr>
          <w:color w:val="000000"/>
        </w:rPr>
        <w:t>1</w:t>
      </w:r>
      <w:r>
        <w:rPr>
          <w:color w:val="000000"/>
        </w:rPr>
        <w:t>、中国证监会准予中银文体娱乐灵活配置混合型证券投资基金募集注册的文件；</w:t>
      </w:r>
      <w:r>
        <w:rPr>
          <w:color w:val="000000"/>
        </w:rPr>
        <w:t xml:space="preserve"> </w:t>
      </w:r>
    </w:p>
    <w:p w:rsidR="00BC1178" w:rsidRDefault="006B3260">
      <w:pPr>
        <w:spacing w:line="360" w:lineRule="auto"/>
        <w:rPr>
          <w:color w:val="000000"/>
        </w:rPr>
      </w:pPr>
      <w:r>
        <w:rPr>
          <w:color w:val="000000"/>
        </w:rPr>
        <w:t>2</w:t>
      </w:r>
      <w:r>
        <w:rPr>
          <w:color w:val="000000"/>
        </w:rPr>
        <w:t>、《中银文体娱乐灵活配置混合型证券投资基金基金合同》；</w:t>
      </w:r>
      <w:r>
        <w:rPr>
          <w:color w:val="000000"/>
        </w:rPr>
        <w:t xml:space="preserve"> </w:t>
      </w:r>
    </w:p>
    <w:p w:rsidR="00BC1178" w:rsidRDefault="006B3260">
      <w:pPr>
        <w:spacing w:line="360" w:lineRule="auto"/>
        <w:rPr>
          <w:color w:val="000000"/>
        </w:rPr>
      </w:pPr>
      <w:r>
        <w:rPr>
          <w:color w:val="000000"/>
        </w:rPr>
        <w:t>3</w:t>
      </w:r>
      <w:r>
        <w:rPr>
          <w:color w:val="000000"/>
        </w:rPr>
        <w:t>、《中银文体娱乐灵活配置混合型证券投资基金托管协议》；</w:t>
      </w:r>
      <w:r>
        <w:rPr>
          <w:color w:val="000000"/>
        </w:rPr>
        <w:t xml:space="preserve"> </w:t>
      </w:r>
    </w:p>
    <w:p w:rsidR="00BC1178" w:rsidRDefault="006B3260">
      <w:pPr>
        <w:spacing w:line="360" w:lineRule="auto"/>
        <w:rPr>
          <w:color w:val="000000"/>
        </w:rPr>
      </w:pPr>
      <w:r>
        <w:rPr>
          <w:color w:val="000000"/>
        </w:rPr>
        <w:t>4</w:t>
      </w:r>
      <w:r>
        <w:rPr>
          <w:color w:val="000000"/>
        </w:rPr>
        <w:t>、《中银文体娱乐灵活配置混合型证券投资基金招募说明书》；</w:t>
      </w:r>
      <w:r>
        <w:rPr>
          <w:color w:val="000000"/>
        </w:rPr>
        <w:t xml:space="preserve"> </w:t>
      </w:r>
    </w:p>
    <w:p w:rsidR="00BC1178" w:rsidRDefault="006B3260">
      <w:pPr>
        <w:spacing w:line="360" w:lineRule="auto"/>
        <w:rPr>
          <w:color w:val="000000"/>
        </w:rPr>
      </w:pPr>
      <w:r>
        <w:rPr>
          <w:color w:val="000000"/>
        </w:rPr>
        <w:t>5</w:t>
      </w:r>
      <w:r>
        <w:rPr>
          <w:color w:val="000000"/>
        </w:rPr>
        <w:t>、法律意见书；</w:t>
      </w:r>
    </w:p>
    <w:p w:rsidR="00BC1178" w:rsidRDefault="006B3260">
      <w:pPr>
        <w:spacing w:line="360" w:lineRule="auto"/>
        <w:rPr>
          <w:color w:val="000000"/>
        </w:rPr>
      </w:pPr>
      <w:r>
        <w:rPr>
          <w:color w:val="000000"/>
        </w:rPr>
        <w:t>6</w:t>
      </w:r>
      <w:r>
        <w:rPr>
          <w:color w:val="000000"/>
        </w:rPr>
        <w:t>、基金管理人业务资格批件、营业执照；</w:t>
      </w:r>
    </w:p>
    <w:p w:rsidR="00BC1178" w:rsidRDefault="006B3260">
      <w:pPr>
        <w:spacing w:line="360" w:lineRule="auto"/>
        <w:rPr>
          <w:color w:val="000000"/>
        </w:rPr>
      </w:pPr>
      <w:r>
        <w:rPr>
          <w:color w:val="000000"/>
        </w:rPr>
        <w:t>7</w:t>
      </w:r>
      <w:r>
        <w:rPr>
          <w:color w:val="000000"/>
        </w:rPr>
        <w:t>、基金托管人业务资格批件、营业执照；</w:t>
      </w:r>
    </w:p>
    <w:p w:rsidR="00BC1178" w:rsidRDefault="006B3260">
      <w:pPr>
        <w:spacing w:line="360" w:lineRule="auto"/>
        <w:rPr>
          <w:color w:val="000000"/>
        </w:rPr>
      </w:pPr>
      <w:r>
        <w:rPr>
          <w:color w:val="000000"/>
        </w:rPr>
        <w:t>8</w:t>
      </w:r>
      <w:r>
        <w:rPr>
          <w:color w:val="000000"/>
        </w:rPr>
        <w:t>、报告期内在指定报刊上披露的各项公告；</w:t>
      </w:r>
    </w:p>
    <w:p w:rsidR="00BC1178" w:rsidRDefault="006B3260">
      <w:pPr>
        <w:spacing w:line="360" w:lineRule="auto"/>
        <w:rPr>
          <w:color w:val="000000"/>
        </w:rPr>
      </w:pPr>
      <w:r>
        <w:rPr>
          <w:color w:val="000000"/>
        </w:rPr>
        <w:t>9</w:t>
      </w:r>
      <w:r>
        <w:rPr>
          <w:color w:val="000000"/>
        </w:rPr>
        <w:t>、中国证监会要求的其他文件。</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9.2 </w:t>
      </w:r>
      <w:r>
        <w:rPr>
          <w:b/>
          <w:bCs/>
          <w:color w:val="000000"/>
          <w:kern w:val="0"/>
        </w:rPr>
        <w:t>存放地点</w:t>
      </w:r>
    </w:p>
    <w:p w:rsidR="00BC1178" w:rsidRDefault="006B3260">
      <w:pPr>
        <w:spacing w:line="360" w:lineRule="auto"/>
        <w:rPr>
          <w:color w:val="000000"/>
        </w:rPr>
      </w:pPr>
      <w:r>
        <w:rPr>
          <w:color w:val="000000"/>
        </w:rPr>
        <w:t>以上备查文件存放在基金管理人、基金托管人处，供公众查阅。</w:t>
      </w:r>
    </w:p>
    <w:p w:rsidR="00BC1178" w:rsidRDefault="006B3260">
      <w:pPr>
        <w:autoSpaceDE w:val="0"/>
        <w:autoSpaceDN w:val="0"/>
        <w:adjustRightInd w:val="0"/>
        <w:spacing w:line="360" w:lineRule="auto"/>
        <w:jc w:val="left"/>
        <w:rPr>
          <w:b/>
          <w:bCs/>
          <w:color w:val="000000"/>
          <w:kern w:val="0"/>
        </w:rPr>
      </w:pPr>
      <w:r>
        <w:rPr>
          <w:b/>
          <w:bCs/>
          <w:color w:val="000000"/>
          <w:kern w:val="0"/>
        </w:rPr>
        <w:t xml:space="preserve">9.3 </w:t>
      </w:r>
      <w:r>
        <w:rPr>
          <w:b/>
          <w:bCs/>
          <w:color w:val="000000"/>
          <w:kern w:val="0"/>
        </w:rPr>
        <w:t>查阅方式</w:t>
      </w:r>
    </w:p>
    <w:p w:rsidR="00BC1178" w:rsidRDefault="006B3260">
      <w:pPr>
        <w:spacing w:line="360" w:lineRule="auto"/>
        <w:rPr>
          <w:color w:val="000000"/>
        </w:rPr>
      </w:pPr>
      <w:r>
        <w:rPr>
          <w:color w:val="000000"/>
        </w:rPr>
        <w:t>投资人在支付工本费后，可在合理时间内取得上述文件复制件或复印件。</w:t>
      </w:r>
    </w:p>
    <w:p w:rsidR="00BC1178" w:rsidRDefault="00BC1178">
      <w:pPr>
        <w:spacing w:line="360" w:lineRule="auto"/>
        <w:rPr>
          <w:color w:val="000000"/>
          <w:sz w:val="24"/>
          <w:szCs w:val="24"/>
        </w:rPr>
      </w:pPr>
    </w:p>
    <w:p w:rsidR="00BC1178" w:rsidRDefault="00BC1178">
      <w:pPr>
        <w:spacing w:line="360" w:lineRule="auto"/>
        <w:ind w:left="840"/>
        <w:jc w:val="right"/>
        <w:rPr>
          <w:color w:val="000000"/>
          <w:sz w:val="24"/>
          <w:szCs w:val="24"/>
        </w:rPr>
      </w:pPr>
    </w:p>
    <w:p w:rsidR="00BC1178" w:rsidRDefault="00BC1178">
      <w:pPr>
        <w:spacing w:line="360" w:lineRule="auto"/>
        <w:ind w:left="840"/>
        <w:jc w:val="right"/>
        <w:rPr>
          <w:color w:val="000000"/>
          <w:sz w:val="24"/>
          <w:szCs w:val="24"/>
        </w:rPr>
      </w:pPr>
    </w:p>
    <w:p w:rsidR="00BC1178" w:rsidRDefault="00BC1178">
      <w:pPr>
        <w:spacing w:line="360" w:lineRule="auto"/>
        <w:ind w:left="840"/>
        <w:jc w:val="right"/>
        <w:rPr>
          <w:color w:val="000000"/>
          <w:sz w:val="24"/>
          <w:szCs w:val="24"/>
        </w:rPr>
      </w:pPr>
    </w:p>
    <w:p w:rsidR="00BC1178" w:rsidRDefault="00BC1178">
      <w:pPr>
        <w:spacing w:line="360" w:lineRule="auto"/>
        <w:ind w:left="840"/>
        <w:jc w:val="right"/>
        <w:rPr>
          <w:color w:val="000000"/>
          <w:sz w:val="24"/>
          <w:szCs w:val="24"/>
        </w:rPr>
      </w:pPr>
    </w:p>
    <w:p w:rsidR="00BC1178" w:rsidRDefault="006B3260">
      <w:pPr>
        <w:spacing w:line="360" w:lineRule="auto"/>
        <w:jc w:val="right"/>
        <w:rPr>
          <w:b/>
          <w:bCs/>
          <w:sz w:val="24"/>
          <w:szCs w:val="24"/>
        </w:rPr>
      </w:pPr>
      <w:r>
        <w:rPr>
          <w:b/>
          <w:bCs/>
          <w:sz w:val="24"/>
          <w:szCs w:val="24"/>
        </w:rPr>
        <w:t>中银基金管理有限公司</w:t>
      </w:r>
    </w:p>
    <w:p w:rsidR="00BC1178" w:rsidRDefault="006B3260">
      <w:pPr>
        <w:spacing w:line="360" w:lineRule="auto"/>
        <w:jc w:val="right"/>
        <w:rPr>
          <w:b/>
          <w:bCs/>
          <w:sz w:val="24"/>
          <w:szCs w:val="24"/>
        </w:rPr>
      </w:pPr>
      <w:r>
        <w:rPr>
          <w:b/>
          <w:bCs/>
          <w:sz w:val="24"/>
          <w:szCs w:val="24"/>
        </w:rPr>
        <w:t>二〇一八年十月二十四日</w:t>
      </w:r>
    </w:p>
    <w:p w:rsidR="00BC1178" w:rsidRDefault="00BC1178">
      <w:pPr>
        <w:spacing w:line="360" w:lineRule="auto"/>
        <w:ind w:left="840"/>
        <w:jc w:val="right"/>
        <w:rPr>
          <w:b/>
          <w:bCs/>
          <w:sz w:val="24"/>
          <w:szCs w:val="24"/>
        </w:rPr>
      </w:pPr>
    </w:p>
    <w:p w:rsidR="00BC1178" w:rsidRDefault="00BC1178">
      <w:pPr>
        <w:rPr>
          <w:sz w:val="24"/>
          <w:szCs w:val="24"/>
        </w:rPr>
      </w:pPr>
    </w:p>
    <w:sectPr w:rsidR="00BC1178" w:rsidSect="00BC1178">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78" w:rsidRDefault="00BC1178" w:rsidP="00BC1178">
      <w:r>
        <w:separator/>
      </w:r>
    </w:p>
  </w:endnote>
  <w:endnote w:type="continuationSeparator" w:id="1">
    <w:p w:rsidR="00BC1178" w:rsidRDefault="00BC1178" w:rsidP="00BC1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78" w:rsidRDefault="00BC1178">
    <w:pPr>
      <w:pStyle w:val="ac"/>
      <w:tabs>
        <w:tab w:val="left" w:pos="4215"/>
        <w:tab w:val="center" w:pos="4545"/>
      </w:tabs>
    </w:pPr>
    <w:r w:rsidRPr="00BC1178">
      <w:fldChar w:fldCharType="begin"/>
    </w:r>
    <w:r w:rsidR="006B3260">
      <w:instrText xml:space="preserve"> PAGE   \* MERGEFORMAT </w:instrText>
    </w:r>
    <w:r w:rsidRPr="00BC1178">
      <w:fldChar w:fldCharType="separate"/>
    </w:r>
    <w:r w:rsidR="006B3260" w:rsidRPr="006B3260">
      <w:rPr>
        <w:noProof/>
        <w:lang w:val="zh-CN"/>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78" w:rsidRDefault="00BC1178">
    <w:pPr>
      <w:pStyle w:val="ac"/>
      <w:framePr w:wrap="around" w:vAnchor="text" w:hAnchor="margin" w:xAlign="center" w:y="1"/>
      <w:rPr>
        <w:rStyle w:val="af2"/>
      </w:rPr>
    </w:pPr>
    <w:r>
      <w:rPr>
        <w:rStyle w:val="af2"/>
      </w:rPr>
      <w:fldChar w:fldCharType="begin"/>
    </w:r>
    <w:r w:rsidR="006B3260">
      <w:rPr>
        <w:rStyle w:val="af2"/>
      </w:rPr>
      <w:instrText xml:space="preserve">PAGE  </w:instrText>
    </w:r>
    <w:r>
      <w:rPr>
        <w:rStyle w:val="af2"/>
      </w:rPr>
      <w:fldChar w:fldCharType="separate"/>
    </w:r>
    <w:r w:rsidR="006B3260">
      <w:rPr>
        <w:rStyle w:val="af2"/>
        <w:noProof/>
      </w:rPr>
      <w:t>2</w:t>
    </w:r>
    <w:r>
      <w:rPr>
        <w:rStyle w:val="af2"/>
      </w:rPr>
      <w:fldChar w:fldCharType="end"/>
    </w:r>
  </w:p>
  <w:p w:rsidR="00BC1178" w:rsidRDefault="00BC117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78" w:rsidRDefault="00BC1178" w:rsidP="00BC1178">
      <w:r>
        <w:separator/>
      </w:r>
    </w:p>
  </w:footnote>
  <w:footnote w:type="continuationSeparator" w:id="1">
    <w:p w:rsidR="00BC1178" w:rsidRDefault="00BC1178" w:rsidP="00BC1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78" w:rsidRDefault="006B3260">
    <w:pPr>
      <w:pStyle w:val="ad"/>
      <w:pBdr>
        <w:bottom w:val="single" w:sz="6" w:space="0" w:color="auto"/>
      </w:pBdr>
      <w:jc w:val="right"/>
    </w:pPr>
    <w:r>
      <w:rPr>
        <w:rFonts w:hint="eastAsia"/>
        <w:sz w:val="21"/>
        <w:szCs w:val="21"/>
      </w:rPr>
      <w:t>中银文体娱乐灵活配置混合型证券投资基金</w:t>
    </w:r>
    <w:r>
      <w:rPr>
        <w:rFonts w:hint="eastAsia"/>
        <w:sz w:val="21"/>
        <w:szCs w:val="21"/>
      </w:rPr>
      <w:t>2018</w:t>
    </w:r>
    <w:r>
      <w:rPr>
        <w:rFonts w:hint="eastAsia"/>
        <w:sz w:val="21"/>
        <w:szCs w:val="21"/>
      </w:rPr>
      <w:t>年第</w:t>
    </w:r>
    <w:r>
      <w:rPr>
        <w:rFonts w:hint="eastAsia"/>
        <w:sz w:val="21"/>
        <w:szCs w:val="21"/>
      </w:rPr>
      <w:t>3</w:t>
    </w:r>
    <w:r>
      <w:rPr>
        <w:rFonts w:hint="eastAsia"/>
        <w:sz w:val="21"/>
        <w:szCs w:val="21"/>
      </w:rP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3BB"/>
    <w:rsid w:val="00002C62"/>
    <w:rsid w:val="000110A9"/>
    <w:rsid w:val="00016E30"/>
    <w:rsid w:val="000171A7"/>
    <w:rsid w:val="00074792"/>
    <w:rsid w:val="000823CE"/>
    <w:rsid w:val="00082E03"/>
    <w:rsid w:val="000C79BE"/>
    <w:rsid w:val="000D4210"/>
    <w:rsid w:val="000E02C1"/>
    <w:rsid w:val="000F3E1E"/>
    <w:rsid w:val="00101533"/>
    <w:rsid w:val="00101766"/>
    <w:rsid w:val="00180203"/>
    <w:rsid w:val="001B1657"/>
    <w:rsid w:val="001F3203"/>
    <w:rsid w:val="002153EB"/>
    <w:rsid w:val="002233A4"/>
    <w:rsid w:val="00265F00"/>
    <w:rsid w:val="002A0049"/>
    <w:rsid w:val="002D616D"/>
    <w:rsid w:val="00317B94"/>
    <w:rsid w:val="00323BBB"/>
    <w:rsid w:val="00341FA7"/>
    <w:rsid w:val="00346F65"/>
    <w:rsid w:val="00350323"/>
    <w:rsid w:val="004313D2"/>
    <w:rsid w:val="00491394"/>
    <w:rsid w:val="004C2E34"/>
    <w:rsid w:val="00504FE1"/>
    <w:rsid w:val="0050764C"/>
    <w:rsid w:val="0051395B"/>
    <w:rsid w:val="00553D3F"/>
    <w:rsid w:val="00595DE8"/>
    <w:rsid w:val="005E3BFA"/>
    <w:rsid w:val="005E53C3"/>
    <w:rsid w:val="005F299E"/>
    <w:rsid w:val="00603BA7"/>
    <w:rsid w:val="006422A5"/>
    <w:rsid w:val="006B3260"/>
    <w:rsid w:val="006B6A14"/>
    <w:rsid w:val="006D04FC"/>
    <w:rsid w:val="006D089E"/>
    <w:rsid w:val="00753629"/>
    <w:rsid w:val="007626E4"/>
    <w:rsid w:val="007A3684"/>
    <w:rsid w:val="007D211F"/>
    <w:rsid w:val="007D7CE0"/>
    <w:rsid w:val="007F59EC"/>
    <w:rsid w:val="00853871"/>
    <w:rsid w:val="0085431B"/>
    <w:rsid w:val="008759B7"/>
    <w:rsid w:val="00882B4F"/>
    <w:rsid w:val="00890A0F"/>
    <w:rsid w:val="00910E1E"/>
    <w:rsid w:val="0093110E"/>
    <w:rsid w:val="00936EFD"/>
    <w:rsid w:val="009837E3"/>
    <w:rsid w:val="009947F0"/>
    <w:rsid w:val="00A039AB"/>
    <w:rsid w:val="00A160D4"/>
    <w:rsid w:val="00A925E1"/>
    <w:rsid w:val="00AA6717"/>
    <w:rsid w:val="00B05811"/>
    <w:rsid w:val="00B240BB"/>
    <w:rsid w:val="00B308C9"/>
    <w:rsid w:val="00B35BF3"/>
    <w:rsid w:val="00B53943"/>
    <w:rsid w:val="00B6628E"/>
    <w:rsid w:val="00BA1B49"/>
    <w:rsid w:val="00BA24E4"/>
    <w:rsid w:val="00BA706F"/>
    <w:rsid w:val="00BB1B9D"/>
    <w:rsid w:val="00BC1178"/>
    <w:rsid w:val="00BD3D4E"/>
    <w:rsid w:val="00BF199E"/>
    <w:rsid w:val="00BF729D"/>
    <w:rsid w:val="00C10F06"/>
    <w:rsid w:val="00C27C02"/>
    <w:rsid w:val="00C53802"/>
    <w:rsid w:val="00C7447F"/>
    <w:rsid w:val="00CC13BB"/>
    <w:rsid w:val="00CD7C11"/>
    <w:rsid w:val="00D23CF7"/>
    <w:rsid w:val="00D31353"/>
    <w:rsid w:val="00E141FB"/>
    <w:rsid w:val="00E15154"/>
    <w:rsid w:val="00E22E16"/>
    <w:rsid w:val="00E6739B"/>
    <w:rsid w:val="00EB048E"/>
    <w:rsid w:val="00EE2697"/>
    <w:rsid w:val="00EF6308"/>
    <w:rsid w:val="00F33B14"/>
    <w:rsid w:val="00F371EC"/>
    <w:rsid w:val="00F372EF"/>
    <w:rsid w:val="00F503E7"/>
    <w:rsid w:val="00F63D75"/>
    <w:rsid w:val="00F814F7"/>
    <w:rsid w:val="00F85F94"/>
    <w:rsid w:val="00F91F0D"/>
    <w:rsid w:val="00FA0507"/>
    <w:rsid w:val="14560D76"/>
    <w:rsid w:val="3A260FBD"/>
    <w:rsid w:val="787303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qFormat="1"/>
    <w:lsdException w:name="index 2" w:uiPriority="0" w:unhideWhenUsed="1"/>
    <w:lsdException w:name="index 3" w:uiPriority="0" w:unhideWhenUsed="1"/>
    <w:lsdException w:name="index 4" w:uiPriority="0" w:unhideWhenUsed="1"/>
    <w:lsdException w:name="index 5" w:uiPriority="0" w:unhideWhenUsed="1"/>
    <w:lsdException w:name="index 6" w:uiPriority="0" w:unhideWhenUsed="1"/>
    <w:lsdException w:name="index 7" w:uiPriority="0" w:unhideWhenUsed="1"/>
    <w:lsdException w:name="index 8" w:uiPriority="0" w:unhideWhenUsed="1"/>
    <w:lsdException w:name="index 9" w:uiPriority="0"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uiPriority="0" w:qFormat="1"/>
    <w:lsdException w:name="header" w:semiHidden="0" w:qFormat="1"/>
    <w:lsdException w:name="footer" w:semiHidden="0" w:qFormat="1"/>
    <w:lsdException w:name="index heading" w:uiPriority="0" w:unhideWhenUsed="1"/>
    <w:lsdException w:name="caption" w:uiPriority="35" w:unhideWhenUsed="1" w:qFormat="1"/>
    <w:lsdException w:name="table of figures" w:uiPriority="0" w:unhideWhenUsed="1"/>
    <w:lsdException w:name="envelope address" w:uiPriority="0" w:unhideWhenUsed="1"/>
    <w:lsdException w:name="envelope return" w:uiPriority="0" w:unhideWhenUsed="1"/>
    <w:lsdException w:name="footnote reference" w:semiHidden="0" w:uiPriority="0" w:qFormat="1"/>
    <w:lsdException w:name="line number" w:uiPriority="0" w:unhideWhenUsed="1"/>
    <w:lsdException w:name="page number" w:semiHidden="0" w:qFormat="1"/>
    <w:lsdException w:name="endnote reference" w:uiPriority="0" w:unhideWhenUsed="1"/>
    <w:lsdException w:name="endnote text" w:uiPriority="0" w:unhideWhenUsed="1"/>
    <w:lsdException w:name="table of authorities" w:uiPriority="0" w:unhideWhenUsed="1"/>
    <w:lsdException w:name="macro" w:uiPriority="0" w:unhideWhenUsed="1"/>
    <w:lsdException w:name="toa heading" w:uiPriority="0" w:unhideWhenUsed="1"/>
    <w:lsdException w:name="List" w:semiHidden="0" w:qFormat="1"/>
    <w:lsdException w:name="List Bullet" w:uiPriority="0" w:unhideWhenUsed="1"/>
    <w:lsdException w:name="List Number" w:uiPriority="0" w:unhideWhenUsed="1"/>
    <w:lsdException w:name="List 2" w:uiPriority="0" w:unhideWhenUsed="1"/>
    <w:lsdException w:name="List 3" w:uiPriority="0" w:unhideWhenUsed="1"/>
    <w:lsdException w:name="List 4" w:uiPriority="0" w:unhideWhenUsed="1"/>
    <w:lsdException w:name="List 5" w:uiPriority="0" w:unhideWhenUsed="1"/>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semiHidden="0" w:qFormat="1"/>
    <w:lsdException w:name="Closing" w:uiPriority="0" w:unhideWhenUsed="1"/>
    <w:lsdException w:name="Signature" w:uiPriority="0" w:unhideWhenUsed="1"/>
    <w:lsdException w:name="Default Paragraph Font" w:semiHidden="0" w:uiPriority="1" w:unhideWhenUsed="1" w:qFormat="1"/>
    <w:lsdException w:name="Body Text" w:semiHidden="0" w:qFormat="1"/>
    <w:lsdException w:name="Body Text Indent" w:semiHidden="0"/>
    <w:lsdException w:name="List Continue" w:uiPriority="0" w:unhideWhenUsed="1"/>
    <w:lsdException w:name="List Continue 2" w:uiPriority="0" w:unhideWhenUsed="1"/>
    <w:lsdException w:name="List Continue 3" w:uiPriority="0" w:unhideWhenUsed="1"/>
    <w:lsdException w:name="List Continue 4" w:uiPriority="0" w:unhideWhenUsed="1"/>
    <w:lsdException w:name="List Continue 5" w:uiPriority="0" w:unhideWhenUsed="1"/>
    <w:lsdException w:name="Message Header" w:uiPriority="0" w:unhideWhenUsed="1"/>
    <w:lsdException w:name="Subtitle" w:semiHidden="0" w:uiPriority="11" w:qFormat="1"/>
    <w:lsdException w:name="Salutation" w:uiPriority="0" w:unhideWhenUsed="1"/>
    <w:lsdException w:name="Date" w:semiHidden="0" w:uiPriority="0" w:qFormat="1"/>
    <w:lsdException w:name="Body Text First Indent" w:uiPriority="0" w:unhideWhenUsed="1"/>
    <w:lsdException w:name="Body Text First Indent 2" w:uiPriority="0" w:unhideWhenUsed="1"/>
    <w:lsdException w:name="Note Heading" w:uiPriority="0" w:unhideWhenUsed="1"/>
    <w:lsdException w:name="Body Text 2" w:uiPriority="0" w:unhideWhenUsed="1"/>
    <w:lsdException w:name="Body Text 3" w:uiPriority="0" w:unhideWhenUsed="1"/>
    <w:lsdException w:name="Body Text Indent 2" w:semiHidden="0" w:qFormat="1"/>
    <w:lsdException w:name="Body Text Indent 3" w:semiHidden="0"/>
    <w:lsdException w:name="Block Text" w:uiPriority="0" w:unhideWhenUsed="1"/>
    <w:lsdException w:name="Hyperlink" w:semiHidden="0" w:qFormat="1"/>
    <w:lsdException w:name="FollowedHyperlink" w:semiHidden="0" w:qFormat="1"/>
    <w:lsdException w:name="Strong" w:semiHidden="0" w:uiPriority="22" w:qFormat="1"/>
    <w:lsdException w:name="Emphasis" w:semiHidden="0" w:uiPriority="20" w:qFormat="1"/>
    <w:lsdException w:name="Document Map" w:qFormat="1"/>
    <w:lsdException w:name="Plain Text" w:semiHidden="0" w:qFormat="1"/>
    <w:lsdException w:name="E-mail Signature" w:uiPriority="0" w:unhideWhenUsed="1"/>
    <w:lsdException w:name="HTML Top of Form" w:unhideWhenUsed="1"/>
    <w:lsdException w:name="HTML Bottom of Form" w:unhideWhenUsed="1"/>
    <w:lsdException w:name="Normal (Web)" w:semiHidden="0" w:qFormat="1"/>
    <w:lsdException w:name="HTML Acronym" w:uiPriority="0" w:unhideWhenUsed="1"/>
    <w:lsdException w:name="HTML Address" w:uiPriority="0" w:unhideWhenUsed="1"/>
    <w:lsdException w:name="HTML Cite" w:uiPriority="0" w:unhideWhenUsed="1"/>
    <w:lsdException w:name="HTML Code" w:uiPriority="0" w:unhideWhenUsed="1"/>
    <w:lsdException w:name="HTML Definition" w:uiPriority="0" w:unhideWhenUsed="1"/>
    <w:lsdException w:name="HTML Keyboard" w:uiPriority="0" w:unhideWhenUsed="1"/>
    <w:lsdException w:name="HTML Preformatted" w:uiPriority="0" w:unhideWhenUsed="1"/>
    <w:lsdException w:name="HTML Sample" w:uiPriority="0" w:unhideWhenUsed="1"/>
    <w:lsdException w:name="HTML Typewriter" w:uiPriority="0" w:unhideWhenUsed="1"/>
    <w:lsdException w:name="HTML Variable" w:uiPriority="0" w:unhideWhenUsed="1"/>
    <w:lsdException w:name="Normal Table" w:semiHidden="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C1178"/>
    <w:pPr>
      <w:widowControl w:val="0"/>
      <w:jc w:val="both"/>
    </w:pPr>
    <w:rPr>
      <w:kern w:val="2"/>
      <w:sz w:val="21"/>
      <w:szCs w:val="21"/>
    </w:rPr>
  </w:style>
  <w:style w:type="paragraph" w:styleId="1">
    <w:name w:val="heading 1"/>
    <w:basedOn w:val="a"/>
    <w:next w:val="a"/>
    <w:link w:val="1Char"/>
    <w:uiPriority w:val="99"/>
    <w:qFormat/>
    <w:rsid w:val="00BC1178"/>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BC1178"/>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BC117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BC1178"/>
    <w:pPr>
      <w:ind w:firstLineChars="200" w:firstLine="420"/>
    </w:pPr>
  </w:style>
  <w:style w:type="paragraph" w:styleId="a4">
    <w:name w:val="annotation subject"/>
    <w:basedOn w:val="a5"/>
    <w:next w:val="a5"/>
    <w:link w:val="Char"/>
    <w:uiPriority w:val="99"/>
    <w:semiHidden/>
    <w:rsid w:val="00BC1178"/>
    <w:rPr>
      <w:b/>
      <w:bCs/>
    </w:rPr>
  </w:style>
  <w:style w:type="paragraph" w:styleId="a5">
    <w:name w:val="annotation text"/>
    <w:basedOn w:val="a"/>
    <w:link w:val="Char0"/>
    <w:uiPriority w:val="99"/>
    <w:semiHidden/>
    <w:rsid w:val="00BC1178"/>
    <w:pPr>
      <w:jc w:val="left"/>
    </w:pPr>
  </w:style>
  <w:style w:type="paragraph" w:styleId="a6">
    <w:name w:val="Document Map"/>
    <w:basedOn w:val="a"/>
    <w:link w:val="Char1"/>
    <w:uiPriority w:val="99"/>
    <w:semiHidden/>
    <w:qFormat/>
    <w:rsid w:val="00BC1178"/>
    <w:pPr>
      <w:shd w:val="clear" w:color="auto" w:fill="000080"/>
    </w:pPr>
  </w:style>
  <w:style w:type="paragraph" w:styleId="a7">
    <w:name w:val="Body Text"/>
    <w:basedOn w:val="a"/>
    <w:link w:val="Char2"/>
    <w:uiPriority w:val="99"/>
    <w:qFormat/>
    <w:rsid w:val="00BC1178"/>
    <w:pPr>
      <w:spacing w:after="120"/>
    </w:pPr>
  </w:style>
  <w:style w:type="paragraph" w:styleId="a8">
    <w:name w:val="Body Text Indent"/>
    <w:basedOn w:val="a"/>
    <w:link w:val="Char3"/>
    <w:uiPriority w:val="99"/>
    <w:rsid w:val="00BC1178"/>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qFormat/>
    <w:rsid w:val="00BC1178"/>
    <w:rPr>
      <w:rFonts w:ascii="宋体" w:hAnsi="Courier New" w:cs="宋体"/>
    </w:rPr>
  </w:style>
  <w:style w:type="paragraph" w:styleId="aa">
    <w:name w:val="Date"/>
    <w:basedOn w:val="a"/>
    <w:next w:val="a"/>
    <w:link w:val="Char5"/>
    <w:qFormat/>
    <w:rsid w:val="00BC1178"/>
    <w:rPr>
      <w:sz w:val="24"/>
      <w:szCs w:val="24"/>
    </w:rPr>
  </w:style>
  <w:style w:type="paragraph" w:styleId="20">
    <w:name w:val="Body Text Indent 2"/>
    <w:basedOn w:val="a"/>
    <w:link w:val="2Char0"/>
    <w:uiPriority w:val="99"/>
    <w:qFormat/>
    <w:rsid w:val="00BC1178"/>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rsid w:val="00BC1178"/>
    <w:rPr>
      <w:sz w:val="18"/>
      <w:szCs w:val="18"/>
    </w:rPr>
  </w:style>
  <w:style w:type="paragraph" w:styleId="ac">
    <w:name w:val="footer"/>
    <w:basedOn w:val="a"/>
    <w:link w:val="Char7"/>
    <w:uiPriority w:val="99"/>
    <w:qFormat/>
    <w:rsid w:val="00BC1178"/>
    <w:pPr>
      <w:tabs>
        <w:tab w:val="center" w:pos="4153"/>
        <w:tab w:val="right" w:pos="8306"/>
      </w:tabs>
      <w:snapToGrid w:val="0"/>
      <w:jc w:val="left"/>
    </w:pPr>
    <w:rPr>
      <w:sz w:val="18"/>
      <w:szCs w:val="18"/>
    </w:rPr>
  </w:style>
  <w:style w:type="paragraph" w:styleId="ad">
    <w:name w:val="header"/>
    <w:basedOn w:val="a"/>
    <w:link w:val="Char8"/>
    <w:uiPriority w:val="99"/>
    <w:qFormat/>
    <w:rsid w:val="00BC1178"/>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qFormat/>
    <w:rsid w:val="00BC1178"/>
    <w:pPr>
      <w:spacing w:after="220" w:line="220" w:lineRule="atLeast"/>
      <w:ind w:left="1440" w:hanging="360"/>
    </w:pPr>
  </w:style>
  <w:style w:type="paragraph" w:styleId="af">
    <w:name w:val="footnote text"/>
    <w:basedOn w:val="a"/>
    <w:link w:val="Char9"/>
    <w:qFormat/>
    <w:rsid w:val="00BC1178"/>
    <w:pPr>
      <w:snapToGrid w:val="0"/>
      <w:jc w:val="left"/>
    </w:pPr>
    <w:rPr>
      <w:sz w:val="18"/>
      <w:szCs w:val="18"/>
    </w:rPr>
  </w:style>
  <w:style w:type="paragraph" w:styleId="30">
    <w:name w:val="Body Text Indent 3"/>
    <w:basedOn w:val="a"/>
    <w:link w:val="3Char0"/>
    <w:uiPriority w:val="99"/>
    <w:rsid w:val="00BC1178"/>
    <w:pPr>
      <w:spacing w:line="560" w:lineRule="exact"/>
      <w:ind w:firstLineChars="200" w:firstLine="420"/>
    </w:pPr>
    <w:rPr>
      <w:rFonts w:ascii="Arial" w:hAnsi="Arial" w:cs="Arial"/>
      <w:color w:val="FF0000"/>
    </w:rPr>
  </w:style>
  <w:style w:type="paragraph" w:styleId="af0">
    <w:name w:val="Normal (Web)"/>
    <w:basedOn w:val="a"/>
    <w:uiPriority w:val="99"/>
    <w:qFormat/>
    <w:rsid w:val="00BC1178"/>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rsid w:val="00BC1178"/>
    <w:pPr>
      <w:jc w:val="right"/>
    </w:pPr>
    <w:rPr>
      <w:color w:val="008000"/>
    </w:rPr>
  </w:style>
  <w:style w:type="paragraph" w:styleId="af1">
    <w:name w:val="Title"/>
    <w:basedOn w:val="a"/>
    <w:next w:val="a"/>
    <w:link w:val="Chara"/>
    <w:uiPriority w:val="99"/>
    <w:qFormat/>
    <w:rsid w:val="00BC1178"/>
    <w:pPr>
      <w:spacing w:before="240" w:after="60"/>
      <w:jc w:val="center"/>
      <w:outlineLvl w:val="0"/>
    </w:pPr>
    <w:rPr>
      <w:rFonts w:ascii="Cambria" w:hAnsi="Cambria" w:cs="Cambria"/>
      <w:b/>
      <w:bCs/>
      <w:sz w:val="32"/>
      <w:szCs w:val="32"/>
    </w:rPr>
  </w:style>
  <w:style w:type="character" w:styleId="af2">
    <w:name w:val="page number"/>
    <w:basedOn w:val="a1"/>
    <w:uiPriority w:val="99"/>
    <w:qFormat/>
    <w:rsid w:val="00BC1178"/>
  </w:style>
  <w:style w:type="character" w:styleId="af3">
    <w:name w:val="FollowedHyperlink"/>
    <w:uiPriority w:val="99"/>
    <w:qFormat/>
    <w:rsid w:val="00BC1178"/>
    <w:rPr>
      <w:color w:val="800080"/>
      <w:u w:val="single"/>
    </w:rPr>
  </w:style>
  <w:style w:type="character" w:styleId="af4">
    <w:name w:val="Hyperlink"/>
    <w:uiPriority w:val="99"/>
    <w:qFormat/>
    <w:rsid w:val="00BC1178"/>
    <w:rPr>
      <w:color w:val="0000FF"/>
      <w:u w:val="single"/>
    </w:rPr>
  </w:style>
  <w:style w:type="character" w:styleId="af5">
    <w:name w:val="annotation reference"/>
    <w:uiPriority w:val="99"/>
    <w:semiHidden/>
    <w:rsid w:val="00BC1178"/>
    <w:rPr>
      <w:sz w:val="21"/>
      <w:szCs w:val="21"/>
    </w:rPr>
  </w:style>
  <w:style w:type="character" w:styleId="af6">
    <w:name w:val="footnote reference"/>
    <w:qFormat/>
    <w:rsid w:val="00BC1178"/>
    <w:rPr>
      <w:vertAlign w:val="superscript"/>
    </w:rPr>
  </w:style>
  <w:style w:type="table" w:styleId="af7">
    <w:name w:val="Table Grid"/>
    <w:basedOn w:val="a2"/>
    <w:qFormat/>
    <w:rsid w:val="00BC11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qFormat/>
    <w:rsid w:val="00BC1178"/>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rsid w:val="00BC117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BC117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BC117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rsid w:val="00BC117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BC117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BC117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BC117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BC117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b">
    <w:name w:val="Char"/>
    <w:basedOn w:val="a"/>
    <w:uiPriority w:val="99"/>
    <w:qFormat/>
    <w:rsid w:val="00BC1178"/>
  </w:style>
  <w:style w:type="paragraph" w:customStyle="1" w:styleId="af8">
    <w:name w:val="正文 + (符号) 宋体"/>
    <w:basedOn w:val="a"/>
    <w:uiPriority w:val="99"/>
    <w:qFormat/>
    <w:rsid w:val="00BC1178"/>
    <w:pPr>
      <w:autoSpaceDE w:val="0"/>
      <w:autoSpaceDN w:val="0"/>
      <w:adjustRightInd w:val="0"/>
      <w:ind w:rightChars="671" w:right="1409" w:firstLineChars="512" w:firstLine="1229"/>
      <w:jc w:val="distribute"/>
    </w:pPr>
    <w:rPr>
      <w:sz w:val="24"/>
      <w:szCs w:val="24"/>
    </w:rPr>
  </w:style>
  <w:style w:type="paragraph" w:customStyle="1" w:styleId="Char10">
    <w:name w:val="Char1"/>
    <w:basedOn w:val="a"/>
    <w:uiPriority w:val="99"/>
    <w:qFormat/>
    <w:rsid w:val="00BC1178"/>
  </w:style>
  <w:style w:type="paragraph" w:customStyle="1" w:styleId="CharCharCharCharCharChar1CharCharChar">
    <w:name w:val="Char Char Char Char Char Char1 Char Char Char"/>
    <w:basedOn w:val="a"/>
    <w:uiPriority w:val="99"/>
    <w:qFormat/>
    <w:rsid w:val="00BC1178"/>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BC1178"/>
    <w:pPr>
      <w:autoSpaceDE w:val="0"/>
      <w:autoSpaceDN w:val="0"/>
      <w:adjustRightInd w:val="0"/>
      <w:jc w:val="left"/>
      <w:textAlignment w:val="baseline"/>
    </w:pPr>
    <w:rPr>
      <w:rFonts w:ascii="宋体" w:cs="宋体"/>
      <w:kern w:val="0"/>
      <w:sz w:val="34"/>
      <w:szCs w:val="34"/>
    </w:rPr>
  </w:style>
  <w:style w:type="paragraph" w:customStyle="1" w:styleId="CharCharCharCharCharChar1CharCharChar1">
    <w:name w:val="Char Char Char Char Char Char1 Char Char Char1"/>
    <w:basedOn w:val="a"/>
    <w:uiPriority w:val="99"/>
    <w:rsid w:val="00BC1178"/>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sid w:val="00BC1178"/>
    <w:rPr>
      <w:rFonts w:ascii="Calibri" w:hAnsi="Calibri" w:cs="Calibri"/>
      <w:sz w:val="22"/>
      <w:szCs w:val="22"/>
    </w:rPr>
  </w:style>
  <w:style w:type="paragraph" w:customStyle="1" w:styleId="12">
    <w:name w:val="列出段落1"/>
    <w:basedOn w:val="a"/>
    <w:uiPriority w:val="34"/>
    <w:qFormat/>
    <w:rsid w:val="00BC1178"/>
    <w:pPr>
      <w:ind w:firstLineChars="200" w:firstLine="420"/>
    </w:pPr>
  </w:style>
  <w:style w:type="paragraph" w:customStyle="1" w:styleId="Default">
    <w:name w:val="Default"/>
    <w:qFormat/>
    <w:rsid w:val="00BC1178"/>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qFormat/>
    <w:rsid w:val="00BC1178"/>
    <w:rPr>
      <w:rFonts w:ascii="Times New Roman" w:eastAsia="宋体" w:hAnsi="Times New Roman" w:cs="Times New Roman"/>
      <w:b/>
      <w:bCs/>
      <w:kern w:val="44"/>
      <w:sz w:val="44"/>
      <w:szCs w:val="44"/>
    </w:rPr>
  </w:style>
  <w:style w:type="character" w:customStyle="1" w:styleId="2Char">
    <w:name w:val="标题 2 Char"/>
    <w:link w:val="2"/>
    <w:uiPriority w:val="99"/>
    <w:qFormat/>
    <w:rsid w:val="00BC1178"/>
    <w:rPr>
      <w:rFonts w:ascii="Arial" w:eastAsia="宋体" w:hAnsi="Arial" w:cs="Arial"/>
      <w:b/>
      <w:bCs/>
      <w:sz w:val="24"/>
      <w:szCs w:val="24"/>
    </w:rPr>
  </w:style>
  <w:style w:type="character" w:customStyle="1" w:styleId="3Char">
    <w:name w:val="标题 3 Char"/>
    <w:link w:val="3"/>
    <w:uiPriority w:val="99"/>
    <w:qFormat/>
    <w:rsid w:val="00BC1178"/>
    <w:rPr>
      <w:rFonts w:ascii="Times New Roman" w:eastAsia="宋体" w:hAnsi="Times New Roman" w:cs="Times New Roman"/>
      <w:b/>
      <w:bCs/>
      <w:sz w:val="32"/>
      <w:szCs w:val="32"/>
    </w:rPr>
  </w:style>
  <w:style w:type="character" w:customStyle="1" w:styleId="Char3">
    <w:name w:val="正文文本缩进 Char"/>
    <w:link w:val="a8"/>
    <w:uiPriority w:val="99"/>
    <w:qFormat/>
    <w:rsid w:val="00BC1178"/>
    <w:rPr>
      <w:rFonts w:ascii="Arial Unicode MS" w:eastAsia="Arial Unicode MS" w:hAnsi="Arial Unicode MS" w:cs="Arial Unicode MS"/>
      <w:kern w:val="0"/>
      <w:sz w:val="24"/>
      <w:szCs w:val="24"/>
    </w:rPr>
  </w:style>
  <w:style w:type="character" w:customStyle="1" w:styleId="Char4">
    <w:name w:val="纯文本 Char"/>
    <w:link w:val="a9"/>
    <w:uiPriority w:val="99"/>
    <w:qFormat/>
    <w:rsid w:val="00BC1178"/>
    <w:rPr>
      <w:rFonts w:ascii="宋体" w:eastAsia="宋体" w:hAnsi="Courier New" w:cs="宋体"/>
      <w:szCs w:val="21"/>
    </w:rPr>
  </w:style>
  <w:style w:type="character" w:customStyle="1" w:styleId="2Char0">
    <w:name w:val="正文文本缩进 2 Char"/>
    <w:link w:val="20"/>
    <w:uiPriority w:val="99"/>
    <w:qFormat/>
    <w:rsid w:val="00BC1178"/>
    <w:rPr>
      <w:rFonts w:ascii="宋体" w:eastAsia="宋体" w:hAnsi="宋体" w:cs="宋体"/>
      <w:color w:val="FF0000"/>
      <w:sz w:val="24"/>
      <w:szCs w:val="24"/>
    </w:rPr>
  </w:style>
  <w:style w:type="character" w:customStyle="1" w:styleId="Char7">
    <w:name w:val="页脚 Char"/>
    <w:link w:val="ac"/>
    <w:uiPriority w:val="99"/>
    <w:qFormat/>
    <w:rsid w:val="00BC1178"/>
    <w:rPr>
      <w:rFonts w:ascii="Times New Roman" w:eastAsia="宋体" w:hAnsi="Times New Roman" w:cs="Times New Roman"/>
      <w:sz w:val="18"/>
      <w:szCs w:val="18"/>
    </w:rPr>
  </w:style>
  <w:style w:type="character" w:customStyle="1" w:styleId="3Char0">
    <w:name w:val="正文文本缩进 3 Char"/>
    <w:link w:val="30"/>
    <w:uiPriority w:val="99"/>
    <w:qFormat/>
    <w:rsid w:val="00BC1178"/>
    <w:rPr>
      <w:rFonts w:ascii="Arial" w:eastAsia="宋体" w:hAnsi="Arial" w:cs="Arial"/>
      <w:color w:val="FF0000"/>
      <w:szCs w:val="21"/>
    </w:rPr>
  </w:style>
  <w:style w:type="character" w:customStyle="1" w:styleId="Char8">
    <w:name w:val="页眉 Char"/>
    <w:link w:val="ad"/>
    <w:uiPriority w:val="99"/>
    <w:qFormat/>
    <w:rsid w:val="00BC1178"/>
    <w:rPr>
      <w:rFonts w:ascii="Times New Roman" w:eastAsia="宋体" w:hAnsi="Times New Roman" w:cs="Times New Roman"/>
      <w:sz w:val="18"/>
      <w:szCs w:val="18"/>
    </w:rPr>
  </w:style>
  <w:style w:type="character" w:customStyle="1" w:styleId="Char2">
    <w:name w:val="正文文本 Char"/>
    <w:link w:val="a7"/>
    <w:uiPriority w:val="99"/>
    <w:qFormat/>
    <w:rsid w:val="00BC1178"/>
    <w:rPr>
      <w:rFonts w:ascii="Times New Roman" w:eastAsia="宋体" w:hAnsi="Times New Roman" w:cs="Times New Roman"/>
      <w:szCs w:val="21"/>
    </w:rPr>
  </w:style>
  <w:style w:type="character" w:customStyle="1" w:styleId="Char5">
    <w:name w:val="日期 Char"/>
    <w:link w:val="aa"/>
    <w:qFormat/>
    <w:rsid w:val="00BC1178"/>
    <w:rPr>
      <w:rFonts w:ascii="Times New Roman" w:eastAsia="宋体" w:hAnsi="Times New Roman" w:cs="Times New Roman"/>
      <w:sz w:val="24"/>
      <w:szCs w:val="24"/>
    </w:rPr>
  </w:style>
  <w:style w:type="character" w:customStyle="1" w:styleId="c1">
    <w:name w:val="c1"/>
    <w:uiPriority w:val="99"/>
    <w:qFormat/>
    <w:rsid w:val="00BC1178"/>
    <w:rPr>
      <w:color w:val="000000"/>
      <w:sz w:val="18"/>
      <w:szCs w:val="18"/>
    </w:rPr>
  </w:style>
  <w:style w:type="character" w:customStyle="1" w:styleId="Char6">
    <w:name w:val="批注框文本 Char"/>
    <w:link w:val="ab"/>
    <w:uiPriority w:val="99"/>
    <w:semiHidden/>
    <w:qFormat/>
    <w:rsid w:val="00BC1178"/>
    <w:rPr>
      <w:rFonts w:ascii="Times New Roman" w:eastAsia="宋体" w:hAnsi="Times New Roman" w:cs="Times New Roman"/>
      <w:sz w:val="18"/>
      <w:szCs w:val="18"/>
    </w:rPr>
  </w:style>
  <w:style w:type="character" w:customStyle="1" w:styleId="Char0">
    <w:name w:val="批注文字 Char"/>
    <w:link w:val="a5"/>
    <w:uiPriority w:val="99"/>
    <w:semiHidden/>
    <w:qFormat/>
    <w:rsid w:val="00BC1178"/>
    <w:rPr>
      <w:rFonts w:ascii="Times New Roman" w:eastAsia="宋体" w:hAnsi="Times New Roman" w:cs="Times New Roman"/>
      <w:szCs w:val="21"/>
    </w:rPr>
  </w:style>
  <w:style w:type="character" w:customStyle="1" w:styleId="Char">
    <w:name w:val="批注主题 Char"/>
    <w:link w:val="a4"/>
    <w:uiPriority w:val="99"/>
    <w:semiHidden/>
    <w:qFormat/>
    <w:rsid w:val="00BC1178"/>
    <w:rPr>
      <w:rFonts w:ascii="Times New Roman" w:eastAsia="宋体" w:hAnsi="Times New Roman" w:cs="Times New Roman"/>
      <w:b/>
      <w:bCs/>
      <w:szCs w:val="21"/>
    </w:rPr>
  </w:style>
  <w:style w:type="character" w:customStyle="1" w:styleId="Char1">
    <w:name w:val="文档结构图 Char"/>
    <w:link w:val="a6"/>
    <w:uiPriority w:val="99"/>
    <w:semiHidden/>
    <w:qFormat/>
    <w:rsid w:val="00BC1178"/>
    <w:rPr>
      <w:rFonts w:ascii="Times New Roman" w:eastAsia="宋体" w:hAnsi="Times New Roman" w:cs="Times New Roman"/>
      <w:szCs w:val="21"/>
      <w:shd w:val="clear" w:color="auto" w:fill="000080"/>
    </w:rPr>
  </w:style>
  <w:style w:type="character" w:customStyle="1" w:styleId="Char9">
    <w:name w:val="脚注文本 Char"/>
    <w:link w:val="af"/>
    <w:qFormat/>
    <w:rsid w:val="00BC1178"/>
    <w:rPr>
      <w:rFonts w:ascii="Times New Roman" w:eastAsia="宋体" w:hAnsi="Times New Roman" w:cs="Times New Roman"/>
      <w:sz w:val="18"/>
      <w:szCs w:val="18"/>
    </w:rPr>
  </w:style>
  <w:style w:type="character" w:customStyle="1" w:styleId="Chara">
    <w:name w:val="标题 Char"/>
    <w:link w:val="af1"/>
    <w:uiPriority w:val="99"/>
    <w:qFormat/>
    <w:rsid w:val="00BC1178"/>
    <w:rPr>
      <w:rFonts w:ascii="Cambria" w:eastAsia="宋体" w:hAnsi="Cambria" w:cs="Cambria"/>
      <w:b/>
      <w:bCs/>
      <w:sz w:val="32"/>
      <w:szCs w:val="32"/>
    </w:rPr>
  </w:style>
  <w:style w:type="character" w:customStyle="1" w:styleId="Charc">
    <w:name w:val="无间隔 Char"/>
    <w:link w:val="11"/>
    <w:uiPriority w:val="1"/>
    <w:qFormat/>
    <w:locked/>
    <w:rsid w:val="00BC1178"/>
    <w:rPr>
      <w:rFonts w:ascii="Calibri" w:eastAsia="宋体" w:hAnsi="Calibri" w:cs="Calibri"/>
      <w:kern w:val="0"/>
      <w:sz w:val="22"/>
    </w:rPr>
  </w:style>
  <w:style w:type="character" w:customStyle="1" w:styleId="t1">
    <w:name w:val="t1"/>
    <w:uiPriority w:val="99"/>
    <w:qFormat/>
    <w:rsid w:val="00BC1178"/>
    <w:rPr>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6377</Characters>
  <Application>Microsoft Office Word</Application>
  <DocSecurity>4</DocSecurity>
  <Lines>53</Lines>
  <Paragraphs>14</Paragraphs>
  <ScaleCrop>false</ScaleCrop>
  <Company>微软中国</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dc:title>
  <dc:creator>Administrator</dc:creator>
  <cp:lastModifiedBy>ZHONGM</cp:lastModifiedBy>
  <cp:revision>2</cp:revision>
  <dcterms:created xsi:type="dcterms:W3CDTF">2018-10-23T17:07:00Z</dcterms:created>
  <dcterms:modified xsi:type="dcterms:W3CDTF">2018-10-23T17:07:00Z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